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6FDF2">
      <w:pPr>
        <w:jc w:val="center"/>
        <w:rPr>
          <w:rFonts w:hint="eastAsia" w:ascii="宋体" w:hAnsi="宋体"/>
          <w:b/>
          <w:color w:val="000000"/>
          <w:sz w:val="44"/>
          <w:szCs w:val="40"/>
          <w:highlight w:val="none"/>
        </w:rPr>
      </w:pPr>
      <w:bookmarkStart w:id="286" w:name="_GoBack"/>
      <w:bookmarkEnd w:id="286"/>
      <w:r>
        <w:rPr>
          <w:rFonts w:hint="eastAsia" w:ascii="宋体" w:hAnsi="宋体"/>
          <w:b/>
          <w:color w:val="000000"/>
          <w:sz w:val="44"/>
          <w:szCs w:val="40"/>
          <w:highlight w:val="none"/>
        </w:rPr>
        <w:t>三门峡市陕州区202</w:t>
      </w:r>
      <w:r>
        <w:rPr>
          <w:rFonts w:hint="eastAsia" w:ascii="宋体" w:hAnsi="宋体"/>
          <w:b/>
          <w:color w:val="000000"/>
          <w:sz w:val="44"/>
          <w:szCs w:val="40"/>
          <w:highlight w:val="none"/>
          <w:lang w:val="en-US" w:eastAsia="zh-CN"/>
        </w:rPr>
        <w:t>6</w:t>
      </w:r>
      <w:r>
        <w:rPr>
          <w:rFonts w:hint="eastAsia" w:ascii="宋体" w:hAnsi="宋体"/>
          <w:b/>
          <w:color w:val="000000"/>
          <w:sz w:val="44"/>
          <w:szCs w:val="40"/>
          <w:highlight w:val="none"/>
        </w:rPr>
        <w:t>年高标准农田建设</w:t>
      </w:r>
    </w:p>
    <w:p w14:paraId="3C1D078B">
      <w:pPr>
        <w:jc w:val="center"/>
        <w:rPr>
          <w:rFonts w:hint="eastAsia" w:ascii="宋体" w:hAnsi="宋体"/>
          <w:b/>
          <w:color w:val="000000"/>
          <w:sz w:val="44"/>
          <w:szCs w:val="40"/>
          <w:highlight w:val="none"/>
        </w:rPr>
      </w:pPr>
      <w:r>
        <w:rPr>
          <w:rFonts w:hint="eastAsia" w:ascii="宋体" w:hAnsi="宋体"/>
          <w:b/>
          <w:color w:val="000000"/>
          <w:sz w:val="44"/>
          <w:szCs w:val="40"/>
          <w:highlight w:val="none"/>
        </w:rPr>
        <w:t>项目勘测设计服务项目</w:t>
      </w:r>
    </w:p>
    <w:p w14:paraId="5EBB4FA6">
      <w:pPr>
        <w:spacing w:line="960" w:lineRule="exact"/>
        <w:jc w:val="center"/>
        <w:rPr>
          <w:rFonts w:hint="eastAsia" w:ascii="宋体" w:hAnsi="宋体" w:cs="宋体"/>
          <w:b/>
          <w:spacing w:val="20"/>
          <w:kern w:val="0"/>
          <w:sz w:val="84"/>
          <w:szCs w:val="84"/>
          <w:highlight w:val="none"/>
          <w:lang w:bidi="ar"/>
        </w:rPr>
      </w:pPr>
    </w:p>
    <w:p w14:paraId="5BDA5B3B">
      <w:pPr>
        <w:spacing w:line="960" w:lineRule="exact"/>
        <w:jc w:val="center"/>
        <w:rPr>
          <w:rFonts w:hint="eastAsia" w:ascii="宋体" w:hAnsi="宋体" w:cs="宋体"/>
          <w:b/>
          <w:sz w:val="84"/>
          <w:szCs w:val="84"/>
          <w:highlight w:val="none"/>
        </w:rPr>
      </w:pPr>
      <w:r>
        <w:rPr>
          <w:rFonts w:hint="eastAsia" w:ascii="宋体" w:hAnsi="宋体" w:cs="宋体"/>
          <w:b/>
          <w:spacing w:val="20"/>
          <w:kern w:val="0"/>
          <w:sz w:val="84"/>
          <w:szCs w:val="84"/>
          <w:highlight w:val="none"/>
          <w:lang w:bidi="ar"/>
        </w:rPr>
        <w:t>招标文件</w:t>
      </w:r>
    </w:p>
    <w:p w14:paraId="1532CF3C">
      <w:pPr>
        <w:adjustRightInd w:val="0"/>
        <w:snapToGrid w:val="0"/>
        <w:spacing w:line="600" w:lineRule="exact"/>
        <w:rPr>
          <w:rFonts w:hint="eastAsia" w:ascii="宋体" w:hAnsi="宋体" w:cs="宋体"/>
          <w:b/>
          <w:sz w:val="28"/>
          <w:szCs w:val="28"/>
          <w:highlight w:val="none"/>
          <w:lang w:bidi="ar"/>
        </w:rPr>
      </w:pPr>
      <w:r>
        <w:rPr>
          <w:rFonts w:hint="eastAsia" w:ascii="宋体" w:hAnsi="宋体" w:cs="宋体"/>
          <w:b/>
          <w:sz w:val="28"/>
          <w:szCs w:val="28"/>
          <w:highlight w:val="none"/>
          <w:lang w:bidi="ar"/>
        </w:rPr>
        <w:t xml:space="preserve"> </w:t>
      </w:r>
    </w:p>
    <w:p w14:paraId="02DADBDD">
      <w:pPr>
        <w:spacing w:line="520" w:lineRule="exact"/>
        <w:jc w:val="center"/>
        <w:outlineLvl w:val="0"/>
        <w:rPr>
          <w:rFonts w:hint="eastAsia" w:eastAsiaTheme="minorEastAsia"/>
          <w:sz w:val="84"/>
          <w:szCs w:val="84"/>
          <w:highlight w:val="none"/>
          <w:lang w:val="en-US" w:eastAsia="zh-CN"/>
        </w:rPr>
      </w:pPr>
      <w:r>
        <w:rPr>
          <w:rFonts w:hint="eastAsia" w:ascii="宋体" w:hAnsi="宋体" w:cs="宋体"/>
          <w:b/>
          <w:sz w:val="28"/>
          <w:szCs w:val="28"/>
          <w:highlight w:val="none"/>
          <w:lang w:bidi="ar"/>
        </w:rPr>
        <w:t>招标编号：陕州竞磋采购-2026-82</w:t>
      </w:r>
      <w:r>
        <w:rPr>
          <w:rFonts w:hint="eastAsia" w:ascii="宋体" w:hAnsi="宋体" w:cs="宋体"/>
          <w:b/>
          <w:sz w:val="28"/>
          <w:szCs w:val="28"/>
          <w:highlight w:val="none"/>
          <w:lang w:eastAsia="zh-CN" w:bidi="ar"/>
        </w:rPr>
        <w:t>、SZGZ[2026]138-ZC115</w:t>
      </w:r>
    </w:p>
    <w:p w14:paraId="77F3E859">
      <w:pPr>
        <w:jc w:val="center"/>
        <w:rPr>
          <w:rFonts w:hint="eastAsia"/>
          <w:highlight w:val="none"/>
        </w:rPr>
      </w:pPr>
      <w:r>
        <w:rPr>
          <w:rFonts w:hint="eastAsia"/>
          <w:highlight w:val="none"/>
        </w:rPr>
        <w:drawing>
          <wp:anchor distT="0" distB="0" distL="114300" distR="114300" simplePos="0" relativeHeight="251659264" behindDoc="0" locked="0" layoutInCell="1" allowOverlap="1">
            <wp:simplePos x="0" y="0"/>
            <wp:positionH relativeFrom="page">
              <wp:posOffset>2823210</wp:posOffset>
            </wp:positionH>
            <wp:positionV relativeFrom="page">
              <wp:posOffset>4430395</wp:posOffset>
            </wp:positionV>
            <wp:extent cx="1883410" cy="1869440"/>
            <wp:effectExtent l="0" t="0" r="2540" b="16510"/>
            <wp:wrapNone/>
            <wp:docPr id="1" name="图片 1" descr="国咨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咨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883410" cy="1869440"/>
                    </a:xfrm>
                    <a:prstGeom prst="rect">
                      <a:avLst/>
                    </a:prstGeom>
                    <a:noFill/>
                  </pic:spPr>
                </pic:pic>
              </a:graphicData>
            </a:graphic>
          </wp:anchor>
        </w:drawing>
      </w:r>
    </w:p>
    <w:p w14:paraId="306172F3">
      <w:pPr>
        <w:bidi w:val="0"/>
        <w:rPr>
          <w:rFonts w:hint="eastAsia" w:asciiTheme="minorHAnsi" w:hAnsiTheme="minorHAnsi" w:eastAsiaTheme="minorEastAsia" w:cstheme="minorBidi"/>
          <w:kern w:val="2"/>
          <w:sz w:val="21"/>
          <w:szCs w:val="24"/>
          <w:highlight w:val="none"/>
          <w:lang w:val="en-US" w:eastAsia="zh-CN" w:bidi="ar-SA"/>
        </w:rPr>
      </w:pPr>
    </w:p>
    <w:p w14:paraId="5703E116">
      <w:pPr>
        <w:bidi w:val="0"/>
        <w:rPr>
          <w:rFonts w:hint="eastAsia"/>
          <w:highlight w:val="none"/>
          <w:lang w:val="en-US" w:eastAsia="zh-CN"/>
        </w:rPr>
      </w:pPr>
    </w:p>
    <w:p w14:paraId="364C2FA8">
      <w:pPr>
        <w:bidi w:val="0"/>
        <w:rPr>
          <w:rFonts w:hint="eastAsia"/>
          <w:highlight w:val="none"/>
          <w:lang w:val="en-US" w:eastAsia="zh-CN"/>
        </w:rPr>
      </w:pPr>
    </w:p>
    <w:p w14:paraId="0FEE756D">
      <w:pPr>
        <w:bidi w:val="0"/>
        <w:rPr>
          <w:rFonts w:hint="eastAsia"/>
          <w:highlight w:val="none"/>
          <w:lang w:val="en-US" w:eastAsia="zh-CN"/>
        </w:rPr>
      </w:pPr>
    </w:p>
    <w:p w14:paraId="4B0CC706">
      <w:pPr>
        <w:bidi w:val="0"/>
        <w:rPr>
          <w:rFonts w:hint="eastAsia"/>
          <w:highlight w:val="none"/>
          <w:lang w:val="en-US" w:eastAsia="zh-CN"/>
        </w:rPr>
      </w:pPr>
    </w:p>
    <w:p w14:paraId="681A1E17">
      <w:pPr>
        <w:bidi w:val="0"/>
        <w:rPr>
          <w:rFonts w:hint="eastAsia"/>
          <w:highlight w:val="none"/>
          <w:lang w:val="en-US" w:eastAsia="zh-CN"/>
        </w:rPr>
      </w:pPr>
    </w:p>
    <w:p w14:paraId="6C20C14A">
      <w:pPr>
        <w:bidi w:val="0"/>
        <w:rPr>
          <w:rFonts w:hint="eastAsia"/>
          <w:highlight w:val="none"/>
          <w:lang w:val="en-US" w:eastAsia="zh-CN"/>
        </w:rPr>
      </w:pPr>
    </w:p>
    <w:p w14:paraId="56CD08AE">
      <w:pPr>
        <w:bidi w:val="0"/>
        <w:rPr>
          <w:rFonts w:hint="eastAsia"/>
          <w:highlight w:val="none"/>
          <w:lang w:val="en-US" w:eastAsia="zh-CN"/>
        </w:rPr>
      </w:pPr>
    </w:p>
    <w:p w14:paraId="75D056F9">
      <w:pPr>
        <w:bidi w:val="0"/>
        <w:rPr>
          <w:rFonts w:hint="eastAsia"/>
          <w:highlight w:val="none"/>
          <w:lang w:val="en-US" w:eastAsia="zh-CN"/>
        </w:rPr>
      </w:pPr>
    </w:p>
    <w:p w14:paraId="160D5F29">
      <w:pPr>
        <w:bidi w:val="0"/>
        <w:rPr>
          <w:rFonts w:hint="eastAsia"/>
          <w:highlight w:val="none"/>
          <w:lang w:val="en-US" w:eastAsia="zh-CN"/>
        </w:rPr>
      </w:pPr>
    </w:p>
    <w:p w14:paraId="2136FB62">
      <w:pPr>
        <w:bidi w:val="0"/>
        <w:rPr>
          <w:rFonts w:hint="eastAsia"/>
          <w:highlight w:val="none"/>
          <w:lang w:val="en-US" w:eastAsia="zh-CN"/>
        </w:rPr>
      </w:pPr>
    </w:p>
    <w:p w14:paraId="1ECBC5DB">
      <w:pPr>
        <w:bidi w:val="0"/>
        <w:rPr>
          <w:rFonts w:hint="eastAsia"/>
          <w:highlight w:val="none"/>
          <w:lang w:val="en-US" w:eastAsia="zh-CN"/>
        </w:rPr>
      </w:pPr>
    </w:p>
    <w:p w14:paraId="3D5196CF">
      <w:pPr>
        <w:bidi w:val="0"/>
        <w:rPr>
          <w:rFonts w:hint="eastAsia"/>
          <w:highlight w:val="none"/>
          <w:lang w:val="en-US" w:eastAsia="zh-CN"/>
        </w:rPr>
      </w:pPr>
    </w:p>
    <w:p w14:paraId="4F59F1CC">
      <w:pPr>
        <w:bidi w:val="0"/>
        <w:rPr>
          <w:rFonts w:hint="eastAsia"/>
          <w:highlight w:val="none"/>
          <w:lang w:val="en-US" w:eastAsia="zh-CN"/>
        </w:rPr>
      </w:pPr>
    </w:p>
    <w:p w14:paraId="0DF9F655">
      <w:pPr>
        <w:bidi w:val="0"/>
        <w:rPr>
          <w:rFonts w:hint="eastAsia"/>
          <w:highlight w:val="none"/>
          <w:lang w:val="en-US" w:eastAsia="zh-CN"/>
        </w:rPr>
      </w:pPr>
    </w:p>
    <w:p w14:paraId="5B145349">
      <w:pPr>
        <w:bidi w:val="0"/>
        <w:rPr>
          <w:rFonts w:hint="eastAsia"/>
          <w:highlight w:val="none"/>
          <w:lang w:val="en-US" w:eastAsia="zh-CN"/>
        </w:rPr>
      </w:pPr>
    </w:p>
    <w:p w14:paraId="4D6C8D8D">
      <w:pPr>
        <w:spacing w:line="360" w:lineRule="auto"/>
        <w:ind w:firstLine="1470" w:firstLineChars="700"/>
        <w:jc w:val="both"/>
        <w:rPr>
          <w:rFonts w:hint="eastAsia"/>
          <w:highlight w:val="none"/>
          <w:lang w:val="en-US" w:eastAsia="zh-CN"/>
        </w:rPr>
      </w:pPr>
    </w:p>
    <w:p w14:paraId="6CABC188">
      <w:pPr>
        <w:spacing w:line="360" w:lineRule="auto"/>
        <w:ind w:firstLine="1470" w:firstLineChars="700"/>
        <w:jc w:val="both"/>
        <w:rPr>
          <w:rFonts w:hint="eastAsia"/>
          <w:highlight w:val="none"/>
          <w:lang w:val="en-US" w:eastAsia="zh-CN"/>
        </w:rPr>
      </w:pPr>
    </w:p>
    <w:p w14:paraId="7B8B4F21">
      <w:pPr>
        <w:spacing w:line="360" w:lineRule="auto"/>
        <w:ind w:firstLine="1470" w:firstLineChars="700"/>
        <w:jc w:val="both"/>
        <w:rPr>
          <w:rFonts w:hint="eastAsia"/>
          <w:highlight w:val="none"/>
          <w:lang w:val="en-US" w:eastAsia="zh-CN"/>
        </w:rPr>
      </w:pPr>
    </w:p>
    <w:p w14:paraId="53123F2A">
      <w:pPr>
        <w:spacing w:line="360" w:lineRule="auto"/>
        <w:ind w:firstLine="1470" w:firstLineChars="700"/>
        <w:jc w:val="both"/>
        <w:rPr>
          <w:rFonts w:hint="eastAsia"/>
          <w:highlight w:val="none"/>
          <w:lang w:val="en-US" w:eastAsia="zh-CN"/>
        </w:rPr>
      </w:pPr>
    </w:p>
    <w:p w14:paraId="7AE0BD7B">
      <w:pPr>
        <w:spacing w:line="360" w:lineRule="auto"/>
        <w:ind w:firstLine="1470" w:firstLineChars="700"/>
        <w:jc w:val="both"/>
        <w:rPr>
          <w:rFonts w:hint="eastAsia"/>
          <w:highlight w:val="none"/>
          <w:lang w:val="en-US" w:eastAsia="zh-CN"/>
        </w:rPr>
      </w:pPr>
    </w:p>
    <w:p w14:paraId="5BDBC7D9">
      <w:pPr>
        <w:spacing w:line="360" w:lineRule="auto"/>
        <w:ind w:firstLine="1470" w:firstLineChars="700"/>
        <w:jc w:val="both"/>
        <w:rPr>
          <w:rFonts w:hint="eastAsia"/>
          <w:highlight w:val="none"/>
          <w:lang w:val="en-US" w:eastAsia="zh-CN"/>
        </w:rPr>
      </w:pPr>
    </w:p>
    <w:p w14:paraId="7166A16F">
      <w:pPr>
        <w:spacing w:line="360" w:lineRule="auto"/>
        <w:ind w:firstLine="1470" w:firstLineChars="700"/>
        <w:jc w:val="both"/>
        <w:rPr>
          <w:rFonts w:ascii="宋体" w:hAnsi="宋体"/>
          <w:b/>
          <w:sz w:val="32"/>
          <w:szCs w:val="32"/>
          <w:highlight w:val="none"/>
        </w:rPr>
      </w:pPr>
      <w:r>
        <w:rPr>
          <w:rFonts w:hint="eastAsia"/>
          <w:highlight w:val="none"/>
          <w:lang w:val="en-US" w:eastAsia="zh-CN"/>
        </w:rPr>
        <w:tab/>
      </w:r>
      <w:r>
        <w:rPr>
          <w:rFonts w:hint="eastAsia" w:ascii="宋体" w:hAnsi="宋体"/>
          <w:b/>
          <w:sz w:val="32"/>
          <w:szCs w:val="32"/>
          <w:highlight w:val="none"/>
        </w:rPr>
        <w:t>采</w:t>
      </w:r>
      <w:r>
        <w:rPr>
          <w:rFonts w:hint="eastAsia" w:ascii="宋体" w:hAnsi="宋体"/>
          <w:b/>
          <w:sz w:val="32"/>
          <w:szCs w:val="32"/>
          <w:highlight w:val="none"/>
          <w:lang w:val="en-US" w:eastAsia="zh-CN"/>
        </w:rPr>
        <w:t xml:space="preserve"> </w:t>
      </w:r>
      <w:r>
        <w:rPr>
          <w:rFonts w:hint="eastAsia" w:ascii="宋体" w:hAnsi="宋体"/>
          <w:b/>
          <w:sz w:val="32"/>
          <w:szCs w:val="32"/>
          <w:highlight w:val="none"/>
        </w:rPr>
        <w:t>购</w:t>
      </w:r>
      <w:r>
        <w:rPr>
          <w:rFonts w:hint="eastAsia" w:ascii="宋体" w:hAnsi="宋体"/>
          <w:b/>
          <w:sz w:val="32"/>
          <w:szCs w:val="32"/>
          <w:highlight w:val="none"/>
          <w:lang w:val="en-US" w:eastAsia="zh-CN"/>
        </w:rPr>
        <w:t xml:space="preserve"> </w:t>
      </w:r>
      <w:r>
        <w:rPr>
          <w:rFonts w:hint="eastAsia" w:ascii="宋体" w:hAnsi="宋体"/>
          <w:b/>
          <w:sz w:val="32"/>
          <w:szCs w:val="32"/>
          <w:highlight w:val="none"/>
        </w:rPr>
        <w:t>人：</w:t>
      </w:r>
      <w:r>
        <w:rPr>
          <w:rFonts w:hint="eastAsia" w:ascii="宋体" w:hAnsi="宋体"/>
          <w:b/>
          <w:spacing w:val="14"/>
          <w:w w:val="97"/>
          <w:kern w:val="0"/>
          <w:sz w:val="30"/>
          <w:szCs w:val="30"/>
          <w:highlight w:val="none"/>
          <w:lang w:eastAsia="zh-CN"/>
        </w:rPr>
        <w:t>三门峡市</w:t>
      </w:r>
      <w:r>
        <w:rPr>
          <w:rFonts w:hint="eastAsia" w:ascii="宋体" w:hAnsi="宋体"/>
          <w:b/>
          <w:sz w:val="32"/>
          <w:szCs w:val="32"/>
          <w:highlight w:val="none"/>
          <w:lang w:val="en-US" w:eastAsia="zh-CN"/>
        </w:rPr>
        <w:t>陕州区</w:t>
      </w:r>
      <w:r>
        <w:rPr>
          <w:rFonts w:hint="eastAsia" w:ascii="宋体" w:hAnsi="宋体"/>
          <w:b/>
          <w:sz w:val="32"/>
          <w:szCs w:val="32"/>
          <w:highlight w:val="none"/>
        </w:rPr>
        <w:t>农业农村局</w:t>
      </w:r>
    </w:p>
    <w:p w14:paraId="14F68EF7">
      <w:pPr>
        <w:spacing w:line="360" w:lineRule="auto"/>
        <w:jc w:val="center"/>
        <w:rPr>
          <w:rFonts w:hint="eastAsia" w:ascii="宋体" w:hAnsi="宋体" w:eastAsia="宋体"/>
          <w:b/>
          <w:sz w:val="32"/>
          <w:szCs w:val="32"/>
          <w:highlight w:val="none"/>
          <w:lang w:eastAsia="zh-CN"/>
        </w:rPr>
      </w:pPr>
      <w:r>
        <w:rPr>
          <w:rFonts w:hint="eastAsia" w:ascii="宋体" w:hAnsi="宋体"/>
          <w:b/>
          <w:sz w:val="32"/>
          <w:szCs w:val="32"/>
          <w:highlight w:val="none"/>
        </w:rPr>
        <w:t>代理机构：</w:t>
      </w:r>
      <w:r>
        <w:rPr>
          <w:rFonts w:hint="eastAsia" w:ascii="宋体" w:hAnsi="宋体"/>
          <w:b/>
          <w:snapToGrid w:val="0"/>
          <w:kern w:val="0"/>
          <w:sz w:val="30"/>
          <w:szCs w:val="30"/>
          <w:highlight w:val="none"/>
        </w:rPr>
        <w:t>国咨项目管理有限公司</w:t>
      </w:r>
    </w:p>
    <w:p w14:paraId="3EF37CD7">
      <w:pPr>
        <w:spacing w:line="360" w:lineRule="auto"/>
        <w:jc w:val="center"/>
        <w:rPr>
          <w:rFonts w:ascii="宋体" w:hAnsi="宋体"/>
          <w:sz w:val="32"/>
          <w:szCs w:val="32"/>
          <w:highlight w:val="none"/>
        </w:rPr>
      </w:pPr>
      <w:r>
        <w:rPr>
          <w:rFonts w:hint="eastAsia" w:ascii="宋体" w:hAnsi="宋体"/>
          <w:b/>
          <w:sz w:val="32"/>
          <w:szCs w:val="32"/>
          <w:highlight w:val="none"/>
        </w:rPr>
        <w:t>日期：二零二</w:t>
      </w:r>
      <w:r>
        <w:rPr>
          <w:rFonts w:hint="eastAsia" w:ascii="宋体" w:hAnsi="宋体"/>
          <w:b/>
          <w:sz w:val="32"/>
          <w:szCs w:val="32"/>
          <w:highlight w:val="none"/>
          <w:lang w:val="en-US" w:eastAsia="zh-CN"/>
        </w:rPr>
        <w:t>六</w:t>
      </w:r>
      <w:r>
        <w:rPr>
          <w:rFonts w:hint="eastAsia" w:ascii="宋体" w:hAnsi="宋体"/>
          <w:b/>
          <w:sz w:val="32"/>
          <w:szCs w:val="32"/>
          <w:highlight w:val="none"/>
        </w:rPr>
        <w:t>年</w:t>
      </w:r>
      <w:r>
        <w:rPr>
          <w:rFonts w:hint="eastAsia" w:ascii="宋体" w:hAnsi="宋体"/>
          <w:b/>
          <w:sz w:val="32"/>
          <w:szCs w:val="32"/>
          <w:highlight w:val="none"/>
          <w:lang w:val="en-US" w:eastAsia="zh-CN"/>
        </w:rPr>
        <w:t>八</w:t>
      </w:r>
      <w:r>
        <w:rPr>
          <w:rFonts w:hint="eastAsia" w:ascii="宋体" w:hAnsi="宋体"/>
          <w:b/>
          <w:sz w:val="32"/>
          <w:szCs w:val="32"/>
          <w:highlight w:val="none"/>
        </w:rPr>
        <w:t>月</w:t>
      </w:r>
    </w:p>
    <w:p w14:paraId="38536F9A">
      <w:pPr>
        <w:spacing w:line="360" w:lineRule="auto"/>
        <w:rPr>
          <w:rFonts w:ascii="宋体" w:hAnsi="宋体"/>
          <w:b/>
          <w:bCs/>
          <w:kern w:val="44"/>
          <w:sz w:val="24"/>
          <w:highlight w:val="none"/>
        </w:rPr>
        <w:sectPr>
          <w:footerReference r:id="rId3" w:type="default"/>
          <w:pgSz w:w="11850" w:h="16783"/>
          <w:pgMar w:top="1440" w:right="1797" w:bottom="1440" w:left="1797" w:header="851" w:footer="992" w:gutter="0"/>
          <w:cols w:space="720" w:num="1"/>
        </w:sectPr>
      </w:pPr>
    </w:p>
    <w:p w14:paraId="74CC85A2">
      <w:pPr>
        <w:pStyle w:val="8"/>
        <w:spacing w:line="240" w:lineRule="auto"/>
        <w:ind w:left="360"/>
        <w:jc w:val="center"/>
        <w:rPr>
          <w:rFonts w:hint="eastAsia" w:ascii="宋体" w:hAnsi="宋体" w:cs="宋体" w:eastAsiaTheme="minorEastAsia"/>
          <w:b w:val="0"/>
          <w:bCs w:val="0"/>
          <w:kern w:val="2"/>
          <w:sz w:val="24"/>
          <w:szCs w:val="24"/>
          <w:highlight w:val="none"/>
          <w:lang w:val="en-US" w:eastAsia="zh-CN" w:bidi="ar"/>
        </w:rPr>
      </w:pPr>
      <w:bookmarkStart w:id="0" w:name="_Toc484115837"/>
      <w:bookmarkStart w:id="1" w:name="_Toc484276227"/>
      <w:bookmarkStart w:id="2" w:name="_Toc30423"/>
      <w:bookmarkStart w:id="3" w:name="_Toc196238513"/>
      <w:bookmarkStart w:id="4" w:name="_Toc47970967"/>
      <w:r>
        <w:rPr>
          <w:rFonts w:hint="eastAsia" w:ascii="宋体" w:hAnsi="宋体" w:cs="宋体" w:eastAsiaTheme="minorEastAsia"/>
          <w:b w:val="0"/>
          <w:bCs w:val="0"/>
          <w:kern w:val="2"/>
          <w:sz w:val="24"/>
          <w:szCs w:val="24"/>
          <w:highlight w:val="none"/>
          <w:lang w:val="en-US" w:eastAsia="zh-CN" w:bidi="ar"/>
        </w:rPr>
        <w:t>第一章</w:t>
      </w:r>
      <w:bookmarkStart w:id="5" w:name="OLE_LINK1"/>
      <w:r>
        <w:rPr>
          <w:rFonts w:hint="eastAsia" w:ascii="宋体" w:hAnsi="宋体" w:cs="宋体" w:eastAsiaTheme="minorEastAsia"/>
          <w:b w:val="0"/>
          <w:bCs w:val="0"/>
          <w:kern w:val="2"/>
          <w:sz w:val="24"/>
          <w:szCs w:val="24"/>
          <w:highlight w:val="none"/>
          <w:lang w:val="en-US" w:eastAsia="zh-CN" w:bidi="ar"/>
        </w:rPr>
        <w:t xml:space="preserve"> 竞争性磋商公告</w:t>
      </w:r>
      <w:bookmarkEnd w:id="0"/>
      <w:bookmarkEnd w:id="1"/>
      <w:bookmarkEnd w:id="2"/>
      <w:bookmarkEnd w:id="3"/>
      <w:bookmarkEnd w:id="4"/>
    </w:p>
    <w:p w14:paraId="1A5F982F">
      <w:pPr>
        <w:spacing w:line="360" w:lineRule="auto"/>
        <w:ind w:firstLine="720" w:firstLineChars="3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国咨项目管理有限公司受三门峡市陕州区农业农村局的委托，就三门峡市陕州区2026年高标准农田建设项目勘测设计服务项目进行竞争性磋商，欢迎符合条件的供应商参加。</w:t>
      </w:r>
    </w:p>
    <w:p w14:paraId="62717AFC">
      <w:pPr>
        <w:widowControl/>
        <w:shd w:val="clear" w:color="auto" w:fill="FFFFFF"/>
        <w:spacing w:line="360" w:lineRule="auto"/>
        <w:ind w:firstLine="480" w:firstLineChars="200"/>
        <w:jc w:val="left"/>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一、项目概况与采购范围</w:t>
      </w:r>
    </w:p>
    <w:p w14:paraId="73935CE8">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1、采购人:三门峡市陕州区农业农村局</w:t>
      </w:r>
    </w:p>
    <w:p w14:paraId="76BF7FA3">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2、项目名称：三门峡市陕州区2026年高标准农田建设项目勘测设计服务项目</w:t>
      </w:r>
    </w:p>
    <w:p w14:paraId="1E76C8C9">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3、项目编号：陕州竞磋采购-2026-82</w:t>
      </w:r>
      <w:r>
        <w:rPr>
          <w:rFonts w:hint="eastAsia" w:ascii="宋体" w:hAnsi="宋体" w:cs="宋体"/>
          <w:b w:val="0"/>
          <w:bCs w:val="0"/>
          <w:kern w:val="2"/>
          <w:sz w:val="24"/>
          <w:szCs w:val="24"/>
          <w:highlight w:val="none"/>
          <w:lang w:val="en-US" w:eastAsia="zh-CN" w:bidi="ar"/>
        </w:rPr>
        <w:t>、SZGZ[2026]138-ZC115</w:t>
      </w:r>
    </w:p>
    <w:p w14:paraId="26889CB1">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4、标段划分：一个标段；</w:t>
      </w:r>
    </w:p>
    <w:p w14:paraId="71B43768">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5、资金来源及落实情况：财政资金，已落实；</w:t>
      </w:r>
    </w:p>
    <w:p w14:paraId="1879633D">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6、预算金额：￥960000.00元；</w:t>
      </w:r>
    </w:p>
    <w:p w14:paraId="7FD56A68">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7、采购范围：三门峡市陕州区2026年高标准农田建设项目勘测设计服务项目，主要内容包含项目勘测、初步设计编制、实施计划（达到施工图设计深度），标段划分、分标段图纸、分标段预算、施工阶段设计技术交底、现场服务、设计变更等。</w:t>
      </w:r>
    </w:p>
    <w:p w14:paraId="40368F81">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8、服务期限：合同签订后30日历天；</w:t>
      </w:r>
    </w:p>
    <w:p w14:paraId="228D3ABE">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9、质量要求：符合国家有关标准、规范和要求，达到合格标准，并通过有关部门的审查批准；</w:t>
      </w:r>
    </w:p>
    <w:p w14:paraId="0CD4B66D">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10、是否专门面向中小企业：否。</w:t>
      </w:r>
    </w:p>
    <w:p w14:paraId="11E8DB9B">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二、供应商资格要求</w:t>
      </w:r>
    </w:p>
    <w:p w14:paraId="668B6C07">
      <w:pPr>
        <w:spacing w:line="460" w:lineRule="exact"/>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1、投标人需具有独立法人资格，具有有效的营业执照；</w:t>
      </w:r>
    </w:p>
    <w:p w14:paraId="48BB7F2A">
      <w:pPr>
        <w:spacing w:line="460" w:lineRule="exact"/>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2、投标人须同时具备工程设计和工程勘察（测绘）资质。工程设计资质要求：水利行业丙级或农林行业（农业综合开发生态工程）专业乙级及以上资质；工程勘察（测绘）资质要求：工程勘察（工程测量）专业乙级或测绘乙级及以上资质；</w:t>
      </w:r>
    </w:p>
    <w:p w14:paraId="030633C8">
      <w:pPr>
        <w:spacing w:line="460" w:lineRule="exact"/>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3、拟派项目负责人须具有相关专业高级职称，须为本单位正式员工，需提供有效的劳动合同及社保缴纳证明材料；</w:t>
      </w:r>
    </w:p>
    <w:p w14:paraId="2E2FA41D">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4、投标人自行出具本单位无商业贿赂和不正当竞争行为承诺书；</w:t>
      </w:r>
    </w:p>
    <w:p w14:paraId="400B1FDB">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5、根据《关于在政府采购活动中查询及使用信用记录有关问题的通知》(财库[2016]125号)和豫财购【2016】15号的规定，企业没有被列入“中国执行信息公开网”网站的“失信被执行人”、“信用中国”网站的“重大税收违法失信主体”、“政府采购严重违法失信行为记录名单”及“中国政府采购网”网站的“政府采购严重违法失信行为记录名单”，查询渠道： “中国执行信息公开网”网站（http://zxgk.court.gov.cn/shixin）“信用中国”网站（www.creditchina.gov.cn）、中国政府采购网（www.ccgp.gov.cn）；（提供“中国执行信息公开网”、“信用中国”和“中国政府采购网”网站的查询信息截图，同时网页查询需包含查询日期，查询日期自公告发布之日至投标截止之日）；</w:t>
      </w:r>
    </w:p>
    <w:p w14:paraId="0D60F0D3">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6、本项目不接受联合体投标；</w:t>
      </w:r>
    </w:p>
    <w:p w14:paraId="637C896E">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7、本次招标实行资格后审，资格审查的具体要求见招标文件。</w:t>
      </w:r>
    </w:p>
    <w:p w14:paraId="7F8389C7">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 xml:space="preserve">三、磋商文件的获取方式 </w:t>
      </w:r>
    </w:p>
    <w:p w14:paraId="7F331BB5">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1、时间：2026年08月</w:t>
      </w:r>
      <w:r>
        <w:rPr>
          <w:rFonts w:hint="eastAsia" w:ascii="宋体" w:hAnsi="宋体" w:cs="宋体"/>
          <w:b w:val="0"/>
          <w:bCs w:val="0"/>
          <w:kern w:val="2"/>
          <w:sz w:val="24"/>
          <w:szCs w:val="24"/>
          <w:highlight w:val="none"/>
          <w:lang w:val="en-US" w:eastAsia="zh-CN" w:bidi="ar"/>
        </w:rPr>
        <w:t>20</w:t>
      </w:r>
      <w:r>
        <w:rPr>
          <w:rFonts w:hint="eastAsia" w:ascii="宋体" w:hAnsi="宋体" w:cs="宋体" w:eastAsiaTheme="minorEastAsia"/>
          <w:b w:val="0"/>
          <w:bCs w:val="0"/>
          <w:kern w:val="2"/>
          <w:sz w:val="24"/>
          <w:szCs w:val="24"/>
          <w:highlight w:val="none"/>
          <w:lang w:val="en-US" w:eastAsia="zh-CN" w:bidi="ar"/>
        </w:rPr>
        <w:t>日至2026年08月</w:t>
      </w:r>
      <w:r>
        <w:rPr>
          <w:rFonts w:hint="eastAsia" w:ascii="宋体" w:hAnsi="宋体" w:cs="宋体"/>
          <w:b w:val="0"/>
          <w:bCs w:val="0"/>
          <w:kern w:val="2"/>
          <w:sz w:val="24"/>
          <w:szCs w:val="24"/>
          <w:highlight w:val="none"/>
          <w:lang w:val="en-US" w:eastAsia="zh-CN" w:bidi="ar"/>
        </w:rPr>
        <w:t>30</w:t>
      </w:r>
      <w:r>
        <w:rPr>
          <w:rFonts w:hint="eastAsia" w:ascii="宋体" w:hAnsi="宋体" w:cs="宋体" w:eastAsiaTheme="minorEastAsia"/>
          <w:b w:val="0"/>
          <w:bCs w:val="0"/>
          <w:kern w:val="2"/>
          <w:sz w:val="24"/>
          <w:szCs w:val="24"/>
          <w:highlight w:val="none"/>
          <w:lang w:val="en-US" w:eastAsia="zh-CN" w:bidi="ar"/>
        </w:rPr>
        <w:t xml:space="preserve">日，每天上午00:00至12:00，下午12:00至23:59（北京时间，法定节假日除外。） </w:t>
      </w:r>
    </w:p>
    <w:p w14:paraId="3858CD4C">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2、地点：三门峡市公共资源交易中心网下载</w:t>
      </w:r>
    </w:p>
    <w:p w14:paraId="0A4FD09E">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3、方式：本项目没有报名环节，供应商凭CA数字证书通过三门峡市公共资源交易中心网（网址：http://gzjy.smx.gov.cn）点击交易平台选择“交易主体登录”，在所参与项目右侧点击参与投标，即可直接下载本项目磋商文件。</w:t>
      </w:r>
    </w:p>
    <w:p w14:paraId="6E2C520F">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办理CA证书：</w:t>
      </w:r>
    </w:p>
    <w:p w14:paraId="46FDBC06">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http://gzjy.smx.gov.cn/bzzx/008001/20211105/57b16af9-ab87-4395-a723-7758c628a3f8.html</w:t>
      </w:r>
    </w:p>
    <w:p w14:paraId="74B5A15D">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4、本项目为全电子招标，不再收取竞争性磋商文件费用。</w:t>
      </w:r>
    </w:p>
    <w:p w14:paraId="3AF45BC9">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四、磋商保证金</w:t>
      </w:r>
    </w:p>
    <w:p w14:paraId="1AD31DFA">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按照《河南省财政厅关于优化政府采购营商环境有关问题的通知》（豫财购[2019]4号文）的要求本项目不再收取磋商保证金。</w:t>
      </w:r>
    </w:p>
    <w:p w14:paraId="59E33262">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五、供应商资料的提交</w:t>
      </w:r>
    </w:p>
    <w:p w14:paraId="062D1B68">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本项目实行资格后审，审查内容以投标截止时间前在三门峡市公共资源交易系统上传的投标文件的信息为准。其上传资料真实性由供应商自行承担，同时，供应商需要完善主体库信息。否则，由此造成应得分而未得分或资格审查不合格等情况的，由供应商承担责任。</w:t>
      </w:r>
    </w:p>
    <w:p w14:paraId="5C90518F">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六、响应文件递交的截止时间及开评标地点：</w:t>
      </w:r>
    </w:p>
    <w:p w14:paraId="37080630">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1、响应性文件递交截止时间及开标时间：</w:t>
      </w:r>
      <w:r>
        <w:rPr>
          <w:rFonts w:hint="eastAsia" w:ascii="宋体" w:hAnsi="宋体" w:cs="宋体"/>
          <w:b w:val="0"/>
          <w:bCs w:val="0"/>
          <w:kern w:val="2"/>
          <w:sz w:val="24"/>
          <w:szCs w:val="24"/>
          <w:highlight w:val="none"/>
          <w:lang w:val="en-US" w:eastAsia="zh-CN" w:bidi="ar"/>
        </w:rPr>
        <w:t>2026年08月31日08时20分</w:t>
      </w:r>
      <w:r>
        <w:rPr>
          <w:rFonts w:hint="eastAsia" w:ascii="宋体" w:hAnsi="宋体" w:cs="宋体" w:eastAsiaTheme="minorEastAsia"/>
          <w:b w:val="0"/>
          <w:bCs w:val="0"/>
          <w:kern w:val="2"/>
          <w:sz w:val="24"/>
          <w:szCs w:val="24"/>
          <w:highlight w:val="none"/>
          <w:lang w:val="en-US" w:eastAsia="zh-CN" w:bidi="ar"/>
        </w:rPr>
        <w:t>。</w:t>
      </w:r>
    </w:p>
    <w:p w14:paraId="323FD31A">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2、响应文件递交地点：上传至三门峡市公共资源交易中心系统</w:t>
      </w:r>
    </w:p>
    <w:p w14:paraId="7192AD07">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3、开标地点：陕州区公共资源交易中心；</w:t>
      </w:r>
    </w:p>
    <w:p w14:paraId="5B0CB5BD">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4、评标地点：陕州区公共资源交易中心。</w:t>
      </w:r>
    </w:p>
    <w:p w14:paraId="3B768FC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本项目为不见面开标项目。开标当日供应商不得到开标现场参加开标会议，供应商应当在投标截止时间前，登陆不见面开标大厅选择登陆三门峡市公共资源电子招投标系统进行登陆（网址为http://120.194.249.36:10094/BidOpening/bidopeninghallaction/hall/login）,在线准时参加开标活动并进行响应文件解密等。每位供应商的解密时间为开标时间起30分钟内完成。因供应商原因未能解密、解密失败或解密超时的将被拒绝。</w:t>
      </w:r>
    </w:p>
    <w:p w14:paraId="0948B119">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 xml:space="preserve">七、发布公告的媒介 </w:t>
      </w:r>
    </w:p>
    <w:p w14:paraId="605878D2">
      <w:pPr>
        <w:pStyle w:val="14"/>
        <w:shd w:val="clear" w:color="auto" w:fill="FFFFFF"/>
        <w:spacing w:line="360" w:lineRule="auto"/>
        <w:ind w:firstLine="480" w:firstLineChars="200"/>
        <w:jc w:val="both"/>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 xml:space="preserve">本次磋商公告同时在《中国招标投标公共服务平台》、《河南省政府采购网》、《三门峡市公共资源交易中心网》上发布。  </w:t>
      </w:r>
    </w:p>
    <w:p w14:paraId="740BFB2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 xml:space="preserve">八、其他补充事宜 </w:t>
      </w:r>
    </w:p>
    <w:p w14:paraId="3803DF9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1、供应商应仔细阅读操作手册，在本公告中要求的截止时间前完成网上响应文件的上传递交等工作。因供应商操作不当等问题造成的无法下载磋商文件、无法投标等一切后果，由供应商自行承担；</w:t>
      </w:r>
    </w:p>
    <w:p w14:paraId="17CBF5FC">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2、投标所发生一切费用由各供应商自行承担，并承担相应的风险和责任；</w:t>
      </w:r>
    </w:p>
    <w:p w14:paraId="5D477B0E">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3、供应商上传递交的响应文件不论中标与否均不予退还。</w:t>
      </w:r>
    </w:p>
    <w:p w14:paraId="1E1A3B26">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温馨提示：本项目为电子化、无纸化交易项目，开标时不再接受任何纸质资料，为保证您能投标成功，请需仔细阅读招标文件和三门峡市公共资源交易中心官网业务办理指南。</w:t>
      </w:r>
    </w:p>
    <w:p w14:paraId="7553553A">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 xml:space="preserve">九、凡对本次磋商提出询问，请按照以下方式联系 </w:t>
      </w:r>
    </w:p>
    <w:p w14:paraId="49EAD429">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监督单位：三门峡市陕州区财政局政府采购监督管理科</w:t>
      </w:r>
    </w:p>
    <w:p w14:paraId="5A999362">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电话：0398-3839210</w:t>
      </w:r>
    </w:p>
    <w:p w14:paraId="6FBC57C2">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采购人：三门峡市陕州区农业农村局</w:t>
      </w:r>
    </w:p>
    <w:p w14:paraId="3F622EFA">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 xml:space="preserve">联系人：张先生 </w:t>
      </w:r>
    </w:p>
    <w:p w14:paraId="682053E3">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电话：</w:t>
      </w:r>
      <w:r>
        <w:rPr>
          <w:rFonts w:hint="eastAsia" w:ascii="宋体" w:hAnsi="宋体" w:cs="宋体"/>
          <w:b w:val="0"/>
          <w:bCs w:val="0"/>
          <w:kern w:val="2"/>
          <w:sz w:val="24"/>
          <w:szCs w:val="24"/>
          <w:highlight w:val="none"/>
          <w:lang w:val="en-US" w:eastAsia="zh-CN" w:bidi="ar"/>
        </w:rPr>
        <w:t>3837907</w:t>
      </w:r>
    </w:p>
    <w:p w14:paraId="2CA5E52D">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地址：三门峡市陕州区神泉路中段</w:t>
      </w:r>
    </w:p>
    <w:p w14:paraId="6E59174B">
      <w:pPr>
        <w:spacing w:line="460" w:lineRule="exact"/>
        <w:ind w:firstLine="484" w:firstLineChars="202"/>
        <w:outlineLvl w:val="0"/>
        <w:rPr>
          <w:rFonts w:hint="default"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招标代理机构：国咨项目管理有限公司</w:t>
      </w:r>
    </w:p>
    <w:p w14:paraId="33B4B90B">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联系人：许女士</w:t>
      </w:r>
    </w:p>
    <w:p w14:paraId="7438656C">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电话：17613053066</w:t>
      </w:r>
    </w:p>
    <w:p w14:paraId="744F2218">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eastAsiaTheme="minorEastAsia"/>
          <w:b w:val="0"/>
          <w:bCs w:val="0"/>
          <w:kern w:val="2"/>
          <w:sz w:val="24"/>
          <w:szCs w:val="24"/>
          <w:highlight w:val="none"/>
          <w:lang w:val="en-US" w:eastAsia="zh-CN" w:bidi="ar"/>
        </w:rPr>
        <w:t>地址：河南省郑州市管城回族区正商花都港湾16#3单元2楼西户</w:t>
      </w:r>
    </w:p>
    <w:bookmarkEnd w:id="5"/>
    <w:p w14:paraId="0EC886EC">
      <w:pPr>
        <w:spacing w:line="460" w:lineRule="exact"/>
        <w:ind w:firstLine="484" w:firstLineChars="202"/>
        <w:outlineLvl w:val="0"/>
        <w:rPr>
          <w:rFonts w:hint="eastAsia" w:ascii="宋体" w:hAnsi="宋体" w:cs="宋体" w:eastAsiaTheme="minorEastAsia"/>
          <w:b w:val="0"/>
          <w:bCs w:val="0"/>
          <w:kern w:val="2"/>
          <w:sz w:val="24"/>
          <w:szCs w:val="24"/>
          <w:highlight w:val="none"/>
          <w:lang w:val="en-US" w:eastAsia="zh-CN" w:bidi="ar"/>
        </w:rPr>
        <w:sectPr>
          <w:footerReference r:id="rId4" w:type="default"/>
          <w:pgSz w:w="11850" w:h="16783"/>
          <w:pgMar w:top="1440" w:right="1797" w:bottom="1440" w:left="1797" w:header="851" w:footer="976" w:gutter="0"/>
          <w:pgNumType w:start="1"/>
          <w:cols w:space="720" w:num="1"/>
          <w:docGrid w:linePitch="326" w:charSpace="0"/>
        </w:sectPr>
      </w:pPr>
    </w:p>
    <w:p w14:paraId="70B846FF">
      <w:pPr>
        <w:pStyle w:val="8"/>
        <w:spacing w:line="240" w:lineRule="auto"/>
        <w:jc w:val="center"/>
        <w:rPr>
          <w:rFonts w:ascii="宋体" w:hAnsi="宋体"/>
          <w:sz w:val="36"/>
          <w:szCs w:val="36"/>
          <w:highlight w:val="none"/>
        </w:rPr>
      </w:pPr>
      <w:bookmarkStart w:id="6" w:name="_Toc196238514"/>
      <w:bookmarkStart w:id="7" w:name="_Toc144974495"/>
      <w:bookmarkStart w:id="8" w:name="_Toc152045527"/>
      <w:bookmarkStart w:id="9" w:name="_Toc43652626"/>
      <w:bookmarkStart w:id="10" w:name="_Toc246996916"/>
      <w:bookmarkStart w:id="11" w:name="_Toc246996173"/>
      <w:bookmarkStart w:id="12" w:name="_Toc179632544"/>
      <w:bookmarkStart w:id="13" w:name="_Toc152042303"/>
      <w:bookmarkStart w:id="14" w:name="_Toc247085687"/>
      <w:bookmarkStart w:id="15" w:name="_Toc27041"/>
      <w:r>
        <w:rPr>
          <w:rFonts w:hint="eastAsia" w:ascii="宋体" w:hAnsi="宋体"/>
          <w:sz w:val="36"/>
          <w:szCs w:val="36"/>
          <w:highlight w:val="none"/>
        </w:rPr>
        <w:t>第二章 供应商须知</w:t>
      </w:r>
      <w:bookmarkEnd w:id="6"/>
      <w:bookmarkEnd w:id="7"/>
      <w:bookmarkEnd w:id="8"/>
      <w:bookmarkEnd w:id="9"/>
      <w:bookmarkEnd w:id="10"/>
      <w:bookmarkEnd w:id="11"/>
      <w:bookmarkEnd w:id="12"/>
      <w:bookmarkEnd w:id="13"/>
      <w:bookmarkEnd w:id="14"/>
      <w:bookmarkEnd w:id="15"/>
    </w:p>
    <w:p w14:paraId="58857AB9">
      <w:pPr>
        <w:pStyle w:val="9"/>
        <w:spacing w:line="240" w:lineRule="auto"/>
        <w:jc w:val="left"/>
        <w:rPr>
          <w:rFonts w:ascii="宋体" w:hAnsi="宋体" w:eastAsia="宋体"/>
          <w:bCs w:val="0"/>
          <w:sz w:val="24"/>
          <w:szCs w:val="24"/>
          <w:highlight w:val="none"/>
        </w:rPr>
      </w:pPr>
      <w:bookmarkStart w:id="16" w:name="_Toc43652627"/>
      <w:bookmarkStart w:id="17" w:name="_Toc196238515"/>
      <w:bookmarkStart w:id="18" w:name="_Toc533503498"/>
      <w:bookmarkStart w:id="19" w:name="_Toc13269"/>
      <w:bookmarkStart w:id="20" w:name="_Toc26346"/>
      <w:bookmarkStart w:id="21" w:name="_Toc184635070"/>
      <w:bookmarkStart w:id="22" w:name="_Toc466303888"/>
      <w:r>
        <w:rPr>
          <w:rFonts w:hint="eastAsia" w:ascii="宋体" w:hAnsi="宋体" w:eastAsia="宋体"/>
          <w:bCs w:val="0"/>
          <w:sz w:val="24"/>
          <w:szCs w:val="24"/>
          <w:highlight w:val="none"/>
        </w:rPr>
        <w:t>供应商须知前附表</w:t>
      </w:r>
      <w:bookmarkEnd w:id="16"/>
      <w:bookmarkEnd w:id="17"/>
      <w:bookmarkEnd w:id="18"/>
    </w:p>
    <w:tbl>
      <w:tblPr>
        <w:tblStyle w:val="15"/>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985"/>
        <w:gridCol w:w="6192"/>
      </w:tblGrid>
      <w:tr w14:paraId="271B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93" w:type="dxa"/>
            <w:vAlign w:val="center"/>
          </w:tcPr>
          <w:p w14:paraId="2ADF19A4">
            <w:pPr>
              <w:spacing w:line="360" w:lineRule="auto"/>
              <w:jc w:val="center"/>
              <w:textAlignment w:val="center"/>
              <w:rPr>
                <w:rFonts w:ascii="宋体" w:hAnsi="宋体"/>
                <w:b/>
                <w:sz w:val="24"/>
                <w:highlight w:val="none"/>
              </w:rPr>
            </w:pPr>
            <w:r>
              <w:rPr>
                <w:rFonts w:hint="eastAsia" w:ascii="宋体" w:hAnsi="宋体"/>
                <w:b/>
                <w:sz w:val="24"/>
                <w:highlight w:val="none"/>
              </w:rPr>
              <w:t>条款号</w:t>
            </w:r>
          </w:p>
        </w:tc>
        <w:tc>
          <w:tcPr>
            <w:tcW w:w="1985" w:type="dxa"/>
            <w:vAlign w:val="center"/>
          </w:tcPr>
          <w:p w14:paraId="591BE83D">
            <w:pPr>
              <w:spacing w:line="360" w:lineRule="auto"/>
              <w:jc w:val="center"/>
              <w:textAlignment w:val="center"/>
              <w:rPr>
                <w:rFonts w:ascii="宋体" w:hAnsi="宋体"/>
                <w:b/>
                <w:sz w:val="24"/>
                <w:highlight w:val="none"/>
              </w:rPr>
            </w:pPr>
            <w:r>
              <w:rPr>
                <w:rFonts w:hint="eastAsia" w:ascii="宋体" w:hAnsi="宋体"/>
                <w:b/>
                <w:sz w:val="24"/>
                <w:highlight w:val="none"/>
              </w:rPr>
              <w:t>条 款 名 称</w:t>
            </w:r>
          </w:p>
        </w:tc>
        <w:tc>
          <w:tcPr>
            <w:tcW w:w="6192" w:type="dxa"/>
            <w:vAlign w:val="center"/>
          </w:tcPr>
          <w:p w14:paraId="4A4104CE">
            <w:pPr>
              <w:spacing w:line="360" w:lineRule="auto"/>
              <w:jc w:val="center"/>
              <w:textAlignment w:val="center"/>
              <w:rPr>
                <w:rFonts w:ascii="宋体" w:hAnsi="宋体"/>
                <w:b/>
                <w:sz w:val="24"/>
                <w:highlight w:val="none"/>
              </w:rPr>
            </w:pPr>
            <w:r>
              <w:rPr>
                <w:rFonts w:hint="eastAsia" w:ascii="宋体" w:hAnsi="宋体"/>
                <w:b/>
                <w:sz w:val="24"/>
                <w:highlight w:val="none"/>
              </w:rPr>
              <w:t>编 列 内 容</w:t>
            </w:r>
          </w:p>
        </w:tc>
      </w:tr>
      <w:tr w14:paraId="3DAD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993" w:type="dxa"/>
            <w:vAlign w:val="center"/>
          </w:tcPr>
          <w:p w14:paraId="0D850579">
            <w:pPr>
              <w:spacing w:line="360" w:lineRule="auto"/>
              <w:jc w:val="center"/>
              <w:textAlignment w:val="center"/>
              <w:rPr>
                <w:rFonts w:ascii="宋体" w:hAnsi="宋体"/>
                <w:sz w:val="24"/>
                <w:highlight w:val="none"/>
              </w:rPr>
            </w:pPr>
            <w:r>
              <w:rPr>
                <w:rFonts w:hint="eastAsia" w:ascii="宋体" w:hAnsi="宋体"/>
                <w:sz w:val="24"/>
                <w:highlight w:val="none"/>
              </w:rPr>
              <w:t>1.1</w:t>
            </w:r>
          </w:p>
          <w:p w14:paraId="43B8EAB3">
            <w:pPr>
              <w:spacing w:line="360" w:lineRule="auto"/>
              <w:jc w:val="center"/>
              <w:textAlignment w:val="center"/>
              <w:rPr>
                <w:rFonts w:ascii="宋体" w:hAnsi="宋体"/>
                <w:sz w:val="24"/>
                <w:highlight w:val="none"/>
              </w:rPr>
            </w:pPr>
          </w:p>
        </w:tc>
        <w:tc>
          <w:tcPr>
            <w:tcW w:w="1985" w:type="dxa"/>
            <w:vAlign w:val="center"/>
          </w:tcPr>
          <w:p w14:paraId="0CF29CAE">
            <w:pPr>
              <w:spacing w:line="360" w:lineRule="auto"/>
              <w:jc w:val="center"/>
              <w:textAlignment w:val="center"/>
              <w:rPr>
                <w:rFonts w:ascii="宋体" w:hAnsi="宋体"/>
                <w:sz w:val="24"/>
                <w:highlight w:val="none"/>
              </w:rPr>
            </w:pPr>
            <w:r>
              <w:rPr>
                <w:rFonts w:hint="eastAsia" w:ascii="宋体" w:hAnsi="宋体"/>
                <w:sz w:val="24"/>
                <w:highlight w:val="none"/>
              </w:rPr>
              <w:t>监督人</w:t>
            </w:r>
          </w:p>
        </w:tc>
        <w:tc>
          <w:tcPr>
            <w:tcW w:w="6192" w:type="dxa"/>
            <w:vAlign w:val="center"/>
          </w:tcPr>
          <w:p w14:paraId="117FC8DA">
            <w:pPr>
              <w:tabs>
                <w:tab w:val="left" w:pos="3840"/>
                <w:tab w:val="left" w:pos="5300"/>
              </w:tabs>
              <w:autoSpaceDE w:val="0"/>
              <w:autoSpaceDN w:val="0"/>
              <w:adjustRightInd w:val="0"/>
              <w:spacing w:line="360" w:lineRule="auto"/>
              <w:ind w:right="-36"/>
              <w:rPr>
                <w:rFonts w:hint="eastAsia" w:ascii="宋体" w:hAnsi="宋体" w:cs="宋体" w:eastAsiaTheme="minorEastAsia"/>
                <w:kern w:val="0"/>
                <w:sz w:val="24"/>
                <w:highlight w:val="none"/>
                <w:lang w:eastAsia="zh-CN"/>
              </w:rPr>
            </w:pPr>
            <w:r>
              <w:rPr>
                <w:rFonts w:hint="eastAsia" w:ascii="宋体" w:hAnsi="宋体" w:cs="宋体"/>
                <w:kern w:val="0"/>
                <w:sz w:val="24"/>
                <w:highlight w:val="none"/>
              </w:rPr>
              <w:t>监督单位：</w:t>
            </w:r>
            <w:r>
              <w:rPr>
                <w:rFonts w:hint="eastAsia" w:ascii="宋体" w:hAnsi="宋体" w:cs="宋体"/>
                <w:kern w:val="0"/>
                <w:sz w:val="24"/>
                <w:highlight w:val="none"/>
                <w:lang w:eastAsia="zh-CN"/>
              </w:rPr>
              <w:t>三门峡市陕州区财政局政府采购监督管理科</w:t>
            </w:r>
          </w:p>
          <w:p w14:paraId="51059F3C">
            <w:pPr>
              <w:tabs>
                <w:tab w:val="left" w:pos="3840"/>
                <w:tab w:val="left" w:pos="5300"/>
              </w:tabs>
              <w:autoSpaceDE w:val="0"/>
              <w:autoSpaceDN w:val="0"/>
              <w:adjustRightInd w:val="0"/>
              <w:spacing w:line="360" w:lineRule="auto"/>
              <w:ind w:right="-36"/>
              <w:rPr>
                <w:rFonts w:ascii="宋体" w:hAnsi="宋体"/>
                <w:b/>
                <w:sz w:val="24"/>
                <w:highlight w:val="none"/>
              </w:rPr>
            </w:pPr>
            <w:r>
              <w:rPr>
                <w:rFonts w:hint="eastAsia" w:ascii="宋体" w:hAnsi="宋体" w:cs="宋体"/>
                <w:kern w:val="0"/>
                <w:sz w:val="24"/>
                <w:highlight w:val="none"/>
              </w:rPr>
              <w:t>电话：</w:t>
            </w:r>
            <w:r>
              <w:rPr>
                <w:rFonts w:hint="eastAsia" w:ascii="宋体" w:hAnsi="宋体" w:cs="宋体" w:eastAsiaTheme="minorEastAsia"/>
                <w:b w:val="0"/>
                <w:bCs w:val="0"/>
                <w:kern w:val="2"/>
                <w:sz w:val="24"/>
                <w:szCs w:val="24"/>
                <w:highlight w:val="none"/>
                <w:lang w:val="en-US" w:eastAsia="zh-CN" w:bidi="ar"/>
              </w:rPr>
              <w:t>0398-3839210</w:t>
            </w:r>
          </w:p>
        </w:tc>
      </w:tr>
      <w:tr w14:paraId="3C813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993" w:type="dxa"/>
            <w:vAlign w:val="center"/>
          </w:tcPr>
          <w:p w14:paraId="7F5181BA">
            <w:pPr>
              <w:spacing w:line="360" w:lineRule="auto"/>
              <w:jc w:val="center"/>
              <w:textAlignment w:val="center"/>
              <w:rPr>
                <w:rFonts w:ascii="宋体" w:hAnsi="宋体"/>
                <w:sz w:val="24"/>
                <w:highlight w:val="none"/>
              </w:rPr>
            </w:pPr>
            <w:r>
              <w:rPr>
                <w:rFonts w:hint="eastAsia" w:ascii="宋体" w:hAnsi="宋体"/>
                <w:sz w:val="24"/>
                <w:highlight w:val="none"/>
              </w:rPr>
              <w:t>1.2</w:t>
            </w:r>
          </w:p>
          <w:p w14:paraId="60410C36">
            <w:pPr>
              <w:spacing w:line="360" w:lineRule="auto"/>
              <w:jc w:val="center"/>
              <w:textAlignment w:val="center"/>
              <w:rPr>
                <w:rFonts w:ascii="宋体" w:hAnsi="宋体"/>
                <w:sz w:val="24"/>
                <w:highlight w:val="none"/>
              </w:rPr>
            </w:pPr>
          </w:p>
        </w:tc>
        <w:tc>
          <w:tcPr>
            <w:tcW w:w="1985" w:type="dxa"/>
            <w:vAlign w:val="center"/>
          </w:tcPr>
          <w:p w14:paraId="3F35380B">
            <w:pPr>
              <w:widowControl/>
              <w:spacing w:line="360" w:lineRule="auto"/>
              <w:jc w:val="center"/>
              <w:rPr>
                <w:rFonts w:ascii="宋体" w:hAnsi="宋体" w:cs="宋体"/>
                <w:kern w:val="0"/>
                <w:sz w:val="24"/>
                <w:highlight w:val="none"/>
              </w:rPr>
            </w:pPr>
            <w:r>
              <w:rPr>
                <w:rFonts w:hint="eastAsia" w:ascii="宋体" w:hAnsi="宋体" w:cs="宋体"/>
                <w:kern w:val="0"/>
                <w:sz w:val="24"/>
                <w:highlight w:val="none"/>
              </w:rPr>
              <w:t>采购人</w:t>
            </w:r>
          </w:p>
        </w:tc>
        <w:tc>
          <w:tcPr>
            <w:tcW w:w="6192" w:type="dxa"/>
            <w:vAlign w:val="center"/>
          </w:tcPr>
          <w:p w14:paraId="239A552D">
            <w:pPr>
              <w:tabs>
                <w:tab w:val="left" w:pos="3840"/>
                <w:tab w:val="left" w:pos="5300"/>
              </w:tabs>
              <w:autoSpaceDE w:val="0"/>
              <w:autoSpaceDN w:val="0"/>
              <w:adjustRightInd w:val="0"/>
              <w:spacing w:line="360" w:lineRule="auto"/>
              <w:ind w:right="-36"/>
              <w:rPr>
                <w:rFonts w:hint="eastAsia" w:ascii="宋体" w:hAnsi="宋体" w:cs="宋体" w:eastAsiaTheme="minorEastAsia"/>
                <w:kern w:val="0"/>
                <w:sz w:val="24"/>
                <w:highlight w:val="none"/>
                <w:lang w:eastAsia="zh-CN"/>
              </w:rPr>
            </w:pPr>
            <w:r>
              <w:rPr>
                <w:rFonts w:hint="eastAsia" w:ascii="宋体" w:hAnsi="宋体" w:cs="宋体"/>
                <w:kern w:val="0"/>
                <w:sz w:val="24"/>
                <w:highlight w:val="none"/>
              </w:rPr>
              <w:t>采购人：</w:t>
            </w:r>
            <w:r>
              <w:rPr>
                <w:rFonts w:hint="eastAsia" w:ascii="宋体" w:hAnsi="宋体" w:cs="宋体"/>
                <w:kern w:val="0"/>
                <w:sz w:val="24"/>
                <w:highlight w:val="none"/>
                <w:lang w:eastAsia="zh-CN"/>
              </w:rPr>
              <w:t>三门峡市陕州区农业农村局</w:t>
            </w:r>
          </w:p>
          <w:p w14:paraId="168C7773">
            <w:pPr>
              <w:tabs>
                <w:tab w:val="left" w:pos="3840"/>
                <w:tab w:val="left" w:pos="5300"/>
              </w:tabs>
              <w:autoSpaceDE w:val="0"/>
              <w:autoSpaceDN w:val="0"/>
              <w:adjustRightInd w:val="0"/>
              <w:spacing w:line="360" w:lineRule="auto"/>
              <w:ind w:right="-36"/>
              <w:rPr>
                <w:rFonts w:hint="eastAsia" w:ascii="宋体" w:hAnsi="宋体" w:cs="宋体"/>
                <w:kern w:val="0"/>
                <w:sz w:val="24"/>
                <w:highlight w:val="none"/>
              </w:rPr>
            </w:pPr>
            <w:r>
              <w:rPr>
                <w:rFonts w:hint="eastAsia" w:ascii="宋体" w:hAnsi="宋体" w:cs="宋体"/>
                <w:kern w:val="0"/>
                <w:sz w:val="24"/>
                <w:highlight w:val="none"/>
              </w:rPr>
              <w:t>联系人：</w:t>
            </w:r>
            <w:r>
              <w:rPr>
                <w:rFonts w:hint="eastAsia" w:ascii="宋体" w:hAnsi="宋体" w:cs="宋体" w:eastAsiaTheme="minorEastAsia"/>
                <w:b w:val="0"/>
                <w:bCs w:val="0"/>
                <w:kern w:val="2"/>
                <w:sz w:val="24"/>
                <w:szCs w:val="24"/>
                <w:highlight w:val="none"/>
                <w:lang w:val="en-US" w:eastAsia="zh-CN" w:bidi="ar"/>
              </w:rPr>
              <w:t>张先生</w:t>
            </w:r>
            <w:r>
              <w:rPr>
                <w:rFonts w:hint="eastAsia" w:ascii="宋体" w:hAnsi="宋体" w:cs="宋体"/>
                <w:kern w:val="0"/>
                <w:sz w:val="24"/>
                <w:highlight w:val="none"/>
              </w:rPr>
              <w:t xml:space="preserve"> </w:t>
            </w:r>
          </w:p>
          <w:p w14:paraId="3B5C554B">
            <w:pPr>
              <w:spacing w:line="360" w:lineRule="auto"/>
              <w:outlineLvl w:val="0"/>
              <w:rPr>
                <w:rFonts w:hint="eastAsia" w:ascii="宋体" w:hAnsi="宋体" w:cs="宋体" w:eastAsiaTheme="minorEastAsia"/>
                <w:b w:val="0"/>
                <w:bCs w:val="0"/>
                <w:kern w:val="2"/>
                <w:sz w:val="24"/>
                <w:szCs w:val="24"/>
                <w:highlight w:val="none"/>
                <w:lang w:val="en-US" w:eastAsia="zh-CN" w:bidi="ar"/>
              </w:rPr>
            </w:pPr>
            <w:r>
              <w:rPr>
                <w:rFonts w:hint="eastAsia" w:ascii="宋体" w:hAnsi="宋体" w:cs="宋体"/>
                <w:kern w:val="0"/>
                <w:sz w:val="24"/>
                <w:highlight w:val="none"/>
              </w:rPr>
              <w:t>电话：</w:t>
            </w:r>
            <w:r>
              <w:rPr>
                <w:rFonts w:hint="eastAsia" w:ascii="宋体" w:hAnsi="宋体" w:cs="宋体"/>
                <w:b w:val="0"/>
                <w:bCs w:val="0"/>
                <w:kern w:val="2"/>
                <w:sz w:val="24"/>
                <w:szCs w:val="24"/>
                <w:highlight w:val="none"/>
                <w:lang w:val="en-US" w:eastAsia="zh-CN" w:bidi="ar"/>
              </w:rPr>
              <w:t>3837907</w:t>
            </w:r>
          </w:p>
          <w:p w14:paraId="7C647EEE">
            <w:pPr>
              <w:spacing w:line="360" w:lineRule="auto"/>
              <w:outlineLvl w:val="0"/>
              <w:rPr>
                <w:rFonts w:ascii="宋体" w:hAnsi="宋体" w:cs="宋体"/>
                <w:kern w:val="0"/>
                <w:sz w:val="24"/>
                <w:highlight w:val="none"/>
              </w:rPr>
            </w:pPr>
            <w:r>
              <w:rPr>
                <w:rFonts w:hint="eastAsia" w:ascii="宋体" w:hAnsi="宋体" w:cs="宋体"/>
                <w:kern w:val="0"/>
                <w:sz w:val="24"/>
                <w:highlight w:val="none"/>
              </w:rPr>
              <w:t>地址：</w:t>
            </w:r>
            <w:r>
              <w:rPr>
                <w:rFonts w:hint="eastAsia" w:ascii="宋体" w:hAnsi="宋体" w:cs="宋体" w:eastAsiaTheme="minorEastAsia"/>
                <w:b w:val="0"/>
                <w:bCs w:val="0"/>
                <w:kern w:val="2"/>
                <w:sz w:val="24"/>
                <w:szCs w:val="24"/>
                <w:highlight w:val="none"/>
                <w:lang w:val="en-US" w:eastAsia="zh-CN" w:bidi="ar"/>
              </w:rPr>
              <w:t>三门峡市陕州区神泉路中段</w:t>
            </w:r>
          </w:p>
        </w:tc>
      </w:tr>
      <w:tr w14:paraId="3313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993" w:type="dxa"/>
            <w:vAlign w:val="center"/>
          </w:tcPr>
          <w:p w14:paraId="31BBEA17">
            <w:pPr>
              <w:spacing w:line="360" w:lineRule="auto"/>
              <w:jc w:val="center"/>
              <w:textAlignment w:val="center"/>
              <w:rPr>
                <w:rFonts w:ascii="宋体" w:hAnsi="宋体"/>
                <w:sz w:val="24"/>
                <w:highlight w:val="none"/>
              </w:rPr>
            </w:pPr>
            <w:r>
              <w:rPr>
                <w:rFonts w:hint="eastAsia" w:ascii="宋体" w:hAnsi="宋体"/>
                <w:sz w:val="24"/>
                <w:highlight w:val="none"/>
              </w:rPr>
              <w:t>1.3</w:t>
            </w:r>
          </w:p>
          <w:p w14:paraId="3A280978">
            <w:pPr>
              <w:spacing w:line="360" w:lineRule="auto"/>
              <w:jc w:val="center"/>
              <w:textAlignment w:val="center"/>
              <w:rPr>
                <w:rFonts w:ascii="宋体" w:hAnsi="宋体"/>
                <w:sz w:val="24"/>
                <w:highlight w:val="none"/>
              </w:rPr>
            </w:pPr>
          </w:p>
        </w:tc>
        <w:tc>
          <w:tcPr>
            <w:tcW w:w="1985" w:type="dxa"/>
            <w:vAlign w:val="center"/>
          </w:tcPr>
          <w:p w14:paraId="5E2205B1">
            <w:pPr>
              <w:spacing w:line="360" w:lineRule="auto"/>
              <w:jc w:val="center"/>
              <w:textAlignment w:val="center"/>
              <w:rPr>
                <w:rFonts w:ascii="宋体" w:hAnsi="宋体"/>
                <w:sz w:val="24"/>
                <w:highlight w:val="none"/>
              </w:rPr>
            </w:pPr>
            <w:r>
              <w:rPr>
                <w:rFonts w:hint="eastAsia" w:ascii="宋体" w:hAnsi="宋体"/>
                <w:sz w:val="24"/>
                <w:highlight w:val="none"/>
              </w:rPr>
              <w:t>采购代理机构</w:t>
            </w:r>
          </w:p>
        </w:tc>
        <w:tc>
          <w:tcPr>
            <w:tcW w:w="6192" w:type="dxa"/>
            <w:vAlign w:val="center"/>
          </w:tcPr>
          <w:p w14:paraId="09AE7DAD">
            <w:pPr>
              <w:tabs>
                <w:tab w:val="left" w:pos="3840"/>
                <w:tab w:val="left" w:pos="5300"/>
              </w:tabs>
              <w:autoSpaceDE w:val="0"/>
              <w:autoSpaceDN w:val="0"/>
              <w:adjustRightInd w:val="0"/>
              <w:spacing w:line="360" w:lineRule="auto"/>
              <w:ind w:right="-36"/>
              <w:rPr>
                <w:rFonts w:hint="eastAsia" w:cs="宋体" w:asciiTheme="minorEastAsia" w:hAnsiTheme="minorEastAsia"/>
                <w:kern w:val="0"/>
                <w:sz w:val="24"/>
                <w:highlight w:val="none"/>
                <w:lang w:val="en-US" w:eastAsia="zh-CN"/>
              </w:rPr>
            </w:pPr>
            <w:r>
              <w:rPr>
                <w:rFonts w:hint="eastAsia" w:cs="宋体" w:asciiTheme="minorEastAsia" w:hAnsiTheme="minorEastAsia"/>
                <w:kern w:val="0"/>
                <w:sz w:val="24"/>
                <w:highlight w:val="none"/>
                <w:lang w:val="en-US" w:eastAsia="zh-CN"/>
              </w:rPr>
              <w:t>代理机构:国咨项目管理有限公司</w:t>
            </w:r>
          </w:p>
          <w:p w14:paraId="5FB6861C">
            <w:pPr>
              <w:spacing w:line="360" w:lineRule="auto"/>
              <w:rPr>
                <w:rFonts w:hint="eastAsia" w:cs="宋体" w:asciiTheme="minorEastAsia" w:hAnsiTheme="minorEastAsia"/>
                <w:kern w:val="0"/>
                <w:sz w:val="24"/>
                <w:highlight w:val="none"/>
                <w:lang w:val="en-US" w:eastAsia="zh-CN"/>
              </w:rPr>
            </w:pPr>
            <w:r>
              <w:rPr>
                <w:rFonts w:hint="eastAsia" w:cs="宋体" w:asciiTheme="minorEastAsia" w:hAnsiTheme="minorEastAsia"/>
                <w:kern w:val="0"/>
                <w:sz w:val="24"/>
                <w:highlight w:val="none"/>
              </w:rPr>
              <w:t>联系人：</w:t>
            </w:r>
            <w:r>
              <w:rPr>
                <w:rFonts w:hint="eastAsia" w:cs="宋体" w:asciiTheme="minorEastAsia" w:hAnsiTheme="minorEastAsia"/>
                <w:kern w:val="0"/>
                <w:sz w:val="24"/>
                <w:highlight w:val="none"/>
                <w:lang w:val="en-US" w:eastAsia="zh-CN"/>
              </w:rPr>
              <w:t>许女士</w:t>
            </w:r>
          </w:p>
          <w:p w14:paraId="6632E47B">
            <w:pPr>
              <w:spacing w:line="360" w:lineRule="auto"/>
              <w:rPr>
                <w:rFonts w:hint="eastAsia" w:cs="宋体" w:asciiTheme="minorEastAsia" w:hAnsiTheme="minorEastAsia"/>
                <w:kern w:val="0"/>
                <w:sz w:val="24"/>
                <w:highlight w:val="none"/>
                <w:lang w:val="en-US" w:eastAsia="zh-CN"/>
              </w:rPr>
            </w:pPr>
            <w:r>
              <w:rPr>
                <w:rFonts w:hint="eastAsia" w:cs="宋体" w:asciiTheme="minorEastAsia" w:hAnsiTheme="minorEastAsia"/>
                <w:kern w:val="0"/>
                <w:sz w:val="24"/>
                <w:highlight w:val="none"/>
              </w:rPr>
              <w:t>电话：</w:t>
            </w:r>
            <w:r>
              <w:rPr>
                <w:rFonts w:hint="eastAsia" w:ascii="宋体" w:hAnsi="宋体" w:cs="宋体" w:eastAsiaTheme="minorEastAsia"/>
                <w:b w:val="0"/>
                <w:bCs w:val="0"/>
                <w:kern w:val="2"/>
                <w:sz w:val="24"/>
                <w:szCs w:val="24"/>
                <w:highlight w:val="none"/>
                <w:lang w:val="en-US" w:eastAsia="zh-CN" w:bidi="ar"/>
              </w:rPr>
              <w:t>17613053066</w:t>
            </w:r>
          </w:p>
          <w:p w14:paraId="4A690785">
            <w:pPr>
              <w:spacing w:line="360" w:lineRule="auto"/>
              <w:rPr>
                <w:rFonts w:hint="eastAsia" w:cs="宋体" w:asciiTheme="minorEastAsia" w:hAnsiTheme="minorEastAsia"/>
                <w:kern w:val="0"/>
                <w:sz w:val="24"/>
                <w:highlight w:val="none"/>
              </w:rPr>
            </w:pPr>
            <w:r>
              <w:rPr>
                <w:rFonts w:hint="eastAsia" w:cs="宋体" w:asciiTheme="minorEastAsia" w:hAnsiTheme="minorEastAsia"/>
                <w:kern w:val="0"/>
                <w:sz w:val="24"/>
                <w:highlight w:val="none"/>
              </w:rPr>
              <w:t>地址：</w:t>
            </w:r>
            <w:r>
              <w:rPr>
                <w:rFonts w:hint="eastAsia" w:ascii="宋体" w:hAnsi="宋体" w:cs="宋体" w:eastAsiaTheme="minorEastAsia"/>
                <w:b w:val="0"/>
                <w:bCs w:val="0"/>
                <w:kern w:val="2"/>
                <w:sz w:val="24"/>
                <w:szCs w:val="24"/>
                <w:highlight w:val="none"/>
                <w:lang w:val="en-US" w:eastAsia="zh-CN" w:bidi="ar"/>
              </w:rPr>
              <w:t>河南省郑州市管城回族区正商花都港湾16#3单元2楼西户</w:t>
            </w:r>
          </w:p>
        </w:tc>
      </w:tr>
      <w:tr w14:paraId="7CBF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exact"/>
          <w:jc w:val="center"/>
        </w:trPr>
        <w:tc>
          <w:tcPr>
            <w:tcW w:w="993" w:type="dxa"/>
            <w:vAlign w:val="center"/>
          </w:tcPr>
          <w:p w14:paraId="6594E744">
            <w:pPr>
              <w:spacing w:line="360" w:lineRule="auto"/>
              <w:jc w:val="center"/>
              <w:textAlignment w:val="center"/>
              <w:rPr>
                <w:rFonts w:ascii="宋体" w:hAnsi="宋体"/>
                <w:sz w:val="24"/>
                <w:highlight w:val="none"/>
              </w:rPr>
            </w:pPr>
            <w:r>
              <w:rPr>
                <w:rFonts w:hint="eastAsia" w:ascii="宋体" w:hAnsi="宋体"/>
                <w:sz w:val="24"/>
                <w:highlight w:val="none"/>
              </w:rPr>
              <w:t>1.4</w:t>
            </w:r>
          </w:p>
          <w:p w14:paraId="25DEE792">
            <w:pPr>
              <w:spacing w:line="360" w:lineRule="auto"/>
              <w:jc w:val="center"/>
              <w:textAlignment w:val="center"/>
              <w:rPr>
                <w:rFonts w:ascii="宋体" w:hAnsi="宋体"/>
                <w:sz w:val="24"/>
                <w:highlight w:val="none"/>
              </w:rPr>
            </w:pPr>
          </w:p>
        </w:tc>
        <w:tc>
          <w:tcPr>
            <w:tcW w:w="1985" w:type="dxa"/>
            <w:vAlign w:val="center"/>
          </w:tcPr>
          <w:p w14:paraId="52740008">
            <w:pPr>
              <w:spacing w:line="360" w:lineRule="auto"/>
              <w:jc w:val="center"/>
              <w:textAlignment w:val="center"/>
              <w:rPr>
                <w:rFonts w:ascii="宋体" w:hAnsi="宋体"/>
                <w:sz w:val="24"/>
                <w:highlight w:val="none"/>
              </w:rPr>
            </w:pPr>
            <w:r>
              <w:rPr>
                <w:rFonts w:hint="eastAsia" w:ascii="宋体" w:hAnsi="宋体"/>
                <w:sz w:val="24"/>
                <w:highlight w:val="none"/>
              </w:rPr>
              <w:t>项目名称</w:t>
            </w:r>
          </w:p>
        </w:tc>
        <w:tc>
          <w:tcPr>
            <w:tcW w:w="6192" w:type="dxa"/>
            <w:vAlign w:val="center"/>
          </w:tcPr>
          <w:p w14:paraId="27526026">
            <w:pPr>
              <w:spacing w:line="360" w:lineRule="auto"/>
              <w:rPr>
                <w:rFonts w:hint="eastAsia" w:ascii="宋体" w:hAnsi="宋体" w:cs="宋体" w:eastAsiaTheme="minorEastAsia"/>
                <w:kern w:val="0"/>
                <w:sz w:val="24"/>
                <w:highlight w:val="none"/>
                <w:lang w:eastAsia="zh-CN"/>
              </w:rPr>
            </w:pPr>
            <w:r>
              <w:rPr>
                <w:rFonts w:hint="eastAsia" w:ascii="宋体" w:hAnsi="宋体" w:cs="宋体"/>
                <w:kern w:val="0"/>
                <w:sz w:val="24"/>
                <w:highlight w:val="none"/>
                <w:lang w:eastAsia="zh-CN"/>
              </w:rPr>
              <w:t>三门峡市陕州区2026年高标准农田建设项目勘测设计服务项目</w:t>
            </w:r>
          </w:p>
        </w:tc>
      </w:tr>
      <w:tr w14:paraId="32DC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3" w:type="dxa"/>
            <w:vAlign w:val="center"/>
          </w:tcPr>
          <w:p w14:paraId="478E7FAD">
            <w:pPr>
              <w:spacing w:line="360" w:lineRule="auto"/>
              <w:jc w:val="center"/>
              <w:textAlignment w:val="center"/>
              <w:rPr>
                <w:rFonts w:ascii="宋体" w:hAnsi="宋体"/>
                <w:sz w:val="24"/>
                <w:highlight w:val="none"/>
              </w:rPr>
            </w:pPr>
            <w:r>
              <w:rPr>
                <w:rFonts w:hint="eastAsia" w:ascii="宋体" w:hAnsi="宋体"/>
                <w:sz w:val="24"/>
                <w:highlight w:val="none"/>
              </w:rPr>
              <w:t>1.5</w:t>
            </w:r>
          </w:p>
        </w:tc>
        <w:tc>
          <w:tcPr>
            <w:tcW w:w="1985" w:type="dxa"/>
            <w:vAlign w:val="center"/>
          </w:tcPr>
          <w:p w14:paraId="11E05014">
            <w:pPr>
              <w:widowControl/>
              <w:spacing w:line="360" w:lineRule="auto"/>
              <w:jc w:val="center"/>
              <w:rPr>
                <w:rFonts w:ascii="宋体" w:hAnsi="宋体"/>
                <w:kern w:val="0"/>
                <w:sz w:val="24"/>
                <w:highlight w:val="none"/>
              </w:rPr>
            </w:pPr>
            <w:r>
              <w:rPr>
                <w:rFonts w:hint="eastAsia" w:ascii="宋体" w:hAnsi="宋体"/>
                <w:kern w:val="0"/>
                <w:sz w:val="24"/>
                <w:highlight w:val="none"/>
              </w:rPr>
              <w:t>资金来源及落实情况</w:t>
            </w:r>
          </w:p>
        </w:tc>
        <w:tc>
          <w:tcPr>
            <w:tcW w:w="6192" w:type="dxa"/>
            <w:vAlign w:val="center"/>
          </w:tcPr>
          <w:p w14:paraId="2C168D95">
            <w:pPr>
              <w:widowControl/>
              <w:spacing w:line="360" w:lineRule="auto"/>
              <w:jc w:val="left"/>
              <w:rPr>
                <w:rFonts w:ascii="宋体" w:hAnsi="宋体"/>
                <w:kern w:val="0"/>
                <w:sz w:val="24"/>
                <w:highlight w:val="none"/>
              </w:rPr>
            </w:pPr>
            <w:r>
              <w:rPr>
                <w:rFonts w:hint="eastAsia" w:ascii="宋体" w:hAnsi="宋体"/>
                <w:kern w:val="0"/>
                <w:sz w:val="24"/>
                <w:highlight w:val="none"/>
              </w:rPr>
              <w:t>财政资金，已落实</w:t>
            </w:r>
          </w:p>
        </w:tc>
      </w:tr>
      <w:tr w14:paraId="473B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93" w:type="dxa"/>
            <w:vAlign w:val="center"/>
          </w:tcPr>
          <w:p w14:paraId="2590DD4A">
            <w:pPr>
              <w:spacing w:line="360" w:lineRule="auto"/>
              <w:jc w:val="center"/>
              <w:textAlignment w:val="center"/>
              <w:rPr>
                <w:rFonts w:ascii="宋体" w:hAnsi="宋体"/>
                <w:sz w:val="24"/>
                <w:highlight w:val="none"/>
              </w:rPr>
            </w:pPr>
            <w:r>
              <w:rPr>
                <w:rFonts w:hint="eastAsia" w:ascii="宋体" w:hAnsi="宋体"/>
                <w:sz w:val="24"/>
                <w:highlight w:val="none"/>
              </w:rPr>
              <w:t>1.6</w:t>
            </w:r>
          </w:p>
        </w:tc>
        <w:tc>
          <w:tcPr>
            <w:tcW w:w="1985" w:type="dxa"/>
            <w:vAlign w:val="center"/>
          </w:tcPr>
          <w:p w14:paraId="346FE675">
            <w:pPr>
              <w:spacing w:line="360" w:lineRule="auto"/>
              <w:jc w:val="center"/>
              <w:rPr>
                <w:rFonts w:ascii="宋体" w:hAnsi="宋体" w:cs="宋体"/>
                <w:kern w:val="0"/>
                <w:sz w:val="24"/>
                <w:highlight w:val="none"/>
              </w:rPr>
            </w:pPr>
            <w:r>
              <w:rPr>
                <w:rFonts w:hint="eastAsia" w:ascii="宋体" w:hAnsi="宋体" w:cs="宋体"/>
                <w:kern w:val="0"/>
                <w:sz w:val="24"/>
                <w:highlight w:val="none"/>
              </w:rPr>
              <w:t>服务地点</w:t>
            </w:r>
          </w:p>
        </w:tc>
        <w:tc>
          <w:tcPr>
            <w:tcW w:w="6192" w:type="dxa"/>
            <w:vAlign w:val="center"/>
          </w:tcPr>
          <w:p w14:paraId="593DC78F">
            <w:pPr>
              <w:widowControl/>
              <w:shd w:val="clear" w:color="auto" w:fill="FFFFFF"/>
              <w:spacing w:line="360" w:lineRule="auto"/>
              <w:rPr>
                <w:rFonts w:ascii="宋体" w:hAnsi="宋体" w:cs="宋体"/>
                <w:kern w:val="0"/>
                <w:sz w:val="24"/>
                <w:highlight w:val="none"/>
              </w:rPr>
            </w:pPr>
            <w:r>
              <w:rPr>
                <w:rFonts w:hint="eastAsia" w:ascii="宋体" w:hAnsi="宋体" w:cs="宋体"/>
                <w:kern w:val="0"/>
                <w:sz w:val="24"/>
                <w:highlight w:val="none"/>
              </w:rPr>
              <w:t>采购人指定地点</w:t>
            </w:r>
          </w:p>
        </w:tc>
      </w:tr>
      <w:tr w14:paraId="2547F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93" w:type="dxa"/>
            <w:vAlign w:val="center"/>
          </w:tcPr>
          <w:p w14:paraId="599809F0">
            <w:pPr>
              <w:spacing w:line="360" w:lineRule="auto"/>
              <w:jc w:val="center"/>
              <w:textAlignment w:val="center"/>
              <w:rPr>
                <w:rFonts w:ascii="宋体" w:hAnsi="宋体"/>
                <w:sz w:val="24"/>
                <w:highlight w:val="none"/>
              </w:rPr>
            </w:pPr>
            <w:r>
              <w:rPr>
                <w:rFonts w:hint="eastAsia" w:ascii="宋体" w:hAnsi="宋体"/>
                <w:sz w:val="24"/>
                <w:highlight w:val="none"/>
              </w:rPr>
              <w:t>1.7</w:t>
            </w:r>
          </w:p>
        </w:tc>
        <w:tc>
          <w:tcPr>
            <w:tcW w:w="1985" w:type="dxa"/>
            <w:vAlign w:val="center"/>
          </w:tcPr>
          <w:p w14:paraId="302BA418">
            <w:pPr>
              <w:spacing w:line="360" w:lineRule="auto"/>
              <w:jc w:val="center"/>
              <w:textAlignment w:val="center"/>
              <w:rPr>
                <w:rFonts w:ascii="宋体" w:hAnsi="宋体"/>
                <w:sz w:val="24"/>
                <w:highlight w:val="none"/>
              </w:rPr>
            </w:pPr>
            <w:r>
              <w:rPr>
                <w:rFonts w:hint="eastAsia" w:ascii="宋体" w:hAnsi="宋体"/>
                <w:sz w:val="24"/>
                <w:highlight w:val="none"/>
              </w:rPr>
              <w:t>采购范围</w:t>
            </w:r>
          </w:p>
        </w:tc>
        <w:tc>
          <w:tcPr>
            <w:tcW w:w="6192" w:type="dxa"/>
            <w:vAlign w:val="center"/>
          </w:tcPr>
          <w:p w14:paraId="041F2BCA">
            <w:pPr>
              <w:spacing w:line="360" w:lineRule="auto"/>
              <w:ind w:firstLine="480" w:firstLineChars="200"/>
              <w:rPr>
                <w:rFonts w:ascii="宋体" w:hAnsi="宋体" w:cs="宋体"/>
                <w:sz w:val="24"/>
                <w:highlight w:val="none"/>
              </w:rPr>
            </w:pPr>
            <w:r>
              <w:rPr>
                <w:rFonts w:hint="eastAsia" w:ascii="宋体" w:hAnsi="宋体"/>
                <w:sz w:val="24"/>
                <w:highlight w:val="none"/>
              </w:rPr>
              <w:t>对</w:t>
            </w:r>
            <w:r>
              <w:rPr>
                <w:rFonts w:hint="eastAsia" w:ascii="宋体" w:hAnsi="宋体" w:cs="宋体" w:eastAsiaTheme="minorEastAsia"/>
                <w:b w:val="0"/>
                <w:bCs w:val="0"/>
                <w:kern w:val="2"/>
                <w:sz w:val="24"/>
                <w:szCs w:val="24"/>
                <w:highlight w:val="none"/>
                <w:lang w:val="en-US" w:eastAsia="zh-CN" w:bidi="ar"/>
              </w:rPr>
              <w:t>三门峡市陕州区2026年高标准农田建设项目勘测设计服务项目，主要内容包含项目勘测、初步设计编制、实施计划（达到施工图设计深度），标段划分、分标段图纸、分标段预算、施工阶段设计技术交底、现场服务、设计变更等。</w:t>
            </w:r>
          </w:p>
        </w:tc>
      </w:tr>
      <w:tr w14:paraId="4DDA3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993" w:type="dxa"/>
            <w:vAlign w:val="center"/>
          </w:tcPr>
          <w:p w14:paraId="6ACE379D">
            <w:pPr>
              <w:spacing w:line="360" w:lineRule="auto"/>
              <w:jc w:val="center"/>
              <w:textAlignment w:val="center"/>
              <w:rPr>
                <w:rFonts w:ascii="宋体" w:hAnsi="宋体"/>
                <w:sz w:val="24"/>
                <w:highlight w:val="none"/>
              </w:rPr>
            </w:pPr>
            <w:r>
              <w:rPr>
                <w:rFonts w:hint="eastAsia" w:ascii="宋体" w:hAnsi="宋体"/>
                <w:sz w:val="24"/>
                <w:highlight w:val="none"/>
              </w:rPr>
              <w:t>1.8</w:t>
            </w:r>
          </w:p>
        </w:tc>
        <w:tc>
          <w:tcPr>
            <w:tcW w:w="1985" w:type="dxa"/>
            <w:vAlign w:val="center"/>
          </w:tcPr>
          <w:p w14:paraId="18B90B9A">
            <w:pPr>
              <w:spacing w:line="360" w:lineRule="auto"/>
              <w:jc w:val="center"/>
              <w:rPr>
                <w:rFonts w:ascii="宋体" w:hAnsi="宋体"/>
                <w:sz w:val="24"/>
                <w:highlight w:val="none"/>
              </w:rPr>
            </w:pPr>
            <w:r>
              <w:rPr>
                <w:rFonts w:hint="eastAsia" w:ascii="宋体" w:hAnsi="宋体"/>
                <w:sz w:val="24"/>
                <w:highlight w:val="none"/>
              </w:rPr>
              <w:t>服务期限</w:t>
            </w:r>
          </w:p>
        </w:tc>
        <w:tc>
          <w:tcPr>
            <w:tcW w:w="6192" w:type="dxa"/>
            <w:vAlign w:val="center"/>
          </w:tcPr>
          <w:p w14:paraId="00215845">
            <w:pPr>
              <w:spacing w:line="360" w:lineRule="auto"/>
              <w:rPr>
                <w:rFonts w:ascii="宋体" w:hAnsi="宋体" w:cs="宋体"/>
                <w:kern w:val="0"/>
                <w:sz w:val="24"/>
                <w:highlight w:val="none"/>
              </w:rPr>
            </w:pPr>
            <w:r>
              <w:rPr>
                <w:rFonts w:hint="eastAsia" w:ascii="宋体" w:hAnsi="宋体"/>
                <w:sz w:val="24"/>
                <w:highlight w:val="none"/>
              </w:rPr>
              <w:t>合同签订后30日历天。</w:t>
            </w:r>
          </w:p>
        </w:tc>
      </w:tr>
      <w:tr w14:paraId="54EBB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993" w:type="dxa"/>
            <w:vAlign w:val="center"/>
          </w:tcPr>
          <w:p w14:paraId="277681B3">
            <w:pPr>
              <w:spacing w:line="360" w:lineRule="auto"/>
              <w:jc w:val="center"/>
              <w:textAlignment w:val="center"/>
              <w:rPr>
                <w:rFonts w:ascii="宋体" w:hAnsi="宋体"/>
                <w:sz w:val="24"/>
                <w:highlight w:val="none"/>
              </w:rPr>
            </w:pPr>
            <w:r>
              <w:rPr>
                <w:rFonts w:hint="eastAsia" w:ascii="宋体" w:hAnsi="宋体"/>
                <w:sz w:val="24"/>
                <w:highlight w:val="none"/>
              </w:rPr>
              <w:t>1.9</w:t>
            </w:r>
          </w:p>
        </w:tc>
        <w:tc>
          <w:tcPr>
            <w:tcW w:w="1985" w:type="dxa"/>
            <w:vAlign w:val="center"/>
          </w:tcPr>
          <w:p w14:paraId="208748E9">
            <w:pPr>
              <w:spacing w:line="360" w:lineRule="auto"/>
              <w:jc w:val="center"/>
              <w:rPr>
                <w:rFonts w:ascii="宋体" w:hAnsi="宋体"/>
                <w:sz w:val="24"/>
                <w:highlight w:val="none"/>
              </w:rPr>
            </w:pPr>
            <w:r>
              <w:rPr>
                <w:rFonts w:hint="eastAsia" w:ascii="宋体" w:hAnsi="宋体"/>
                <w:sz w:val="24"/>
                <w:highlight w:val="none"/>
              </w:rPr>
              <w:t>质量要求</w:t>
            </w:r>
          </w:p>
        </w:tc>
        <w:tc>
          <w:tcPr>
            <w:tcW w:w="6192" w:type="dxa"/>
            <w:vAlign w:val="center"/>
          </w:tcPr>
          <w:p w14:paraId="47413AA7">
            <w:pPr>
              <w:spacing w:line="360" w:lineRule="auto"/>
              <w:rPr>
                <w:rFonts w:ascii="宋体" w:hAnsi="宋体"/>
                <w:sz w:val="24"/>
                <w:highlight w:val="none"/>
              </w:rPr>
            </w:pPr>
            <w:r>
              <w:rPr>
                <w:rFonts w:hint="eastAsia" w:ascii="宋体" w:hAnsi="宋体"/>
                <w:sz w:val="24"/>
                <w:highlight w:val="none"/>
              </w:rPr>
              <w:t>符合国家有关标准、规范和要求，达到合格标准，并通过有关部门的审查批准。</w:t>
            </w:r>
          </w:p>
        </w:tc>
      </w:tr>
      <w:tr w14:paraId="022E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93" w:type="dxa"/>
            <w:vAlign w:val="center"/>
          </w:tcPr>
          <w:p w14:paraId="74CA9D0A">
            <w:pPr>
              <w:spacing w:line="360" w:lineRule="auto"/>
              <w:jc w:val="center"/>
              <w:textAlignment w:val="center"/>
              <w:rPr>
                <w:rFonts w:ascii="宋体" w:hAnsi="宋体"/>
                <w:sz w:val="24"/>
                <w:highlight w:val="none"/>
              </w:rPr>
            </w:pPr>
            <w:r>
              <w:rPr>
                <w:rFonts w:hint="eastAsia" w:ascii="宋体" w:hAnsi="宋体"/>
                <w:sz w:val="24"/>
                <w:highlight w:val="none"/>
              </w:rPr>
              <w:t>2.0</w:t>
            </w:r>
          </w:p>
        </w:tc>
        <w:tc>
          <w:tcPr>
            <w:tcW w:w="1985" w:type="dxa"/>
            <w:vAlign w:val="center"/>
          </w:tcPr>
          <w:p w14:paraId="6D16E66F">
            <w:pPr>
              <w:spacing w:line="360" w:lineRule="auto"/>
              <w:jc w:val="center"/>
              <w:textAlignment w:val="center"/>
              <w:rPr>
                <w:rFonts w:ascii="宋体" w:hAnsi="宋体"/>
                <w:sz w:val="24"/>
                <w:highlight w:val="none"/>
              </w:rPr>
            </w:pPr>
            <w:r>
              <w:rPr>
                <w:rFonts w:hint="eastAsia" w:ascii="宋体" w:hAnsi="宋体"/>
                <w:kern w:val="0"/>
                <w:sz w:val="24"/>
                <w:highlight w:val="none"/>
              </w:rPr>
              <w:t>供应商的资质、能力和应具备条件</w:t>
            </w:r>
          </w:p>
        </w:tc>
        <w:tc>
          <w:tcPr>
            <w:tcW w:w="6192" w:type="dxa"/>
            <w:vAlign w:val="center"/>
          </w:tcPr>
          <w:p w14:paraId="0D6F2552">
            <w:pPr>
              <w:spacing w:line="360" w:lineRule="auto"/>
              <w:rPr>
                <w:rFonts w:ascii="宋体" w:hAnsi="宋体"/>
                <w:sz w:val="24"/>
                <w:highlight w:val="none"/>
              </w:rPr>
            </w:pPr>
            <w:r>
              <w:rPr>
                <w:rFonts w:hint="eastAsia" w:ascii="宋体" w:hAnsi="宋体"/>
                <w:sz w:val="24"/>
                <w:highlight w:val="none"/>
              </w:rPr>
              <w:t>具体见竞争性磋商公告供应商资格要求。</w:t>
            </w:r>
          </w:p>
        </w:tc>
      </w:tr>
      <w:tr w14:paraId="4101B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93" w:type="dxa"/>
            <w:vAlign w:val="center"/>
          </w:tcPr>
          <w:p w14:paraId="5C8900E4">
            <w:pPr>
              <w:spacing w:line="360" w:lineRule="auto"/>
              <w:jc w:val="center"/>
              <w:textAlignment w:val="center"/>
              <w:rPr>
                <w:rFonts w:ascii="宋体" w:hAnsi="宋体"/>
                <w:sz w:val="24"/>
                <w:highlight w:val="none"/>
              </w:rPr>
            </w:pPr>
            <w:r>
              <w:rPr>
                <w:rFonts w:hint="eastAsia" w:ascii="宋体" w:hAnsi="宋体"/>
                <w:sz w:val="24"/>
                <w:highlight w:val="none"/>
              </w:rPr>
              <w:t>2.1</w:t>
            </w:r>
          </w:p>
        </w:tc>
        <w:tc>
          <w:tcPr>
            <w:tcW w:w="1985" w:type="dxa"/>
            <w:vAlign w:val="center"/>
          </w:tcPr>
          <w:p w14:paraId="4969A21A">
            <w:pPr>
              <w:widowControl/>
              <w:spacing w:line="360" w:lineRule="auto"/>
              <w:jc w:val="center"/>
              <w:rPr>
                <w:rFonts w:ascii="宋体" w:hAnsi="宋体"/>
                <w:kern w:val="0"/>
                <w:sz w:val="24"/>
                <w:highlight w:val="none"/>
              </w:rPr>
            </w:pPr>
            <w:r>
              <w:rPr>
                <w:rFonts w:hint="eastAsia" w:ascii="宋体" w:hAnsi="宋体"/>
                <w:kern w:val="0"/>
                <w:sz w:val="24"/>
                <w:highlight w:val="none"/>
              </w:rPr>
              <w:t>预算金额</w:t>
            </w:r>
          </w:p>
        </w:tc>
        <w:tc>
          <w:tcPr>
            <w:tcW w:w="6192" w:type="dxa"/>
            <w:vAlign w:val="center"/>
          </w:tcPr>
          <w:p w14:paraId="403F9F02">
            <w:pPr>
              <w:spacing w:line="360" w:lineRule="auto"/>
              <w:rPr>
                <w:rFonts w:ascii="宋体" w:hAnsi="宋体"/>
                <w:sz w:val="24"/>
                <w:highlight w:val="none"/>
              </w:rPr>
            </w:pPr>
            <w:r>
              <w:rPr>
                <w:rFonts w:hint="eastAsia" w:ascii="宋体" w:hAnsi="宋体" w:cs="宋体"/>
                <w:kern w:val="0"/>
                <w:sz w:val="24"/>
                <w:highlight w:val="none"/>
              </w:rPr>
              <w:t>1、</w:t>
            </w:r>
            <w:r>
              <w:rPr>
                <w:rFonts w:hint="eastAsia" w:ascii="宋体" w:hAnsi="宋体"/>
                <w:sz w:val="24"/>
                <w:highlight w:val="none"/>
              </w:rPr>
              <w:t>￥</w:t>
            </w:r>
            <w:r>
              <w:rPr>
                <w:rFonts w:hint="eastAsia" w:ascii="宋体" w:hAnsi="宋体" w:cs="宋体"/>
                <w:kern w:val="0"/>
                <w:sz w:val="24"/>
                <w:highlight w:val="none"/>
                <w:lang w:val="en-US" w:eastAsia="zh-CN"/>
              </w:rPr>
              <w:t>960</w:t>
            </w:r>
            <w:r>
              <w:rPr>
                <w:rFonts w:hint="eastAsia" w:ascii="宋体" w:hAnsi="宋体" w:cs="宋体"/>
                <w:kern w:val="0"/>
                <w:sz w:val="24"/>
                <w:highlight w:val="none"/>
              </w:rPr>
              <w:t>000.00</w:t>
            </w:r>
            <w:r>
              <w:rPr>
                <w:rFonts w:hint="eastAsia" w:ascii="宋体" w:hAnsi="宋体" w:cs="宋体"/>
                <w:sz w:val="24"/>
                <w:highlight w:val="none"/>
              </w:rPr>
              <w:t>元。</w:t>
            </w:r>
          </w:p>
          <w:p w14:paraId="70E58F9D">
            <w:pPr>
              <w:widowControl/>
              <w:spacing w:line="360" w:lineRule="auto"/>
              <w:jc w:val="left"/>
              <w:rPr>
                <w:rFonts w:ascii="宋体" w:hAnsi="宋体"/>
                <w:kern w:val="0"/>
                <w:sz w:val="24"/>
                <w:highlight w:val="none"/>
              </w:rPr>
            </w:pPr>
            <w:r>
              <w:rPr>
                <w:rFonts w:hint="eastAsia" w:ascii="宋体" w:hAnsi="宋体"/>
                <w:kern w:val="0"/>
                <w:sz w:val="24"/>
                <w:highlight w:val="none"/>
              </w:rPr>
              <w:t>2、供应商报价不得超出采购预算，否则予以废标处理。若所有供应商的报价均超过预算价，则采购人有权重新组织采购。</w:t>
            </w:r>
          </w:p>
        </w:tc>
      </w:tr>
      <w:tr w14:paraId="087E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993" w:type="dxa"/>
            <w:vAlign w:val="center"/>
          </w:tcPr>
          <w:p w14:paraId="53DD4B24">
            <w:pPr>
              <w:spacing w:line="360" w:lineRule="auto"/>
              <w:jc w:val="center"/>
              <w:textAlignment w:val="center"/>
              <w:rPr>
                <w:rFonts w:ascii="宋体" w:hAnsi="宋体"/>
                <w:sz w:val="24"/>
                <w:highlight w:val="none"/>
              </w:rPr>
            </w:pPr>
            <w:r>
              <w:rPr>
                <w:rFonts w:hint="eastAsia" w:ascii="宋体" w:hAnsi="宋体"/>
                <w:sz w:val="24"/>
                <w:highlight w:val="none"/>
              </w:rPr>
              <w:t>2.2</w:t>
            </w:r>
          </w:p>
        </w:tc>
        <w:tc>
          <w:tcPr>
            <w:tcW w:w="1985" w:type="dxa"/>
            <w:vAlign w:val="center"/>
          </w:tcPr>
          <w:p w14:paraId="6A8CF3A4">
            <w:pPr>
              <w:spacing w:line="360" w:lineRule="auto"/>
              <w:ind w:firstLine="259" w:firstLineChars="108"/>
              <w:jc w:val="center"/>
              <w:rPr>
                <w:rFonts w:ascii="宋体" w:hAnsi="宋体"/>
                <w:sz w:val="24"/>
                <w:highlight w:val="none"/>
              </w:rPr>
            </w:pPr>
            <w:r>
              <w:rPr>
                <w:rFonts w:hint="eastAsia" w:ascii="宋体" w:hAnsi="宋体"/>
                <w:sz w:val="24"/>
                <w:highlight w:val="none"/>
              </w:rPr>
              <w:t>踏勘现场</w:t>
            </w:r>
          </w:p>
        </w:tc>
        <w:tc>
          <w:tcPr>
            <w:tcW w:w="6192" w:type="dxa"/>
            <w:vAlign w:val="center"/>
          </w:tcPr>
          <w:p w14:paraId="0B851FEA">
            <w:pPr>
              <w:spacing w:line="360" w:lineRule="auto"/>
              <w:rPr>
                <w:rFonts w:ascii="宋体" w:hAnsi="宋体"/>
                <w:sz w:val="24"/>
                <w:highlight w:val="none"/>
              </w:rPr>
            </w:pPr>
            <w:r>
              <w:rPr>
                <w:rFonts w:hint="eastAsia" w:ascii="宋体" w:hAnsi="宋体"/>
                <w:sz w:val="24"/>
                <w:highlight w:val="none"/>
              </w:rPr>
              <w:t>不组织</w:t>
            </w:r>
          </w:p>
        </w:tc>
      </w:tr>
      <w:tr w14:paraId="468EA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993" w:type="dxa"/>
            <w:vAlign w:val="center"/>
          </w:tcPr>
          <w:p w14:paraId="31F50494">
            <w:pPr>
              <w:spacing w:line="360" w:lineRule="auto"/>
              <w:jc w:val="center"/>
              <w:textAlignment w:val="center"/>
              <w:rPr>
                <w:rFonts w:ascii="宋体" w:hAnsi="宋体"/>
                <w:sz w:val="24"/>
                <w:highlight w:val="none"/>
              </w:rPr>
            </w:pPr>
            <w:r>
              <w:rPr>
                <w:rFonts w:hint="eastAsia" w:ascii="宋体" w:hAnsi="宋体"/>
                <w:sz w:val="24"/>
                <w:highlight w:val="none"/>
              </w:rPr>
              <w:t>2.3</w:t>
            </w:r>
          </w:p>
        </w:tc>
        <w:tc>
          <w:tcPr>
            <w:tcW w:w="1985" w:type="dxa"/>
            <w:vAlign w:val="center"/>
          </w:tcPr>
          <w:p w14:paraId="30DC03CB">
            <w:pPr>
              <w:spacing w:line="360" w:lineRule="auto"/>
              <w:ind w:firstLine="120" w:firstLineChars="50"/>
              <w:jc w:val="center"/>
              <w:rPr>
                <w:rFonts w:ascii="宋体" w:hAnsi="宋体"/>
                <w:sz w:val="24"/>
                <w:highlight w:val="none"/>
              </w:rPr>
            </w:pPr>
            <w:r>
              <w:rPr>
                <w:rFonts w:hint="eastAsia" w:ascii="宋体" w:hAnsi="宋体"/>
                <w:sz w:val="24"/>
                <w:highlight w:val="none"/>
              </w:rPr>
              <w:t>磋商预备会</w:t>
            </w:r>
          </w:p>
        </w:tc>
        <w:tc>
          <w:tcPr>
            <w:tcW w:w="6192" w:type="dxa"/>
            <w:vAlign w:val="center"/>
          </w:tcPr>
          <w:p w14:paraId="7FAE6E66">
            <w:pPr>
              <w:spacing w:line="360" w:lineRule="auto"/>
              <w:rPr>
                <w:rFonts w:ascii="宋体" w:hAnsi="宋体"/>
                <w:sz w:val="24"/>
                <w:highlight w:val="none"/>
              </w:rPr>
            </w:pPr>
            <w:r>
              <w:rPr>
                <w:rFonts w:hint="eastAsia" w:ascii="宋体" w:hAnsi="宋体"/>
                <w:sz w:val="24"/>
                <w:highlight w:val="none"/>
              </w:rPr>
              <w:t>不召开</w:t>
            </w:r>
          </w:p>
        </w:tc>
      </w:tr>
      <w:tr w14:paraId="7FF43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348889D5">
            <w:pPr>
              <w:spacing w:line="360" w:lineRule="auto"/>
              <w:jc w:val="center"/>
              <w:rPr>
                <w:rFonts w:ascii="宋体" w:hAnsi="宋体"/>
                <w:sz w:val="24"/>
                <w:highlight w:val="none"/>
              </w:rPr>
            </w:pPr>
            <w:r>
              <w:rPr>
                <w:rFonts w:hint="eastAsia" w:ascii="宋体" w:hAnsi="宋体"/>
                <w:sz w:val="24"/>
                <w:highlight w:val="none"/>
              </w:rPr>
              <w:t>2.4</w:t>
            </w:r>
          </w:p>
        </w:tc>
        <w:tc>
          <w:tcPr>
            <w:tcW w:w="1985" w:type="dxa"/>
            <w:vAlign w:val="center"/>
          </w:tcPr>
          <w:p w14:paraId="40180A77">
            <w:pPr>
              <w:spacing w:line="360" w:lineRule="auto"/>
              <w:jc w:val="center"/>
              <w:rPr>
                <w:rFonts w:ascii="宋体" w:hAnsi="宋体"/>
                <w:sz w:val="24"/>
                <w:highlight w:val="none"/>
              </w:rPr>
            </w:pPr>
            <w:r>
              <w:rPr>
                <w:rFonts w:hint="eastAsia" w:ascii="宋体" w:hAnsi="宋体"/>
                <w:sz w:val="24"/>
                <w:highlight w:val="none"/>
              </w:rPr>
              <w:t>磋商响应供应商提出问题的截止时间</w:t>
            </w:r>
          </w:p>
        </w:tc>
        <w:tc>
          <w:tcPr>
            <w:tcW w:w="6192" w:type="dxa"/>
            <w:vAlign w:val="center"/>
          </w:tcPr>
          <w:p w14:paraId="2A3BC4E6">
            <w:pPr>
              <w:spacing w:line="360" w:lineRule="auto"/>
              <w:rPr>
                <w:rFonts w:ascii="宋体" w:hAnsi="宋体"/>
                <w:sz w:val="24"/>
                <w:highlight w:val="none"/>
              </w:rPr>
            </w:pPr>
            <w:r>
              <w:rPr>
                <w:rFonts w:hint="eastAsia" w:ascii="宋体" w:hAnsi="宋体"/>
                <w:sz w:val="24"/>
                <w:highlight w:val="none"/>
              </w:rPr>
              <w:t>递交磋商响应文件截止之日</w:t>
            </w:r>
            <w:r>
              <w:rPr>
                <w:rFonts w:hint="eastAsia" w:ascii="宋体" w:hAnsi="宋体"/>
                <w:sz w:val="24"/>
                <w:highlight w:val="none"/>
                <w:lang w:val="en-US" w:eastAsia="zh-CN"/>
              </w:rPr>
              <w:t>5</w:t>
            </w:r>
            <w:r>
              <w:rPr>
                <w:rFonts w:hint="eastAsia" w:ascii="宋体" w:hAnsi="宋体"/>
                <w:sz w:val="24"/>
                <w:highlight w:val="none"/>
              </w:rPr>
              <w:t>日前</w:t>
            </w:r>
          </w:p>
        </w:tc>
      </w:tr>
      <w:tr w14:paraId="07408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7D5A747E">
            <w:pPr>
              <w:spacing w:line="360" w:lineRule="auto"/>
              <w:jc w:val="center"/>
              <w:rPr>
                <w:rFonts w:ascii="宋体" w:hAnsi="宋体"/>
                <w:sz w:val="24"/>
                <w:highlight w:val="none"/>
              </w:rPr>
            </w:pPr>
            <w:r>
              <w:rPr>
                <w:rFonts w:hint="eastAsia" w:ascii="宋体" w:hAnsi="宋体"/>
                <w:sz w:val="24"/>
                <w:highlight w:val="none"/>
              </w:rPr>
              <w:t>2.5</w:t>
            </w:r>
          </w:p>
        </w:tc>
        <w:tc>
          <w:tcPr>
            <w:tcW w:w="1985" w:type="dxa"/>
            <w:vAlign w:val="center"/>
          </w:tcPr>
          <w:p w14:paraId="277E84AE">
            <w:pPr>
              <w:spacing w:line="360" w:lineRule="auto"/>
              <w:rPr>
                <w:rFonts w:ascii="宋体" w:hAnsi="宋体"/>
                <w:sz w:val="24"/>
                <w:highlight w:val="none"/>
              </w:rPr>
            </w:pPr>
            <w:r>
              <w:rPr>
                <w:rFonts w:hint="eastAsia" w:ascii="宋体" w:hAnsi="宋体"/>
                <w:sz w:val="24"/>
                <w:highlight w:val="none"/>
              </w:rPr>
              <w:t>采购人书面澄清的时间</w:t>
            </w:r>
          </w:p>
        </w:tc>
        <w:tc>
          <w:tcPr>
            <w:tcW w:w="6192" w:type="dxa"/>
            <w:vAlign w:val="center"/>
          </w:tcPr>
          <w:p w14:paraId="59F1D9A1">
            <w:pPr>
              <w:spacing w:line="360" w:lineRule="auto"/>
              <w:rPr>
                <w:rFonts w:ascii="宋体" w:hAnsi="宋体"/>
                <w:sz w:val="24"/>
                <w:highlight w:val="none"/>
              </w:rPr>
            </w:pPr>
            <w:r>
              <w:rPr>
                <w:rFonts w:hint="eastAsia" w:ascii="宋体" w:hAnsi="宋体"/>
                <w:sz w:val="24"/>
                <w:highlight w:val="none"/>
              </w:rPr>
              <w:t>递交磋商响应文件截止之日</w:t>
            </w:r>
            <w:r>
              <w:rPr>
                <w:rFonts w:hint="eastAsia" w:ascii="宋体" w:hAnsi="宋体"/>
                <w:sz w:val="24"/>
                <w:highlight w:val="none"/>
                <w:lang w:val="en-US" w:eastAsia="zh-CN"/>
              </w:rPr>
              <w:t>5</w:t>
            </w:r>
            <w:r>
              <w:rPr>
                <w:rFonts w:hint="eastAsia" w:ascii="宋体" w:hAnsi="宋体"/>
                <w:sz w:val="24"/>
                <w:highlight w:val="none"/>
              </w:rPr>
              <w:t>日前</w:t>
            </w:r>
          </w:p>
        </w:tc>
      </w:tr>
      <w:tr w14:paraId="0DD6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2AE7C4B3">
            <w:pPr>
              <w:spacing w:line="360" w:lineRule="auto"/>
              <w:jc w:val="center"/>
              <w:rPr>
                <w:rFonts w:ascii="宋体" w:hAnsi="宋体"/>
                <w:sz w:val="24"/>
                <w:highlight w:val="none"/>
              </w:rPr>
            </w:pPr>
            <w:r>
              <w:rPr>
                <w:rFonts w:hint="eastAsia" w:ascii="宋体" w:hAnsi="宋体"/>
                <w:sz w:val="24"/>
                <w:highlight w:val="none"/>
              </w:rPr>
              <w:t>2.6</w:t>
            </w:r>
          </w:p>
        </w:tc>
        <w:tc>
          <w:tcPr>
            <w:tcW w:w="1985" w:type="dxa"/>
            <w:vAlign w:val="center"/>
          </w:tcPr>
          <w:p w14:paraId="06DC9C11">
            <w:pPr>
              <w:spacing w:line="360" w:lineRule="auto"/>
              <w:jc w:val="center"/>
              <w:rPr>
                <w:rFonts w:ascii="宋体" w:hAnsi="宋体"/>
                <w:sz w:val="24"/>
                <w:highlight w:val="none"/>
              </w:rPr>
            </w:pPr>
            <w:r>
              <w:rPr>
                <w:rFonts w:hint="eastAsia" w:ascii="宋体" w:hAnsi="宋体"/>
                <w:sz w:val="24"/>
                <w:highlight w:val="none"/>
              </w:rPr>
              <w:t>偏离</w:t>
            </w:r>
          </w:p>
        </w:tc>
        <w:tc>
          <w:tcPr>
            <w:tcW w:w="6192" w:type="dxa"/>
            <w:vAlign w:val="center"/>
          </w:tcPr>
          <w:p w14:paraId="4AA1BDD7">
            <w:pPr>
              <w:spacing w:line="360" w:lineRule="auto"/>
              <w:jc w:val="left"/>
              <w:rPr>
                <w:rFonts w:ascii="宋体" w:hAnsi="宋体"/>
                <w:sz w:val="24"/>
                <w:highlight w:val="none"/>
              </w:rPr>
            </w:pPr>
            <w:r>
              <w:rPr>
                <w:rFonts w:hint="eastAsia" w:ascii="宋体" w:hAnsi="宋体"/>
                <w:sz w:val="24"/>
                <w:highlight w:val="none"/>
                <w:lang w:val="en-US" w:eastAsia="zh-CN"/>
              </w:rPr>
              <w:t>不</w:t>
            </w:r>
            <w:r>
              <w:rPr>
                <w:rFonts w:hint="eastAsia" w:ascii="宋体" w:hAnsi="宋体"/>
                <w:sz w:val="24"/>
                <w:highlight w:val="none"/>
              </w:rPr>
              <w:t>允许</w:t>
            </w:r>
          </w:p>
        </w:tc>
      </w:tr>
      <w:tr w14:paraId="170B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5D31B1BA">
            <w:pPr>
              <w:spacing w:line="360" w:lineRule="auto"/>
              <w:jc w:val="center"/>
              <w:textAlignment w:val="center"/>
              <w:rPr>
                <w:rFonts w:ascii="宋体" w:hAnsi="宋体"/>
                <w:sz w:val="24"/>
                <w:highlight w:val="none"/>
              </w:rPr>
            </w:pPr>
            <w:r>
              <w:rPr>
                <w:rFonts w:hint="eastAsia" w:ascii="宋体" w:hAnsi="宋体"/>
                <w:sz w:val="24"/>
                <w:highlight w:val="none"/>
              </w:rPr>
              <w:t>2.7</w:t>
            </w:r>
          </w:p>
        </w:tc>
        <w:tc>
          <w:tcPr>
            <w:tcW w:w="1985" w:type="dxa"/>
            <w:vAlign w:val="center"/>
          </w:tcPr>
          <w:p w14:paraId="39ABD120">
            <w:pPr>
              <w:spacing w:line="360" w:lineRule="auto"/>
              <w:jc w:val="center"/>
              <w:rPr>
                <w:rFonts w:ascii="宋体" w:hAnsi="宋体"/>
                <w:sz w:val="24"/>
                <w:highlight w:val="none"/>
              </w:rPr>
            </w:pPr>
            <w:r>
              <w:rPr>
                <w:rFonts w:hint="eastAsia" w:ascii="宋体" w:hAnsi="宋体"/>
                <w:sz w:val="24"/>
                <w:highlight w:val="none"/>
              </w:rPr>
              <w:t>分包</w:t>
            </w:r>
          </w:p>
        </w:tc>
        <w:tc>
          <w:tcPr>
            <w:tcW w:w="6192" w:type="dxa"/>
            <w:vAlign w:val="center"/>
          </w:tcPr>
          <w:p w14:paraId="23EBE341">
            <w:pPr>
              <w:spacing w:line="360" w:lineRule="auto"/>
              <w:jc w:val="left"/>
              <w:rPr>
                <w:rFonts w:ascii="宋体" w:hAnsi="宋体"/>
                <w:sz w:val="24"/>
                <w:highlight w:val="none"/>
              </w:rPr>
            </w:pPr>
            <w:r>
              <w:rPr>
                <w:rFonts w:hint="eastAsia" w:ascii="宋体" w:hAnsi="宋体"/>
                <w:sz w:val="24"/>
                <w:highlight w:val="none"/>
                <w:shd w:val="clear" w:color="auto" w:fill="FFFFFF"/>
              </w:rPr>
              <w:t>不允许</w:t>
            </w:r>
          </w:p>
        </w:tc>
      </w:tr>
      <w:tr w14:paraId="0D959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65F58041">
            <w:pPr>
              <w:spacing w:line="360" w:lineRule="auto"/>
              <w:jc w:val="center"/>
              <w:textAlignment w:val="center"/>
              <w:rPr>
                <w:rFonts w:ascii="宋体" w:hAnsi="宋体"/>
                <w:sz w:val="24"/>
                <w:highlight w:val="none"/>
              </w:rPr>
            </w:pPr>
            <w:r>
              <w:rPr>
                <w:rFonts w:hint="eastAsia" w:ascii="宋体" w:hAnsi="宋体"/>
                <w:sz w:val="24"/>
                <w:highlight w:val="none"/>
              </w:rPr>
              <w:t>2.8</w:t>
            </w:r>
          </w:p>
        </w:tc>
        <w:tc>
          <w:tcPr>
            <w:tcW w:w="1985" w:type="dxa"/>
            <w:vAlign w:val="center"/>
          </w:tcPr>
          <w:p w14:paraId="370ACA3A">
            <w:pPr>
              <w:spacing w:line="360" w:lineRule="auto"/>
              <w:jc w:val="center"/>
              <w:rPr>
                <w:rFonts w:ascii="宋体" w:hAnsi="宋体"/>
                <w:sz w:val="24"/>
                <w:highlight w:val="none"/>
              </w:rPr>
            </w:pPr>
            <w:r>
              <w:rPr>
                <w:rFonts w:hint="eastAsia" w:ascii="宋体" w:hAnsi="宋体"/>
                <w:sz w:val="24"/>
                <w:highlight w:val="none"/>
              </w:rPr>
              <w:t>磋商有效期</w:t>
            </w:r>
          </w:p>
        </w:tc>
        <w:tc>
          <w:tcPr>
            <w:tcW w:w="6192" w:type="dxa"/>
            <w:vAlign w:val="center"/>
          </w:tcPr>
          <w:p w14:paraId="647448AE">
            <w:pPr>
              <w:spacing w:line="360" w:lineRule="auto"/>
              <w:rPr>
                <w:rFonts w:ascii="宋体" w:hAnsi="宋体"/>
                <w:sz w:val="24"/>
                <w:highlight w:val="none"/>
              </w:rPr>
            </w:pPr>
            <w:r>
              <w:rPr>
                <w:rFonts w:ascii="宋体" w:hAnsi="宋体" w:cs="宋体"/>
                <w:sz w:val="24"/>
                <w:highlight w:val="none"/>
              </w:rPr>
              <w:t>60</w:t>
            </w:r>
            <w:r>
              <w:rPr>
                <w:rFonts w:hint="eastAsia" w:ascii="宋体" w:hAnsi="宋体" w:cs="宋体"/>
                <w:sz w:val="24"/>
                <w:highlight w:val="none"/>
              </w:rPr>
              <w:t>日历天</w:t>
            </w:r>
          </w:p>
        </w:tc>
      </w:tr>
      <w:tr w14:paraId="3807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1FCA93F5">
            <w:pPr>
              <w:spacing w:line="360" w:lineRule="auto"/>
              <w:jc w:val="center"/>
              <w:textAlignment w:val="center"/>
              <w:rPr>
                <w:rFonts w:ascii="宋体" w:hAnsi="宋体"/>
                <w:sz w:val="24"/>
                <w:highlight w:val="none"/>
              </w:rPr>
            </w:pPr>
            <w:r>
              <w:rPr>
                <w:rFonts w:hint="eastAsia" w:ascii="宋体" w:hAnsi="宋体"/>
                <w:sz w:val="24"/>
                <w:highlight w:val="none"/>
              </w:rPr>
              <w:t>2.9</w:t>
            </w:r>
          </w:p>
        </w:tc>
        <w:tc>
          <w:tcPr>
            <w:tcW w:w="1985" w:type="dxa"/>
            <w:vAlign w:val="center"/>
          </w:tcPr>
          <w:p w14:paraId="00F0FC70">
            <w:pPr>
              <w:autoSpaceDE w:val="0"/>
              <w:autoSpaceDN w:val="0"/>
              <w:adjustRightInd w:val="0"/>
              <w:spacing w:line="360" w:lineRule="auto"/>
              <w:jc w:val="center"/>
              <w:rPr>
                <w:rFonts w:ascii="宋体" w:hAnsi="宋体" w:cs="仿宋_GB2312"/>
                <w:kern w:val="0"/>
                <w:sz w:val="24"/>
                <w:highlight w:val="none"/>
              </w:rPr>
            </w:pPr>
            <w:r>
              <w:rPr>
                <w:rFonts w:hint="eastAsia" w:ascii="宋体" w:hAnsi="宋体" w:cs="仿宋_GB2312"/>
                <w:kern w:val="0"/>
                <w:sz w:val="24"/>
                <w:highlight w:val="none"/>
              </w:rPr>
              <w:t>供应商确认收到招标文件澄清的时间</w:t>
            </w:r>
          </w:p>
        </w:tc>
        <w:tc>
          <w:tcPr>
            <w:tcW w:w="6192" w:type="dxa"/>
            <w:vAlign w:val="center"/>
          </w:tcPr>
          <w:p w14:paraId="3D3524A2">
            <w:pPr>
              <w:autoSpaceDE w:val="0"/>
              <w:autoSpaceDN w:val="0"/>
              <w:adjustRightInd w:val="0"/>
              <w:spacing w:line="360" w:lineRule="auto"/>
              <w:rPr>
                <w:rFonts w:ascii="宋体" w:hAnsi="宋体"/>
                <w:sz w:val="24"/>
                <w:highlight w:val="none"/>
              </w:rPr>
            </w:pPr>
            <w:r>
              <w:rPr>
                <w:rFonts w:hint="eastAsia" w:ascii="宋体" w:hAnsi="宋体"/>
                <w:sz w:val="24"/>
                <w:highlight w:val="none"/>
              </w:rPr>
              <w:t>自竞争性磋商文件澄清公告在相关网站发布之日起，即为默认收到。</w:t>
            </w:r>
          </w:p>
        </w:tc>
      </w:tr>
      <w:tr w14:paraId="24F31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Align w:val="center"/>
          </w:tcPr>
          <w:p w14:paraId="3E599DF4">
            <w:pPr>
              <w:widowControl/>
              <w:spacing w:line="360" w:lineRule="auto"/>
              <w:jc w:val="center"/>
              <w:rPr>
                <w:rFonts w:ascii="宋体" w:hAnsi="宋体"/>
                <w:kern w:val="0"/>
                <w:sz w:val="24"/>
                <w:highlight w:val="none"/>
              </w:rPr>
            </w:pPr>
            <w:r>
              <w:rPr>
                <w:rFonts w:hint="eastAsia" w:ascii="宋体" w:hAnsi="宋体"/>
                <w:kern w:val="0"/>
                <w:sz w:val="24"/>
                <w:highlight w:val="none"/>
              </w:rPr>
              <w:t>3.0</w:t>
            </w:r>
          </w:p>
        </w:tc>
        <w:tc>
          <w:tcPr>
            <w:tcW w:w="1985" w:type="dxa"/>
            <w:vAlign w:val="center"/>
          </w:tcPr>
          <w:p w14:paraId="6604D92F">
            <w:pPr>
              <w:autoSpaceDE w:val="0"/>
              <w:autoSpaceDN w:val="0"/>
              <w:adjustRightInd w:val="0"/>
              <w:spacing w:line="360" w:lineRule="auto"/>
              <w:jc w:val="center"/>
              <w:rPr>
                <w:rFonts w:ascii="宋体" w:hAnsi="宋体" w:cs="仿宋_GB2312"/>
                <w:kern w:val="0"/>
                <w:sz w:val="24"/>
                <w:highlight w:val="none"/>
              </w:rPr>
            </w:pPr>
            <w:r>
              <w:rPr>
                <w:rFonts w:hint="eastAsia" w:ascii="宋体" w:hAnsi="宋体" w:cs="仿宋_GB2312"/>
                <w:kern w:val="0"/>
                <w:sz w:val="24"/>
                <w:highlight w:val="none"/>
              </w:rPr>
              <w:t>供应商确认收到招标文件修改的时间</w:t>
            </w:r>
          </w:p>
        </w:tc>
        <w:tc>
          <w:tcPr>
            <w:tcW w:w="6192" w:type="dxa"/>
            <w:vAlign w:val="center"/>
          </w:tcPr>
          <w:p w14:paraId="6C91533F">
            <w:pPr>
              <w:autoSpaceDE w:val="0"/>
              <w:autoSpaceDN w:val="0"/>
              <w:adjustRightInd w:val="0"/>
              <w:spacing w:line="360" w:lineRule="auto"/>
              <w:rPr>
                <w:rFonts w:ascii="宋体" w:hAnsi="宋体"/>
                <w:sz w:val="24"/>
                <w:highlight w:val="none"/>
              </w:rPr>
            </w:pPr>
            <w:r>
              <w:rPr>
                <w:rFonts w:hint="eastAsia" w:ascii="宋体" w:hAnsi="宋体"/>
                <w:sz w:val="24"/>
                <w:highlight w:val="none"/>
              </w:rPr>
              <w:t>自竞争性磋商文件修改公告在相关网站发布之日起，即为默认收到。</w:t>
            </w:r>
          </w:p>
        </w:tc>
      </w:tr>
      <w:tr w14:paraId="1EBB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7619793C">
            <w:pPr>
              <w:spacing w:line="360" w:lineRule="auto"/>
              <w:jc w:val="center"/>
              <w:textAlignment w:val="center"/>
              <w:rPr>
                <w:rFonts w:ascii="宋体" w:hAnsi="宋体"/>
                <w:sz w:val="24"/>
                <w:highlight w:val="none"/>
              </w:rPr>
            </w:pPr>
            <w:r>
              <w:rPr>
                <w:rFonts w:hint="eastAsia" w:ascii="宋体" w:hAnsi="宋体"/>
                <w:kern w:val="0"/>
                <w:sz w:val="24"/>
                <w:highlight w:val="none"/>
              </w:rPr>
              <w:t>3.1</w:t>
            </w:r>
          </w:p>
        </w:tc>
        <w:tc>
          <w:tcPr>
            <w:tcW w:w="1985" w:type="dxa"/>
          </w:tcPr>
          <w:p w14:paraId="17AB0006">
            <w:pPr>
              <w:spacing w:line="360" w:lineRule="auto"/>
              <w:jc w:val="both"/>
              <w:rPr>
                <w:rFonts w:ascii="宋体" w:hAnsi="宋体"/>
                <w:sz w:val="24"/>
                <w:highlight w:val="none"/>
              </w:rPr>
            </w:pPr>
          </w:p>
          <w:p w14:paraId="5E7D6793">
            <w:pPr>
              <w:spacing w:line="360" w:lineRule="auto"/>
              <w:jc w:val="center"/>
              <w:rPr>
                <w:rFonts w:ascii="宋体" w:hAnsi="宋体" w:cs="宋体"/>
                <w:sz w:val="24"/>
                <w:highlight w:val="none"/>
              </w:rPr>
            </w:pPr>
            <w:r>
              <w:rPr>
                <w:rFonts w:hint="eastAsia" w:ascii="宋体" w:hAnsi="宋体"/>
                <w:sz w:val="24"/>
                <w:highlight w:val="none"/>
              </w:rPr>
              <w:t>签字和（或）盖章要求</w:t>
            </w:r>
          </w:p>
        </w:tc>
        <w:tc>
          <w:tcPr>
            <w:tcW w:w="6192" w:type="dxa"/>
          </w:tcPr>
          <w:p w14:paraId="2270274B">
            <w:pPr>
              <w:spacing w:line="360" w:lineRule="auto"/>
              <w:rPr>
                <w:rFonts w:ascii="宋体" w:hAnsi="宋体"/>
                <w:sz w:val="24"/>
                <w:highlight w:val="none"/>
              </w:rPr>
            </w:pPr>
            <w:r>
              <w:rPr>
                <w:rFonts w:hint="eastAsia" w:ascii="宋体" w:hAnsi="宋体"/>
                <w:sz w:val="24"/>
                <w:highlight w:val="none"/>
              </w:rPr>
              <w:t>1、供应商在生成电子化响应文件后，应对电子化响应文件进行签章，未对电子化文件进行签章的视为无效投标。</w:t>
            </w:r>
          </w:p>
          <w:p w14:paraId="3B467F94">
            <w:pPr>
              <w:pStyle w:val="11"/>
              <w:topLinePunct/>
              <w:spacing w:line="360" w:lineRule="auto"/>
              <w:rPr>
                <w:rFonts w:hAnsi="宋体" w:cs="宋体"/>
                <w:szCs w:val="24"/>
                <w:highlight w:val="none"/>
              </w:rPr>
            </w:pPr>
            <w:r>
              <w:rPr>
                <w:rFonts w:hint="eastAsia" w:hAnsi="宋体"/>
                <w:szCs w:val="24"/>
                <w:highlight w:val="none"/>
              </w:rPr>
              <w:t>2、磋商文件中要求</w:t>
            </w:r>
            <w:r>
              <w:rPr>
                <w:rFonts w:hint="eastAsia" w:hAnsi="宋体"/>
                <w:bCs/>
                <w:szCs w:val="24"/>
                <w:highlight w:val="none"/>
              </w:rPr>
              <w:t>法定代表人或授权委托人签字或盖章的，</w:t>
            </w:r>
            <w:r>
              <w:rPr>
                <w:rFonts w:hint="eastAsia" w:hAnsi="宋体"/>
                <w:szCs w:val="24"/>
                <w:highlight w:val="none"/>
              </w:rPr>
              <w:t>供应商在进行</w:t>
            </w:r>
            <w:r>
              <w:rPr>
                <w:rFonts w:hint="eastAsia" w:hAnsi="宋体"/>
                <w:bCs/>
                <w:szCs w:val="24"/>
                <w:highlight w:val="none"/>
              </w:rPr>
              <w:t>电子化响应文件签章时，以签盖法定代表人电子签章为准</w:t>
            </w:r>
            <w:r>
              <w:rPr>
                <w:rFonts w:hint="eastAsia" w:hAnsi="宋体"/>
                <w:szCs w:val="24"/>
                <w:highlight w:val="none"/>
              </w:rPr>
              <w:t>。</w:t>
            </w:r>
          </w:p>
        </w:tc>
      </w:tr>
      <w:tr w14:paraId="0B6B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2C5DDC5C">
            <w:pPr>
              <w:widowControl/>
              <w:spacing w:line="360" w:lineRule="auto"/>
              <w:jc w:val="center"/>
              <w:rPr>
                <w:rFonts w:ascii="宋体"/>
                <w:kern w:val="0"/>
                <w:sz w:val="24"/>
                <w:highlight w:val="none"/>
              </w:rPr>
            </w:pPr>
            <w:r>
              <w:rPr>
                <w:rFonts w:ascii="宋体" w:hAnsi="宋体"/>
                <w:kern w:val="0"/>
                <w:sz w:val="24"/>
                <w:highlight w:val="none"/>
              </w:rPr>
              <w:t>3.</w:t>
            </w:r>
            <w:r>
              <w:rPr>
                <w:rFonts w:hint="eastAsia" w:ascii="宋体" w:hAnsi="宋体"/>
                <w:kern w:val="0"/>
                <w:sz w:val="24"/>
                <w:highlight w:val="none"/>
              </w:rPr>
              <w:t>2</w:t>
            </w:r>
          </w:p>
        </w:tc>
        <w:tc>
          <w:tcPr>
            <w:tcW w:w="1985" w:type="dxa"/>
            <w:vAlign w:val="center"/>
          </w:tcPr>
          <w:p w14:paraId="479C80E5">
            <w:pPr>
              <w:pStyle w:val="17"/>
              <w:spacing w:before="1" w:line="360" w:lineRule="auto"/>
              <w:ind w:left="107"/>
              <w:jc w:val="center"/>
              <w:rPr>
                <w:sz w:val="24"/>
                <w:highlight w:val="none"/>
              </w:rPr>
            </w:pPr>
            <w:r>
              <w:rPr>
                <w:rFonts w:hint="eastAsia"/>
                <w:sz w:val="24"/>
                <w:highlight w:val="none"/>
              </w:rPr>
              <w:t>磋商响应文件份数</w:t>
            </w:r>
          </w:p>
        </w:tc>
        <w:tc>
          <w:tcPr>
            <w:tcW w:w="6192" w:type="dxa"/>
          </w:tcPr>
          <w:p w14:paraId="6684474B">
            <w:pPr>
              <w:pStyle w:val="18"/>
              <w:spacing w:line="360" w:lineRule="auto"/>
              <w:rPr>
                <w:highlight w:val="none"/>
              </w:rPr>
            </w:pPr>
            <w:r>
              <w:rPr>
                <w:rFonts w:hint="eastAsia"/>
                <w:highlight w:val="none"/>
              </w:rPr>
              <w:t>1、本项目采用全过程电子化投标，供应商需用 CA 在电子平台上传电子磋商响应文件；</w:t>
            </w:r>
          </w:p>
          <w:p w14:paraId="150ADAD2">
            <w:pPr>
              <w:pStyle w:val="18"/>
              <w:spacing w:line="360" w:lineRule="auto"/>
              <w:rPr>
                <w:highlight w:val="none"/>
              </w:rPr>
            </w:pPr>
            <w:r>
              <w:rPr>
                <w:rFonts w:hint="eastAsia"/>
                <w:highlight w:val="none"/>
              </w:rPr>
              <w:t>2、开标时不再递交纸质磋商响应文件，</w:t>
            </w:r>
            <w:r>
              <w:rPr>
                <w:rFonts w:hint="eastAsia"/>
                <w:bCs/>
                <w:highlight w:val="none"/>
              </w:rPr>
              <w:t>成交单位领取成交通知书时按照采购人要求提交纸质磋商响应文件，</w:t>
            </w:r>
            <w:r>
              <w:rPr>
                <w:rFonts w:hint="eastAsia"/>
                <w:highlight w:val="none"/>
              </w:rPr>
              <w:t>磋商响应文件应按以下要求装订：胶装（不得采用活页装订），应有目录，并逐页标注连续页码，需加盖公章。</w:t>
            </w:r>
          </w:p>
        </w:tc>
      </w:tr>
      <w:tr w14:paraId="1D0D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6F454448">
            <w:pPr>
              <w:widowControl/>
              <w:spacing w:line="360" w:lineRule="auto"/>
              <w:jc w:val="center"/>
              <w:rPr>
                <w:rFonts w:ascii="宋体"/>
                <w:kern w:val="0"/>
                <w:sz w:val="24"/>
                <w:highlight w:val="none"/>
              </w:rPr>
            </w:pPr>
            <w:r>
              <w:rPr>
                <w:rFonts w:ascii="宋体" w:hAnsi="宋体"/>
                <w:kern w:val="0"/>
                <w:sz w:val="24"/>
                <w:highlight w:val="none"/>
              </w:rPr>
              <w:t>3.</w:t>
            </w:r>
            <w:r>
              <w:rPr>
                <w:rFonts w:hint="eastAsia" w:ascii="宋体" w:hAnsi="宋体"/>
                <w:kern w:val="0"/>
                <w:sz w:val="24"/>
                <w:highlight w:val="none"/>
              </w:rPr>
              <w:t>3</w:t>
            </w:r>
          </w:p>
        </w:tc>
        <w:tc>
          <w:tcPr>
            <w:tcW w:w="1985" w:type="dxa"/>
            <w:vAlign w:val="center"/>
          </w:tcPr>
          <w:p w14:paraId="1417D2EE">
            <w:pPr>
              <w:spacing w:line="360" w:lineRule="auto"/>
              <w:rPr>
                <w:rFonts w:ascii="宋体" w:hAnsi="宋体"/>
                <w:sz w:val="24"/>
                <w:highlight w:val="none"/>
              </w:rPr>
            </w:pPr>
            <w:r>
              <w:rPr>
                <w:rFonts w:hint="eastAsia" w:ascii="宋体" w:hAnsi="宋体"/>
                <w:sz w:val="24"/>
                <w:highlight w:val="none"/>
              </w:rPr>
              <w:t>递交磋商响应文件截止时间及开标时间和开评标地点</w:t>
            </w:r>
          </w:p>
        </w:tc>
        <w:tc>
          <w:tcPr>
            <w:tcW w:w="6192" w:type="dxa"/>
            <w:vAlign w:val="center"/>
          </w:tcPr>
          <w:p w14:paraId="4918FF9F">
            <w:pPr>
              <w:spacing w:line="360" w:lineRule="auto"/>
              <w:rPr>
                <w:rFonts w:hint="eastAsia" w:ascii="宋体" w:hAnsi="宋体" w:cs="宋体" w:eastAsiaTheme="minorEastAsia"/>
                <w:sz w:val="24"/>
                <w:highlight w:val="none"/>
                <w:lang w:eastAsia="zh-CN"/>
              </w:rPr>
            </w:pPr>
            <w:r>
              <w:rPr>
                <w:rFonts w:hint="eastAsia" w:ascii="宋体" w:hAnsi="宋体" w:cs="宋体"/>
                <w:sz w:val="24"/>
                <w:highlight w:val="none"/>
              </w:rPr>
              <w:t>递交截止时间</w:t>
            </w:r>
            <w:r>
              <w:rPr>
                <w:rFonts w:hint="eastAsia" w:ascii="宋体" w:hAnsi="宋体"/>
                <w:sz w:val="24"/>
                <w:highlight w:val="none"/>
              </w:rPr>
              <w:t>及开标时间</w:t>
            </w:r>
            <w:r>
              <w:rPr>
                <w:rFonts w:hint="eastAsia" w:ascii="宋体" w:hAnsi="宋体" w:cs="宋体"/>
                <w:sz w:val="24"/>
                <w:highlight w:val="none"/>
              </w:rPr>
              <w:t>：</w:t>
            </w:r>
            <w:r>
              <w:rPr>
                <w:rFonts w:hint="eastAsia" w:ascii="宋体" w:hAnsi="宋体" w:cs="宋体"/>
                <w:bCs/>
                <w:sz w:val="24"/>
                <w:highlight w:val="none"/>
                <w:lang w:eastAsia="zh-CN"/>
              </w:rPr>
              <w:t>2026年08月</w:t>
            </w:r>
            <w:r>
              <w:rPr>
                <w:rFonts w:hint="eastAsia" w:ascii="宋体" w:hAnsi="宋体" w:cs="宋体"/>
                <w:bCs/>
                <w:sz w:val="24"/>
                <w:highlight w:val="none"/>
                <w:lang w:val="en-US" w:eastAsia="zh-CN"/>
              </w:rPr>
              <w:t>31</w:t>
            </w:r>
            <w:r>
              <w:rPr>
                <w:rFonts w:hint="eastAsia" w:ascii="宋体" w:hAnsi="宋体" w:cs="宋体"/>
                <w:bCs/>
                <w:sz w:val="24"/>
                <w:highlight w:val="none"/>
                <w:lang w:eastAsia="zh-CN"/>
              </w:rPr>
              <w:t>日08时20分</w:t>
            </w:r>
          </w:p>
          <w:p w14:paraId="1FA015EE">
            <w:pPr>
              <w:spacing w:beforeLines="50" w:line="360" w:lineRule="auto"/>
              <w:rPr>
                <w:rFonts w:ascii="宋体" w:hAnsi="宋体" w:cs="宋体"/>
                <w:sz w:val="24"/>
                <w:highlight w:val="none"/>
              </w:rPr>
            </w:pPr>
            <w:r>
              <w:rPr>
                <w:rFonts w:hint="eastAsia" w:ascii="宋体" w:hAnsi="宋体" w:cs="宋体"/>
                <w:sz w:val="24"/>
                <w:highlight w:val="none"/>
              </w:rPr>
              <w:t>递交地点：三门峡市公共资源交易中心平台网上上传递交，由供应商在规定时间远程解密。</w:t>
            </w:r>
          </w:p>
          <w:p w14:paraId="32D18CF0">
            <w:pPr>
              <w:pStyle w:val="14"/>
              <w:shd w:val="clear" w:color="auto" w:fill="FFFFFF"/>
              <w:spacing w:line="360" w:lineRule="auto"/>
              <w:jc w:val="both"/>
              <w:rPr>
                <w:rFonts w:ascii="宋体" w:hAnsi="宋体" w:cs="宋体"/>
                <w:kern w:val="2"/>
                <w:highlight w:val="none"/>
              </w:rPr>
            </w:pPr>
            <w:r>
              <w:rPr>
                <w:rFonts w:hint="eastAsia" w:ascii="宋体" w:hAnsi="宋体" w:cs="宋体"/>
                <w:kern w:val="2"/>
                <w:highlight w:val="none"/>
              </w:rPr>
              <w:t>开标地点：</w:t>
            </w:r>
            <w:r>
              <w:rPr>
                <w:rFonts w:hint="eastAsia" w:ascii="宋体" w:hAnsi="宋体" w:cs="宋体"/>
                <w:kern w:val="2"/>
                <w:highlight w:val="none"/>
                <w:lang w:val="en-US" w:eastAsia="zh-CN"/>
              </w:rPr>
              <w:t>陕州区</w:t>
            </w:r>
            <w:r>
              <w:rPr>
                <w:rFonts w:hint="eastAsia" w:ascii="宋体" w:hAnsi="宋体" w:cs="宋体"/>
                <w:kern w:val="2"/>
                <w:highlight w:val="none"/>
              </w:rPr>
              <w:t>公共资源交易中心；</w:t>
            </w:r>
          </w:p>
          <w:p w14:paraId="781A6D5A">
            <w:pPr>
              <w:spacing w:beforeLines="50" w:line="360" w:lineRule="auto"/>
              <w:rPr>
                <w:rFonts w:ascii="宋体" w:hAnsi="宋体"/>
                <w:sz w:val="24"/>
                <w:highlight w:val="none"/>
              </w:rPr>
            </w:pPr>
            <w:r>
              <w:rPr>
                <w:rFonts w:hint="eastAsia" w:ascii="宋体" w:hAnsi="宋体" w:cs="宋体"/>
                <w:sz w:val="24"/>
                <w:szCs w:val="24"/>
                <w:highlight w:val="none"/>
              </w:rPr>
              <w:t>评</w:t>
            </w:r>
            <w:r>
              <w:rPr>
                <w:rFonts w:hint="eastAsia" w:ascii="宋体" w:hAnsi="宋体" w:cs="宋体" w:eastAsiaTheme="minorEastAsia"/>
                <w:kern w:val="2"/>
                <w:sz w:val="24"/>
                <w:szCs w:val="24"/>
                <w:highlight w:val="none"/>
                <w:lang w:val="en-US" w:eastAsia="zh-CN" w:bidi="ar-SA"/>
              </w:rPr>
              <w:t>标地点：陕州区公共资源交易中心。</w:t>
            </w:r>
          </w:p>
        </w:tc>
      </w:tr>
      <w:tr w14:paraId="04353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00C07458">
            <w:pPr>
              <w:widowControl/>
              <w:spacing w:line="360" w:lineRule="auto"/>
              <w:jc w:val="center"/>
              <w:rPr>
                <w:rFonts w:ascii="宋体" w:hAnsi="宋体"/>
                <w:kern w:val="0"/>
                <w:sz w:val="24"/>
                <w:highlight w:val="none"/>
              </w:rPr>
            </w:pPr>
            <w:r>
              <w:rPr>
                <w:rFonts w:hint="eastAsia" w:ascii="宋体" w:hAnsi="宋体"/>
                <w:kern w:val="0"/>
                <w:sz w:val="24"/>
                <w:highlight w:val="none"/>
              </w:rPr>
              <w:t>3.4</w:t>
            </w:r>
          </w:p>
        </w:tc>
        <w:tc>
          <w:tcPr>
            <w:tcW w:w="1985" w:type="dxa"/>
            <w:vAlign w:val="center"/>
          </w:tcPr>
          <w:p w14:paraId="1E4B0098">
            <w:pPr>
              <w:spacing w:line="360" w:lineRule="auto"/>
              <w:jc w:val="center"/>
              <w:textAlignment w:val="center"/>
              <w:rPr>
                <w:rFonts w:ascii="宋体" w:hAnsi="宋体"/>
                <w:sz w:val="24"/>
                <w:highlight w:val="none"/>
              </w:rPr>
            </w:pPr>
            <w:r>
              <w:rPr>
                <w:rFonts w:hint="eastAsia" w:ascii="宋体" w:hAnsi="宋体"/>
                <w:sz w:val="24"/>
                <w:highlight w:val="none"/>
              </w:rPr>
              <w:t>是否退还磋商响应文件</w:t>
            </w:r>
          </w:p>
        </w:tc>
        <w:tc>
          <w:tcPr>
            <w:tcW w:w="6192" w:type="dxa"/>
            <w:vAlign w:val="center"/>
          </w:tcPr>
          <w:p w14:paraId="5F9AB835">
            <w:pPr>
              <w:spacing w:line="360" w:lineRule="auto"/>
              <w:textAlignment w:val="center"/>
              <w:rPr>
                <w:rFonts w:ascii="宋体" w:hAnsi="宋体"/>
                <w:sz w:val="24"/>
                <w:highlight w:val="none"/>
              </w:rPr>
            </w:pPr>
            <w:r>
              <w:rPr>
                <w:rFonts w:hint="eastAsia" w:ascii="宋体" w:hAnsi="宋体"/>
                <w:sz w:val="24"/>
                <w:highlight w:val="none"/>
              </w:rPr>
              <w:t>否</w:t>
            </w:r>
          </w:p>
        </w:tc>
      </w:tr>
      <w:tr w14:paraId="1628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93" w:type="dxa"/>
            <w:vAlign w:val="center"/>
          </w:tcPr>
          <w:p w14:paraId="425B549F">
            <w:pPr>
              <w:widowControl/>
              <w:spacing w:line="360" w:lineRule="auto"/>
              <w:jc w:val="center"/>
              <w:rPr>
                <w:rFonts w:ascii="宋体" w:hAnsi="宋体"/>
                <w:kern w:val="0"/>
                <w:sz w:val="24"/>
                <w:highlight w:val="none"/>
              </w:rPr>
            </w:pPr>
            <w:r>
              <w:rPr>
                <w:rFonts w:hint="eastAsia" w:ascii="宋体" w:hAnsi="宋体"/>
                <w:kern w:val="0"/>
                <w:sz w:val="24"/>
                <w:highlight w:val="none"/>
              </w:rPr>
              <w:t>3.5</w:t>
            </w:r>
          </w:p>
        </w:tc>
        <w:tc>
          <w:tcPr>
            <w:tcW w:w="1985" w:type="dxa"/>
            <w:vAlign w:val="center"/>
          </w:tcPr>
          <w:p w14:paraId="5CE1C137">
            <w:pPr>
              <w:widowControl/>
              <w:spacing w:line="360" w:lineRule="auto"/>
              <w:jc w:val="center"/>
              <w:rPr>
                <w:rFonts w:ascii="宋体"/>
                <w:kern w:val="0"/>
                <w:sz w:val="24"/>
                <w:highlight w:val="none"/>
              </w:rPr>
            </w:pPr>
            <w:r>
              <w:rPr>
                <w:rFonts w:hint="eastAsia" w:ascii="宋体" w:hAnsi="宋体"/>
                <w:kern w:val="0"/>
                <w:sz w:val="24"/>
                <w:highlight w:val="none"/>
              </w:rPr>
              <w:t>磋商顺序</w:t>
            </w:r>
          </w:p>
        </w:tc>
        <w:tc>
          <w:tcPr>
            <w:tcW w:w="6192" w:type="dxa"/>
            <w:vAlign w:val="center"/>
          </w:tcPr>
          <w:p w14:paraId="51975B26">
            <w:pPr>
              <w:widowControl/>
              <w:spacing w:line="360" w:lineRule="auto"/>
              <w:jc w:val="left"/>
              <w:rPr>
                <w:rFonts w:ascii="宋体"/>
                <w:kern w:val="0"/>
                <w:sz w:val="24"/>
                <w:highlight w:val="none"/>
              </w:rPr>
            </w:pPr>
            <w:r>
              <w:rPr>
                <w:rFonts w:hint="eastAsia" w:ascii="宋体" w:hAnsi="宋体"/>
                <w:kern w:val="0"/>
                <w:sz w:val="24"/>
                <w:highlight w:val="none"/>
              </w:rPr>
              <w:t>按照上传电子版磋商响应文件的逆顺序。</w:t>
            </w:r>
          </w:p>
        </w:tc>
      </w:tr>
      <w:tr w14:paraId="2FFC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93" w:type="dxa"/>
            <w:vAlign w:val="center"/>
          </w:tcPr>
          <w:p w14:paraId="09C259BF">
            <w:pPr>
              <w:widowControl/>
              <w:spacing w:line="360" w:lineRule="auto"/>
              <w:jc w:val="center"/>
              <w:rPr>
                <w:rFonts w:ascii="宋体" w:hAnsi="宋体"/>
                <w:kern w:val="0"/>
                <w:sz w:val="24"/>
                <w:highlight w:val="none"/>
              </w:rPr>
            </w:pPr>
            <w:r>
              <w:rPr>
                <w:rFonts w:hint="eastAsia" w:ascii="宋体" w:hAnsi="宋体"/>
                <w:kern w:val="0"/>
                <w:sz w:val="24"/>
                <w:highlight w:val="none"/>
              </w:rPr>
              <w:t>3.6</w:t>
            </w:r>
          </w:p>
        </w:tc>
        <w:tc>
          <w:tcPr>
            <w:tcW w:w="1985" w:type="dxa"/>
            <w:vAlign w:val="center"/>
          </w:tcPr>
          <w:p w14:paraId="4D34CFBC">
            <w:pPr>
              <w:widowControl/>
              <w:spacing w:line="360" w:lineRule="auto"/>
              <w:jc w:val="center"/>
              <w:rPr>
                <w:rFonts w:ascii="宋体" w:hAnsi="宋体"/>
                <w:kern w:val="0"/>
                <w:sz w:val="24"/>
                <w:highlight w:val="none"/>
              </w:rPr>
            </w:pPr>
            <w:r>
              <w:rPr>
                <w:rFonts w:hint="eastAsia" w:ascii="宋体" w:hAnsi="宋体"/>
                <w:kern w:val="0"/>
                <w:sz w:val="24"/>
                <w:highlight w:val="none"/>
              </w:rPr>
              <w:t>磋商小组的</w:t>
            </w:r>
          </w:p>
          <w:p w14:paraId="468AB134">
            <w:pPr>
              <w:widowControl/>
              <w:spacing w:line="360" w:lineRule="auto"/>
              <w:jc w:val="center"/>
              <w:rPr>
                <w:rFonts w:ascii="宋体" w:hAnsi="宋体"/>
                <w:kern w:val="0"/>
                <w:sz w:val="24"/>
                <w:highlight w:val="none"/>
              </w:rPr>
            </w:pPr>
            <w:r>
              <w:rPr>
                <w:rFonts w:hint="eastAsia" w:ascii="宋体" w:hAnsi="宋体"/>
                <w:kern w:val="0"/>
                <w:sz w:val="24"/>
                <w:highlight w:val="none"/>
              </w:rPr>
              <w:t>组建</w:t>
            </w:r>
          </w:p>
        </w:tc>
        <w:tc>
          <w:tcPr>
            <w:tcW w:w="6192" w:type="dxa"/>
            <w:vAlign w:val="center"/>
          </w:tcPr>
          <w:p w14:paraId="5CED2D9F">
            <w:pPr>
              <w:widowControl/>
              <w:spacing w:line="360" w:lineRule="auto"/>
              <w:jc w:val="left"/>
              <w:rPr>
                <w:rFonts w:hint="eastAsia" w:ascii="宋体" w:hAnsi="宋体"/>
                <w:kern w:val="0"/>
                <w:sz w:val="24"/>
                <w:highlight w:val="none"/>
              </w:rPr>
            </w:pPr>
            <w:r>
              <w:rPr>
                <w:rFonts w:hint="eastAsia" w:ascii="宋体" w:hAnsi="宋体"/>
                <w:kern w:val="0"/>
                <w:sz w:val="24"/>
                <w:highlight w:val="none"/>
              </w:rPr>
              <w:t>磋商小组构成：3人；</w:t>
            </w:r>
          </w:p>
          <w:p w14:paraId="1E90E09A">
            <w:pPr>
              <w:widowControl/>
              <w:spacing w:line="360" w:lineRule="auto"/>
              <w:jc w:val="left"/>
              <w:rPr>
                <w:rFonts w:hint="eastAsia" w:ascii="宋体" w:hAnsi="宋体"/>
                <w:kern w:val="0"/>
                <w:sz w:val="24"/>
                <w:highlight w:val="none"/>
              </w:rPr>
            </w:pPr>
            <w:r>
              <w:rPr>
                <w:rFonts w:hint="eastAsia" w:ascii="宋体" w:hAnsi="宋体"/>
                <w:kern w:val="0"/>
                <w:sz w:val="24"/>
                <w:highlight w:val="none"/>
              </w:rPr>
              <w:t>其中招标人代表1人，经济、技术类专家2人；</w:t>
            </w:r>
          </w:p>
          <w:p w14:paraId="55F4F55E">
            <w:pPr>
              <w:widowControl/>
              <w:spacing w:line="360" w:lineRule="auto"/>
              <w:jc w:val="left"/>
              <w:rPr>
                <w:rFonts w:ascii="宋体" w:hAnsi="宋体"/>
                <w:kern w:val="0"/>
                <w:sz w:val="24"/>
                <w:highlight w:val="none"/>
              </w:rPr>
            </w:pPr>
            <w:r>
              <w:rPr>
                <w:rFonts w:hint="eastAsia" w:ascii="宋体" w:hAnsi="宋体"/>
                <w:kern w:val="0"/>
                <w:sz w:val="24"/>
                <w:highlight w:val="none"/>
              </w:rPr>
              <w:t>评标专家确定方式：开标当天从河南省政府采购网专家库随机抽取。</w:t>
            </w:r>
          </w:p>
        </w:tc>
      </w:tr>
      <w:tr w14:paraId="5DBA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Align w:val="center"/>
          </w:tcPr>
          <w:p w14:paraId="0C0EED7C">
            <w:pPr>
              <w:widowControl/>
              <w:spacing w:line="360" w:lineRule="auto"/>
              <w:jc w:val="center"/>
              <w:rPr>
                <w:rFonts w:ascii="宋体" w:hAnsi="宋体"/>
                <w:kern w:val="0"/>
                <w:sz w:val="24"/>
                <w:highlight w:val="none"/>
              </w:rPr>
            </w:pPr>
            <w:r>
              <w:rPr>
                <w:rFonts w:hint="eastAsia" w:ascii="宋体" w:hAnsi="宋体"/>
                <w:kern w:val="0"/>
                <w:sz w:val="24"/>
                <w:highlight w:val="none"/>
              </w:rPr>
              <w:t>3.7</w:t>
            </w:r>
          </w:p>
        </w:tc>
        <w:tc>
          <w:tcPr>
            <w:tcW w:w="1985" w:type="dxa"/>
            <w:vAlign w:val="center"/>
          </w:tcPr>
          <w:p w14:paraId="1C8E36FA">
            <w:pPr>
              <w:widowControl/>
              <w:spacing w:line="360" w:lineRule="auto"/>
              <w:jc w:val="center"/>
              <w:rPr>
                <w:rFonts w:ascii="宋体"/>
                <w:kern w:val="0"/>
                <w:sz w:val="24"/>
                <w:highlight w:val="none"/>
              </w:rPr>
            </w:pPr>
            <w:r>
              <w:rPr>
                <w:rFonts w:hint="eastAsia" w:ascii="宋体" w:hAnsi="宋体"/>
                <w:kern w:val="0"/>
                <w:sz w:val="24"/>
                <w:highlight w:val="none"/>
              </w:rPr>
              <w:t>是否磋商小组确定成交供应商</w:t>
            </w:r>
          </w:p>
        </w:tc>
        <w:tc>
          <w:tcPr>
            <w:tcW w:w="6192" w:type="dxa"/>
            <w:vAlign w:val="center"/>
          </w:tcPr>
          <w:p w14:paraId="7A4F0615">
            <w:pPr>
              <w:widowControl/>
              <w:spacing w:line="360" w:lineRule="auto"/>
              <w:jc w:val="left"/>
              <w:rPr>
                <w:rFonts w:ascii="宋体"/>
                <w:kern w:val="0"/>
                <w:sz w:val="24"/>
                <w:highlight w:val="none"/>
              </w:rPr>
            </w:pPr>
            <w:r>
              <w:rPr>
                <w:rFonts w:hint="eastAsia" w:ascii="宋体" w:hAnsi="宋体"/>
                <w:sz w:val="24"/>
                <w:highlight w:val="none"/>
              </w:rPr>
              <w:t>否，</w:t>
            </w:r>
            <w:r>
              <w:rPr>
                <w:rFonts w:ascii="宋体" w:hAnsi="宋体"/>
                <w:sz w:val="24"/>
                <w:highlight w:val="none"/>
              </w:rPr>
              <w:t>推荐的</w:t>
            </w:r>
            <w:r>
              <w:rPr>
                <w:rFonts w:hint="eastAsia" w:ascii="宋体" w:hAnsi="宋体"/>
                <w:sz w:val="24"/>
                <w:highlight w:val="none"/>
              </w:rPr>
              <w:t>成交</w:t>
            </w:r>
            <w:r>
              <w:rPr>
                <w:rFonts w:ascii="宋体" w:hAnsi="宋体"/>
                <w:sz w:val="24"/>
                <w:highlight w:val="none"/>
              </w:rPr>
              <w:t>候选人数</w:t>
            </w:r>
            <w:r>
              <w:rPr>
                <w:rFonts w:hint="eastAsia" w:ascii="宋体" w:hAnsi="宋体"/>
                <w:sz w:val="24"/>
                <w:highlight w:val="none"/>
              </w:rPr>
              <w:t>：3名，并按得分先后顺序排序。</w:t>
            </w:r>
          </w:p>
        </w:tc>
      </w:tr>
      <w:tr w14:paraId="46590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93" w:type="dxa"/>
            <w:vAlign w:val="center"/>
          </w:tcPr>
          <w:p w14:paraId="05F2712A">
            <w:pPr>
              <w:widowControl/>
              <w:spacing w:line="360" w:lineRule="auto"/>
              <w:jc w:val="center"/>
              <w:rPr>
                <w:rFonts w:ascii="宋体"/>
                <w:kern w:val="0"/>
                <w:sz w:val="24"/>
                <w:highlight w:val="none"/>
              </w:rPr>
            </w:pPr>
            <w:r>
              <w:rPr>
                <w:rFonts w:hint="eastAsia" w:ascii="宋体"/>
                <w:kern w:val="0"/>
                <w:sz w:val="24"/>
                <w:highlight w:val="none"/>
              </w:rPr>
              <w:t>3.8</w:t>
            </w:r>
          </w:p>
        </w:tc>
        <w:tc>
          <w:tcPr>
            <w:tcW w:w="1985" w:type="dxa"/>
            <w:vAlign w:val="center"/>
          </w:tcPr>
          <w:p w14:paraId="137011B9">
            <w:pPr>
              <w:widowControl/>
              <w:spacing w:line="360" w:lineRule="auto"/>
              <w:jc w:val="center"/>
              <w:rPr>
                <w:rFonts w:ascii="宋体" w:hAnsi="宋体"/>
                <w:kern w:val="0"/>
                <w:sz w:val="24"/>
                <w:highlight w:val="none"/>
              </w:rPr>
            </w:pPr>
            <w:r>
              <w:rPr>
                <w:rFonts w:hint="eastAsia" w:ascii="宋体" w:hAnsi="宋体"/>
                <w:kern w:val="0"/>
                <w:sz w:val="24"/>
                <w:highlight w:val="none"/>
              </w:rPr>
              <w:t>履约保证金</w:t>
            </w:r>
          </w:p>
        </w:tc>
        <w:tc>
          <w:tcPr>
            <w:tcW w:w="6192" w:type="dxa"/>
            <w:vAlign w:val="center"/>
          </w:tcPr>
          <w:p w14:paraId="72138B8D">
            <w:pPr>
              <w:widowControl/>
              <w:spacing w:line="360" w:lineRule="auto"/>
              <w:jc w:val="left"/>
              <w:rPr>
                <w:rFonts w:ascii="宋体" w:hAnsi="宋体"/>
                <w:sz w:val="24"/>
                <w:highlight w:val="none"/>
              </w:rPr>
            </w:pPr>
            <w:r>
              <w:rPr>
                <w:rFonts w:hint="eastAsia" w:ascii="宋体" w:hAnsi="宋体"/>
                <w:sz w:val="24"/>
                <w:highlight w:val="none"/>
              </w:rPr>
              <w:t>无</w:t>
            </w:r>
          </w:p>
        </w:tc>
      </w:tr>
      <w:tr w14:paraId="62A58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93" w:type="dxa"/>
            <w:vAlign w:val="center"/>
          </w:tcPr>
          <w:p w14:paraId="0C764697">
            <w:pPr>
              <w:widowControl/>
              <w:spacing w:line="360" w:lineRule="auto"/>
              <w:jc w:val="center"/>
              <w:rPr>
                <w:rFonts w:ascii="宋体"/>
                <w:kern w:val="0"/>
                <w:sz w:val="24"/>
                <w:highlight w:val="none"/>
              </w:rPr>
            </w:pPr>
            <w:r>
              <w:rPr>
                <w:rFonts w:hint="eastAsia" w:ascii="宋体"/>
                <w:kern w:val="0"/>
                <w:sz w:val="24"/>
                <w:highlight w:val="none"/>
              </w:rPr>
              <w:t>3.9</w:t>
            </w:r>
          </w:p>
        </w:tc>
        <w:tc>
          <w:tcPr>
            <w:tcW w:w="1985" w:type="dxa"/>
            <w:vAlign w:val="center"/>
          </w:tcPr>
          <w:p w14:paraId="1DA1A74B">
            <w:pPr>
              <w:widowControl/>
              <w:spacing w:line="360" w:lineRule="auto"/>
              <w:jc w:val="center"/>
              <w:rPr>
                <w:rFonts w:hint="default" w:ascii="宋体" w:hAnsi="宋体" w:eastAsiaTheme="minorEastAsia"/>
                <w:sz w:val="24"/>
                <w:highlight w:val="none"/>
                <w:lang w:val="en-US" w:eastAsia="zh-CN"/>
              </w:rPr>
            </w:pPr>
            <w:r>
              <w:rPr>
                <w:rFonts w:hint="eastAsia" w:ascii="宋体" w:hAnsi="宋体"/>
                <w:sz w:val="24"/>
                <w:highlight w:val="none"/>
                <w:lang w:val="en-US" w:eastAsia="zh-CN"/>
              </w:rPr>
              <w:t>财务状况要求</w:t>
            </w:r>
          </w:p>
        </w:tc>
        <w:tc>
          <w:tcPr>
            <w:tcW w:w="6192" w:type="dxa"/>
            <w:vAlign w:val="center"/>
          </w:tcPr>
          <w:p w14:paraId="1D83CE06">
            <w:pPr>
              <w:widowControl/>
              <w:spacing w:line="360" w:lineRule="auto"/>
              <w:jc w:val="left"/>
              <w:rPr>
                <w:rFonts w:ascii="宋体" w:hAnsi="宋体"/>
                <w:sz w:val="24"/>
                <w:highlight w:val="none"/>
              </w:rPr>
            </w:pPr>
            <w:r>
              <w:rPr>
                <w:rFonts w:hint="eastAsia" w:ascii="宋体" w:hAnsi="宋体" w:cs="宋体"/>
                <w:spacing w:val="8"/>
                <w:sz w:val="24"/>
                <w:highlight w:val="none"/>
              </w:rPr>
              <w:t>202</w:t>
            </w:r>
            <w:r>
              <w:rPr>
                <w:rFonts w:hint="eastAsia" w:ascii="宋体" w:hAnsi="宋体" w:cs="宋体"/>
                <w:spacing w:val="8"/>
                <w:sz w:val="24"/>
                <w:highlight w:val="none"/>
                <w:lang w:val="en-US" w:eastAsia="zh-CN"/>
              </w:rPr>
              <w:t>3</w:t>
            </w:r>
            <w:r>
              <w:rPr>
                <w:rFonts w:hint="eastAsia" w:ascii="宋体" w:hAnsi="宋体" w:cs="宋体"/>
                <w:spacing w:val="8"/>
                <w:sz w:val="24"/>
                <w:highlight w:val="none"/>
              </w:rPr>
              <w:t>、202</w:t>
            </w:r>
            <w:r>
              <w:rPr>
                <w:rFonts w:hint="eastAsia" w:ascii="宋体" w:hAnsi="宋体" w:cs="宋体"/>
                <w:spacing w:val="8"/>
                <w:sz w:val="24"/>
                <w:highlight w:val="none"/>
                <w:lang w:val="en-US" w:eastAsia="zh-CN"/>
              </w:rPr>
              <w:t>4</w:t>
            </w:r>
            <w:r>
              <w:rPr>
                <w:rFonts w:hint="eastAsia" w:ascii="宋体" w:hAnsi="宋体" w:cs="宋体"/>
                <w:spacing w:val="8"/>
                <w:sz w:val="24"/>
                <w:highlight w:val="none"/>
              </w:rPr>
              <w:t>、202</w:t>
            </w:r>
            <w:r>
              <w:rPr>
                <w:rFonts w:hint="eastAsia" w:ascii="宋体" w:hAnsi="宋体" w:cs="宋体"/>
                <w:spacing w:val="8"/>
                <w:sz w:val="24"/>
                <w:highlight w:val="none"/>
                <w:lang w:val="en-US" w:eastAsia="zh-CN"/>
              </w:rPr>
              <w:t>5</w:t>
            </w:r>
            <w:r>
              <w:rPr>
                <w:rFonts w:hint="eastAsia" w:ascii="宋体" w:hAnsi="宋体" w:cs="宋体"/>
                <w:spacing w:val="8"/>
                <w:sz w:val="24"/>
                <w:highlight w:val="none"/>
              </w:rPr>
              <w:t>年度（新办企业以企业注册成立之日起提供），应附经会计师事务所或审计机构审计的审计报告，包括资产负债表、现金流量表、利润表和财务情况说明书的原件扫描件。</w:t>
            </w:r>
          </w:p>
        </w:tc>
      </w:tr>
      <w:tr w14:paraId="3D54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93" w:type="dxa"/>
            <w:vAlign w:val="center"/>
          </w:tcPr>
          <w:p w14:paraId="6848E7AA">
            <w:pPr>
              <w:widowControl/>
              <w:spacing w:line="360" w:lineRule="auto"/>
              <w:jc w:val="center"/>
              <w:rPr>
                <w:rFonts w:ascii="宋体"/>
                <w:kern w:val="0"/>
                <w:sz w:val="24"/>
                <w:highlight w:val="none"/>
              </w:rPr>
            </w:pPr>
            <w:r>
              <w:rPr>
                <w:rFonts w:hint="eastAsia" w:ascii="宋体"/>
                <w:kern w:val="0"/>
                <w:sz w:val="24"/>
                <w:highlight w:val="none"/>
              </w:rPr>
              <w:t>4.0</w:t>
            </w:r>
          </w:p>
        </w:tc>
        <w:tc>
          <w:tcPr>
            <w:tcW w:w="1985" w:type="dxa"/>
            <w:vAlign w:val="center"/>
          </w:tcPr>
          <w:p w14:paraId="0A110236">
            <w:pPr>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采购标的所属行业</w:t>
            </w:r>
          </w:p>
        </w:tc>
        <w:tc>
          <w:tcPr>
            <w:tcW w:w="6192" w:type="dxa"/>
            <w:vAlign w:val="center"/>
          </w:tcPr>
          <w:p w14:paraId="359A8981">
            <w:pPr>
              <w:spacing w:line="360" w:lineRule="auto"/>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采购标的所属行业：其他未列明行业</w:t>
            </w:r>
          </w:p>
          <w:p w14:paraId="3A11629A">
            <w:pPr>
              <w:tabs>
                <w:tab w:val="left" w:pos="2644"/>
              </w:tabs>
              <w:spacing w:line="360" w:lineRule="auto"/>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划定标准为：《工业和信息化部、国家统计局、国家发展和改革委员会、财政部关于印发&lt;中小企业划型标准规定的通知&gt;（工信部联企业〔2011〕300号）规定的划分标准为依据。</w:t>
            </w:r>
          </w:p>
        </w:tc>
      </w:tr>
      <w:tr w14:paraId="6456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93" w:type="dxa"/>
            <w:vAlign w:val="center"/>
          </w:tcPr>
          <w:p w14:paraId="2F5918CF">
            <w:pPr>
              <w:widowControl/>
              <w:spacing w:line="360" w:lineRule="auto"/>
              <w:jc w:val="center"/>
              <w:rPr>
                <w:rFonts w:ascii="宋体"/>
                <w:kern w:val="0"/>
                <w:sz w:val="24"/>
                <w:highlight w:val="none"/>
              </w:rPr>
            </w:pPr>
            <w:r>
              <w:rPr>
                <w:rFonts w:hint="eastAsia" w:ascii="宋体" w:hAnsi="宋体"/>
                <w:kern w:val="0"/>
                <w:sz w:val="24"/>
                <w:highlight w:val="none"/>
              </w:rPr>
              <w:t>4.1</w:t>
            </w:r>
          </w:p>
        </w:tc>
        <w:tc>
          <w:tcPr>
            <w:tcW w:w="1985" w:type="dxa"/>
            <w:vAlign w:val="center"/>
          </w:tcPr>
          <w:p w14:paraId="210633B8">
            <w:pPr>
              <w:widowControl/>
              <w:spacing w:line="360" w:lineRule="auto"/>
              <w:jc w:val="center"/>
              <w:rPr>
                <w:rFonts w:ascii="宋体"/>
                <w:kern w:val="0"/>
                <w:sz w:val="24"/>
                <w:highlight w:val="none"/>
              </w:rPr>
            </w:pPr>
            <w:r>
              <w:rPr>
                <w:rFonts w:hint="eastAsia" w:ascii="宋体" w:hAnsi="宋体"/>
                <w:sz w:val="24"/>
                <w:highlight w:val="none"/>
              </w:rPr>
              <w:t>招标代理服务费</w:t>
            </w:r>
          </w:p>
        </w:tc>
        <w:tc>
          <w:tcPr>
            <w:tcW w:w="6192" w:type="dxa"/>
            <w:vAlign w:val="center"/>
          </w:tcPr>
          <w:p w14:paraId="03BBC2E5">
            <w:pPr>
              <w:pStyle w:val="19"/>
              <w:spacing w:line="360" w:lineRule="auto"/>
              <w:ind w:firstLine="117" w:firstLineChars="49"/>
              <w:rPr>
                <w:rFonts w:ascii="宋体"/>
                <w:sz w:val="24"/>
                <w:highlight w:val="none"/>
              </w:rPr>
            </w:pPr>
            <w:r>
              <w:rPr>
                <w:rFonts w:hint="eastAsia" w:ascii="宋体" w:hAnsi="宋体" w:cs="宋体"/>
                <w:bCs/>
                <w:color w:val="000000"/>
                <w:sz w:val="24"/>
                <w:highlight w:val="none"/>
              </w:rPr>
              <w:t>参照豫招协【2023】002号河南省招标投标协会关于印发《河南省招标代理服务收费指导意见》规定的收费标准向成交单位收取成交服务费。</w:t>
            </w:r>
          </w:p>
        </w:tc>
      </w:tr>
      <w:tr w14:paraId="55E4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93" w:type="dxa"/>
            <w:vAlign w:val="center"/>
          </w:tcPr>
          <w:p w14:paraId="7F860BE2">
            <w:pPr>
              <w:widowControl/>
              <w:spacing w:line="360" w:lineRule="auto"/>
              <w:jc w:val="center"/>
              <w:rPr>
                <w:rFonts w:ascii="宋体" w:hAnsi="宋体"/>
                <w:kern w:val="0"/>
                <w:sz w:val="24"/>
                <w:highlight w:val="none"/>
              </w:rPr>
            </w:pPr>
            <w:r>
              <w:rPr>
                <w:rFonts w:hint="eastAsia" w:ascii="宋体" w:hAnsi="宋体"/>
                <w:kern w:val="0"/>
                <w:sz w:val="24"/>
                <w:highlight w:val="none"/>
              </w:rPr>
              <w:t>4.2</w:t>
            </w:r>
          </w:p>
        </w:tc>
        <w:tc>
          <w:tcPr>
            <w:tcW w:w="1985" w:type="dxa"/>
            <w:vAlign w:val="center"/>
          </w:tcPr>
          <w:p w14:paraId="76C2D4C6">
            <w:pPr>
              <w:spacing w:line="360" w:lineRule="auto"/>
              <w:jc w:val="center"/>
              <w:rPr>
                <w:rFonts w:ascii="宋体" w:hAnsi="宋体" w:cs="宋体"/>
                <w:spacing w:val="14"/>
                <w:sz w:val="24"/>
                <w:highlight w:val="none"/>
              </w:rPr>
            </w:pPr>
            <w:r>
              <w:rPr>
                <w:rFonts w:hint="eastAsia" w:ascii="宋体" w:hAnsi="宋体" w:cs="宋体"/>
                <w:spacing w:val="14"/>
                <w:sz w:val="24"/>
                <w:highlight w:val="none"/>
                <w:lang w:val="zh-CN"/>
              </w:rPr>
              <w:t>其他内容</w:t>
            </w:r>
          </w:p>
        </w:tc>
        <w:tc>
          <w:tcPr>
            <w:tcW w:w="6192" w:type="dxa"/>
            <w:vAlign w:val="center"/>
          </w:tcPr>
          <w:p w14:paraId="70CDFFF8">
            <w:pPr>
              <w:topLinePunct/>
              <w:spacing w:line="360" w:lineRule="auto"/>
              <w:rPr>
                <w:rFonts w:ascii="宋体" w:hAnsi="宋体" w:cs="宋体"/>
                <w:bCs/>
                <w:sz w:val="24"/>
                <w:highlight w:val="none"/>
              </w:rPr>
            </w:pPr>
            <w:r>
              <w:rPr>
                <w:rFonts w:hint="eastAsia" w:ascii="宋体" w:hAnsi="宋体" w:cs="宋体"/>
                <w:bCs/>
                <w:sz w:val="24"/>
                <w:highlight w:val="none"/>
              </w:rPr>
              <w:t>1、资格评（预）审部分：资格评（预）以磋商响应文件为准，其上传资料真实性由供应商自行承担，同时，供应商要完善主体库。</w:t>
            </w:r>
          </w:p>
          <w:p w14:paraId="2AF6ED25">
            <w:pPr>
              <w:topLinePunct/>
              <w:spacing w:line="360" w:lineRule="auto"/>
              <w:rPr>
                <w:rFonts w:ascii="宋体" w:hAnsi="宋体" w:cs="宋体"/>
                <w:bCs/>
                <w:sz w:val="24"/>
                <w:highlight w:val="none"/>
              </w:rPr>
            </w:pPr>
            <w:r>
              <w:rPr>
                <w:rFonts w:hint="eastAsia" w:ascii="宋体" w:hAnsi="宋体" w:cs="宋体"/>
                <w:bCs/>
                <w:sz w:val="24"/>
                <w:highlight w:val="none"/>
              </w:rPr>
              <w:t>2、评标打分部分：评标打分部分仍按照100分制原则进行，涉及到资格审查、企业荣誉、人员业绩、企业业绩等计分部分时，以供应商自行上传到磋商响应文件中的相应内容为准。</w:t>
            </w:r>
          </w:p>
          <w:p w14:paraId="1749DAAF">
            <w:pPr>
              <w:topLinePunct/>
              <w:spacing w:line="360" w:lineRule="auto"/>
              <w:rPr>
                <w:rFonts w:ascii="宋体" w:hAnsi="宋体" w:cs="宋体"/>
                <w:spacing w:val="14"/>
                <w:sz w:val="24"/>
                <w:highlight w:val="none"/>
              </w:rPr>
            </w:pPr>
            <w:r>
              <w:rPr>
                <w:rFonts w:hint="eastAsia" w:ascii="宋体" w:hAnsi="宋体" w:cs="宋体"/>
                <w:bCs/>
                <w:sz w:val="24"/>
                <w:highlight w:val="none"/>
              </w:rPr>
              <w:t>3、磋商响应文件编制部分：在竞争性磋商文件中要求供应商按照磋商文件格式进行响应文件编制，在响应文件编制时，应明确将投标单位企业基本情况、资质情况、人员情况、财务情况、业绩情况编入响应文件，便于进行资格审查及评标打分。</w:t>
            </w:r>
          </w:p>
        </w:tc>
      </w:tr>
      <w:tr w14:paraId="6A43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93" w:type="dxa"/>
            <w:vAlign w:val="center"/>
          </w:tcPr>
          <w:p w14:paraId="78F61A58">
            <w:pPr>
              <w:widowControl/>
              <w:spacing w:line="360" w:lineRule="auto"/>
              <w:jc w:val="center"/>
              <w:rPr>
                <w:rFonts w:ascii="宋体" w:hAnsi="宋体"/>
                <w:kern w:val="0"/>
                <w:sz w:val="24"/>
                <w:highlight w:val="none"/>
              </w:rPr>
            </w:pPr>
            <w:r>
              <w:rPr>
                <w:rFonts w:hint="eastAsia" w:ascii="宋体" w:hAnsi="宋体"/>
                <w:kern w:val="0"/>
                <w:sz w:val="24"/>
                <w:highlight w:val="none"/>
              </w:rPr>
              <w:t>4.3</w:t>
            </w:r>
          </w:p>
        </w:tc>
        <w:tc>
          <w:tcPr>
            <w:tcW w:w="8177" w:type="dxa"/>
            <w:gridSpan w:val="2"/>
            <w:vAlign w:val="center"/>
          </w:tcPr>
          <w:p w14:paraId="5CDCF9B9">
            <w:pPr>
              <w:adjustRightInd w:val="0"/>
              <w:snapToGrid w:val="0"/>
              <w:spacing w:line="240" w:lineRule="auto"/>
              <w:jc w:val="left"/>
              <w:rPr>
                <w:rFonts w:ascii="宋体" w:hAnsi="宋体"/>
                <w:sz w:val="24"/>
                <w:highlight w:val="none"/>
              </w:rPr>
            </w:pPr>
            <w:r>
              <w:rPr>
                <w:rFonts w:hint="eastAsia" w:ascii="宋体" w:hAnsi="宋体"/>
                <w:kern w:val="0"/>
                <w:sz w:val="24"/>
                <w:highlight w:val="none"/>
              </w:rPr>
              <w:t>电子化投标交易注意事项</w:t>
            </w:r>
          </w:p>
        </w:tc>
      </w:tr>
      <w:tr w14:paraId="2E35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170" w:type="dxa"/>
            <w:gridSpan w:val="3"/>
            <w:vAlign w:val="center"/>
          </w:tcPr>
          <w:p w14:paraId="68F96BE6">
            <w:pPr>
              <w:spacing w:line="360" w:lineRule="auto"/>
              <w:rPr>
                <w:rFonts w:ascii="宋体" w:hAnsi="宋体" w:cs="宋体"/>
                <w:sz w:val="24"/>
                <w:highlight w:val="none"/>
              </w:rPr>
            </w:pPr>
            <w:r>
              <w:rPr>
                <w:rFonts w:hint="eastAsia" w:ascii="宋体" w:hAnsi="宋体" w:cs="宋体"/>
                <w:sz w:val="24"/>
                <w:highlight w:val="none"/>
              </w:rPr>
              <w:t>具体要求：本项目为电子化、无纸化交易项目，投标文件是投标人、供应商（以下简称“投标人”）通过中心投标文件制作系统制作，并经过签章和加密后生成的电子版投标文件、磋商响应文件（以下简称“投标文件”）。</w:t>
            </w:r>
          </w:p>
          <w:p w14:paraId="50BA21B7">
            <w:pPr>
              <w:spacing w:line="360" w:lineRule="auto"/>
              <w:rPr>
                <w:rFonts w:ascii="宋体" w:hAnsi="宋体" w:cs="宋体"/>
                <w:b/>
                <w:kern w:val="0"/>
                <w:sz w:val="24"/>
                <w:highlight w:val="none"/>
              </w:rPr>
            </w:pPr>
            <w:r>
              <w:rPr>
                <w:rFonts w:hint="eastAsia" w:ascii="宋体" w:hAnsi="宋体" w:cs="宋体"/>
                <w:sz w:val="24"/>
                <w:highlight w:val="none"/>
              </w:rPr>
              <w:t>电子化投标文件具体制作文件请点击</w:t>
            </w:r>
            <w:r>
              <w:rPr>
                <w:highlight w:val="none"/>
              </w:rPr>
              <w:fldChar w:fldCharType="begin"/>
            </w:r>
            <w:r>
              <w:rPr>
                <w:highlight w:val="none"/>
              </w:rPr>
              <w:instrText xml:space="preserve"> HYPERLINK "http://t.cn/A6ZvtVob" </w:instrText>
            </w:r>
            <w:r>
              <w:rPr>
                <w:highlight w:val="none"/>
              </w:rPr>
              <w:fldChar w:fldCharType="separate"/>
            </w:r>
            <w:r>
              <w:rPr>
                <w:rFonts w:ascii="宋体" w:hAnsi="宋体" w:cs="宋体"/>
                <w:sz w:val="24"/>
                <w:highlight w:val="none"/>
              </w:rPr>
              <w:t>http://t.cn/A6ZvtVob</w:t>
            </w:r>
            <w:r>
              <w:rPr>
                <w:rFonts w:ascii="宋体" w:hAnsi="宋体" w:cs="宋体"/>
                <w:sz w:val="24"/>
                <w:highlight w:val="none"/>
              </w:rPr>
              <w:fldChar w:fldCharType="end"/>
            </w:r>
            <w:r>
              <w:rPr>
                <w:rFonts w:hint="eastAsia" w:ascii="宋体" w:hAnsi="宋体" w:cs="宋体"/>
                <w:sz w:val="24"/>
                <w:highlight w:val="none"/>
              </w:rPr>
              <w:t>进行下载。</w:t>
            </w:r>
          </w:p>
          <w:p w14:paraId="2E701B97">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温馨提示：本项目为电子化、无纸化交易项目，开标时不接受任何纸质资料，为保证您能投标成功，请需仔细阅读以下条款。</w:t>
            </w:r>
          </w:p>
          <w:p w14:paraId="5D88E8EF">
            <w:pPr>
              <w:spacing w:line="360" w:lineRule="auto"/>
              <w:rPr>
                <w:rFonts w:ascii="宋体" w:hAnsi="宋体" w:cs="宋体"/>
                <w:sz w:val="24"/>
                <w:highlight w:val="none"/>
              </w:rPr>
            </w:pPr>
            <w:r>
              <w:rPr>
                <w:rFonts w:hint="eastAsia" w:ascii="宋体" w:hAnsi="宋体" w:cs="宋体"/>
                <w:sz w:val="24"/>
                <w:highlight w:val="none"/>
              </w:rPr>
              <w:t>一、电子化投标</w:t>
            </w:r>
          </w:p>
          <w:p w14:paraId="7EEC7137">
            <w:pPr>
              <w:spacing w:line="360" w:lineRule="auto"/>
              <w:rPr>
                <w:rFonts w:ascii="宋体" w:hAnsi="宋体" w:cs="宋体"/>
                <w:sz w:val="24"/>
                <w:highlight w:val="none"/>
              </w:rPr>
            </w:pPr>
            <w:r>
              <w:rPr>
                <w:rFonts w:hint="eastAsia" w:ascii="宋体" w:hAnsi="宋体" w:cs="宋体"/>
                <w:sz w:val="24"/>
                <w:highlight w:val="none"/>
              </w:rPr>
              <w:t>（一）电子化投标文件的签章</w:t>
            </w:r>
          </w:p>
          <w:p w14:paraId="64422E61">
            <w:pPr>
              <w:spacing w:line="360" w:lineRule="auto"/>
              <w:ind w:firstLine="480" w:firstLineChars="200"/>
              <w:rPr>
                <w:rFonts w:ascii="宋体" w:hAnsi="宋体" w:cs="宋体"/>
                <w:sz w:val="24"/>
                <w:highlight w:val="none"/>
              </w:rPr>
            </w:pPr>
            <w:r>
              <w:rPr>
                <w:rFonts w:hint="eastAsia" w:ascii="宋体" w:hAnsi="宋体" w:cs="宋体"/>
                <w:sz w:val="24"/>
                <w:highlight w:val="none"/>
              </w:rPr>
              <w:t>1、投标人在生成电子化投标文件后，应对电子化投标文件进行签章，未进行签章的视为无效投标。</w:t>
            </w:r>
          </w:p>
          <w:p w14:paraId="042ABB1E">
            <w:pPr>
              <w:spacing w:line="360" w:lineRule="auto"/>
              <w:ind w:firstLine="480" w:firstLineChars="200"/>
              <w:rPr>
                <w:rFonts w:ascii="宋体" w:hAnsi="宋体" w:cs="宋体"/>
                <w:sz w:val="24"/>
                <w:highlight w:val="none"/>
              </w:rPr>
            </w:pPr>
            <w:r>
              <w:rPr>
                <w:rFonts w:hint="eastAsia" w:ascii="宋体" w:hAnsi="宋体" w:cs="宋体"/>
                <w:sz w:val="24"/>
                <w:highlight w:val="none"/>
              </w:rPr>
              <w:t>2、招标文件中要求法定代表人或授权委托人签字或盖章的，投标人在进行电子化投标文件签章时，以签盖法定代表人签章为准。</w:t>
            </w:r>
          </w:p>
          <w:p w14:paraId="74B15BB5">
            <w:pPr>
              <w:spacing w:line="360" w:lineRule="auto"/>
              <w:rPr>
                <w:rFonts w:ascii="宋体" w:hAnsi="宋体" w:cs="宋体"/>
                <w:sz w:val="24"/>
                <w:highlight w:val="none"/>
              </w:rPr>
            </w:pPr>
            <w:r>
              <w:rPr>
                <w:rFonts w:hint="eastAsia" w:ascii="宋体" w:hAnsi="宋体" w:cs="宋体"/>
                <w:sz w:val="24"/>
                <w:highlight w:val="none"/>
              </w:rPr>
              <w:t>（二）电子化投标文件的格式及上传投标</w:t>
            </w:r>
          </w:p>
          <w:p w14:paraId="22D2CE5D">
            <w:pPr>
              <w:spacing w:line="360" w:lineRule="auto"/>
              <w:ind w:firstLine="480" w:firstLineChars="200"/>
              <w:rPr>
                <w:rFonts w:ascii="宋体" w:hAnsi="宋体" w:cs="宋体"/>
                <w:sz w:val="24"/>
                <w:highlight w:val="none"/>
              </w:rPr>
            </w:pPr>
            <w:r>
              <w:rPr>
                <w:rFonts w:hint="eastAsia" w:ascii="宋体" w:hAnsi="宋体" w:cs="宋体"/>
                <w:sz w:val="24"/>
                <w:highlight w:val="none"/>
              </w:rPr>
              <w:t>1、投标人所上传的电子化投标文件，应是通过中心投标文件制作系统制作的（投标文件制作工具下载地址：http://t.cn/A6ZvtVob），经过签章和加密后生成的电子版投标文件。</w:t>
            </w:r>
          </w:p>
          <w:p w14:paraId="12849EBF">
            <w:pPr>
              <w:spacing w:line="360" w:lineRule="auto"/>
              <w:rPr>
                <w:rFonts w:ascii="宋体" w:hAnsi="宋体" w:cs="宋体"/>
                <w:sz w:val="24"/>
                <w:highlight w:val="none"/>
              </w:rPr>
            </w:pPr>
            <w:r>
              <w:rPr>
                <w:rFonts w:hint="eastAsia" w:ascii="宋体" w:hAnsi="宋体" w:cs="宋体"/>
                <w:sz w:val="24"/>
                <w:highlight w:val="none"/>
              </w:rPr>
              <w:t>注：投标人投报多个标段的，需要每个标段单独制作电子投标文件。</w:t>
            </w:r>
          </w:p>
          <w:p w14:paraId="725F8C88">
            <w:pPr>
              <w:spacing w:line="360" w:lineRule="auto"/>
              <w:ind w:firstLine="480" w:firstLineChars="200"/>
              <w:rPr>
                <w:rFonts w:ascii="宋体" w:hAnsi="宋体" w:cs="宋体"/>
                <w:sz w:val="24"/>
                <w:highlight w:val="none"/>
              </w:rPr>
            </w:pPr>
            <w:r>
              <w:rPr>
                <w:rFonts w:hint="eastAsia" w:ascii="宋体" w:hAnsi="宋体" w:cs="宋体"/>
                <w:sz w:val="24"/>
                <w:highlight w:val="none"/>
              </w:rPr>
              <w:t>2、电子化投标文件应在投标截止时间前成功上传至三门峡市公共资源电子化交易系统。至投标截止时间止，仍未上传成功的电子化投标文件将不予接收。</w:t>
            </w:r>
          </w:p>
          <w:p w14:paraId="6F48E5F4">
            <w:pPr>
              <w:spacing w:line="360" w:lineRule="auto"/>
              <w:rPr>
                <w:rFonts w:ascii="宋体" w:hAnsi="宋体" w:cs="宋体"/>
                <w:sz w:val="24"/>
                <w:highlight w:val="none"/>
              </w:rPr>
            </w:pPr>
            <w:r>
              <w:rPr>
                <w:rFonts w:hint="eastAsia" w:ascii="宋体" w:hAnsi="宋体" w:cs="宋体"/>
                <w:sz w:val="24"/>
                <w:highlight w:val="none"/>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0FEBD3E9">
            <w:pPr>
              <w:keepLines/>
              <w:spacing w:line="360" w:lineRule="auto"/>
              <w:jc w:val="left"/>
              <w:rPr>
                <w:rFonts w:ascii="宋体" w:hAnsi="宋体" w:cs="宋体"/>
                <w:sz w:val="24"/>
                <w:highlight w:val="none"/>
              </w:rPr>
            </w:pPr>
            <w:r>
              <w:rPr>
                <w:rFonts w:hint="eastAsia" w:ascii="宋体" w:hAnsi="宋体"/>
                <w:sz w:val="24"/>
                <w:highlight w:val="none"/>
              </w:rPr>
              <w:t>技</w:t>
            </w:r>
            <w:r>
              <w:rPr>
                <w:rFonts w:hint="eastAsia" w:ascii="宋体" w:hAnsi="宋体" w:cs="宋体"/>
                <w:sz w:val="24"/>
                <w:highlight w:val="none"/>
              </w:rPr>
              <w:t>术联系电话：400-998-0000</w:t>
            </w:r>
          </w:p>
          <w:p w14:paraId="005D0549">
            <w:pPr>
              <w:keepLines/>
              <w:spacing w:line="360" w:lineRule="auto"/>
              <w:jc w:val="left"/>
              <w:rPr>
                <w:rFonts w:ascii="宋体" w:hAnsi="宋体" w:cs="宋体"/>
                <w:sz w:val="24"/>
                <w:highlight w:val="none"/>
              </w:rPr>
            </w:pPr>
            <w:r>
              <w:rPr>
                <w:rFonts w:hint="eastAsia" w:ascii="宋体" w:hAnsi="宋体" w:cs="宋体"/>
                <w:sz w:val="24"/>
                <w:highlight w:val="none"/>
              </w:rPr>
              <w:t>主体库咨询电话:0398-3117815</w:t>
            </w:r>
          </w:p>
          <w:p w14:paraId="11294C44">
            <w:pPr>
              <w:keepLines/>
              <w:spacing w:line="360" w:lineRule="auto"/>
              <w:jc w:val="left"/>
              <w:rPr>
                <w:rFonts w:ascii="宋体" w:hAnsi="宋体" w:cs="宋体"/>
                <w:sz w:val="24"/>
                <w:highlight w:val="none"/>
              </w:rPr>
            </w:pPr>
            <w:r>
              <w:rPr>
                <w:rFonts w:hint="eastAsia" w:ascii="宋体" w:hAnsi="宋体" w:cs="宋体"/>
                <w:sz w:val="24"/>
                <w:highlight w:val="none"/>
              </w:rPr>
              <w:t>CA证书制发:0398-2181635</w:t>
            </w:r>
          </w:p>
          <w:p w14:paraId="45420E67">
            <w:pPr>
              <w:keepLines/>
              <w:spacing w:line="360" w:lineRule="auto"/>
              <w:jc w:val="left"/>
              <w:rPr>
                <w:rFonts w:ascii="宋体" w:hAnsi="宋体" w:cs="宋体"/>
                <w:sz w:val="24"/>
                <w:highlight w:val="none"/>
              </w:rPr>
            </w:pPr>
            <w:r>
              <w:rPr>
                <w:rFonts w:hint="eastAsia" w:ascii="宋体" w:hAnsi="宋体" w:cs="宋体"/>
                <w:sz w:val="24"/>
                <w:highlight w:val="none"/>
              </w:rPr>
              <w:t>科技信息科:0398-3117095</w:t>
            </w:r>
          </w:p>
          <w:p w14:paraId="7A4DDA00">
            <w:pPr>
              <w:spacing w:line="360" w:lineRule="auto"/>
              <w:rPr>
                <w:rFonts w:ascii="宋体" w:hAnsi="宋体" w:cs="宋体"/>
                <w:sz w:val="24"/>
                <w:highlight w:val="none"/>
              </w:rPr>
            </w:pPr>
            <w:r>
              <w:rPr>
                <w:rFonts w:hint="eastAsia" w:ascii="宋体" w:hAnsi="宋体" w:cs="宋体"/>
                <w:sz w:val="24"/>
                <w:highlight w:val="none"/>
              </w:rPr>
              <w:t>（三）电子化项目开标、解密、唱标、评标</w:t>
            </w:r>
          </w:p>
          <w:p w14:paraId="0D03D138">
            <w:pPr>
              <w:spacing w:line="360" w:lineRule="auto"/>
              <w:ind w:firstLine="480" w:firstLineChars="200"/>
              <w:rPr>
                <w:rFonts w:ascii="宋体" w:hAnsi="宋体" w:cs="宋体"/>
                <w:sz w:val="24"/>
                <w:highlight w:val="none"/>
              </w:rPr>
            </w:pPr>
            <w:r>
              <w:rPr>
                <w:rFonts w:hint="eastAsia" w:ascii="宋体" w:hAnsi="宋体" w:cs="宋体"/>
                <w:sz w:val="24"/>
                <w:highlight w:val="none"/>
              </w:rPr>
              <w:t>1、本项目采用电子化、无纸化进行招标，开标当日，投标人无需到开标现场参加开标会议，投标人应当在投标截止时间前，登陆不见面开标大厅选择登陆三门峡市公共资源电子招投标系统进行登陆（网址为</w:t>
            </w:r>
          </w:p>
          <w:p w14:paraId="5E30F691">
            <w:pPr>
              <w:spacing w:line="360" w:lineRule="auto"/>
              <w:rPr>
                <w:rFonts w:ascii="宋体" w:hAnsi="宋体" w:cs="宋体"/>
                <w:sz w:val="24"/>
                <w:highlight w:val="none"/>
              </w:rPr>
            </w:pPr>
            <w:r>
              <w:rPr>
                <w:rFonts w:hint="eastAsia" w:ascii="宋体" w:hAnsi="宋体"/>
                <w:sz w:val="24"/>
                <w:highlight w:val="none"/>
              </w:rPr>
              <w:t>http://120.194.249.36:10094/BidOpening/bidopeninghallaction/hall/login</w:t>
            </w:r>
            <w:r>
              <w:rPr>
                <w:rFonts w:hint="eastAsia" w:ascii="宋体" w:hAnsi="宋体" w:cs="宋体"/>
                <w:sz w:val="24"/>
                <w:highlight w:val="none"/>
              </w:rPr>
              <w:t>）,在线准时参加开标活动并进行投标文件解密等。</w:t>
            </w:r>
          </w:p>
          <w:p w14:paraId="72E2E1C2">
            <w:pPr>
              <w:spacing w:line="360" w:lineRule="auto"/>
              <w:ind w:firstLine="480" w:firstLineChars="200"/>
              <w:rPr>
                <w:rFonts w:ascii="宋体" w:hAnsi="宋体" w:cs="宋体"/>
                <w:sz w:val="24"/>
                <w:highlight w:val="none"/>
              </w:rPr>
            </w:pPr>
            <w:r>
              <w:rPr>
                <w:rFonts w:hint="eastAsia" w:ascii="宋体" w:hAnsi="宋体" w:cs="宋体"/>
                <w:sz w:val="24"/>
                <w:highlight w:val="none"/>
              </w:rPr>
              <w:t>2、电子化投标文件采用一次加密方式。开标时，由投标人使用CA 证书，在规定时间内对其电子化投标文件进行解密。每位投标人的解密时间为开标时间起30 分钟内，如在规定时间内未完成解密的，其投标文件不予开标、唱标。首次报价不唱标。</w:t>
            </w:r>
          </w:p>
          <w:p w14:paraId="71773B03">
            <w:pPr>
              <w:spacing w:line="360" w:lineRule="auto"/>
              <w:ind w:firstLine="480" w:firstLineChars="200"/>
              <w:rPr>
                <w:rFonts w:ascii="宋体" w:hAnsi="宋体" w:cs="宋体"/>
                <w:b/>
                <w:sz w:val="24"/>
                <w:highlight w:val="none"/>
              </w:rPr>
            </w:pPr>
            <w:r>
              <w:rPr>
                <w:rFonts w:hint="eastAsia" w:ascii="宋体" w:hAnsi="宋体" w:cs="宋体"/>
                <w:sz w:val="24"/>
                <w:highlight w:val="none"/>
              </w:rPr>
              <w:t>3、电子化投标文件解密异常的处理</w:t>
            </w:r>
          </w:p>
          <w:p w14:paraId="7DB9A91C">
            <w:pPr>
              <w:spacing w:line="360" w:lineRule="auto"/>
              <w:ind w:firstLine="480" w:firstLineChars="200"/>
              <w:rPr>
                <w:rFonts w:ascii="宋体" w:hAnsi="宋体" w:cs="宋体"/>
                <w:sz w:val="24"/>
                <w:highlight w:val="none"/>
              </w:rPr>
            </w:pPr>
            <w:r>
              <w:rPr>
                <w:rFonts w:hint="eastAsia" w:ascii="宋体" w:hAnsi="宋体" w:cs="宋体"/>
                <w:sz w:val="24"/>
                <w:highlight w:val="none"/>
              </w:rPr>
              <w:t>如出现投标人的电子投标文件无法解密等异常情况，投标人应及时致电中介服务机构说明。投标文件异常，按以下步骤进行处理：</w:t>
            </w:r>
          </w:p>
          <w:p w14:paraId="3CD5F8C7">
            <w:pPr>
              <w:spacing w:line="360" w:lineRule="auto"/>
              <w:ind w:firstLine="573"/>
              <w:rPr>
                <w:rFonts w:ascii="宋体" w:hAnsi="宋体" w:cs="宋体"/>
                <w:sz w:val="24"/>
                <w:highlight w:val="none"/>
              </w:rPr>
            </w:pPr>
            <w:r>
              <w:rPr>
                <w:rFonts w:hint="eastAsia" w:ascii="宋体" w:hAnsi="宋体" w:cs="宋体"/>
                <w:sz w:val="24"/>
                <w:highlight w:val="none"/>
              </w:rPr>
              <w:t>（1）首先由技术人员进行问题排查。</w:t>
            </w:r>
          </w:p>
          <w:p w14:paraId="3639AF1E">
            <w:pPr>
              <w:spacing w:line="360" w:lineRule="auto"/>
              <w:ind w:firstLine="573"/>
              <w:rPr>
                <w:rFonts w:ascii="宋体" w:hAnsi="宋体" w:cs="宋体"/>
                <w:sz w:val="24"/>
                <w:highlight w:val="none"/>
              </w:rPr>
            </w:pPr>
            <w:r>
              <w:rPr>
                <w:rFonts w:hint="eastAsia" w:ascii="宋体" w:hAnsi="宋体" w:cs="宋体"/>
                <w:sz w:val="24"/>
                <w:highlight w:val="none"/>
              </w:rPr>
              <w:t>（2）经技术人员排查后，是投标人文件自身问题导致投标文件无法解密的，该投标文件将不予接收、解密和唱标。开标会议继续进行。</w:t>
            </w:r>
          </w:p>
          <w:p w14:paraId="765FCD3D">
            <w:pPr>
              <w:spacing w:line="360" w:lineRule="auto"/>
              <w:ind w:firstLine="573"/>
              <w:rPr>
                <w:rFonts w:ascii="宋体" w:hAnsi="宋体" w:cs="宋体"/>
                <w:sz w:val="24"/>
                <w:highlight w:val="none"/>
              </w:rPr>
            </w:pPr>
            <w:r>
              <w:rPr>
                <w:rFonts w:hint="eastAsia" w:ascii="宋体" w:hAnsi="宋体" w:cs="宋体"/>
                <w:sz w:val="24"/>
                <w:highlight w:val="none"/>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5E5015D9">
            <w:pPr>
              <w:spacing w:line="360" w:lineRule="auto"/>
              <w:ind w:firstLine="573"/>
              <w:rPr>
                <w:rFonts w:ascii="宋体" w:hAnsi="宋体" w:cs="宋体"/>
                <w:sz w:val="24"/>
                <w:highlight w:val="none"/>
              </w:rPr>
            </w:pPr>
            <w:r>
              <w:rPr>
                <w:rFonts w:hint="eastAsia" w:ascii="宋体" w:hAnsi="宋体" w:cs="宋体"/>
                <w:sz w:val="24"/>
                <w:highlight w:val="none"/>
              </w:rPr>
              <w:t>4、待所有投标人投标文件解密完成后，由中介服务机构操作，对所有已解密投标文件进行唱标。</w:t>
            </w:r>
          </w:p>
          <w:p w14:paraId="4A033484">
            <w:pPr>
              <w:spacing w:line="360" w:lineRule="auto"/>
              <w:ind w:firstLine="573"/>
              <w:rPr>
                <w:rFonts w:ascii="宋体" w:hAnsi="宋体" w:cs="宋体"/>
                <w:sz w:val="24"/>
                <w:highlight w:val="none"/>
              </w:rPr>
            </w:pPr>
            <w:r>
              <w:rPr>
                <w:rFonts w:hint="eastAsia" w:ascii="宋体" w:hAnsi="宋体" w:cs="宋体"/>
                <w:sz w:val="24"/>
                <w:highlight w:val="none"/>
              </w:rPr>
              <w:t>投标人应保证在开标期间电话、电脑、网络能够正常工作，投标人因停电、电脑病毒、网络堵塞等原因，未在规定的解密时间内对投标文件进行解密的，其投标文件不予接收、唱标。</w:t>
            </w:r>
          </w:p>
          <w:p w14:paraId="6B831C6A">
            <w:pPr>
              <w:spacing w:line="360" w:lineRule="auto"/>
              <w:ind w:firstLine="573"/>
              <w:rPr>
                <w:rFonts w:ascii="宋体" w:hAnsi="宋体" w:cs="宋体"/>
                <w:sz w:val="24"/>
                <w:highlight w:val="none"/>
              </w:rPr>
            </w:pPr>
            <w:r>
              <w:rPr>
                <w:rFonts w:hint="eastAsia" w:ascii="宋体" w:hAnsi="宋体" w:cs="宋体"/>
                <w:sz w:val="24"/>
                <w:highlight w:val="none"/>
              </w:rPr>
              <w:t>5、开标时投标人可登录到交易系统中在开标解密栏中点击报价一览表查看自己的投标报价。如对自己的唱标内容有异议的，应在投标人解密成功后10分钟内向中介服务机构通过开标大厅对话框提出质疑。中介服务机构应在监督人员的监督下接受投标人的质疑并做好书面记录。投标人未在规定时间内提出质疑的，视为认可唱标内容。</w:t>
            </w:r>
          </w:p>
          <w:p w14:paraId="30EDDA0E">
            <w:pPr>
              <w:spacing w:line="360" w:lineRule="auto"/>
              <w:ind w:firstLine="573"/>
              <w:rPr>
                <w:rFonts w:ascii="宋体" w:hAnsi="宋体" w:cs="宋体"/>
                <w:sz w:val="24"/>
                <w:highlight w:val="none"/>
              </w:rPr>
            </w:pPr>
            <w:r>
              <w:rPr>
                <w:rFonts w:hint="eastAsia" w:ascii="宋体" w:hAnsi="宋体" w:cs="宋体"/>
                <w:sz w:val="24"/>
                <w:highlight w:val="none"/>
              </w:rPr>
              <w:t>6、评标时，评标委员会对电子化投标文件有质疑的，将通过电子化交易系统对投标人发起质疑。投标人的回复文件必须以经过投标人和其法定代表人签章的PDF格式文件为准，并通过电子化交易系统提交至评标委员会。</w:t>
            </w:r>
          </w:p>
          <w:p w14:paraId="7CCBA36D">
            <w:pPr>
              <w:spacing w:line="360" w:lineRule="auto"/>
              <w:ind w:firstLine="573"/>
              <w:rPr>
                <w:rFonts w:ascii="宋体" w:hAnsi="宋体" w:cs="宋体"/>
                <w:sz w:val="24"/>
                <w:highlight w:val="none"/>
              </w:rPr>
            </w:pPr>
            <w:r>
              <w:rPr>
                <w:rFonts w:hint="eastAsia" w:ascii="宋体" w:hAnsi="宋体" w:cs="宋体"/>
                <w:sz w:val="24"/>
                <w:highlight w:val="none"/>
              </w:rPr>
              <w:t>7、如评标委员会对需要回复的投标人在规定时间内通过电子化交易系统未收到回复的，视为投标人放弃回复，评标委员会将自行对需要回复的内容进行认定。</w:t>
            </w:r>
          </w:p>
          <w:p w14:paraId="6F088CDD">
            <w:pPr>
              <w:spacing w:line="360" w:lineRule="auto"/>
              <w:rPr>
                <w:rFonts w:ascii="宋体" w:hAnsi="宋体" w:cs="宋体"/>
                <w:bCs/>
                <w:sz w:val="24"/>
                <w:highlight w:val="none"/>
              </w:rPr>
            </w:pPr>
            <w:r>
              <w:rPr>
                <w:rFonts w:hint="eastAsia" w:ascii="宋体" w:hAnsi="宋体" w:cs="宋体"/>
                <w:bCs/>
                <w:sz w:val="24"/>
                <w:highlight w:val="none"/>
              </w:rPr>
              <w:t>二、相关证书原件的提交</w:t>
            </w:r>
          </w:p>
          <w:p w14:paraId="6B68AE95">
            <w:pPr>
              <w:spacing w:line="360" w:lineRule="auto"/>
              <w:ind w:firstLine="480" w:firstLineChars="200"/>
              <w:rPr>
                <w:rFonts w:ascii="宋体" w:hAnsi="宋体"/>
                <w:sz w:val="24"/>
                <w:highlight w:val="none"/>
              </w:rPr>
            </w:pPr>
            <w:r>
              <w:rPr>
                <w:rFonts w:hint="eastAsia" w:ascii="宋体" w:hAnsi="宋体" w:cs="宋体"/>
                <w:sz w:val="24"/>
                <w:highlight w:val="none"/>
              </w:rPr>
              <w:t>本项目实行资格后审。审查内容以投标截止时间前在三门峡市公共资源交易平台“磋商响应文件”上传的信息为准，同时，供应商要完善主体库。规定时间外上传或更改的信息不作为评标依据。磋商响应文件中上传的信息真实有效，扫描件清晰可辨。否则，由此造成应得分而未得分或资格审查不合格等情况的，由供应商承担责任。</w:t>
            </w:r>
          </w:p>
        </w:tc>
      </w:tr>
    </w:tbl>
    <w:p w14:paraId="2CFD0B71">
      <w:pPr>
        <w:pStyle w:val="9"/>
        <w:spacing w:line="240" w:lineRule="auto"/>
        <w:ind w:firstLine="171" w:firstLineChars="71"/>
        <w:jc w:val="left"/>
        <w:rPr>
          <w:rFonts w:ascii="宋体" w:hAnsi="宋体" w:eastAsia="宋体"/>
          <w:bCs w:val="0"/>
          <w:sz w:val="24"/>
          <w:szCs w:val="24"/>
          <w:highlight w:val="none"/>
        </w:rPr>
      </w:pPr>
      <w:bookmarkStart w:id="23" w:name="_Toc533503499"/>
      <w:bookmarkStart w:id="24" w:name="_Toc196238516"/>
      <w:bookmarkStart w:id="25" w:name="_Toc43652628"/>
      <w:r>
        <w:rPr>
          <w:rFonts w:hint="eastAsia" w:ascii="宋体" w:hAnsi="宋体" w:eastAsia="宋体"/>
          <w:bCs w:val="0"/>
          <w:sz w:val="24"/>
          <w:szCs w:val="24"/>
          <w:highlight w:val="none"/>
        </w:rPr>
        <w:t>1 总则</w:t>
      </w:r>
      <w:bookmarkEnd w:id="23"/>
      <w:bookmarkEnd w:id="24"/>
      <w:bookmarkEnd w:id="25"/>
    </w:p>
    <w:p w14:paraId="11EAFE55">
      <w:pPr>
        <w:spacing w:line="360" w:lineRule="auto"/>
        <w:ind w:firstLine="482"/>
        <w:rPr>
          <w:rFonts w:ascii="宋体" w:hAnsi="宋体"/>
          <w:b/>
          <w:sz w:val="24"/>
          <w:highlight w:val="none"/>
        </w:rPr>
      </w:pPr>
      <w:bookmarkStart w:id="26" w:name="_Toc277149365"/>
      <w:bookmarkStart w:id="27" w:name="_Toc393702565"/>
      <w:bookmarkStart w:id="28" w:name="_Toc278155328"/>
      <w:bookmarkStart w:id="29" w:name="_Toc373515806"/>
      <w:r>
        <w:rPr>
          <w:rFonts w:hint="eastAsia" w:ascii="宋体" w:hAnsi="宋体"/>
          <w:b/>
          <w:sz w:val="24"/>
          <w:highlight w:val="none"/>
        </w:rPr>
        <w:t>1.1项目概况</w:t>
      </w:r>
      <w:bookmarkEnd w:id="26"/>
      <w:bookmarkEnd w:id="27"/>
      <w:bookmarkEnd w:id="28"/>
      <w:bookmarkEnd w:id="29"/>
    </w:p>
    <w:p w14:paraId="7E25B168">
      <w:pPr>
        <w:pStyle w:val="20"/>
        <w:snapToGrid w:val="0"/>
        <w:spacing w:line="360" w:lineRule="auto"/>
        <w:ind w:firstLine="480" w:firstLineChars="200"/>
        <w:rPr>
          <w:rFonts w:hAnsi="宋体"/>
          <w:color w:val="auto"/>
          <w:highlight w:val="none"/>
        </w:rPr>
      </w:pPr>
      <w:r>
        <w:rPr>
          <w:rFonts w:hint="eastAsia" w:hAnsi="宋体"/>
          <w:color w:val="auto"/>
          <w:highlight w:val="none"/>
        </w:rPr>
        <w:t>根据有关法律、法规和规章的规定，本磋商项目已具备竞争性磋商条件，现对本项目进行竞争性磋商。</w:t>
      </w:r>
    </w:p>
    <w:p w14:paraId="42D520A2">
      <w:pPr>
        <w:pStyle w:val="20"/>
        <w:tabs>
          <w:tab w:val="left" w:pos="540"/>
        </w:tabs>
        <w:snapToGrid w:val="0"/>
        <w:spacing w:line="360" w:lineRule="auto"/>
        <w:ind w:left="540"/>
        <w:jc w:val="both"/>
        <w:rPr>
          <w:rFonts w:hAnsi="宋体"/>
          <w:color w:val="auto"/>
          <w:highlight w:val="none"/>
        </w:rPr>
      </w:pPr>
      <w:r>
        <w:rPr>
          <w:rFonts w:hint="eastAsia" w:hAnsi="宋体"/>
          <w:color w:val="auto"/>
          <w:highlight w:val="none"/>
        </w:rPr>
        <w:t>1.1.1 本次磋商项目采购人：见供应商须知前附表。</w:t>
      </w:r>
    </w:p>
    <w:p w14:paraId="6BE88CAD">
      <w:pPr>
        <w:pStyle w:val="20"/>
        <w:tabs>
          <w:tab w:val="left" w:pos="540"/>
        </w:tabs>
        <w:snapToGrid w:val="0"/>
        <w:spacing w:line="360" w:lineRule="auto"/>
        <w:ind w:left="540"/>
        <w:jc w:val="both"/>
        <w:rPr>
          <w:rFonts w:hAnsi="宋体"/>
          <w:color w:val="auto"/>
          <w:highlight w:val="none"/>
        </w:rPr>
      </w:pPr>
      <w:r>
        <w:rPr>
          <w:rFonts w:hint="eastAsia" w:hAnsi="宋体"/>
          <w:color w:val="auto"/>
          <w:highlight w:val="none"/>
        </w:rPr>
        <w:t>1.1.2 本次代理机构：见供应商须知前附表</w:t>
      </w:r>
    </w:p>
    <w:p w14:paraId="60B23CB7">
      <w:pPr>
        <w:pStyle w:val="20"/>
        <w:numPr>
          <w:ilvl w:val="2"/>
          <w:numId w:val="1"/>
        </w:numPr>
        <w:tabs>
          <w:tab w:val="left" w:pos="540"/>
        </w:tabs>
        <w:snapToGrid w:val="0"/>
        <w:spacing w:line="360" w:lineRule="auto"/>
        <w:jc w:val="both"/>
        <w:rPr>
          <w:rFonts w:hAnsi="宋体"/>
          <w:color w:val="auto"/>
          <w:highlight w:val="none"/>
        </w:rPr>
      </w:pPr>
      <w:r>
        <w:rPr>
          <w:rFonts w:hint="eastAsia" w:hAnsi="宋体"/>
          <w:color w:val="auto"/>
          <w:highlight w:val="none"/>
        </w:rPr>
        <w:t>本次磋商项目名称：见供应商须知前附表。</w:t>
      </w:r>
    </w:p>
    <w:p w14:paraId="799C44ED">
      <w:pPr>
        <w:spacing w:line="360" w:lineRule="auto"/>
        <w:ind w:firstLine="482"/>
        <w:rPr>
          <w:rFonts w:ascii="宋体" w:hAnsi="宋体"/>
          <w:b/>
          <w:sz w:val="24"/>
          <w:highlight w:val="none"/>
        </w:rPr>
      </w:pPr>
      <w:bookmarkStart w:id="30" w:name="_Toc270604577"/>
      <w:bookmarkStart w:id="31" w:name="_Toc269470296"/>
      <w:bookmarkStart w:id="32" w:name="_Toc393702566"/>
      <w:bookmarkStart w:id="33" w:name="_Toc278155329"/>
      <w:bookmarkStart w:id="34" w:name="_Toc277149366"/>
      <w:bookmarkStart w:id="35" w:name="_Toc373515807"/>
      <w:bookmarkStart w:id="36" w:name="_Toc270604804"/>
      <w:r>
        <w:rPr>
          <w:rFonts w:hint="eastAsia" w:ascii="宋体" w:hAnsi="宋体"/>
          <w:b/>
          <w:sz w:val="24"/>
          <w:highlight w:val="none"/>
        </w:rPr>
        <w:t>1.2资金来源和落实情况</w:t>
      </w:r>
      <w:bookmarkEnd w:id="30"/>
      <w:bookmarkEnd w:id="31"/>
      <w:bookmarkEnd w:id="32"/>
      <w:bookmarkEnd w:id="33"/>
      <w:bookmarkEnd w:id="34"/>
      <w:bookmarkEnd w:id="35"/>
      <w:bookmarkEnd w:id="36"/>
    </w:p>
    <w:p w14:paraId="0FD30188">
      <w:pPr>
        <w:pStyle w:val="20"/>
        <w:tabs>
          <w:tab w:val="left" w:pos="540"/>
        </w:tabs>
        <w:snapToGrid w:val="0"/>
        <w:spacing w:line="360" w:lineRule="auto"/>
        <w:ind w:left="540"/>
        <w:jc w:val="both"/>
        <w:rPr>
          <w:rFonts w:hAnsi="宋体"/>
          <w:color w:val="auto"/>
          <w:highlight w:val="none"/>
        </w:rPr>
      </w:pPr>
      <w:r>
        <w:rPr>
          <w:rFonts w:hint="eastAsia" w:hAnsi="宋体"/>
          <w:color w:val="auto"/>
          <w:highlight w:val="none"/>
        </w:rPr>
        <w:t>本采购项目的资金来源及落实情况：见供应商须知前附表。</w:t>
      </w:r>
    </w:p>
    <w:p w14:paraId="2FCF8AA7">
      <w:pPr>
        <w:spacing w:line="360" w:lineRule="auto"/>
        <w:ind w:firstLine="482"/>
        <w:rPr>
          <w:rFonts w:ascii="宋体" w:hAnsi="宋体"/>
          <w:b/>
          <w:sz w:val="24"/>
          <w:highlight w:val="none"/>
        </w:rPr>
      </w:pPr>
      <w:bookmarkStart w:id="37" w:name="_Toc278155330"/>
      <w:bookmarkStart w:id="38" w:name="_Toc270604805"/>
      <w:bookmarkStart w:id="39" w:name="_Toc270604578"/>
      <w:bookmarkStart w:id="40" w:name="_Toc393702567"/>
      <w:bookmarkStart w:id="41" w:name="_Toc269470297"/>
      <w:bookmarkStart w:id="42" w:name="_Toc373515808"/>
      <w:bookmarkStart w:id="43" w:name="_Toc277149367"/>
      <w:r>
        <w:rPr>
          <w:rFonts w:hint="eastAsia" w:ascii="宋体" w:hAnsi="宋体"/>
          <w:b/>
          <w:sz w:val="24"/>
          <w:highlight w:val="none"/>
        </w:rPr>
        <w:t>1.3预算金额、采购范围、服务期限、和质量要求</w:t>
      </w:r>
      <w:bookmarkEnd w:id="37"/>
      <w:bookmarkEnd w:id="38"/>
      <w:bookmarkEnd w:id="39"/>
      <w:bookmarkEnd w:id="40"/>
      <w:bookmarkEnd w:id="41"/>
      <w:bookmarkEnd w:id="42"/>
      <w:bookmarkEnd w:id="43"/>
    </w:p>
    <w:p w14:paraId="4E02D1F5">
      <w:pPr>
        <w:pStyle w:val="20"/>
        <w:tabs>
          <w:tab w:val="left" w:pos="540"/>
        </w:tabs>
        <w:snapToGrid w:val="0"/>
        <w:spacing w:line="360" w:lineRule="auto"/>
        <w:ind w:left="540"/>
        <w:jc w:val="both"/>
        <w:rPr>
          <w:rFonts w:hAnsi="宋体"/>
          <w:color w:val="auto"/>
          <w:highlight w:val="none"/>
        </w:rPr>
      </w:pPr>
      <w:r>
        <w:rPr>
          <w:rFonts w:hint="eastAsia" w:hAnsi="宋体"/>
          <w:color w:val="auto"/>
          <w:highlight w:val="none"/>
        </w:rPr>
        <w:t>1.3.1 本项目的预算金额：见供应商须知前附表。</w:t>
      </w:r>
    </w:p>
    <w:p w14:paraId="68000A6F">
      <w:pPr>
        <w:pStyle w:val="20"/>
        <w:tabs>
          <w:tab w:val="left" w:pos="540"/>
        </w:tabs>
        <w:snapToGrid w:val="0"/>
        <w:spacing w:line="360" w:lineRule="auto"/>
        <w:ind w:left="540"/>
        <w:jc w:val="both"/>
        <w:rPr>
          <w:rFonts w:hAnsi="宋体"/>
          <w:color w:val="auto"/>
          <w:highlight w:val="none"/>
        </w:rPr>
      </w:pPr>
      <w:r>
        <w:rPr>
          <w:rFonts w:hint="eastAsia" w:hAnsi="宋体"/>
          <w:color w:val="auto"/>
          <w:highlight w:val="none"/>
        </w:rPr>
        <w:t>1.3.2 本项目的采购范围：见供应商须知前附表。</w:t>
      </w:r>
    </w:p>
    <w:p w14:paraId="4C8E519B">
      <w:pPr>
        <w:pStyle w:val="20"/>
        <w:tabs>
          <w:tab w:val="left" w:pos="540"/>
        </w:tabs>
        <w:snapToGrid w:val="0"/>
        <w:spacing w:line="360" w:lineRule="auto"/>
        <w:ind w:left="540"/>
        <w:jc w:val="both"/>
        <w:rPr>
          <w:rFonts w:hAnsi="宋体"/>
          <w:color w:val="auto"/>
          <w:highlight w:val="none"/>
        </w:rPr>
      </w:pPr>
      <w:r>
        <w:rPr>
          <w:rFonts w:hint="eastAsia" w:hAnsi="宋体"/>
          <w:color w:val="auto"/>
          <w:highlight w:val="none"/>
        </w:rPr>
        <w:t>1.3.3 本项目的</w:t>
      </w:r>
      <w:r>
        <w:rPr>
          <w:rFonts w:hint="eastAsia" w:hAnsi="宋体"/>
          <w:highlight w:val="none"/>
        </w:rPr>
        <w:t>服务期限</w:t>
      </w:r>
      <w:r>
        <w:rPr>
          <w:rFonts w:hint="eastAsia" w:hAnsi="宋体"/>
          <w:color w:val="auto"/>
          <w:highlight w:val="none"/>
        </w:rPr>
        <w:t>：见供应商须知前附表。</w:t>
      </w:r>
    </w:p>
    <w:p w14:paraId="75D74C5F">
      <w:pPr>
        <w:pStyle w:val="20"/>
        <w:tabs>
          <w:tab w:val="left" w:pos="540"/>
        </w:tabs>
        <w:snapToGrid w:val="0"/>
        <w:spacing w:line="360" w:lineRule="auto"/>
        <w:ind w:left="540"/>
        <w:jc w:val="both"/>
        <w:rPr>
          <w:rFonts w:hAnsi="宋体"/>
          <w:color w:val="auto"/>
          <w:highlight w:val="none"/>
        </w:rPr>
      </w:pPr>
      <w:r>
        <w:rPr>
          <w:rFonts w:hint="eastAsia" w:hAnsi="宋体"/>
          <w:color w:val="auto"/>
          <w:highlight w:val="none"/>
        </w:rPr>
        <w:t>1.3.4 本项目的质量要求：见供应商须知前附表。</w:t>
      </w:r>
    </w:p>
    <w:p w14:paraId="186B46F0">
      <w:pPr>
        <w:spacing w:line="360" w:lineRule="auto"/>
        <w:ind w:firstLine="482"/>
        <w:rPr>
          <w:rFonts w:ascii="宋体" w:hAnsi="宋体"/>
          <w:b/>
          <w:sz w:val="24"/>
          <w:highlight w:val="none"/>
        </w:rPr>
      </w:pPr>
      <w:bookmarkStart w:id="44" w:name="_Toc269470298"/>
      <w:bookmarkStart w:id="45" w:name="_Toc373515809"/>
      <w:bookmarkStart w:id="46" w:name="_Toc393702568"/>
      <w:bookmarkStart w:id="47" w:name="_Toc277149368"/>
      <w:bookmarkStart w:id="48" w:name="_Toc270604579"/>
      <w:bookmarkStart w:id="49" w:name="_Toc278155331"/>
      <w:bookmarkStart w:id="50" w:name="_Toc270604806"/>
      <w:r>
        <w:rPr>
          <w:rFonts w:hint="eastAsia" w:ascii="宋体" w:hAnsi="宋体"/>
          <w:b/>
          <w:sz w:val="24"/>
          <w:highlight w:val="none"/>
        </w:rPr>
        <w:t>1.4供应商资格要求</w:t>
      </w:r>
      <w:bookmarkEnd w:id="44"/>
      <w:r>
        <w:rPr>
          <w:rFonts w:hint="eastAsia" w:ascii="宋体" w:hAnsi="宋体"/>
          <w:b/>
          <w:sz w:val="24"/>
          <w:highlight w:val="none"/>
        </w:rPr>
        <w:t>：</w:t>
      </w:r>
      <w:bookmarkEnd w:id="45"/>
      <w:bookmarkEnd w:id="46"/>
      <w:bookmarkEnd w:id="47"/>
      <w:bookmarkEnd w:id="48"/>
      <w:bookmarkEnd w:id="49"/>
      <w:bookmarkEnd w:id="50"/>
      <w:r>
        <w:rPr>
          <w:rFonts w:ascii="宋体" w:hAnsi="宋体"/>
          <w:b/>
          <w:sz w:val="24"/>
          <w:highlight w:val="none"/>
        </w:rPr>
        <w:t xml:space="preserve"> </w:t>
      </w:r>
    </w:p>
    <w:p w14:paraId="0E82C8A2">
      <w:pPr>
        <w:spacing w:line="360" w:lineRule="auto"/>
        <w:ind w:firstLine="480" w:firstLineChars="200"/>
        <w:textAlignment w:val="baseline"/>
        <w:rPr>
          <w:rFonts w:ascii="宋体" w:hAnsi="宋体"/>
          <w:sz w:val="24"/>
          <w:highlight w:val="none"/>
        </w:rPr>
      </w:pPr>
      <w:bookmarkStart w:id="51" w:name="_Toc269470299"/>
      <w:bookmarkStart w:id="52" w:name="_Toc278155332"/>
      <w:bookmarkStart w:id="53" w:name="_Toc393702569"/>
      <w:bookmarkStart w:id="54" w:name="_Toc270604807"/>
      <w:bookmarkStart w:id="55" w:name="_Toc277149369"/>
      <w:bookmarkStart w:id="56" w:name="_Toc373515810"/>
      <w:bookmarkStart w:id="57" w:name="_Toc270604580"/>
      <w:r>
        <w:rPr>
          <w:rFonts w:hint="eastAsia" w:ascii="宋体" w:hAnsi="宋体"/>
          <w:sz w:val="24"/>
          <w:highlight w:val="none"/>
        </w:rPr>
        <w:t>1.4.1 供应商资格要求见供应商须知前附表。</w:t>
      </w:r>
    </w:p>
    <w:p w14:paraId="7C875DB9">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1.4.2供应商不得存在下列情形之一：</w:t>
      </w:r>
    </w:p>
    <w:p w14:paraId="524E471F">
      <w:pPr>
        <w:spacing w:line="360" w:lineRule="auto"/>
        <w:ind w:firstLine="480" w:firstLineChars="200"/>
        <w:rPr>
          <w:rFonts w:ascii="宋体" w:hAnsi="宋体" w:cs="宋体"/>
          <w:sz w:val="24"/>
          <w:highlight w:val="none"/>
        </w:rPr>
      </w:pPr>
      <w:r>
        <w:rPr>
          <w:rFonts w:hint="eastAsia" w:ascii="宋体" w:hAnsi="宋体" w:cs="宋体"/>
          <w:sz w:val="24"/>
          <w:highlight w:val="none"/>
        </w:rPr>
        <w:t>（1）与采购人存在利害关系且可能影响采购公正性；</w:t>
      </w:r>
    </w:p>
    <w:p w14:paraId="153458AC">
      <w:pPr>
        <w:spacing w:line="360" w:lineRule="auto"/>
        <w:ind w:firstLine="480" w:firstLineChars="200"/>
        <w:rPr>
          <w:rFonts w:ascii="宋体" w:hAnsi="宋体" w:cs="宋体"/>
          <w:sz w:val="24"/>
          <w:highlight w:val="none"/>
        </w:rPr>
      </w:pPr>
      <w:r>
        <w:rPr>
          <w:rFonts w:hint="eastAsia" w:ascii="宋体" w:hAnsi="宋体" w:cs="宋体"/>
          <w:sz w:val="24"/>
          <w:highlight w:val="none"/>
        </w:rPr>
        <w:t>（2）与本项目的其他供应商为同一个单位负责人；</w:t>
      </w:r>
    </w:p>
    <w:p w14:paraId="18BB7F2C">
      <w:pPr>
        <w:spacing w:line="360" w:lineRule="auto"/>
        <w:ind w:firstLine="480" w:firstLineChars="200"/>
        <w:rPr>
          <w:rFonts w:ascii="宋体" w:hAnsi="宋体" w:cs="宋体"/>
          <w:sz w:val="24"/>
          <w:highlight w:val="none"/>
        </w:rPr>
      </w:pPr>
      <w:r>
        <w:rPr>
          <w:rFonts w:hint="eastAsia" w:ascii="宋体" w:hAnsi="宋体" w:cs="宋体"/>
          <w:sz w:val="24"/>
          <w:highlight w:val="none"/>
        </w:rPr>
        <w:t>（3）与本项目的其他供应商存在控股、管理关系；</w:t>
      </w:r>
    </w:p>
    <w:p w14:paraId="44ADC645">
      <w:pPr>
        <w:spacing w:line="360" w:lineRule="auto"/>
        <w:ind w:firstLine="480" w:firstLineChars="200"/>
        <w:rPr>
          <w:rFonts w:ascii="宋体" w:hAnsi="宋体" w:cs="宋体"/>
          <w:sz w:val="24"/>
          <w:highlight w:val="none"/>
        </w:rPr>
      </w:pPr>
      <w:r>
        <w:rPr>
          <w:rFonts w:hint="eastAsia" w:ascii="宋体" w:hAnsi="宋体" w:cs="宋体"/>
          <w:sz w:val="24"/>
          <w:highlight w:val="none"/>
        </w:rPr>
        <w:t>（4）为本项目提供过规范编制或者项目管理、监理、检测等服务；</w:t>
      </w:r>
    </w:p>
    <w:p w14:paraId="2D1C5769">
      <w:pPr>
        <w:spacing w:line="360" w:lineRule="auto"/>
        <w:ind w:firstLine="480" w:firstLineChars="200"/>
        <w:rPr>
          <w:rFonts w:ascii="宋体" w:hAnsi="宋体" w:cs="宋体"/>
          <w:sz w:val="24"/>
          <w:highlight w:val="none"/>
        </w:rPr>
      </w:pPr>
      <w:r>
        <w:rPr>
          <w:rFonts w:hint="eastAsia" w:ascii="宋体" w:hAnsi="宋体" w:cs="宋体"/>
          <w:sz w:val="24"/>
          <w:highlight w:val="none"/>
        </w:rPr>
        <w:t>（5）为本项目的采购代理机构；</w:t>
      </w:r>
    </w:p>
    <w:p w14:paraId="2D18F58A">
      <w:pPr>
        <w:spacing w:line="360" w:lineRule="auto"/>
        <w:ind w:firstLine="480" w:firstLineChars="200"/>
        <w:rPr>
          <w:rFonts w:ascii="宋体" w:hAnsi="宋体" w:cs="宋体"/>
          <w:sz w:val="24"/>
          <w:highlight w:val="none"/>
        </w:rPr>
      </w:pPr>
      <w:r>
        <w:rPr>
          <w:rFonts w:hint="eastAsia" w:ascii="宋体" w:hAnsi="宋体" w:cs="宋体"/>
          <w:sz w:val="24"/>
          <w:highlight w:val="none"/>
        </w:rPr>
        <w:t>（6）供应商以他人名义参加磋商、串通响应、以行贿手段牟取成交，或在采购活动中弄虚作假的；</w:t>
      </w:r>
    </w:p>
    <w:p w14:paraId="45DF55CD">
      <w:pPr>
        <w:spacing w:line="360" w:lineRule="auto"/>
        <w:ind w:firstLine="480" w:firstLineChars="200"/>
        <w:rPr>
          <w:highlight w:val="none"/>
        </w:rPr>
      </w:pPr>
      <w:r>
        <w:rPr>
          <w:rFonts w:hint="eastAsia" w:ascii="宋体" w:hAnsi="宋体" w:cs="宋体"/>
          <w:sz w:val="24"/>
          <w:highlight w:val="none"/>
        </w:rPr>
        <w:t>（7）法律法规规定的其他情形。</w:t>
      </w:r>
    </w:p>
    <w:p w14:paraId="19E8B1B8">
      <w:pPr>
        <w:spacing w:line="360" w:lineRule="auto"/>
        <w:ind w:firstLine="482"/>
        <w:rPr>
          <w:rFonts w:ascii="宋体" w:hAnsi="宋体"/>
          <w:b/>
          <w:sz w:val="24"/>
          <w:highlight w:val="none"/>
        </w:rPr>
      </w:pPr>
      <w:r>
        <w:rPr>
          <w:rFonts w:hint="eastAsia" w:ascii="宋体" w:hAnsi="宋体"/>
          <w:b/>
          <w:sz w:val="24"/>
          <w:highlight w:val="none"/>
        </w:rPr>
        <w:t>1.5费用承担</w:t>
      </w:r>
      <w:bookmarkEnd w:id="51"/>
      <w:bookmarkEnd w:id="52"/>
      <w:bookmarkEnd w:id="53"/>
      <w:bookmarkEnd w:id="54"/>
      <w:bookmarkEnd w:id="55"/>
      <w:bookmarkEnd w:id="56"/>
      <w:bookmarkEnd w:id="57"/>
    </w:p>
    <w:p w14:paraId="196DE5DD">
      <w:pPr>
        <w:autoSpaceDE w:val="0"/>
        <w:autoSpaceDN w:val="0"/>
        <w:adjustRightInd w:val="0"/>
        <w:snapToGrid w:val="0"/>
        <w:spacing w:line="360" w:lineRule="auto"/>
        <w:ind w:firstLine="480"/>
        <w:jc w:val="left"/>
        <w:rPr>
          <w:rFonts w:ascii="宋体" w:hAnsi="宋体" w:cs="宋体"/>
          <w:kern w:val="0"/>
          <w:sz w:val="24"/>
          <w:highlight w:val="none"/>
        </w:rPr>
      </w:pPr>
      <w:r>
        <w:rPr>
          <w:rFonts w:hint="eastAsia" w:ascii="宋体" w:hAnsi="宋体" w:cs="宋体"/>
          <w:kern w:val="0"/>
          <w:sz w:val="24"/>
          <w:highlight w:val="none"/>
        </w:rPr>
        <w:t>供应商准备和参加磋商活动发生的费用自理。</w:t>
      </w:r>
    </w:p>
    <w:p w14:paraId="71D34C1F">
      <w:pPr>
        <w:spacing w:line="360" w:lineRule="auto"/>
        <w:ind w:firstLine="482"/>
        <w:rPr>
          <w:rFonts w:ascii="宋体" w:hAnsi="宋体"/>
          <w:b/>
          <w:sz w:val="24"/>
          <w:highlight w:val="none"/>
        </w:rPr>
      </w:pPr>
      <w:bookmarkStart w:id="58" w:name="_Toc269470300"/>
      <w:bookmarkStart w:id="59" w:name="_Toc278155333"/>
      <w:bookmarkStart w:id="60" w:name="_Toc373515811"/>
      <w:bookmarkStart w:id="61" w:name="_Toc277149370"/>
      <w:bookmarkStart w:id="62" w:name="_Toc270604581"/>
      <w:bookmarkStart w:id="63" w:name="_Toc270604808"/>
      <w:bookmarkStart w:id="64" w:name="_Toc393702570"/>
      <w:r>
        <w:rPr>
          <w:rFonts w:hint="eastAsia" w:ascii="宋体" w:hAnsi="宋体"/>
          <w:b/>
          <w:sz w:val="24"/>
          <w:highlight w:val="none"/>
        </w:rPr>
        <w:t>1.6保密</w:t>
      </w:r>
      <w:bookmarkEnd w:id="58"/>
      <w:bookmarkEnd w:id="59"/>
      <w:bookmarkEnd w:id="60"/>
      <w:bookmarkEnd w:id="61"/>
      <w:bookmarkEnd w:id="62"/>
      <w:bookmarkEnd w:id="63"/>
      <w:bookmarkEnd w:id="64"/>
    </w:p>
    <w:p w14:paraId="2D8EBE7B">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1.6.1 磋商期间，直到授予成交的供应商合同止，凡是与磋商响应文件审查、澄清、评价、比较以及推荐成交候选人等方面的情况，均不得向供应商或其他无关的人员透露。</w:t>
      </w:r>
    </w:p>
    <w:p w14:paraId="5B0C67C1">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1.6.2 在磋商过程中，供应商如向磋商小组成员施加任何影响，都将会导致其磋商被拒绝。</w:t>
      </w:r>
    </w:p>
    <w:p w14:paraId="241E303F">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1.6.3 为保证成交结果的公正性，磋商期间直至授予成交供应商合同时，磋商小组成员不得与供应商私下交换意见。在磋商结束后，凡与磋商情况有接触的任何人不得也不应将磋商情况扩散出磋商小组成员之外。</w:t>
      </w:r>
    </w:p>
    <w:p w14:paraId="07CA9A33">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1.6.4 参加本项目采购的供应商如对本次评审推荐的拟成交供应商有异议或发现违规违纪行为，请以书面署名形式向采购方提出质疑，并提供有关书面证明材料，超过法律规定时间将不再受理。</w:t>
      </w:r>
    </w:p>
    <w:p w14:paraId="162A59B5">
      <w:pPr>
        <w:spacing w:line="360" w:lineRule="auto"/>
        <w:ind w:firstLine="482"/>
        <w:rPr>
          <w:rFonts w:ascii="宋体" w:hAnsi="宋体"/>
          <w:b/>
          <w:sz w:val="24"/>
          <w:highlight w:val="none"/>
        </w:rPr>
      </w:pPr>
      <w:bookmarkStart w:id="65" w:name="_Toc278155334"/>
      <w:bookmarkStart w:id="66" w:name="_Toc277149371"/>
      <w:bookmarkStart w:id="67" w:name="_Toc269470301"/>
      <w:bookmarkStart w:id="68" w:name="_Toc270604809"/>
      <w:bookmarkStart w:id="69" w:name="_Toc270604582"/>
      <w:bookmarkStart w:id="70" w:name="_Toc393702571"/>
      <w:bookmarkStart w:id="71" w:name="_Toc373515812"/>
      <w:r>
        <w:rPr>
          <w:rFonts w:hint="eastAsia" w:ascii="宋体" w:hAnsi="宋体"/>
          <w:b/>
          <w:sz w:val="24"/>
          <w:highlight w:val="none"/>
        </w:rPr>
        <w:t>1.7语言文字</w:t>
      </w:r>
      <w:bookmarkEnd w:id="65"/>
      <w:bookmarkEnd w:id="66"/>
      <w:bookmarkEnd w:id="67"/>
      <w:bookmarkEnd w:id="68"/>
      <w:bookmarkEnd w:id="69"/>
      <w:bookmarkEnd w:id="70"/>
      <w:bookmarkEnd w:id="71"/>
    </w:p>
    <w:p w14:paraId="30235079">
      <w:pPr>
        <w:autoSpaceDE w:val="0"/>
        <w:autoSpaceDN w:val="0"/>
        <w:adjustRightInd w:val="0"/>
        <w:snapToGrid w:val="0"/>
        <w:spacing w:line="360" w:lineRule="auto"/>
        <w:ind w:firstLine="480"/>
        <w:jc w:val="left"/>
        <w:rPr>
          <w:rFonts w:ascii="宋体" w:hAnsi="宋体" w:cs="宋体"/>
          <w:kern w:val="0"/>
          <w:sz w:val="24"/>
          <w:highlight w:val="none"/>
        </w:rPr>
      </w:pPr>
      <w:r>
        <w:rPr>
          <w:rFonts w:hint="eastAsia" w:ascii="宋体" w:hAnsi="宋体" w:cs="宋体"/>
          <w:kern w:val="0"/>
          <w:sz w:val="24"/>
          <w:highlight w:val="none"/>
        </w:rPr>
        <w:t>除专用术语外，与采购有关的语言均使用中文。必要时专用术语应附有中文注释。</w:t>
      </w:r>
    </w:p>
    <w:p w14:paraId="770B43F1">
      <w:pPr>
        <w:spacing w:line="360" w:lineRule="auto"/>
        <w:ind w:firstLine="482"/>
        <w:rPr>
          <w:rFonts w:ascii="宋体" w:hAnsi="宋体"/>
          <w:b/>
          <w:sz w:val="24"/>
          <w:highlight w:val="none"/>
        </w:rPr>
      </w:pPr>
      <w:bookmarkStart w:id="72" w:name="_Toc373515813"/>
      <w:bookmarkStart w:id="73" w:name="_Toc270604810"/>
      <w:bookmarkStart w:id="74" w:name="_Toc393702572"/>
      <w:bookmarkStart w:id="75" w:name="_Toc278155335"/>
      <w:bookmarkStart w:id="76" w:name="_Toc269470302"/>
      <w:bookmarkStart w:id="77" w:name="_Toc270604583"/>
      <w:bookmarkStart w:id="78" w:name="_Toc277149372"/>
      <w:r>
        <w:rPr>
          <w:rFonts w:hint="eastAsia" w:ascii="宋体" w:hAnsi="宋体"/>
          <w:b/>
          <w:sz w:val="24"/>
          <w:highlight w:val="none"/>
        </w:rPr>
        <w:t>1.8计量单位</w:t>
      </w:r>
      <w:bookmarkEnd w:id="72"/>
      <w:bookmarkEnd w:id="73"/>
      <w:bookmarkEnd w:id="74"/>
      <w:bookmarkEnd w:id="75"/>
      <w:bookmarkEnd w:id="76"/>
      <w:bookmarkEnd w:id="77"/>
      <w:bookmarkEnd w:id="78"/>
    </w:p>
    <w:p w14:paraId="4190427A">
      <w:pPr>
        <w:autoSpaceDE w:val="0"/>
        <w:autoSpaceDN w:val="0"/>
        <w:adjustRightInd w:val="0"/>
        <w:snapToGrid w:val="0"/>
        <w:spacing w:line="360" w:lineRule="auto"/>
        <w:ind w:firstLine="480"/>
        <w:jc w:val="left"/>
        <w:rPr>
          <w:rFonts w:ascii="宋体" w:hAnsi="宋体" w:cs="宋体"/>
          <w:kern w:val="0"/>
          <w:sz w:val="24"/>
          <w:highlight w:val="none"/>
        </w:rPr>
      </w:pPr>
      <w:r>
        <w:rPr>
          <w:rFonts w:hint="eastAsia" w:ascii="宋体" w:hAnsi="宋体" w:cs="宋体"/>
          <w:kern w:val="0"/>
          <w:sz w:val="24"/>
          <w:highlight w:val="none"/>
        </w:rPr>
        <w:t>所有计量均采用中华人民共和国法定计量单位。</w:t>
      </w:r>
    </w:p>
    <w:p w14:paraId="5493AD21">
      <w:pPr>
        <w:spacing w:line="360" w:lineRule="auto"/>
        <w:ind w:firstLine="482"/>
        <w:rPr>
          <w:rFonts w:ascii="宋体" w:hAnsi="宋体"/>
          <w:b/>
          <w:sz w:val="24"/>
          <w:highlight w:val="none"/>
        </w:rPr>
      </w:pPr>
      <w:bookmarkStart w:id="79" w:name="_Toc373515814"/>
      <w:bookmarkStart w:id="80" w:name="_Toc278155336"/>
      <w:bookmarkStart w:id="81" w:name="_Toc269470303"/>
      <w:bookmarkStart w:id="82" w:name="_Toc270604811"/>
      <w:bookmarkStart w:id="83" w:name="_Toc277149373"/>
      <w:bookmarkStart w:id="84" w:name="_Toc270604584"/>
      <w:bookmarkStart w:id="85" w:name="_Toc393702573"/>
      <w:r>
        <w:rPr>
          <w:rFonts w:hint="eastAsia" w:ascii="宋体" w:hAnsi="宋体"/>
          <w:b/>
          <w:sz w:val="24"/>
          <w:highlight w:val="none"/>
        </w:rPr>
        <w:t>1.9踏勘现场</w:t>
      </w:r>
      <w:bookmarkEnd w:id="79"/>
      <w:bookmarkEnd w:id="80"/>
      <w:bookmarkEnd w:id="81"/>
      <w:bookmarkEnd w:id="82"/>
      <w:bookmarkEnd w:id="83"/>
      <w:bookmarkEnd w:id="84"/>
      <w:bookmarkEnd w:id="85"/>
    </w:p>
    <w:p w14:paraId="589B7A71">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1.9.1 不组织。</w:t>
      </w:r>
    </w:p>
    <w:p w14:paraId="3103C00F">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1.9.2 供应商如需踏勘现场，所发生的费用自理。</w:t>
      </w:r>
    </w:p>
    <w:p w14:paraId="247BFDF7">
      <w:pPr>
        <w:spacing w:line="360" w:lineRule="auto"/>
        <w:ind w:firstLine="482"/>
        <w:rPr>
          <w:rFonts w:ascii="宋体" w:hAnsi="宋体"/>
          <w:b/>
          <w:sz w:val="24"/>
          <w:highlight w:val="none"/>
        </w:rPr>
      </w:pPr>
      <w:bookmarkStart w:id="86" w:name="_Toc393702574"/>
      <w:bookmarkStart w:id="87" w:name="_Toc373515815"/>
      <w:bookmarkStart w:id="88" w:name="_Toc269470304"/>
      <w:bookmarkStart w:id="89" w:name="_Toc270604585"/>
      <w:bookmarkStart w:id="90" w:name="_Toc270604812"/>
      <w:bookmarkStart w:id="91" w:name="_Toc278155337"/>
      <w:bookmarkStart w:id="92" w:name="_Toc277149374"/>
      <w:r>
        <w:rPr>
          <w:rFonts w:hint="eastAsia" w:ascii="宋体" w:hAnsi="宋体"/>
          <w:b/>
          <w:sz w:val="24"/>
          <w:highlight w:val="none"/>
        </w:rPr>
        <w:t>1.10磋商预备会</w:t>
      </w:r>
      <w:bookmarkEnd w:id="86"/>
      <w:bookmarkEnd w:id="87"/>
      <w:bookmarkEnd w:id="88"/>
      <w:bookmarkEnd w:id="89"/>
      <w:bookmarkEnd w:id="90"/>
      <w:bookmarkEnd w:id="91"/>
      <w:bookmarkEnd w:id="92"/>
    </w:p>
    <w:p w14:paraId="55B4ED02">
      <w:pPr>
        <w:pStyle w:val="20"/>
        <w:snapToGrid w:val="0"/>
        <w:spacing w:line="360" w:lineRule="auto"/>
        <w:ind w:firstLine="480" w:firstLineChars="200"/>
        <w:jc w:val="both"/>
        <w:rPr>
          <w:rFonts w:hAnsi="宋体"/>
          <w:color w:val="auto"/>
          <w:highlight w:val="none"/>
        </w:rPr>
      </w:pPr>
      <w:r>
        <w:rPr>
          <w:rFonts w:hint="eastAsia" w:hAnsi="宋体"/>
          <w:color w:val="auto"/>
          <w:highlight w:val="none"/>
        </w:rPr>
        <w:t>不召开预备会。</w:t>
      </w:r>
    </w:p>
    <w:p w14:paraId="6E6D5060">
      <w:pPr>
        <w:spacing w:line="360" w:lineRule="auto"/>
        <w:ind w:firstLine="482"/>
        <w:rPr>
          <w:rFonts w:ascii="宋体" w:hAnsi="宋体"/>
          <w:b/>
          <w:sz w:val="24"/>
          <w:highlight w:val="none"/>
        </w:rPr>
      </w:pPr>
      <w:bookmarkStart w:id="93" w:name="_Toc270604586"/>
      <w:bookmarkStart w:id="94" w:name="_Toc373515816"/>
      <w:bookmarkStart w:id="95" w:name="_Toc278155338"/>
      <w:bookmarkStart w:id="96" w:name="_Toc270604813"/>
      <w:bookmarkStart w:id="97" w:name="_Toc393702575"/>
      <w:bookmarkStart w:id="98" w:name="_Toc277149375"/>
      <w:bookmarkStart w:id="99" w:name="_Toc269470305"/>
      <w:r>
        <w:rPr>
          <w:rFonts w:hint="eastAsia" w:ascii="宋体" w:hAnsi="宋体"/>
          <w:b/>
          <w:sz w:val="24"/>
          <w:highlight w:val="none"/>
        </w:rPr>
        <w:t>1.11分包</w:t>
      </w:r>
      <w:bookmarkEnd w:id="93"/>
      <w:bookmarkEnd w:id="94"/>
      <w:bookmarkEnd w:id="95"/>
      <w:bookmarkEnd w:id="96"/>
      <w:bookmarkEnd w:id="97"/>
      <w:bookmarkEnd w:id="98"/>
      <w:bookmarkEnd w:id="99"/>
    </w:p>
    <w:p w14:paraId="55F8E2E3">
      <w:pPr>
        <w:autoSpaceDE w:val="0"/>
        <w:autoSpaceDN w:val="0"/>
        <w:adjustRightInd w:val="0"/>
        <w:snapToGrid w:val="0"/>
        <w:spacing w:line="360" w:lineRule="auto"/>
        <w:ind w:firstLine="480"/>
        <w:jc w:val="left"/>
        <w:rPr>
          <w:rFonts w:ascii="宋体" w:hAnsi="宋体" w:cs="宋体"/>
          <w:kern w:val="0"/>
          <w:sz w:val="24"/>
          <w:highlight w:val="none"/>
        </w:rPr>
      </w:pPr>
      <w:r>
        <w:rPr>
          <w:rFonts w:hint="eastAsia" w:ascii="宋体" w:hAnsi="宋体" w:cs="宋体"/>
          <w:kern w:val="0"/>
          <w:sz w:val="24"/>
          <w:highlight w:val="none"/>
        </w:rPr>
        <w:t>不允许。</w:t>
      </w:r>
    </w:p>
    <w:p w14:paraId="187CABB3">
      <w:pPr>
        <w:spacing w:line="360" w:lineRule="auto"/>
        <w:ind w:firstLine="482"/>
        <w:rPr>
          <w:rFonts w:ascii="宋体" w:hAnsi="宋体"/>
          <w:b/>
          <w:sz w:val="24"/>
          <w:highlight w:val="none"/>
        </w:rPr>
      </w:pPr>
      <w:bookmarkStart w:id="100" w:name="_Toc278155339"/>
      <w:bookmarkStart w:id="101" w:name="_Toc393702576"/>
      <w:bookmarkStart w:id="102" w:name="_Toc277149376"/>
      <w:bookmarkStart w:id="103" w:name="_Toc270604814"/>
      <w:bookmarkStart w:id="104" w:name="_Toc269470306"/>
      <w:bookmarkStart w:id="105" w:name="_Toc270604587"/>
      <w:bookmarkStart w:id="106" w:name="_Toc308441225"/>
      <w:bookmarkStart w:id="107" w:name="_Toc373515817"/>
      <w:r>
        <w:rPr>
          <w:rFonts w:hint="eastAsia" w:ascii="宋体" w:hAnsi="宋体"/>
          <w:b/>
          <w:sz w:val="24"/>
          <w:highlight w:val="none"/>
        </w:rPr>
        <w:t>1.12偏离</w:t>
      </w:r>
      <w:bookmarkEnd w:id="100"/>
      <w:bookmarkEnd w:id="101"/>
      <w:bookmarkEnd w:id="102"/>
      <w:bookmarkEnd w:id="103"/>
      <w:bookmarkEnd w:id="104"/>
      <w:bookmarkEnd w:id="105"/>
      <w:bookmarkEnd w:id="106"/>
      <w:bookmarkEnd w:id="107"/>
    </w:p>
    <w:p w14:paraId="4385D72D">
      <w:pPr>
        <w:autoSpaceDE w:val="0"/>
        <w:autoSpaceDN w:val="0"/>
        <w:adjustRightInd w:val="0"/>
        <w:snapToGrid w:val="0"/>
        <w:spacing w:line="360" w:lineRule="auto"/>
        <w:ind w:firstLine="480"/>
        <w:jc w:val="left"/>
        <w:rPr>
          <w:rFonts w:ascii="宋体" w:hAnsi="宋体" w:cs="宋体"/>
          <w:kern w:val="0"/>
          <w:sz w:val="24"/>
          <w:highlight w:val="none"/>
        </w:rPr>
      </w:pPr>
      <w:r>
        <w:rPr>
          <w:rFonts w:hint="eastAsia" w:ascii="宋体" w:hAnsi="宋体"/>
          <w:sz w:val="24"/>
          <w:highlight w:val="none"/>
          <w:lang w:val="en-US" w:eastAsia="zh-CN"/>
        </w:rPr>
        <w:t>不</w:t>
      </w:r>
      <w:r>
        <w:rPr>
          <w:rFonts w:hint="eastAsia" w:ascii="宋体" w:hAnsi="宋体"/>
          <w:sz w:val="24"/>
          <w:highlight w:val="none"/>
        </w:rPr>
        <w:t>允许。</w:t>
      </w:r>
    </w:p>
    <w:p w14:paraId="3063A8EA">
      <w:pPr>
        <w:pStyle w:val="9"/>
        <w:spacing w:line="240" w:lineRule="auto"/>
        <w:ind w:firstLine="171" w:firstLineChars="71"/>
        <w:jc w:val="left"/>
        <w:rPr>
          <w:rFonts w:ascii="宋体" w:hAnsi="宋体" w:eastAsia="宋体"/>
          <w:bCs w:val="0"/>
          <w:sz w:val="24"/>
          <w:szCs w:val="24"/>
          <w:highlight w:val="none"/>
        </w:rPr>
      </w:pPr>
      <w:bookmarkStart w:id="108" w:name="_Toc533503500"/>
      <w:bookmarkStart w:id="109" w:name="_Toc43652629"/>
      <w:bookmarkStart w:id="110" w:name="_Toc196238517"/>
      <w:r>
        <w:rPr>
          <w:rFonts w:hint="eastAsia" w:ascii="宋体" w:hAnsi="宋体" w:eastAsia="宋体"/>
          <w:bCs w:val="0"/>
          <w:sz w:val="24"/>
          <w:szCs w:val="24"/>
          <w:highlight w:val="none"/>
        </w:rPr>
        <w:t>2 竞争性磋商文件</w:t>
      </w:r>
      <w:bookmarkEnd w:id="108"/>
      <w:bookmarkEnd w:id="109"/>
      <w:bookmarkEnd w:id="110"/>
    </w:p>
    <w:p w14:paraId="120C51F6">
      <w:pPr>
        <w:spacing w:line="360" w:lineRule="auto"/>
        <w:ind w:firstLine="258" w:firstLineChars="107"/>
        <w:rPr>
          <w:rFonts w:ascii="宋体" w:hAnsi="宋体"/>
          <w:b/>
          <w:bCs/>
          <w:sz w:val="24"/>
          <w:highlight w:val="none"/>
        </w:rPr>
      </w:pPr>
      <w:r>
        <w:rPr>
          <w:rFonts w:hint="eastAsia" w:ascii="宋体" w:hAnsi="宋体"/>
          <w:b/>
          <w:bCs/>
          <w:sz w:val="24"/>
          <w:highlight w:val="none"/>
        </w:rPr>
        <w:t>2.1竞争性磋商文件的组成</w:t>
      </w:r>
    </w:p>
    <w:p w14:paraId="059FC38B">
      <w:pPr>
        <w:spacing w:line="360" w:lineRule="auto"/>
        <w:ind w:firstLine="240" w:firstLineChars="100"/>
        <w:rPr>
          <w:rFonts w:ascii="宋体" w:hAnsi="宋体"/>
          <w:sz w:val="24"/>
          <w:highlight w:val="none"/>
        </w:rPr>
      </w:pPr>
      <w:r>
        <w:rPr>
          <w:rFonts w:hint="eastAsia" w:ascii="宋体" w:hAnsi="宋体"/>
          <w:sz w:val="24"/>
          <w:highlight w:val="none"/>
        </w:rPr>
        <w:t>竞争性磋商文件包括下列内容及按磋商供应商须知和第2. 2条款内容发出的答疑文件和第2. 3条款内容发出的补充文件。</w:t>
      </w:r>
    </w:p>
    <w:p w14:paraId="00CD9184">
      <w:pPr>
        <w:spacing w:line="360" w:lineRule="auto"/>
        <w:ind w:firstLine="480"/>
        <w:rPr>
          <w:rFonts w:ascii="宋体" w:hAnsi="宋体"/>
          <w:sz w:val="24"/>
          <w:highlight w:val="none"/>
        </w:rPr>
      </w:pPr>
      <w:r>
        <w:rPr>
          <w:rFonts w:hint="eastAsia" w:ascii="宋体" w:hAnsi="宋体"/>
          <w:sz w:val="24"/>
          <w:highlight w:val="none"/>
        </w:rPr>
        <w:t>第一章  竞争性磋商公告</w:t>
      </w:r>
    </w:p>
    <w:p w14:paraId="0AF9370C">
      <w:pPr>
        <w:spacing w:line="360" w:lineRule="auto"/>
        <w:ind w:firstLine="480"/>
        <w:rPr>
          <w:rFonts w:ascii="宋体" w:hAnsi="宋体"/>
          <w:sz w:val="24"/>
          <w:highlight w:val="none"/>
        </w:rPr>
      </w:pPr>
      <w:r>
        <w:rPr>
          <w:rFonts w:hint="eastAsia" w:ascii="宋体" w:hAnsi="宋体"/>
          <w:sz w:val="24"/>
          <w:highlight w:val="none"/>
        </w:rPr>
        <w:t>第二章  供应商须知</w:t>
      </w:r>
    </w:p>
    <w:p w14:paraId="30B3B29F">
      <w:pPr>
        <w:spacing w:line="360" w:lineRule="auto"/>
        <w:ind w:firstLine="480"/>
        <w:rPr>
          <w:rFonts w:ascii="宋体" w:hAnsi="宋体"/>
          <w:sz w:val="24"/>
          <w:highlight w:val="none"/>
        </w:rPr>
      </w:pPr>
      <w:r>
        <w:rPr>
          <w:rFonts w:hint="eastAsia" w:ascii="宋体" w:hAnsi="宋体"/>
          <w:sz w:val="24"/>
          <w:highlight w:val="none"/>
        </w:rPr>
        <w:t>第三章  服务内容及要求</w:t>
      </w:r>
    </w:p>
    <w:p w14:paraId="4BCE6233">
      <w:pPr>
        <w:spacing w:line="360" w:lineRule="auto"/>
        <w:ind w:firstLine="480"/>
        <w:rPr>
          <w:rFonts w:ascii="宋体" w:hAnsi="宋体"/>
          <w:sz w:val="24"/>
          <w:highlight w:val="none"/>
        </w:rPr>
      </w:pPr>
      <w:r>
        <w:rPr>
          <w:rFonts w:hint="eastAsia" w:ascii="宋体" w:hAnsi="宋体"/>
          <w:sz w:val="24"/>
          <w:highlight w:val="none"/>
        </w:rPr>
        <w:t>第四章  评审办法</w:t>
      </w:r>
    </w:p>
    <w:p w14:paraId="3BA230AD">
      <w:pPr>
        <w:spacing w:line="360" w:lineRule="auto"/>
        <w:ind w:firstLine="480"/>
        <w:rPr>
          <w:rFonts w:ascii="宋体" w:hAnsi="宋体"/>
          <w:sz w:val="24"/>
          <w:highlight w:val="none"/>
        </w:rPr>
      </w:pPr>
      <w:r>
        <w:rPr>
          <w:rFonts w:hint="eastAsia" w:ascii="宋体" w:hAnsi="宋体"/>
          <w:sz w:val="24"/>
          <w:highlight w:val="none"/>
        </w:rPr>
        <w:t>第五章  合同主要条款及格式</w:t>
      </w:r>
    </w:p>
    <w:p w14:paraId="3F86D0C3">
      <w:pPr>
        <w:spacing w:line="360" w:lineRule="auto"/>
        <w:ind w:firstLine="480"/>
        <w:rPr>
          <w:rFonts w:ascii="宋体" w:hAnsi="宋体"/>
          <w:sz w:val="24"/>
          <w:highlight w:val="none"/>
        </w:rPr>
      </w:pPr>
      <w:r>
        <w:rPr>
          <w:rFonts w:hint="eastAsia" w:ascii="宋体" w:hAnsi="宋体"/>
          <w:sz w:val="24"/>
          <w:highlight w:val="none"/>
        </w:rPr>
        <w:t>第六章  磋商响应文件格式</w:t>
      </w:r>
    </w:p>
    <w:p w14:paraId="70712076">
      <w:pPr>
        <w:spacing w:line="360" w:lineRule="auto"/>
        <w:ind w:firstLine="258" w:firstLineChars="107"/>
        <w:rPr>
          <w:rFonts w:ascii="宋体" w:hAnsi="宋体"/>
          <w:b/>
          <w:bCs/>
          <w:sz w:val="24"/>
          <w:highlight w:val="none"/>
        </w:rPr>
      </w:pPr>
      <w:bookmarkStart w:id="111" w:name="_Toc533503501"/>
      <w:bookmarkStart w:id="112" w:name="_Toc43652630"/>
      <w:r>
        <w:rPr>
          <w:rFonts w:hint="eastAsia" w:ascii="宋体" w:hAnsi="宋体"/>
          <w:b/>
          <w:bCs/>
          <w:sz w:val="24"/>
          <w:highlight w:val="none"/>
        </w:rPr>
        <w:t>2.2竞争性磋商文件的澄清</w:t>
      </w:r>
    </w:p>
    <w:p w14:paraId="677F1F44">
      <w:pPr>
        <w:autoSpaceDE w:val="0"/>
        <w:autoSpaceDN w:val="0"/>
        <w:adjustRightInd w:val="0"/>
        <w:spacing w:line="360" w:lineRule="auto"/>
        <w:ind w:firstLine="480"/>
        <w:rPr>
          <w:rFonts w:ascii="宋体" w:hAnsi="宋体"/>
          <w:sz w:val="24"/>
          <w:highlight w:val="none"/>
        </w:rPr>
      </w:pPr>
      <w:r>
        <w:rPr>
          <w:rFonts w:hint="eastAsia" w:ascii="宋体" w:hAnsi="宋体"/>
          <w:sz w:val="24"/>
          <w:highlight w:val="none"/>
        </w:rPr>
        <w:t>2.2.1 供应商对磋商文件需要澄清或疑问，应在收到竞争性磋商文件后3日内向采购人进行询问，采购人在收到磋商响应供应商的疑问后于2日内将视情况定采用网上公告形式予以答复。</w:t>
      </w:r>
    </w:p>
    <w:p w14:paraId="0E22E149">
      <w:pPr>
        <w:autoSpaceDE w:val="0"/>
        <w:autoSpaceDN w:val="0"/>
        <w:adjustRightInd w:val="0"/>
        <w:spacing w:line="360" w:lineRule="auto"/>
        <w:ind w:firstLine="480"/>
        <w:rPr>
          <w:rFonts w:ascii="宋体" w:hAnsi="宋体"/>
          <w:sz w:val="24"/>
          <w:highlight w:val="none"/>
        </w:rPr>
      </w:pPr>
      <w:r>
        <w:rPr>
          <w:rFonts w:hint="eastAsia" w:ascii="宋体" w:hAnsi="宋体"/>
          <w:sz w:val="24"/>
          <w:highlight w:val="none"/>
        </w:rPr>
        <w:t>2.2.2 采购人将视情况在认为必要时于采购截止时间前答疑。</w:t>
      </w:r>
    </w:p>
    <w:p w14:paraId="35EA6A84">
      <w:pPr>
        <w:spacing w:line="360" w:lineRule="auto"/>
        <w:ind w:firstLine="258" w:firstLineChars="107"/>
        <w:rPr>
          <w:rFonts w:ascii="宋体" w:hAnsi="宋体"/>
          <w:b/>
          <w:sz w:val="24"/>
          <w:highlight w:val="none"/>
        </w:rPr>
      </w:pPr>
      <w:r>
        <w:rPr>
          <w:rFonts w:hint="eastAsia" w:ascii="宋体" w:hAnsi="宋体"/>
          <w:b/>
          <w:sz w:val="24"/>
          <w:highlight w:val="none"/>
        </w:rPr>
        <w:t>2.3竞争性磋商文件的修改</w:t>
      </w:r>
    </w:p>
    <w:p w14:paraId="25DB800F">
      <w:pPr>
        <w:autoSpaceDE w:val="0"/>
        <w:autoSpaceDN w:val="0"/>
        <w:adjustRightInd w:val="0"/>
        <w:spacing w:line="360" w:lineRule="auto"/>
        <w:ind w:firstLine="480"/>
        <w:rPr>
          <w:rFonts w:ascii="宋体" w:hAnsi="宋体"/>
          <w:sz w:val="24"/>
          <w:highlight w:val="none"/>
        </w:rPr>
      </w:pPr>
      <w:r>
        <w:rPr>
          <w:rFonts w:hint="eastAsia" w:ascii="宋体" w:hAnsi="宋体"/>
          <w:sz w:val="24"/>
          <w:highlight w:val="none"/>
        </w:rPr>
        <w:t>2.3.1 在竞标截止时间前，采购人可以变更公告形式修改竞争性磋商文件。为使磋商供应商有足够的时间按磋商文件的更正或补充文件修正磋商响应文件，采购人有权决定推迟磋商响应文件递交截止时间。</w:t>
      </w:r>
    </w:p>
    <w:p w14:paraId="1BE531F0">
      <w:pPr>
        <w:autoSpaceDE w:val="0"/>
        <w:autoSpaceDN w:val="0"/>
        <w:adjustRightInd w:val="0"/>
        <w:spacing w:line="360" w:lineRule="auto"/>
        <w:ind w:firstLine="480"/>
        <w:rPr>
          <w:rFonts w:ascii="宋体" w:hAnsi="宋体"/>
          <w:sz w:val="24"/>
          <w:highlight w:val="none"/>
        </w:rPr>
      </w:pPr>
      <w:r>
        <w:rPr>
          <w:rFonts w:hint="eastAsia" w:ascii="宋体" w:hAnsi="宋体"/>
          <w:sz w:val="24"/>
          <w:highlight w:val="none"/>
        </w:rPr>
        <w:t>2.3.2 竞争性磋商文件的变更公告将构成磋商响应文件的一部分，对所有磋商供应商有约束力。</w:t>
      </w:r>
    </w:p>
    <w:p w14:paraId="7BD1130A">
      <w:pPr>
        <w:spacing w:line="360" w:lineRule="auto"/>
        <w:ind w:firstLine="499" w:firstLineChars="208"/>
        <w:rPr>
          <w:rFonts w:ascii="宋体" w:hAnsi="宋体"/>
          <w:sz w:val="24"/>
          <w:highlight w:val="none"/>
        </w:rPr>
      </w:pPr>
      <w:r>
        <w:rPr>
          <w:rFonts w:hint="eastAsia" w:ascii="宋体" w:hAnsi="宋体"/>
          <w:sz w:val="24"/>
          <w:highlight w:val="none"/>
        </w:rPr>
        <w:t>2.3.3 供应商提出问题的截止时间：递交磋商响应文件截止之日</w:t>
      </w:r>
      <w:r>
        <w:rPr>
          <w:rFonts w:hint="eastAsia" w:ascii="宋体" w:hAnsi="宋体"/>
          <w:sz w:val="24"/>
          <w:highlight w:val="none"/>
          <w:lang w:val="en-US" w:eastAsia="zh-CN"/>
        </w:rPr>
        <w:t>5</w:t>
      </w:r>
      <w:r>
        <w:rPr>
          <w:rFonts w:hint="eastAsia" w:ascii="宋体" w:hAnsi="宋体"/>
          <w:sz w:val="24"/>
          <w:highlight w:val="none"/>
        </w:rPr>
        <w:t xml:space="preserve">日前。  </w:t>
      </w:r>
    </w:p>
    <w:p w14:paraId="52CFC989">
      <w:pPr>
        <w:pStyle w:val="9"/>
        <w:spacing w:line="240" w:lineRule="auto"/>
        <w:ind w:firstLine="171" w:firstLineChars="71"/>
        <w:jc w:val="left"/>
        <w:rPr>
          <w:rFonts w:ascii="宋体" w:hAnsi="宋体" w:eastAsia="宋体"/>
          <w:bCs w:val="0"/>
          <w:sz w:val="24"/>
          <w:szCs w:val="24"/>
          <w:highlight w:val="none"/>
        </w:rPr>
      </w:pPr>
      <w:bookmarkStart w:id="113" w:name="_Toc196238518"/>
      <w:r>
        <w:rPr>
          <w:rFonts w:hint="eastAsia" w:ascii="宋体" w:hAnsi="宋体" w:eastAsia="宋体"/>
          <w:bCs w:val="0"/>
          <w:sz w:val="24"/>
          <w:szCs w:val="24"/>
          <w:highlight w:val="none"/>
        </w:rPr>
        <w:t>3 磋商响应文件</w:t>
      </w:r>
      <w:bookmarkEnd w:id="111"/>
      <w:bookmarkEnd w:id="112"/>
      <w:bookmarkEnd w:id="113"/>
    </w:p>
    <w:p w14:paraId="31B5F105">
      <w:pPr>
        <w:spacing w:line="360" w:lineRule="auto"/>
        <w:ind w:firstLine="482"/>
        <w:rPr>
          <w:rFonts w:ascii="宋体" w:hAnsi="宋体"/>
          <w:b/>
          <w:sz w:val="24"/>
          <w:highlight w:val="none"/>
        </w:rPr>
      </w:pPr>
      <w:bookmarkStart w:id="114" w:name="_Toc270604593"/>
      <w:bookmarkStart w:id="115" w:name="_Toc373515823"/>
      <w:bookmarkStart w:id="116" w:name="_Toc269470312"/>
      <w:bookmarkStart w:id="117" w:name="_Toc393702581"/>
      <w:bookmarkStart w:id="118" w:name="_Toc278155345"/>
      <w:bookmarkStart w:id="119" w:name="_Toc277149382"/>
      <w:bookmarkStart w:id="120" w:name="_Toc270604820"/>
      <w:r>
        <w:rPr>
          <w:rFonts w:hint="eastAsia" w:ascii="宋体" w:hAnsi="宋体"/>
          <w:b/>
          <w:sz w:val="24"/>
          <w:highlight w:val="none"/>
        </w:rPr>
        <w:t>3.1磋商响应文件的组成</w:t>
      </w:r>
      <w:bookmarkEnd w:id="114"/>
      <w:bookmarkEnd w:id="115"/>
      <w:bookmarkEnd w:id="116"/>
      <w:bookmarkEnd w:id="117"/>
      <w:bookmarkEnd w:id="118"/>
      <w:bookmarkEnd w:id="119"/>
      <w:bookmarkEnd w:id="120"/>
    </w:p>
    <w:p w14:paraId="18DA71F3">
      <w:pPr>
        <w:autoSpaceDE w:val="0"/>
        <w:autoSpaceDN w:val="0"/>
        <w:adjustRightInd w:val="0"/>
        <w:snapToGrid w:val="0"/>
        <w:spacing w:line="360" w:lineRule="auto"/>
        <w:ind w:firstLine="480"/>
        <w:jc w:val="left"/>
        <w:rPr>
          <w:rFonts w:ascii="宋体" w:hAnsi="宋体" w:cs="宋体"/>
          <w:bCs/>
          <w:kern w:val="0"/>
          <w:sz w:val="24"/>
          <w:highlight w:val="none"/>
        </w:rPr>
      </w:pPr>
      <w:r>
        <w:rPr>
          <w:rFonts w:hint="eastAsia" w:ascii="宋体" w:hAnsi="宋体" w:cs="宋体"/>
          <w:bCs/>
          <w:kern w:val="0"/>
          <w:sz w:val="24"/>
          <w:highlight w:val="none"/>
        </w:rPr>
        <w:t>3.1.1 磋商响应文件的具体格式及要求详见磋商文件“第六章 磋商响应文件格式”。</w:t>
      </w:r>
    </w:p>
    <w:p w14:paraId="411CD534">
      <w:pPr>
        <w:autoSpaceDE w:val="0"/>
        <w:autoSpaceDN w:val="0"/>
        <w:adjustRightInd w:val="0"/>
        <w:snapToGrid w:val="0"/>
        <w:spacing w:line="360" w:lineRule="auto"/>
        <w:ind w:firstLine="480"/>
        <w:jc w:val="left"/>
        <w:rPr>
          <w:rFonts w:ascii="宋体" w:hAnsi="宋体" w:cs="宋体"/>
          <w:kern w:val="0"/>
          <w:sz w:val="24"/>
          <w:highlight w:val="none"/>
        </w:rPr>
      </w:pPr>
      <w:r>
        <w:rPr>
          <w:rFonts w:hint="eastAsia" w:ascii="宋体" w:hAnsi="宋体" w:cs="宋体"/>
          <w:kern w:val="0"/>
          <w:sz w:val="24"/>
          <w:highlight w:val="none"/>
        </w:rPr>
        <w:t>3.1.2 若磋商供应商未按要求提供资料，或未对磋商文件做出实质性响应，将可能导致磋商响应文件被视为无效文件或影响磋商结果。</w:t>
      </w:r>
    </w:p>
    <w:p w14:paraId="1A2513A6">
      <w:pPr>
        <w:tabs>
          <w:tab w:val="left" w:pos="945"/>
          <w:tab w:val="left" w:pos="1155"/>
        </w:tabs>
        <w:spacing w:line="360" w:lineRule="auto"/>
        <w:ind w:firstLine="482"/>
        <w:rPr>
          <w:rFonts w:ascii="宋体" w:hAnsi="宋体"/>
          <w:b/>
          <w:sz w:val="24"/>
          <w:highlight w:val="none"/>
        </w:rPr>
      </w:pPr>
      <w:r>
        <w:rPr>
          <w:rFonts w:hint="eastAsia" w:ascii="宋体" w:hAnsi="宋体"/>
          <w:b/>
          <w:sz w:val="24"/>
          <w:highlight w:val="none"/>
        </w:rPr>
        <w:t>3.2特别说明</w:t>
      </w:r>
    </w:p>
    <w:p w14:paraId="4CE92561">
      <w:pPr>
        <w:spacing w:line="360" w:lineRule="auto"/>
        <w:ind w:firstLine="552" w:firstLineChars="230"/>
        <w:rPr>
          <w:rFonts w:ascii="宋体" w:hAnsi="宋体"/>
          <w:sz w:val="24"/>
          <w:highlight w:val="none"/>
        </w:rPr>
      </w:pPr>
      <w:r>
        <w:rPr>
          <w:rFonts w:hint="eastAsia" w:ascii="宋体" w:hAnsi="宋体"/>
          <w:sz w:val="24"/>
          <w:highlight w:val="none"/>
        </w:rPr>
        <w:t>3.2.1磋商语言：磋商供应商提交的磋商文件以及磋商响应供应商与采购代理机构就有关磋商的所有往来函电均应使用中文。磋商供应商提供的文件可以用英文，但相应内容应附有中文翻译本，在解释时以中文翻译本为准。</w:t>
      </w:r>
    </w:p>
    <w:p w14:paraId="0B52A55F">
      <w:pPr>
        <w:spacing w:line="360" w:lineRule="auto"/>
        <w:ind w:firstLine="552" w:firstLineChars="230"/>
        <w:rPr>
          <w:rFonts w:ascii="宋体" w:hAnsi="宋体"/>
          <w:sz w:val="24"/>
          <w:highlight w:val="none"/>
        </w:rPr>
      </w:pPr>
      <w:r>
        <w:rPr>
          <w:rFonts w:hint="eastAsia" w:ascii="宋体" w:hAnsi="宋体"/>
          <w:sz w:val="24"/>
          <w:highlight w:val="none"/>
        </w:rPr>
        <w:t>3.2.2 计量：在磋商文件所有计量单位均采用中华人民共和国法定计量单位。</w:t>
      </w:r>
    </w:p>
    <w:p w14:paraId="4A3051CA">
      <w:pPr>
        <w:tabs>
          <w:tab w:val="left" w:pos="945"/>
          <w:tab w:val="left" w:pos="1155"/>
        </w:tabs>
        <w:spacing w:line="360" w:lineRule="auto"/>
        <w:ind w:firstLine="600" w:firstLineChars="250"/>
        <w:rPr>
          <w:rFonts w:ascii="宋体" w:hAnsi="宋体"/>
          <w:sz w:val="24"/>
          <w:highlight w:val="none"/>
        </w:rPr>
      </w:pPr>
      <w:r>
        <w:rPr>
          <w:rFonts w:hint="eastAsia" w:ascii="宋体" w:hAnsi="宋体"/>
          <w:sz w:val="24"/>
          <w:highlight w:val="none"/>
        </w:rPr>
        <w:t>3.2.3磋商供应商在磋商文件中所提交的所有资料和文件均应是真实的和有效的，如有作假，则将该磋商供应商的磋商作无效标处理，若成交后被发现有上述行为的，则采购人有权取消其成交资格，并且该磋商供应商应承担由此而造成的一切损失（包括经济损失和法律责任）。</w:t>
      </w:r>
    </w:p>
    <w:p w14:paraId="24AF234C">
      <w:pPr>
        <w:tabs>
          <w:tab w:val="left" w:pos="840"/>
        </w:tabs>
        <w:spacing w:line="360" w:lineRule="auto"/>
        <w:ind w:firstLine="482"/>
        <w:rPr>
          <w:rFonts w:ascii="宋体" w:hAnsi="宋体"/>
          <w:b/>
          <w:sz w:val="24"/>
          <w:highlight w:val="none"/>
        </w:rPr>
      </w:pPr>
      <w:r>
        <w:rPr>
          <w:rFonts w:hint="eastAsia" w:ascii="宋体" w:hAnsi="宋体"/>
          <w:b/>
          <w:sz w:val="24"/>
          <w:highlight w:val="none"/>
        </w:rPr>
        <w:t>3.3磋商报价</w:t>
      </w:r>
    </w:p>
    <w:p w14:paraId="155EFDC2">
      <w:pPr>
        <w:spacing w:line="360" w:lineRule="auto"/>
        <w:ind w:firstLine="480"/>
        <w:rPr>
          <w:rFonts w:ascii="宋体" w:hAnsi="宋体"/>
          <w:sz w:val="24"/>
          <w:highlight w:val="none"/>
        </w:rPr>
      </w:pPr>
      <w:r>
        <w:rPr>
          <w:rFonts w:hint="eastAsia" w:ascii="宋体" w:hAnsi="宋体"/>
          <w:sz w:val="24"/>
          <w:highlight w:val="none"/>
        </w:rPr>
        <w:t>3.3.1本项目磋商报价包含以下内容：</w:t>
      </w:r>
    </w:p>
    <w:p w14:paraId="47C2AC02">
      <w:pPr>
        <w:spacing w:line="360" w:lineRule="auto"/>
        <w:ind w:firstLine="480"/>
        <w:rPr>
          <w:rFonts w:ascii="宋体" w:hAnsi="宋体"/>
          <w:sz w:val="24"/>
          <w:highlight w:val="none"/>
        </w:rPr>
      </w:pPr>
      <w:r>
        <w:rPr>
          <w:rFonts w:hint="eastAsia" w:ascii="宋体" w:hAnsi="宋体"/>
          <w:sz w:val="24"/>
          <w:highlight w:val="none"/>
        </w:rPr>
        <w:t>本项目共两次报价，响应文件中响应函的报价为首次报价。二次报价（即最后报价）供应商在磋商小组规定的时间内现场报出。最后报价为签订合同的依据。</w:t>
      </w:r>
    </w:p>
    <w:p w14:paraId="08E862FD">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3.3.2 本项目设预算金额为采购最高限价，具体见供应商须知前附表。首次报价及二次报价（即最后报价）不得高于采购最高限价，否则按废标处理。</w:t>
      </w:r>
    </w:p>
    <w:p w14:paraId="5841D67F">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3.3.3报价涉及货币的应为人民币，包括国家规定的增值税税金。供应商的报价应包括勘测设计单位到现场收集资料费用、勘测设计人员差旅费、施工阶段的施工现场服务、评审会议费用等全部费用。</w:t>
      </w:r>
    </w:p>
    <w:p w14:paraId="1DF5D5B2">
      <w:pPr>
        <w:spacing w:line="360" w:lineRule="auto"/>
        <w:ind w:firstLine="552" w:firstLineChars="23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3.3.4供应商应结合自身综合实力、市场行情、本项目具体特点和技术要求，自行报价。磋商过程中竞争性磋商文件有实质性变动的，代理机构将书面通知所有参与磋商的供应商，供应商据此再次报价。</w:t>
      </w:r>
    </w:p>
    <w:p w14:paraId="6E2DB8DE">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3.3.5报价风险：该价格为固定价格，包括的风险范围为：设计单位未考虑到或漏算的项目，合同执行期间人员费用、设备价格的变动；采购人提供的资料与现场实际情况不符；因各种原因设计时间延长；其他风险因素。</w:t>
      </w:r>
    </w:p>
    <w:p w14:paraId="4391F69B">
      <w:pPr>
        <w:shd w:val="clear" w:color="auto" w:fill="FFFFFF"/>
        <w:tabs>
          <w:tab w:val="left" w:pos="0"/>
        </w:tabs>
        <w:spacing w:line="360" w:lineRule="auto"/>
        <w:ind w:firstLine="460" w:firstLineChars="192"/>
        <w:rPr>
          <w:rFonts w:ascii="宋体" w:hAnsi="宋体"/>
          <w:sz w:val="24"/>
          <w:highlight w:val="none"/>
        </w:rPr>
      </w:pPr>
      <w:r>
        <w:rPr>
          <w:rFonts w:hint="eastAsia" w:asciiTheme="minorEastAsia" w:hAnsiTheme="minorEastAsia" w:eastAsiaTheme="minorEastAsia"/>
          <w:sz w:val="24"/>
          <w:highlight w:val="none"/>
        </w:rPr>
        <w:t>3.3.6供应商只能提交一个报价，采购人不接受任何选择</w:t>
      </w:r>
      <w:r>
        <w:rPr>
          <w:rFonts w:hint="eastAsia" w:ascii="宋体" w:hAnsi="宋体"/>
          <w:sz w:val="24"/>
          <w:highlight w:val="none"/>
        </w:rPr>
        <w:t>报价。</w:t>
      </w:r>
    </w:p>
    <w:p w14:paraId="0446CFBF">
      <w:pPr>
        <w:spacing w:line="360" w:lineRule="auto"/>
        <w:ind w:firstLine="480" w:firstLineChars="200"/>
        <w:rPr>
          <w:rFonts w:ascii="宋体" w:hAnsi="宋体"/>
          <w:sz w:val="24"/>
          <w:highlight w:val="none"/>
        </w:rPr>
      </w:pPr>
      <w:r>
        <w:rPr>
          <w:rFonts w:hint="eastAsia" w:ascii="宋体" w:hAnsi="宋体"/>
          <w:sz w:val="24"/>
          <w:highlight w:val="none"/>
        </w:rPr>
        <w:t>3.3.7最低报价不是成交的唯一条件，在评审过程中，</w:t>
      </w:r>
      <w:r>
        <w:rPr>
          <w:rFonts w:hint="eastAsia"/>
          <w:bCs/>
          <w:sz w:val="24"/>
          <w:highlight w:val="none"/>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报价处理。</w:t>
      </w:r>
    </w:p>
    <w:p w14:paraId="4EF21790">
      <w:pPr>
        <w:spacing w:line="360" w:lineRule="auto"/>
        <w:ind w:firstLine="480" w:firstLineChars="200"/>
        <w:rPr>
          <w:rFonts w:ascii="宋体" w:hAnsi="宋体"/>
          <w:sz w:val="24"/>
          <w:highlight w:val="none"/>
        </w:rPr>
      </w:pPr>
      <w:r>
        <w:rPr>
          <w:rFonts w:hint="eastAsia" w:ascii="宋体" w:hAnsi="宋体"/>
          <w:sz w:val="24"/>
          <w:highlight w:val="none"/>
        </w:rPr>
        <w:t>3.3.8如磋商响应文件中的大写金额和小写金额不一致的，以大写金额为准；总价金额与单价金额不一致的，以单价金额为准，但单价金额小数点有明显错误的除外；对不同文字文本磋商响应文件的解释发生异议的，以中文文本为准。</w:t>
      </w:r>
    </w:p>
    <w:p w14:paraId="41697124">
      <w:pPr>
        <w:spacing w:line="360" w:lineRule="auto"/>
        <w:ind w:firstLine="482"/>
        <w:rPr>
          <w:rFonts w:ascii="宋体" w:hAnsi="宋体"/>
          <w:b/>
          <w:sz w:val="24"/>
          <w:highlight w:val="none"/>
        </w:rPr>
      </w:pPr>
      <w:r>
        <w:rPr>
          <w:rFonts w:hint="eastAsia" w:ascii="宋体" w:hAnsi="宋体"/>
          <w:b/>
          <w:sz w:val="24"/>
          <w:highlight w:val="none"/>
        </w:rPr>
        <w:t>3.4磋商报价承诺函</w:t>
      </w:r>
    </w:p>
    <w:p w14:paraId="2390D4E7">
      <w:pPr>
        <w:spacing w:line="360" w:lineRule="auto"/>
        <w:ind w:firstLine="480"/>
        <w:rPr>
          <w:rFonts w:ascii="宋体" w:hAnsi="宋体"/>
          <w:sz w:val="24"/>
          <w:highlight w:val="none"/>
        </w:rPr>
      </w:pPr>
      <w:bookmarkStart w:id="121" w:name="_Toc393702586"/>
      <w:r>
        <w:rPr>
          <w:rFonts w:hint="eastAsia" w:ascii="宋体" w:hAnsi="宋体"/>
          <w:sz w:val="24"/>
          <w:highlight w:val="none"/>
        </w:rPr>
        <w:t>根据《河南省财政厅关于优化政府采购营商环境有关问题的通知》（豫财购【</w:t>
      </w:r>
      <w:r>
        <w:rPr>
          <w:rFonts w:ascii="宋体" w:hAnsi="宋体"/>
          <w:sz w:val="24"/>
          <w:highlight w:val="none"/>
        </w:rPr>
        <w:t>2019</w:t>
      </w: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号）第</w:t>
      </w:r>
      <w:r>
        <w:rPr>
          <w:rFonts w:ascii="宋体" w:hAnsi="宋体"/>
          <w:sz w:val="24"/>
          <w:highlight w:val="none"/>
        </w:rPr>
        <w:t>6</w:t>
      </w:r>
      <w:r>
        <w:rPr>
          <w:rFonts w:hint="eastAsia" w:ascii="宋体" w:hAnsi="宋体"/>
          <w:sz w:val="24"/>
          <w:highlight w:val="none"/>
        </w:rPr>
        <w:t>条的规定，磋商保证金不再收取，供应商须提供磋商报价承诺函（详见竞争性磋商文件第六章磋商响应文件格式）</w:t>
      </w:r>
    </w:p>
    <w:p w14:paraId="7E9160F2">
      <w:pPr>
        <w:spacing w:line="360" w:lineRule="auto"/>
        <w:ind w:firstLine="482"/>
        <w:rPr>
          <w:rFonts w:ascii="宋体" w:hAnsi="宋体"/>
          <w:b/>
          <w:sz w:val="24"/>
          <w:highlight w:val="none"/>
        </w:rPr>
      </w:pPr>
      <w:r>
        <w:rPr>
          <w:rFonts w:hint="eastAsia" w:ascii="宋体" w:hAnsi="宋体"/>
          <w:b/>
          <w:sz w:val="24"/>
          <w:highlight w:val="none"/>
        </w:rPr>
        <w:t>3.5磋商有效期</w:t>
      </w:r>
      <w:bookmarkEnd w:id="121"/>
    </w:p>
    <w:p w14:paraId="1BDC10A6">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3.5.1 在供应商须知前附表规定的磋商有效期内，供应商不得要求撤销或修改其磋商响应文件。</w:t>
      </w:r>
    </w:p>
    <w:p w14:paraId="2FDC0939">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3.5.2 出现特殊情况需要延长磋商有效期的，采购人以书面形式通知所有供应商延长磋商有效期。供应商同意延长的，不得要求或被允许修改或撤销其磋商响应文件；供应商拒绝延长的，其竞标失效。</w:t>
      </w:r>
    </w:p>
    <w:p w14:paraId="1BDAE86C">
      <w:pPr>
        <w:spacing w:line="360" w:lineRule="auto"/>
        <w:ind w:firstLine="482"/>
        <w:rPr>
          <w:rFonts w:ascii="宋体" w:hAnsi="宋体"/>
          <w:b/>
          <w:sz w:val="24"/>
          <w:highlight w:val="none"/>
        </w:rPr>
      </w:pPr>
      <w:bookmarkStart w:id="122" w:name="_Toc373515827"/>
      <w:bookmarkStart w:id="123" w:name="_Toc270604823"/>
      <w:bookmarkStart w:id="124" w:name="_Toc277149385"/>
      <w:bookmarkStart w:id="125" w:name="_Toc278155348"/>
      <w:bookmarkStart w:id="126" w:name="_Toc393702587"/>
      <w:bookmarkStart w:id="127" w:name="_Toc269470318"/>
      <w:bookmarkStart w:id="128" w:name="_Toc270604596"/>
      <w:r>
        <w:rPr>
          <w:rFonts w:hint="eastAsia" w:ascii="宋体" w:hAnsi="宋体"/>
          <w:b/>
          <w:sz w:val="24"/>
          <w:highlight w:val="none"/>
        </w:rPr>
        <w:t>3.6 磋商响应文件的编制</w:t>
      </w:r>
      <w:bookmarkEnd w:id="122"/>
      <w:bookmarkEnd w:id="123"/>
      <w:bookmarkEnd w:id="124"/>
      <w:bookmarkEnd w:id="125"/>
      <w:bookmarkEnd w:id="126"/>
      <w:bookmarkEnd w:id="127"/>
      <w:bookmarkEnd w:id="128"/>
    </w:p>
    <w:p w14:paraId="3AD3419B">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3.6.1 磋商响应文件应按“第六章、磋商响应文件格式”进行编写，如有必要，可以增加附页，作为磋商响应文件的组成部分。其中，响应函及响应函附表在满足竞争性磋商文件实质性要求的基础上，可以提出比竞争性磋商文件要求更有利于采购人的承诺。</w:t>
      </w:r>
    </w:p>
    <w:p w14:paraId="35B1B42A">
      <w:pPr>
        <w:pStyle w:val="20"/>
        <w:tabs>
          <w:tab w:val="left" w:pos="540"/>
        </w:tabs>
        <w:snapToGrid w:val="0"/>
        <w:spacing w:line="360" w:lineRule="auto"/>
        <w:ind w:firstLine="480" w:firstLineChars="200"/>
        <w:jc w:val="both"/>
        <w:rPr>
          <w:rFonts w:hAnsi="宋体"/>
          <w:color w:val="auto"/>
          <w:highlight w:val="none"/>
        </w:rPr>
      </w:pPr>
      <w:r>
        <w:rPr>
          <w:rFonts w:hint="eastAsia" w:hAnsi="宋体"/>
          <w:color w:val="auto"/>
          <w:highlight w:val="none"/>
        </w:rPr>
        <w:t>3.6.2 磋商响应文件应当对竞争性磋商文件有关采购范围、质量、</w:t>
      </w:r>
      <w:r>
        <w:rPr>
          <w:rFonts w:hint="eastAsia" w:hAnsi="宋体"/>
          <w:highlight w:val="none"/>
        </w:rPr>
        <w:t>服务期限</w:t>
      </w:r>
      <w:r>
        <w:rPr>
          <w:rFonts w:hint="eastAsia" w:hAnsi="宋体"/>
          <w:color w:val="auto"/>
          <w:highlight w:val="none"/>
        </w:rPr>
        <w:t>、磋商有效期等实质性内容做出响应。</w:t>
      </w:r>
    </w:p>
    <w:p w14:paraId="1D30DC45">
      <w:pPr>
        <w:spacing w:line="360" w:lineRule="auto"/>
        <w:ind w:firstLine="482"/>
        <w:rPr>
          <w:rFonts w:ascii="宋体" w:hAnsi="宋体"/>
          <w:b/>
          <w:bCs/>
          <w:sz w:val="24"/>
          <w:highlight w:val="none"/>
        </w:rPr>
      </w:pPr>
      <w:r>
        <w:rPr>
          <w:rFonts w:hint="eastAsia" w:ascii="宋体" w:hAnsi="宋体"/>
          <w:b/>
          <w:bCs/>
          <w:sz w:val="24"/>
          <w:highlight w:val="none"/>
        </w:rPr>
        <w:t>3.7响应文件格式</w:t>
      </w:r>
    </w:p>
    <w:p w14:paraId="241E967D">
      <w:pPr>
        <w:spacing w:line="360" w:lineRule="auto"/>
        <w:ind w:firstLine="367" w:firstLineChars="153"/>
        <w:rPr>
          <w:rFonts w:ascii="宋体" w:hAnsi="宋体"/>
          <w:sz w:val="24"/>
          <w:highlight w:val="none"/>
        </w:rPr>
      </w:pPr>
      <w:r>
        <w:rPr>
          <w:rFonts w:hint="eastAsia" w:ascii="宋体" w:hAnsi="宋体"/>
          <w:sz w:val="24"/>
          <w:highlight w:val="none"/>
        </w:rPr>
        <w:t>响应文件应包括本须知第3.1条中规定的全部内容，磋商供应商提交的响应文件应当使用竞争性磋商文件所提供的响应文件全部格式（表格可以按同样格式扩展）。</w:t>
      </w:r>
    </w:p>
    <w:p w14:paraId="44E03478">
      <w:pPr>
        <w:pStyle w:val="9"/>
        <w:spacing w:line="240" w:lineRule="auto"/>
        <w:ind w:firstLine="171" w:firstLineChars="71"/>
        <w:jc w:val="left"/>
        <w:rPr>
          <w:rFonts w:ascii="宋体" w:hAnsi="宋体" w:eastAsia="宋体"/>
          <w:bCs w:val="0"/>
          <w:sz w:val="24"/>
          <w:szCs w:val="24"/>
          <w:highlight w:val="none"/>
        </w:rPr>
      </w:pPr>
      <w:bookmarkStart w:id="129" w:name="_Toc196238519"/>
      <w:bookmarkStart w:id="130" w:name="_Toc78644402"/>
      <w:bookmarkStart w:id="131" w:name="_Toc43652631"/>
      <w:bookmarkStart w:id="132" w:name="_Toc533503502"/>
      <w:r>
        <w:rPr>
          <w:rFonts w:hint="eastAsia" w:ascii="宋体" w:hAnsi="宋体" w:eastAsia="宋体"/>
          <w:bCs w:val="0"/>
          <w:sz w:val="24"/>
          <w:szCs w:val="24"/>
          <w:highlight w:val="none"/>
        </w:rPr>
        <w:t>4 磋商响应文件的递交</w:t>
      </w:r>
      <w:bookmarkEnd w:id="129"/>
      <w:bookmarkEnd w:id="130"/>
    </w:p>
    <w:p w14:paraId="0C4A07DB">
      <w:pPr>
        <w:spacing w:line="360" w:lineRule="auto"/>
        <w:ind w:firstLine="241" w:firstLineChars="100"/>
        <w:rPr>
          <w:rFonts w:ascii="宋体" w:hAnsi="宋体"/>
          <w:b/>
          <w:sz w:val="24"/>
          <w:highlight w:val="none"/>
        </w:rPr>
      </w:pPr>
      <w:r>
        <w:rPr>
          <w:rFonts w:hint="eastAsia" w:ascii="宋体" w:hAnsi="宋体"/>
          <w:b/>
          <w:bCs/>
          <w:sz w:val="24"/>
          <w:highlight w:val="none"/>
        </w:rPr>
        <w:t xml:space="preserve">4.1 </w:t>
      </w:r>
      <w:r>
        <w:rPr>
          <w:rFonts w:hint="eastAsia" w:ascii="宋体" w:hAnsi="宋体"/>
          <w:b/>
          <w:sz w:val="24"/>
          <w:highlight w:val="none"/>
        </w:rPr>
        <w:t>电子化磋商响应文件的格式及上传投标</w:t>
      </w:r>
    </w:p>
    <w:p w14:paraId="5519C511">
      <w:pPr>
        <w:spacing w:line="360" w:lineRule="auto"/>
        <w:ind w:left="360"/>
        <w:rPr>
          <w:rFonts w:ascii="宋体" w:hAnsi="宋体" w:cs="宋体"/>
          <w:sz w:val="24"/>
          <w:highlight w:val="none"/>
        </w:rPr>
      </w:pPr>
      <w:r>
        <w:rPr>
          <w:rFonts w:hint="eastAsia" w:ascii="宋体" w:hAnsi="宋体"/>
          <w:bCs/>
          <w:sz w:val="24"/>
          <w:highlight w:val="none"/>
        </w:rPr>
        <w:t>4.1.1</w:t>
      </w:r>
      <w:r>
        <w:rPr>
          <w:rFonts w:hint="eastAsia" w:ascii="宋体" w:hAnsi="宋体" w:cs="宋体"/>
          <w:sz w:val="24"/>
          <w:highlight w:val="none"/>
        </w:rPr>
        <w:t>供应商所上传的电子化磋商响应文件，应是经过签章和加密后生成的电子版磋商响应文件。</w:t>
      </w:r>
    </w:p>
    <w:p w14:paraId="7CC1AB68">
      <w:pPr>
        <w:spacing w:line="360" w:lineRule="auto"/>
        <w:ind w:left="360"/>
        <w:rPr>
          <w:rFonts w:ascii="宋体" w:hAnsi="宋体" w:cs="宋体"/>
          <w:sz w:val="24"/>
          <w:highlight w:val="none"/>
        </w:rPr>
      </w:pPr>
      <w:r>
        <w:rPr>
          <w:rFonts w:hint="eastAsia" w:ascii="宋体" w:hAnsi="宋体" w:cs="宋体"/>
          <w:sz w:val="24"/>
          <w:highlight w:val="none"/>
        </w:rPr>
        <w:t>注：供应商投报多个标段的，需要每个标段单独制作磋商响应文件。</w:t>
      </w:r>
    </w:p>
    <w:p w14:paraId="4E69831B">
      <w:pPr>
        <w:spacing w:line="360" w:lineRule="auto"/>
        <w:ind w:left="360"/>
        <w:rPr>
          <w:rFonts w:ascii="宋体" w:hAnsi="宋体"/>
          <w:sz w:val="24"/>
          <w:highlight w:val="none"/>
        </w:rPr>
      </w:pPr>
      <w:r>
        <w:rPr>
          <w:rFonts w:hint="eastAsia" w:ascii="宋体" w:hAnsi="宋体"/>
          <w:bCs/>
          <w:sz w:val="24"/>
          <w:highlight w:val="none"/>
        </w:rPr>
        <w:t>4.1.2</w:t>
      </w:r>
      <w:r>
        <w:rPr>
          <w:rFonts w:hint="eastAsia" w:ascii="宋体" w:hAnsi="宋体"/>
          <w:sz w:val="24"/>
          <w:highlight w:val="none"/>
        </w:rPr>
        <w:t>电子化</w:t>
      </w:r>
      <w:r>
        <w:rPr>
          <w:rFonts w:hint="eastAsia" w:ascii="宋体" w:hAnsi="宋体" w:cs="宋体"/>
          <w:sz w:val="24"/>
          <w:highlight w:val="none"/>
        </w:rPr>
        <w:t>磋商响应</w:t>
      </w:r>
      <w:r>
        <w:rPr>
          <w:rFonts w:hint="eastAsia" w:ascii="宋体" w:hAnsi="宋体"/>
          <w:sz w:val="24"/>
          <w:highlight w:val="none"/>
        </w:rPr>
        <w:t>文件应在磋商截止时间前成功上传至三门峡市公共资</w:t>
      </w:r>
    </w:p>
    <w:p w14:paraId="0CB600A4">
      <w:pPr>
        <w:spacing w:line="360" w:lineRule="auto"/>
        <w:rPr>
          <w:rFonts w:ascii="宋体" w:hAnsi="宋体"/>
          <w:sz w:val="24"/>
          <w:highlight w:val="none"/>
        </w:rPr>
      </w:pPr>
      <w:r>
        <w:rPr>
          <w:rFonts w:hint="eastAsia" w:ascii="宋体" w:hAnsi="宋体"/>
          <w:sz w:val="24"/>
          <w:highlight w:val="none"/>
        </w:rPr>
        <w:t>源电子化交易系统。至磋商截止时间止，仍未上传成功的电子化</w:t>
      </w:r>
      <w:r>
        <w:rPr>
          <w:rFonts w:hint="eastAsia" w:ascii="宋体" w:hAnsi="宋体" w:cs="宋体"/>
          <w:sz w:val="24"/>
          <w:highlight w:val="none"/>
        </w:rPr>
        <w:t>磋商响应</w:t>
      </w:r>
      <w:r>
        <w:rPr>
          <w:rFonts w:hint="eastAsia" w:ascii="宋体" w:hAnsi="宋体"/>
          <w:sz w:val="24"/>
          <w:highlight w:val="none"/>
        </w:rPr>
        <w:t>文件将不予接收。</w:t>
      </w:r>
    </w:p>
    <w:p w14:paraId="77113C66">
      <w:pPr>
        <w:spacing w:line="360" w:lineRule="auto"/>
        <w:ind w:firstLine="573"/>
        <w:rPr>
          <w:rFonts w:ascii="宋体" w:hAnsi="宋体" w:cs="宋体"/>
          <w:sz w:val="24"/>
          <w:highlight w:val="none"/>
        </w:rPr>
      </w:pPr>
      <w:r>
        <w:rPr>
          <w:rFonts w:hint="eastAsia" w:ascii="宋体" w:hAnsi="宋体"/>
          <w:sz w:val="24"/>
          <w:highlight w:val="none"/>
        </w:rPr>
        <w:t>注：</w:t>
      </w:r>
      <w:r>
        <w:rPr>
          <w:rFonts w:hint="eastAsia" w:ascii="宋体" w:hAnsi="宋体" w:cs="宋体"/>
          <w:sz w:val="24"/>
          <w:highlight w:val="none"/>
        </w:rPr>
        <w:t>如按照电子化投标操作教材制作完成的电子化投标文件无法上传的，供应商应在磋商截止时间前尽早的联系中心技术人员，以便有充分的时间进行处理。供应商应充分考虑到处理技术问题和上传数据等工作所需的时间问题，磋商响应文件未在磋商截止时间前成功上传的，其磋商响应文件不予接收。</w:t>
      </w:r>
    </w:p>
    <w:p w14:paraId="3A981910">
      <w:pPr>
        <w:spacing w:line="360" w:lineRule="auto"/>
        <w:ind w:firstLine="352" w:firstLineChars="147"/>
        <w:rPr>
          <w:rFonts w:ascii="宋体" w:hAnsi="宋体"/>
          <w:sz w:val="24"/>
          <w:highlight w:val="none"/>
        </w:rPr>
      </w:pPr>
      <w:r>
        <w:rPr>
          <w:rFonts w:hint="eastAsia" w:ascii="宋体" w:hAnsi="宋体"/>
          <w:bCs/>
          <w:sz w:val="24"/>
          <w:highlight w:val="none"/>
        </w:rPr>
        <w:t xml:space="preserve">4.1.3 </w:t>
      </w:r>
      <w:r>
        <w:rPr>
          <w:rFonts w:hint="eastAsia" w:ascii="宋体" w:hAnsi="宋体"/>
          <w:sz w:val="24"/>
          <w:highlight w:val="none"/>
        </w:rPr>
        <w:t>电子化磋商响应文件的签章</w:t>
      </w:r>
    </w:p>
    <w:p w14:paraId="6C3DDAAA">
      <w:pPr>
        <w:spacing w:line="360" w:lineRule="auto"/>
        <w:ind w:left="360"/>
        <w:rPr>
          <w:rFonts w:ascii="宋体" w:hAnsi="宋体"/>
          <w:sz w:val="24"/>
          <w:highlight w:val="none"/>
        </w:rPr>
      </w:pPr>
      <w:r>
        <w:rPr>
          <w:rFonts w:hint="eastAsia" w:ascii="宋体" w:hAnsi="宋体"/>
          <w:sz w:val="24"/>
          <w:highlight w:val="none"/>
        </w:rPr>
        <w:t>（1）供应商在生成电子化</w:t>
      </w:r>
      <w:r>
        <w:rPr>
          <w:rFonts w:hint="eastAsia" w:ascii="宋体" w:hAnsi="宋体" w:cs="宋体"/>
          <w:sz w:val="24"/>
          <w:highlight w:val="none"/>
        </w:rPr>
        <w:t>磋商响应</w:t>
      </w:r>
      <w:r>
        <w:rPr>
          <w:rFonts w:hint="eastAsia" w:ascii="宋体" w:hAnsi="宋体"/>
          <w:sz w:val="24"/>
          <w:highlight w:val="none"/>
        </w:rPr>
        <w:t>文件后，应对电子化</w:t>
      </w:r>
      <w:r>
        <w:rPr>
          <w:rFonts w:hint="eastAsia" w:ascii="宋体" w:hAnsi="宋体" w:cs="宋体"/>
          <w:sz w:val="24"/>
          <w:highlight w:val="none"/>
        </w:rPr>
        <w:t>磋商</w:t>
      </w:r>
      <w:r>
        <w:rPr>
          <w:rFonts w:hint="eastAsia" w:ascii="宋体" w:hAnsi="宋体"/>
          <w:sz w:val="24"/>
          <w:highlight w:val="none"/>
        </w:rPr>
        <w:t>文件进行签章，</w:t>
      </w:r>
    </w:p>
    <w:p w14:paraId="41254289">
      <w:pPr>
        <w:spacing w:line="360" w:lineRule="auto"/>
        <w:rPr>
          <w:rFonts w:ascii="宋体" w:hAnsi="宋体"/>
          <w:b/>
          <w:sz w:val="24"/>
          <w:highlight w:val="none"/>
        </w:rPr>
      </w:pPr>
      <w:r>
        <w:rPr>
          <w:rFonts w:hint="eastAsia" w:ascii="宋体" w:hAnsi="宋体"/>
          <w:sz w:val="24"/>
          <w:highlight w:val="none"/>
        </w:rPr>
        <w:t>未进行签章的视为无效投标。</w:t>
      </w:r>
    </w:p>
    <w:p w14:paraId="453137CC">
      <w:pPr>
        <w:spacing w:line="360" w:lineRule="auto"/>
        <w:ind w:left="360"/>
        <w:rPr>
          <w:rFonts w:ascii="宋体" w:hAnsi="宋体"/>
          <w:sz w:val="24"/>
          <w:highlight w:val="none"/>
        </w:rPr>
      </w:pPr>
      <w:r>
        <w:rPr>
          <w:rFonts w:hint="eastAsia" w:ascii="宋体" w:hAnsi="宋体"/>
          <w:sz w:val="24"/>
          <w:highlight w:val="none"/>
        </w:rPr>
        <w:t>（2）磋商响应文件中要求法定代表人或授权委托人签字或盖章的，供应商在</w:t>
      </w:r>
    </w:p>
    <w:p w14:paraId="43E5C6D2">
      <w:pPr>
        <w:spacing w:line="360" w:lineRule="auto"/>
        <w:rPr>
          <w:rFonts w:ascii="宋体" w:hAnsi="宋体"/>
          <w:sz w:val="24"/>
          <w:highlight w:val="none"/>
        </w:rPr>
      </w:pPr>
      <w:r>
        <w:rPr>
          <w:rFonts w:hint="eastAsia" w:ascii="宋体" w:hAnsi="宋体"/>
          <w:sz w:val="24"/>
          <w:highlight w:val="none"/>
        </w:rPr>
        <w:t>进行电子化</w:t>
      </w:r>
      <w:r>
        <w:rPr>
          <w:rFonts w:hint="eastAsia" w:ascii="宋体" w:hAnsi="宋体" w:cs="宋体"/>
          <w:sz w:val="24"/>
          <w:highlight w:val="none"/>
        </w:rPr>
        <w:t>磋商响应</w:t>
      </w:r>
      <w:r>
        <w:rPr>
          <w:rFonts w:hint="eastAsia" w:ascii="宋体" w:hAnsi="宋体"/>
          <w:sz w:val="24"/>
          <w:highlight w:val="none"/>
        </w:rPr>
        <w:t>文件签章时，以签盖法定代表人签章为准。</w:t>
      </w:r>
    </w:p>
    <w:p w14:paraId="40020431">
      <w:pPr>
        <w:spacing w:line="360" w:lineRule="auto"/>
        <w:ind w:firstLine="241" w:firstLineChars="100"/>
        <w:rPr>
          <w:rFonts w:ascii="宋体" w:hAnsi="宋体"/>
          <w:b/>
          <w:bCs/>
          <w:sz w:val="24"/>
          <w:highlight w:val="none"/>
        </w:rPr>
      </w:pPr>
      <w:r>
        <w:rPr>
          <w:rFonts w:hint="eastAsia" w:ascii="宋体" w:hAnsi="宋体"/>
          <w:b/>
          <w:bCs/>
          <w:sz w:val="24"/>
          <w:highlight w:val="none"/>
        </w:rPr>
        <w:t>4.2  磋商响应文件的补充、修改</w:t>
      </w:r>
    </w:p>
    <w:p w14:paraId="75D14222">
      <w:pPr>
        <w:spacing w:line="360" w:lineRule="auto"/>
        <w:ind w:firstLine="360" w:firstLineChars="150"/>
        <w:rPr>
          <w:rFonts w:ascii="宋体" w:hAnsi="宋体"/>
          <w:sz w:val="24"/>
          <w:highlight w:val="none"/>
        </w:rPr>
      </w:pPr>
      <w:r>
        <w:rPr>
          <w:rFonts w:hint="eastAsia" w:ascii="宋体" w:hAnsi="宋体"/>
          <w:sz w:val="24"/>
          <w:highlight w:val="none"/>
        </w:rPr>
        <w:t>供应商在提交磋商响应文件以后，在规定的磋商截止时间之前，可以补充修改已提交的响应文件，待补充、修改后重新提交。</w:t>
      </w:r>
    </w:p>
    <w:p w14:paraId="5491F89B">
      <w:pPr>
        <w:spacing w:line="360" w:lineRule="auto"/>
        <w:ind w:firstLine="241" w:firstLineChars="100"/>
        <w:rPr>
          <w:rFonts w:ascii="宋体" w:hAnsi="宋体"/>
          <w:b/>
          <w:sz w:val="24"/>
          <w:highlight w:val="none"/>
        </w:rPr>
      </w:pPr>
      <w:r>
        <w:rPr>
          <w:rFonts w:hint="eastAsia" w:ascii="宋体" w:hAnsi="宋体"/>
          <w:b/>
          <w:bCs/>
          <w:sz w:val="24"/>
          <w:highlight w:val="none"/>
        </w:rPr>
        <w:t xml:space="preserve">4.3  </w:t>
      </w:r>
      <w:r>
        <w:rPr>
          <w:rFonts w:hint="eastAsia" w:ascii="宋体" w:hAnsi="宋体"/>
          <w:b/>
          <w:sz w:val="24"/>
          <w:highlight w:val="none"/>
        </w:rPr>
        <w:t>在磋商截止时间之后，供应商不得补充、修改磋商响应文件。</w:t>
      </w:r>
    </w:p>
    <w:p w14:paraId="47C0621D">
      <w:pPr>
        <w:pStyle w:val="9"/>
        <w:spacing w:line="240" w:lineRule="auto"/>
        <w:ind w:firstLine="171" w:firstLineChars="71"/>
        <w:jc w:val="left"/>
        <w:rPr>
          <w:rFonts w:ascii="宋体" w:hAnsi="宋体" w:eastAsia="宋体"/>
          <w:bCs w:val="0"/>
          <w:sz w:val="24"/>
          <w:szCs w:val="24"/>
          <w:highlight w:val="none"/>
        </w:rPr>
      </w:pPr>
      <w:bookmarkStart w:id="133" w:name="_Toc78644403"/>
      <w:bookmarkStart w:id="134" w:name="_Toc196238520"/>
      <w:r>
        <w:rPr>
          <w:rFonts w:hint="eastAsia" w:ascii="宋体" w:hAnsi="宋体" w:eastAsia="宋体"/>
          <w:bCs w:val="0"/>
          <w:sz w:val="24"/>
          <w:szCs w:val="24"/>
          <w:highlight w:val="none"/>
        </w:rPr>
        <w:t>5 磋商会议</w:t>
      </w:r>
      <w:bookmarkEnd w:id="133"/>
      <w:bookmarkEnd w:id="134"/>
    </w:p>
    <w:p w14:paraId="41088568">
      <w:pPr>
        <w:autoSpaceDE w:val="0"/>
        <w:autoSpaceDN w:val="0"/>
        <w:adjustRightInd w:val="0"/>
        <w:spacing w:line="360" w:lineRule="auto"/>
        <w:ind w:firstLine="241" w:firstLineChars="100"/>
        <w:jc w:val="left"/>
        <w:rPr>
          <w:rFonts w:ascii="宋体"/>
          <w:b/>
          <w:bCs/>
          <w:sz w:val="24"/>
          <w:highlight w:val="none"/>
        </w:rPr>
      </w:pPr>
      <w:r>
        <w:rPr>
          <w:rFonts w:hint="eastAsia" w:ascii="宋体" w:hAnsi="宋体"/>
          <w:b/>
          <w:bCs/>
          <w:sz w:val="24"/>
          <w:highlight w:val="none"/>
        </w:rPr>
        <w:t>5.1 开标程序</w:t>
      </w:r>
    </w:p>
    <w:p w14:paraId="0BB3EB55">
      <w:pPr>
        <w:spacing w:line="360" w:lineRule="auto"/>
        <w:ind w:firstLine="480" w:firstLineChars="200"/>
        <w:rPr>
          <w:rFonts w:ascii="宋体" w:hAnsi="宋体" w:cs="宋体"/>
          <w:sz w:val="24"/>
          <w:highlight w:val="none"/>
        </w:rPr>
      </w:pPr>
      <w:r>
        <w:rPr>
          <w:rFonts w:hint="eastAsia" w:ascii="宋体" w:hAnsi="宋体" w:cs="宋体"/>
          <w:sz w:val="24"/>
          <w:highlight w:val="none"/>
        </w:rPr>
        <w:t>1、本项目采用电子化、无纸化进行招标，开标当日，供应商无需到开标现场参加磋商会议，供应商应当在磋商截止时间前，登陆不见面开标大厅选择登陆三门峡市公共资源电子招投标系统进行登陆（网址为</w:t>
      </w:r>
    </w:p>
    <w:p w14:paraId="39D1D4DC">
      <w:pPr>
        <w:spacing w:line="360" w:lineRule="auto"/>
        <w:rPr>
          <w:rFonts w:ascii="宋体" w:hAnsi="宋体" w:cs="宋体"/>
          <w:sz w:val="24"/>
          <w:highlight w:val="none"/>
        </w:rPr>
      </w:pPr>
      <w:r>
        <w:rPr>
          <w:rFonts w:hint="eastAsia" w:ascii="宋体" w:hAnsi="宋体"/>
          <w:sz w:val="24"/>
          <w:highlight w:val="none"/>
        </w:rPr>
        <w:t>http://120.194.249.36:10094/BidOpening/bidopeninghallaction/hall/login</w:t>
      </w:r>
      <w:r>
        <w:rPr>
          <w:rFonts w:hint="eastAsia" w:ascii="宋体" w:hAnsi="宋体" w:cs="宋体"/>
          <w:sz w:val="24"/>
          <w:highlight w:val="none"/>
        </w:rPr>
        <w:t>）,在线准时参加开标活动并进行投标文件解密等。</w:t>
      </w:r>
    </w:p>
    <w:p w14:paraId="212D09B8">
      <w:pPr>
        <w:spacing w:line="360" w:lineRule="auto"/>
        <w:ind w:firstLine="480" w:firstLineChars="200"/>
        <w:rPr>
          <w:rFonts w:ascii="宋体" w:hAnsi="宋体" w:cs="宋体"/>
          <w:sz w:val="24"/>
          <w:highlight w:val="none"/>
        </w:rPr>
      </w:pPr>
      <w:r>
        <w:rPr>
          <w:rFonts w:hint="eastAsia" w:ascii="宋体" w:hAnsi="宋体" w:cs="宋体"/>
          <w:sz w:val="24"/>
          <w:highlight w:val="none"/>
        </w:rPr>
        <w:t>2、电子化投标文件采用一次加密方式。开标时，由供应商使用CA 证书，在规定时间内对其电子化投标文件进行解密。每位供应商的解密时间为开标时间起</w:t>
      </w:r>
      <w:r>
        <w:rPr>
          <w:rFonts w:ascii="宋体" w:hAnsi="宋体" w:cs="宋体"/>
          <w:sz w:val="24"/>
          <w:highlight w:val="none"/>
        </w:rPr>
        <w:t>3</w:t>
      </w:r>
      <w:r>
        <w:rPr>
          <w:rFonts w:hint="eastAsia" w:ascii="宋体" w:hAnsi="宋体" w:cs="宋体"/>
          <w:sz w:val="24"/>
          <w:highlight w:val="none"/>
        </w:rPr>
        <w:t>0 分钟内，如在规定时间内未完成解密的，其投标文件不予开标、唱标。每位供应商的解密时间为开标时间起</w:t>
      </w:r>
      <w:r>
        <w:rPr>
          <w:rFonts w:ascii="宋体" w:hAnsi="宋体" w:cs="宋体"/>
          <w:sz w:val="24"/>
          <w:highlight w:val="none"/>
        </w:rPr>
        <w:t>3</w:t>
      </w:r>
      <w:r>
        <w:rPr>
          <w:rFonts w:hint="eastAsia" w:ascii="宋体" w:hAnsi="宋体" w:cs="宋体"/>
          <w:sz w:val="24"/>
          <w:highlight w:val="none"/>
        </w:rPr>
        <w:t>0分钟内完成。</w:t>
      </w:r>
    </w:p>
    <w:p w14:paraId="168548A8">
      <w:pPr>
        <w:spacing w:line="360" w:lineRule="auto"/>
        <w:ind w:firstLine="480" w:firstLineChars="200"/>
        <w:rPr>
          <w:rFonts w:ascii="宋体" w:hAnsi="宋体" w:cs="宋体"/>
          <w:sz w:val="24"/>
          <w:highlight w:val="none"/>
        </w:rPr>
      </w:pPr>
      <w:r>
        <w:rPr>
          <w:rFonts w:hint="eastAsia" w:ascii="宋体" w:hAnsi="宋体" w:cs="宋体"/>
          <w:sz w:val="24"/>
          <w:highlight w:val="none"/>
        </w:rPr>
        <w:t>3、电子化磋商响应文件解密异常的处理</w:t>
      </w:r>
    </w:p>
    <w:p w14:paraId="47926406">
      <w:pPr>
        <w:spacing w:line="360" w:lineRule="auto"/>
        <w:ind w:firstLine="480" w:firstLineChars="200"/>
        <w:rPr>
          <w:rFonts w:ascii="宋体" w:hAnsi="宋体" w:cs="宋体"/>
          <w:sz w:val="24"/>
          <w:highlight w:val="none"/>
        </w:rPr>
      </w:pPr>
      <w:r>
        <w:rPr>
          <w:rFonts w:hint="eastAsia" w:ascii="宋体" w:hAnsi="宋体" w:cs="宋体"/>
          <w:sz w:val="24"/>
          <w:highlight w:val="none"/>
        </w:rPr>
        <w:t>如出现供应商的电子响应文件无法解密等异常情况，供应商应及时致电中介服务机构说明。响应文件异常，按以下步骤进行处理：</w:t>
      </w:r>
    </w:p>
    <w:p w14:paraId="39603B56">
      <w:pPr>
        <w:spacing w:line="360" w:lineRule="auto"/>
        <w:ind w:firstLine="480" w:firstLineChars="200"/>
        <w:rPr>
          <w:rFonts w:ascii="宋体" w:hAnsi="宋体" w:cs="宋体"/>
          <w:sz w:val="24"/>
          <w:highlight w:val="none"/>
        </w:rPr>
      </w:pPr>
      <w:r>
        <w:rPr>
          <w:rFonts w:hint="eastAsia" w:ascii="宋体" w:hAnsi="宋体" w:cs="宋体"/>
          <w:sz w:val="24"/>
          <w:highlight w:val="none"/>
        </w:rPr>
        <w:t>（1）首先由技术人员进行问题排查。</w:t>
      </w:r>
    </w:p>
    <w:p w14:paraId="35EF5AA7">
      <w:pPr>
        <w:spacing w:line="360" w:lineRule="auto"/>
        <w:ind w:firstLine="480" w:firstLineChars="200"/>
        <w:rPr>
          <w:rFonts w:ascii="宋体" w:hAnsi="宋体" w:cs="宋体"/>
          <w:sz w:val="24"/>
          <w:highlight w:val="none"/>
        </w:rPr>
      </w:pPr>
      <w:r>
        <w:rPr>
          <w:rFonts w:hint="eastAsia" w:ascii="宋体" w:hAnsi="宋体" w:cs="宋体"/>
          <w:sz w:val="24"/>
          <w:highlight w:val="none"/>
        </w:rPr>
        <w:t>（2）经技术人员排查后，是供应商文件自身问题导致响应文件无法解密的，该响应文件将不予接收、解密和唱标。开标会议继续进行。</w:t>
      </w:r>
    </w:p>
    <w:p w14:paraId="161ABEA3">
      <w:pPr>
        <w:spacing w:line="360" w:lineRule="auto"/>
        <w:ind w:firstLine="480" w:firstLineChars="200"/>
        <w:rPr>
          <w:rFonts w:ascii="宋体" w:hAnsi="宋体" w:cs="宋体"/>
          <w:sz w:val="24"/>
          <w:highlight w:val="none"/>
        </w:rPr>
      </w:pPr>
      <w:r>
        <w:rPr>
          <w:rFonts w:hint="eastAsia" w:ascii="宋体" w:hAnsi="宋体" w:cs="宋体"/>
          <w:sz w:val="24"/>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3DD8FF3A">
      <w:pPr>
        <w:spacing w:line="360" w:lineRule="auto"/>
        <w:ind w:firstLine="480" w:firstLineChars="200"/>
        <w:rPr>
          <w:rFonts w:ascii="宋体" w:hAnsi="宋体" w:cs="宋体"/>
          <w:sz w:val="24"/>
          <w:highlight w:val="none"/>
        </w:rPr>
      </w:pPr>
      <w:r>
        <w:rPr>
          <w:rFonts w:hint="eastAsia" w:ascii="宋体" w:hAnsi="宋体" w:cs="宋体"/>
          <w:sz w:val="24"/>
          <w:highlight w:val="none"/>
        </w:rPr>
        <w:t>4、待所有供应商响应文件解密完成后，由中介服务机构操作，对所有已解密响应文件进行唱标。首次报价不予唱标。</w:t>
      </w:r>
    </w:p>
    <w:p w14:paraId="6D45E277">
      <w:pPr>
        <w:spacing w:line="360" w:lineRule="auto"/>
        <w:ind w:firstLine="480" w:firstLineChars="200"/>
        <w:rPr>
          <w:rFonts w:ascii="宋体" w:hAnsi="宋体" w:cs="宋体"/>
          <w:sz w:val="24"/>
          <w:highlight w:val="none"/>
        </w:rPr>
      </w:pPr>
      <w:r>
        <w:rPr>
          <w:rFonts w:hint="eastAsia" w:ascii="宋体" w:hAnsi="宋体" w:cs="宋体"/>
          <w:sz w:val="24"/>
          <w:highlight w:val="none"/>
        </w:rPr>
        <w:t>供应商应保证在开标期间电话、电脑、网络能够正常工作，供应商因停电、电脑病毒、网络堵塞等原因，未在规定的解密时间内对响应文件进行解密的，其响应文件不予接收、唱标。</w:t>
      </w:r>
    </w:p>
    <w:p w14:paraId="7F72F8BA">
      <w:pPr>
        <w:spacing w:line="360" w:lineRule="auto"/>
        <w:ind w:firstLine="480" w:firstLineChars="200"/>
        <w:rPr>
          <w:rFonts w:ascii="宋体" w:hAnsi="宋体" w:cs="宋体"/>
          <w:sz w:val="24"/>
          <w:highlight w:val="none"/>
        </w:rPr>
      </w:pPr>
      <w:r>
        <w:rPr>
          <w:rFonts w:hint="eastAsia" w:ascii="宋体" w:hAnsi="宋体" w:cs="宋体"/>
          <w:sz w:val="24"/>
          <w:highlight w:val="none"/>
        </w:rPr>
        <w:t>5、开标时供应商可登录到交易系统中在开标大厅中点击开标一览表查看。如对自己的唱标内容有异议的，应在唱标内容显示后10分钟内向中介服务机构电话质疑。中介服务机构应在监督人员的监督下进行免提通话接受供应商的质疑并做好书面记录。供应商未在规定时间内提出质疑的，视为认可唱标内容。</w:t>
      </w:r>
    </w:p>
    <w:p w14:paraId="4EDDD962">
      <w:pPr>
        <w:autoSpaceDE w:val="0"/>
        <w:autoSpaceDN w:val="0"/>
        <w:adjustRightInd w:val="0"/>
        <w:spacing w:line="360" w:lineRule="auto"/>
        <w:ind w:firstLine="480" w:firstLineChars="200"/>
        <w:jc w:val="left"/>
        <w:rPr>
          <w:rFonts w:ascii="宋体" w:hAnsi="宋体" w:cs="仿宋_GB2312"/>
          <w:kern w:val="0"/>
          <w:sz w:val="24"/>
          <w:highlight w:val="none"/>
        </w:rPr>
      </w:pPr>
      <w:r>
        <w:rPr>
          <w:rFonts w:hint="eastAsia" w:ascii="宋体" w:hAnsi="宋体"/>
          <w:sz w:val="24"/>
          <w:highlight w:val="none"/>
        </w:rPr>
        <w:t>6、</w:t>
      </w:r>
      <w:r>
        <w:rPr>
          <w:rFonts w:hint="eastAsia" w:ascii="宋体" w:hAnsi="宋体" w:cs="仿宋_GB2312"/>
          <w:kern w:val="0"/>
          <w:sz w:val="24"/>
          <w:highlight w:val="none"/>
        </w:rPr>
        <w:t>因供应商原因造成</w:t>
      </w:r>
      <w:r>
        <w:rPr>
          <w:rFonts w:hint="eastAsia" w:ascii="宋体" w:hAnsi="宋体" w:cs="宋体"/>
          <w:sz w:val="24"/>
          <w:highlight w:val="none"/>
        </w:rPr>
        <w:t>响应</w:t>
      </w:r>
      <w:r>
        <w:rPr>
          <w:rFonts w:hint="eastAsia" w:ascii="宋体" w:hAnsi="宋体" w:cs="仿宋_GB2312"/>
          <w:kern w:val="0"/>
          <w:sz w:val="24"/>
          <w:highlight w:val="none"/>
        </w:rPr>
        <w:t>文件未解密的，视为撤销其</w:t>
      </w:r>
      <w:r>
        <w:rPr>
          <w:rFonts w:hint="eastAsia" w:ascii="宋体" w:hAnsi="宋体" w:cs="宋体"/>
          <w:sz w:val="24"/>
          <w:highlight w:val="none"/>
        </w:rPr>
        <w:t>响应</w:t>
      </w:r>
      <w:r>
        <w:rPr>
          <w:rFonts w:hint="eastAsia" w:ascii="宋体" w:hAnsi="宋体" w:cs="仿宋_GB2312"/>
          <w:kern w:val="0"/>
          <w:sz w:val="24"/>
          <w:highlight w:val="none"/>
        </w:rPr>
        <w:t>文件；因供应商之外的原因造成</w:t>
      </w:r>
      <w:r>
        <w:rPr>
          <w:rFonts w:hint="eastAsia" w:ascii="宋体" w:hAnsi="宋体" w:cs="宋体"/>
          <w:sz w:val="24"/>
          <w:highlight w:val="none"/>
        </w:rPr>
        <w:t>响应</w:t>
      </w:r>
      <w:r>
        <w:rPr>
          <w:rFonts w:hint="eastAsia" w:ascii="宋体" w:hAnsi="宋体" w:cs="仿宋_GB2312"/>
          <w:kern w:val="0"/>
          <w:sz w:val="24"/>
          <w:highlight w:val="none"/>
        </w:rPr>
        <w:t>文件未解密的，视为撤回其</w:t>
      </w:r>
      <w:r>
        <w:rPr>
          <w:rFonts w:hint="eastAsia" w:ascii="宋体" w:hAnsi="宋体" w:cs="宋体"/>
          <w:sz w:val="24"/>
          <w:highlight w:val="none"/>
        </w:rPr>
        <w:t>响应标</w:t>
      </w:r>
      <w:r>
        <w:rPr>
          <w:rFonts w:hint="eastAsia" w:ascii="宋体" w:hAnsi="宋体" w:cs="仿宋_GB2312"/>
          <w:kern w:val="0"/>
          <w:sz w:val="24"/>
          <w:highlight w:val="none"/>
        </w:rPr>
        <w:t>文件，供应商有权要求责任方赔偿因此遭受的直接损失。部分</w:t>
      </w:r>
      <w:r>
        <w:rPr>
          <w:rFonts w:hint="eastAsia" w:ascii="宋体" w:hAnsi="宋体" w:cs="宋体"/>
          <w:sz w:val="24"/>
          <w:highlight w:val="none"/>
        </w:rPr>
        <w:t>响应</w:t>
      </w:r>
      <w:r>
        <w:rPr>
          <w:rFonts w:hint="eastAsia" w:ascii="宋体" w:hAnsi="宋体" w:cs="仿宋_GB2312"/>
          <w:kern w:val="0"/>
          <w:sz w:val="24"/>
          <w:highlight w:val="none"/>
        </w:rPr>
        <w:t>文件未解密的，其他</w:t>
      </w:r>
      <w:r>
        <w:rPr>
          <w:rFonts w:hint="eastAsia" w:ascii="宋体" w:hAnsi="宋体" w:cs="宋体"/>
          <w:sz w:val="24"/>
          <w:highlight w:val="none"/>
        </w:rPr>
        <w:t>响应</w:t>
      </w:r>
      <w:r>
        <w:rPr>
          <w:rFonts w:hint="eastAsia" w:ascii="宋体" w:hAnsi="宋体" w:cs="仿宋_GB2312"/>
          <w:kern w:val="0"/>
          <w:sz w:val="24"/>
          <w:highlight w:val="none"/>
        </w:rPr>
        <w:t>文件的开标可以继续进行。</w:t>
      </w:r>
    </w:p>
    <w:p w14:paraId="46988105">
      <w:pPr>
        <w:spacing w:line="360" w:lineRule="auto"/>
        <w:ind w:firstLine="482"/>
        <w:rPr>
          <w:rFonts w:ascii="宋体" w:hAnsi="宋体" w:cs="宋体"/>
          <w:b/>
          <w:sz w:val="24"/>
          <w:highlight w:val="none"/>
        </w:rPr>
      </w:pPr>
      <w:r>
        <w:rPr>
          <w:rFonts w:hint="eastAsia" w:ascii="宋体" w:hAnsi="宋体" w:cs="宋体"/>
          <w:b/>
          <w:sz w:val="24"/>
          <w:highlight w:val="none"/>
        </w:rPr>
        <w:t>5.2磋商时间、地点</w:t>
      </w:r>
    </w:p>
    <w:p w14:paraId="1AF5FE80">
      <w:pPr>
        <w:autoSpaceDE w:val="0"/>
        <w:autoSpaceDN w:val="0"/>
        <w:adjustRightInd w:val="0"/>
        <w:spacing w:line="360" w:lineRule="auto"/>
        <w:ind w:firstLine="435"/>
        <w:jc w:val="left"/>
        <w:rPr>
          <w:rFonts w:ascii="宋体"/>
          <w:sz w:val="24"/>
          <w:highlight w:val="none"/>
        </w:rPr>
      </w:pPr>
      <w:r>
        <w:rPr>
          <w:rFonts w:hint="eastAsia" w:ascii="宋体" w:hAnsi="宋体"/>
          <w:sz w:val="24"/>
          <w:highlight w:val="none"/>
        </w:rPr>
        <w:t>采购人按本须知前附表所规定的时间和地点公开开标。开标会议由招标代理机构主持，在有关部门监督下进行。</w:t>
      </w:r>
    </w:p>
    <w:p w14:paraId="6FB6285F">
      <w:pPr>
        <w:spacing w:line="360" w:lineRule="auto"/>
        <w:ind w:firstLine="482"/>
        <w:rPr>
          <w:rFonts w:ascii="宋体" w:hAnsi="宋体" w:cs="宋体"/>
          <w:b/>
          <w:sz w:val="24"/>
          <w:highlight w:val="none"/>
        </w:rPr>
      </w:pPr>
      <w:r>
        <w:rPr>
          <w:rFonts w:hint="eastAsia" w:ascii="宋体" w:hAnsi="宋体" w:cs="宋体"/>
          <w:b/>
          <w:sz w:val="24"/>
          <w:highlight w:val="none"/>
        </w:rPr>
        <w:t>5.3 磋商会议程序</w:t>
      </w:r>
    </w:p>
    <w:p w14:paraId="265DE975">
      <w:pPr>
        <w:autoSpaceDE w:val="0"/>
        <w:autoSpaceDN w:val="0"/>
        <w:adjustRightInd w:val="0"/>
        <w:spacing w:line="360" w:lineRule="auto"/>
        <w:ind w:firstLine="360" w:firstLineChars="150"/>
        <w:rPr>
          <w:rFonts w:ascii="宋体" w:hAnsi="宋体"/>
          <w:sz w:val="24"/>
          <w:highlight w:val="none"/>
        </w:rPr>
      </w:pPr>
      <w:r>
        <w:rPr>
          <w:rFonts w:hint="eastAsia" w:ascii="宋体" w:hAnsi="宋体"/>
          <w:sz w:val="24"/>
          <w:highlight w:val="none"/>
        </w:rPr>
        <w:t>（1）</w:t>
      </w:r>
      <w:r>
        <w:rPr>
          <w:rFonts w:ascii="宋体" w:hAnsi="宋体"/>
          <w:sz w:val="24"/>
          <w:highlight w:val="none"/>
        </w:rPr>
        <w:t>宣布</w:t>
      </w:r>
      <w:r>
        <w:rPr>
          <w:rFonts w:hint="eastAsia" w:ascii="宋体" w:hAnsi="宋体"/>
          <w:sz w:val="24"/>
          <w:highlight w:val="none"/>
        </w:rPr>
        <w:t>会议</w:t>
      </w:r>
      <w:r>
        <w:rPr>
          <w:rFonts w:ascii="宋体" w:hAnsi="宋体"/>
          <w:sz w:val="24"/>
          <w:highlight w:val="none"/>
        </w:rPr>
        <w:t>纪律；</w:t>
      </w:r>
      <w:r>
        <w:rPr>
          <w:rFonts w:hint="eastAsia" w:ascii="宋体" w:hAnsi="宋体"/>
          <w:sz w:val="24"/>
          <w:highlight w:val="none"/>
        </w:rPr>
        <w:t>（2）</w:t>
      </w:r>
      <w:r>
        <w:rPr>
          <w:rFonts w:ascii="宋体" w:hAnsi="宋体"/>
          <w:sz w:val="24"/>
          <w:highlight w:val="none"/>
        </w:rPr>
        <w:t>公布在</w:t>
      </w:r>
      <w:r>
        <w:rPr>
          <w:rFonts w:hint="eastAsia" w:ascii="宋体" w:hAnsi="宋体"/>
          <w:sz w:val="24"/>
          <w:highlight w:val="none"/>
        </w:rPr>
        <w:t>磋商</w:t>
      </w:r>
      <w:r>
        <w:rPr>
          <w:rFonts w:ascii="宋体" w:hAnsi="宋体"/>
          <w:sz w:val="24"/>
          <w:highlight w:val="none"/>
        </w:rPr>
        <w:t>截止时间前递交</w:t>
      </w:r>
      <w:r>
        <w:rPr>
          <w:rFonts w:hint="eastAsia" w:ascii="宋体" w:hAnsi="宋体"/>
          <w:sz w:val="24"/>
          <w:highlight w:val="none"/>
        </w:rPr>
        <w:t>磋商响应</w:t>
      </w:r>
      <w:r>
        <w:rPr>
          <w:rFonts w:ascii="宋体" w:hAnsi="宋体"/>
          <w:sz w:val="24"/>
          <w:highlight w:val="none"/>
        </w:rPr>
        <w:t>文件的供应商名称</w:t>
      </w:r>
      <w:r>
        <w:rPr>
          <w:rFonts w:hint="eastAsia" w:ascii="宋体" w:hAnsi="宋体"/>
          <w:sz w:val="24"/>
          <w:highlight w:val="none"/>
        </w:rPr>
        <w:t>；（3）对供应商在竞争性磋商文件规定截止时间前上传交易中心平台的磋商响应文件，由主持人宣读报送情况；（4）唱标开始，供应商使用</w:t>
      </w:r>
      <w:r>
        <w:rPr>
          <w:rFonts w:ascii="宋体" w:hAnsi="宋体"/>
          <w:sz w:val="24"/>
          <w:highlight w:val="none"/>
        </w:rPr>
        <w:t>CA</w:t>
      </w:r>
      <w:r>
        <w:rPr>
          <w:rFonts w:hint="eastAsia" w:ascii="宋体" w:hAnsi="宋体"/>
          <w:sz w:val="24"/>
          <w:highlight w:val="none"/>
        </w:rPr>
        <w:t>锁进行解锁，全部解锁完毕后进行电子唱标，首轮报价不予唱标；（5）</w:t>
      </w:r>
      <w:r>
        <w:rPr>
          <w:rFonts w:ascii="宋体" w:hAnsi="宋体"/>
          <w:sz w:val="24"/>
          <w:highlight w:val="none"/>
        </w:rPr>
        <w:t>开标结束。</w:t>
      </w:r>
    </w:p>
    <w:p w14:paraId="61502B3D">
      <w:pPr>
        <w:pStyle w:val="9"/>
        <w:spacing w:line="240" w:lineRule="auto"/>
        <w:ind w:firstLine="171" w:firstLineChars="71"/>
        <w:jc w:val="left"/>
        <w:rPr>
          <w:rFonts w:ascii="宋体" w:hAnsi="宋体" w:eastAsia="宋体"/>
          <w:bCs w:val="0"/>
          <w:sz w:val="24"/>
          <w:szCs w:val="24"/>
          <w:highlight w:val="none"/>
        </w:rPr>
      </w:pPr>
      <w:bookmarkStart w:id="135" w:name="_Toc78644404"/>
      <w:bookmarkStart w:id="136" w:name="_Toc196238521"/>
      <w:r>
        <w:rPr>
          <w:rFonts w:hint="eastAsia" w:ascii="宋体" w:hAnsi="宋体" w:eastAsia="宋体"/>
          <w:bCs w:val="0"/>
          <w:sz w:val="24"/>
          <w:szCs w:val="24"/>
          <w:highlight w:val="none"/>
        </w:rPr>
        <w:t>6 评审</w:t>
      </w:r>
      <w:bookmarkEnd w:id="135"/>
      <w:bookmarkEnd w:id="136"/>
    </w:p>
    <w:p w14:paraId="3ACB9B2E">
      <w:pPr>
        <w:spacing w:line="360" w:lineRule="auto"/>
        <w:ind w:firstLine="482"/>
        <w:rPr>
          <w:rFonts w:ascii="宋体" w:hAnsi="宋体"/>
          <w:b/>
          <w:bCs/>
          <w:sz w:val="24"/>
          <w:highlight w:val="none"/>
        </w:rPr>
      </w:pPr>
      <w:r>
        <w:rPr>
          <w:rFonts w:hint="eastAsia" w:ascii="宋体" w:hAnsi="宋体"/>
          <w:b/>
          <w:bCs/>
          <w:sz w:val="24"/>
          <w:highlight w:val="none"/>
        </w:rPr>
        <w:t>6.1</w:t>
      </w:r>
      <w:r>
        <w:rPr>
          <w:rFonts w:ascii="宋体" w:hAnsi="宋体"/>
          <w:b/>
          <w:bCs/>
          <w:sz w:val="24"/>
          <w:highlight w:val="none"/>
        </w:rPr>
        <w:t>.</w:t>
      </w:r>
      <w:r>
        <w:rPr>
          <w:rFonts w:hint="eastAsia" w:ascii="宋体" w:hAnsi="宋体"/>
          <w:b/>
          <w:bCs/>
          <w:sz w:val="24"/>
          <w:highlight w:val="none"/>
        </w:rPr>
        <w:t>磋商小组</w:t>
      </w:r>
    </w:p>
    <w:p w14:paraId="7BE725B2">
      <w:pPr>
        <w:spacing w:line="360" w:lineRule="auto"/>
        <w:ind w:firstLine="480"/>
        <w:rPr>
          <w:rFonts w:ascii="宋体" w:hAnsi="宋体"/>
          <w:sz w:val="24"/>
          <w:highlight w:val="none"/>
        </w:rPr>
      </w:pPr>
      <w:r>
        <w:rPr>
          <w:rFonts w:hint="eastAsia" w:ascii="宋体" w:hAnsi="宋体"/>
          <w:bCs/>
          <w:sz w:val="24"/>
          <w:highlight w:val="none"/>
        </w:rPr>
        <w:t>6.1.1</w:t>
      </w:r>
      <w:r>
        <w:rPr>
          <w:rFonts w:hint="eastAsia" w:ascii="宋体" w:hAnsi="宋体"/>
          <w:sz w:val="24"/>
          <w:highlight w:val="none"/>
        </w:rPr>
        <w:t>磋商小组由采购人依法组建，负责磋商活动。</w:t>
      </w:r>
    </w:p>
    <w:p w14:paraId="205365EB">
      <w:pPr>
        <w:spacing w:line="360" w:lineRule="auto"/>
        <w:ind w:firstLine="480"/>
        <w:rPr>
          <w:rFonts w:ascii="宋体" w:hAnsi="宋体"/>
          <w:sz w:val="24"/>
          <w:highlight w:val="none"/>
        </w:rPr>
      </w:pPr>
      <w:r>
        <w:rPr>
          <w:rFonts w:hint="eastAsia" w:ascii="宋体" w:hAnsi="宋体"/>
          <w:bCs/>
          <w:sz w:val="24"/>
          <w:highlight w:val="none"/>
        </w:rPr>
        <w:t>6.1.2</w:t>
      </w:r>
      <w:r>
        <w:rPr>
          <w:rFonts w:hint="eastAsia" w:ascii="宋体" w:hAnsi="宋体"/>
          <w:sz w:val="24"/>
          <w:highlight w:val="none"/>
        </w:rPr>
        <w:t>磋商小组成员为3人，由采购人代表1人、技术经济专家2人共3人组成。与磋商供应商有利害关系的人不得进入磋商小组。</w:t>
      </w:r>
    </w:p>
    <w:p w14:paraId="76E39EA0">
      <w:pPr>
        <w:spacing w:line="360" w:lineRule="auto"/>
        <w:ind w:firstLine="480"/>
        <w:rPr>
          <w:rFonts w:ascii="宋体" w:hAnsi="宋体"/>
          <w:sz w:val="24"/>
          <w:highlight w:val="none"/>
        </w:rPr>
      </w:pPr>
      <w:r>
        <w:rPr>
          <w:rFonts w:hint="eastAsia" w:ascii="宋体" w:hAnsi="宋体"/>
          <w:bCs/>
          <w:sz w:val="24"/>
          <w:highlight w:val="none"/>
        </w:rPr>
        <w:t>6.1</w:t>
      </w:r>
      <w:r>
        <w:rPr>
          <w:rFonts w:ascii="宋体" w:hAnsi="宋体"/>
          <w:bCs/>
          <w:sz w:val="24"/>
          <w:highlight w:val="none"/>
        </w:rPr>
        <w:t>.3</w:t>
      </w:r>
      <w:r>
        <w:rPr>
          <w:rFonts w:hint="eastAsia" w:ascii="宋体" w:hAnsi="宋体"/>
          <w:sz w:val="24"/>
          <w:highlight w:val="none"/>
        </w:rPr>
        <w:t>磋商会议结束后，开始磋商。磋商工作在相关部门监督下，采用保密方式进行。</w:t>
      </w:r>
    </w:p>
    <w:p w14:paraId="647EC2B3">
      <w:pPr>
        <w:autoSpaceDE w:val="0"/>
        <w:autoSpaceDN w:val="0"/>
        <w:adjustRightInd w:val="0"/>
        <w:spacing w:line="360" w:lineRule="auto"/>
        <w:ind w:firstLine="258" w:firstLineChars="107"/>
        <w:rPr>
          <w:rFonts w:ascii="宋体" w:hAnsi="宋体"/>
          <w:b/>
          <w:bCs/>
          <w:sz w:val="24"/>
          <w:highlight w:val="none"/>
        </w:rPr>
      </w:pPr>
      <w:r>
        <w:rPr>
          <w:rFonts w:hint="eastAsia" w:ascii="宋体" w:hAnsi="宋体"/>
          <w:b/>
          <w:bCs/>
          <w:sz w:val="24"/>
          <w:highlight w:val="none"/>
        </w:rPr>
        <w:t>6.2</w:t>
      </w:r>
      <w:r>
        <w:rPr>
          <w:rFonts w:ascii="宋体" w:hAnsi="宋体"/>
          <w:b/>
          <w:bCs/>
          <w:sz w:val="24"/>
          <w:highlight w:val="none"/>
        </w:rPr>
        <w:t>.</w:t>
      </w:r>
      <w:r>
        <w:rPr>
          <w:rFonts w:hint="eastAsia" w:ascii="宋体" w:hAnsi="宋体"/>
          <w:b/>
          <w:bCs/>
          <w:sz w:val="24"/>
          <w:highlight w:val="none"/>
        </w:rPr>
        <w:t>磋商过程的保密</w:t>
      </w:r>
    </w:p>
    <w:p w14:paraId="22B10F21">
      <w:pPr>
        <w:autoSpaceDE w:val="0"/>
        <w:autoSpaceDN w:val="0"/>
        <w:adjustRightInd w:val="0"/>
        <w:spacing w:line="360" w:lineRule="auto"/>
        <w:ind w:firstLine="480"/>
        <w:rPr>
          <w:rFonts w:ascii="宋体" w:hAnsi="宋体"/>
          <w:sz w:val="24"/>
          <w:highlight w:val="none"/>
        </w:rPr>
      </w:pPr>
      <w:r>
        <w:rPr>
          <w:rFonts w:hint="eastAsia" w:ascii="宋体" w:hAnsi="宋体"/>
          <w:bCs/>
          <w:sz w:val="24"/>
          <w:highlight w:val="none"/>
        </w:rPr>
        <w:t>6.2</w:t>
      </w:r>
      <w:r>
        <w:rPr>
          <w:rFonts w:ascii="宋体" w:hAnsi="宋体"/>
          <w:bCs/>
          <w:sz w:val="24"/>
          <w:highlight w:val="none"/>
        </w:rPr>
        <w:t>.1</w:t>
      </w:r>
      <w:r>
        <w:rPr>
          <w:rFonts w:hint="eastAsia" w:ascii="宋体" w:hAnsi="宋体"/>
          <w:bCs/>
          <w:sz w:val="24"/>
          <w:highlight w:val="none"/>
        </w:rPr>
        <w:t xml:space="preserve"> </w:t>
      </w:r>
      <w:r>
        <w:rPr>
          <w:rFonts w:hint="eastAsia" w:ascii="宋体" w:hAnsi="宋体"/>
          <w:sz w:val="24"/>
          <w:highlight w:val="none"/>
        </w:rPr>
        <w:t>磋商后，直至授予成交供应商合同为止，凡属于对磋商文件的审查、澄清、评价和比较有关的资料，成交候选人的推荐情况，及其他任何与磋商有关的情况均应严格保密。</w:t>
      </w:r>
    </w:p>
    <w:p w14:paraId="4B5897E9">
      <w:pPr>
        <w:autoSpaceDE w:val="0"/>
        <w:autoSpaceDN w:val="0"/>
        <w:adjustRightInd w:val="0"/>
        <w:spacing w:line="360" w:lineRule="auto"/>
        <w:ind w:firstLine="480"/>
        <w:rPr>
          <w:rFonts w:ascii="宋体" w:hAnsi="宋体"/>
          <w:sz w:val="24"/>
          <w:highlight w:val="none"/>
        </w:rPr>
      </w:pPr>
      <w:r>
        <w:rPr>
          <w:rFonts w:hint="eastAsia" w:ascii="宋体" w:hAnsi="宋体"/>
          <w:bCs/>
          <w:sz w:val="24"/>
          <w:highlight w:val="none"/>
        </w:rPr>
        <w:t>6.2</w:t>
      </w:r>
      <w:r>
        <w:rPr>
          <w:rFonts w:ascii="宋体" w:hAnsi="宋体"/>
          <w:bCs/>
          <w:sz w:val="24"/>
          <w:highlight w:val="none"/>
        </w:rPr>
        <w:t>.</w:t>
      </w:r>
      <w:r>
        <w:rPr>
          <w:rFonts w:hint="eastAsia" w:ascii="宋体" w:hAnsi="宋体"/>
          <w:bCs/>
          <w:sz w:val="24"/>
          <w:highlight w:val="none"/>
        </w:rPr>
        <w:t xml:space="preserve">2 </w:t>
      </w:r>
      <w:r>
        <w:rPr>
          <w:rFonts w:hint="eastAsia" w:ascii="宋体" w:hAnsi="宋体"/>
          <w:sz w:val="24"/>
          <w:highlight w:val="none"/>
        </w:rPr>
        <w:t>成交供应商确定后，采购人不对未成交供应商就磋商过程以及未能成交原因作出任何解释。未成交供应商不得向磋商小组组成人员或其他有关人员索问磋商过程的情况和材料。</w:t>
      </w:r>
    </w:p>
    <w:p w14:paraId="41700F0B">
      <w:pPr>
        <w:autoSpaceDE w:val="0"/>
        <w:autoSpaceDN w:val="0"/>
        <w:adjustRightInd w:val="0"/>
        <w:spacing w:line="360" w:lineRule="auto"/>
        <w:ind w:firstLine="482"/>
        <w:rPr>
          <w:rFonts w:ascii="宋体" w:hAnsi="宋体"/>
          <w:b/>
          <w:bCs/>
          <w:sz w:val="24"/>
          <w:highlight w:val="none"/>
        </w:rPr>
      </w:pPr>
      <w:r>
        <w:rPr>
          <w:rFonts w:hint="eastAsia" w:ascii="宋体" w:hAnsi="宋体"/>
          <w:b/>
          <w:bCs/>
          <w:sz w:val="24"/>
          <w:highlight w:val="none"/>
        </w:rPr>
        <w:t>6.3</w:t>
      </w:r>
      <w:r>
        <w:rPr>
          <w:rFonts w:ascii="宋体" w:hAnsi="宋体"/>
          <w:b/>
          <w:bCs/>
          <w:sz w:val="24"/>
          <w:highlight w:val="none"/>
        </w:rPr>
        <w:t>.</w:t>
      </w:r>
      <w:r>
        <w:rPr>
          <w:rFonts w:hint="eastAsia" w:ascii="宋体" w:hAnsi="宋体"/>
          <w:b/>
          <w:bCs/>
          <w:sz w:val="24"/>
          <w:highlight w:val="none"/>
        </w:rPr>
        <w:t>磋商纪律</w:t>
      </w:r>
    </w:p>
    <w:p w14:paraId="2C661C24">
      <w:pPr>
        <w:autoSpaceDE w:val="0"/>
        <w:autoSpaceDN w:val="0"/>
        <w:adjustRightInd w:val="0"/>
        <w:spacing w:line="360" w:lineRule="auto"/>
        <w:ind w:firstLine="480"/>
        <w:rPr>
          <w:rFonts w:ascii="宋体" w:hAnsi="宋体"/>
          <w:sz w:val="24"/>
          <w:highlight w:val="none"/>
        </w:rPr>
      </w:pPr>
      <w:r>
        <w:rPr>
          <w:rFonts w:hint="eastAsia" w:ascii="宋体" w:hAnsi="宋体"/>
          <w:bCs/>
          <w:sz w:val="24"/>
          <w:highlight w:val="none"/>
        </w:rPr>
        <w:t>6.3</w:t>
      </w:r>
      <w:r>
        <w:rPr>
          <w:rFonts w:ascii="宋体" w:hAnsi="宋体"/>
          <w:bCs/>
          <w:sz w:val="24"/>
          <w:highlight w:val="none"/>
        </w:rPr>
        <w:t>.1</w:t>
      </w:r>
      <w:r>
        <w:rPr>
          <w:rFonts w:hint="eastAsia" w:ascii="宋体" w:hAnsi="宋体"/>
          <w:bCs/>
          <w:sz w:val="24"/>
          <w:highlight w:val="none"/>
        </w:rPr>
        <w:t xml:space="preserve"> </w:t>
      </w:r>
      <w:r>
        <w:rPr>
          <w:rFonts w:hint="eastAsia" w:ascii="宋体" w:hAnsi="宋体"/>
          <w:sz w:val="24"/>
          <w:highlight w:val="none"/>
        </w:rPr>
        <w:t>磋商小组成员和参与磋商工作的有关人员不得透露对磋商文件的评审和比较、成交候选人的推荐情况以及与磋商有关的其它情况。</w:t>
      </w:r>
    </w:p>
    <w:p w14:paraId="308654FB">
      <w:pPr>
        <w:autoSpaceDE w:val="0"/>
        <w:autoSpaceDN w:val="0"/>
        <w:adjustRightInd w:val="0"/>
        <w:spacing w:line="360" w:lineRule="auto"/>
        <w:ind w:firstLine="480"/>
        <w:rPr>
          <w:rFonts w:ascii="宋体" w:hAnsi="宋体"/>
          <w:sz w:val="24"/>
          <w:highlight w:val="none"/>
        </w:rPr>
      </w:pPr>
      <w:r>
        <w:rPr>
          <w:rFonts w:hint="eastAsia" w:ascii="宋体" w:hAnsi="宋体"/>
          <w:bCs/>
          <w:sz w:val="24"/>
          <w:highlight w:val="none"/>
        </w:rPr>
        <w:t>6.3</w:t>
      </w:r>
      <w:r>
        <w:rPr>
          <w:rFonts w:ascii="宋体" w:hAnsi="宋体"/>
          <w:bCs/>
          <w:sz w:val="24"/>
          <w:highlight w:val="none"/>
        </w:rPr>
        <w:t>.2</w:t>
      </w:r>
      <w:r>
        <w:rPr>
          <w:rFonts w:hint="eastAsia" w:ascii="宋体" w:hAnsi="宋体"/>
          <w:bCs/>
          <w:sz w:val="24"/>
          <w:highlight w:val="none"/>
        </w:rPr>
        <w:t xml:space="preserve"> </w:t>
      </w:r>
      <w:r>
        <w:rPr>
          <w:rFonts w:hint="eastAsia" w:ascii="宋体" w:hAnsi="宋体"/>
          <w:sz w:val="24"/>
          <w:highlight w:val="none"/>
        </w:rPr>
        <w:t>除磋商须知第6条款的规定以外，磋商以后至授予成交通知书前，任何磋商供应商均不得就与其磋商文件有关的问题主动与采购人和磋商代理机构发生联系。</w:t>
      </w:r>
    </w:p>
    <w:p w14:paraId="75081C25">
      <w:pPr>
        <w:autoSpaceDE w:val="0"/>
        <w:autoSpaceDN w:val="0"/>
        <w:adjustRightInd w:val="0"/>
        <w:spacing w:line="360" w:lineRule="auto"/>
        <w:ind w:firstLine="480"/>
        <w:rPr>
          <w:rFonts w:ascii="宋体" w:hAnsi="宋体"/>
          <w:sz w:val="24"/>
          <w:highlight w:val="none"/>
        </w:rPr>
      </w:pPr>
      <w:r>
        <w:rPr>
          <w:rFonts w:hint="eastAsia" w:ascii="宋体" w:hAnsi="宋体"/>
          <w:bCs/>
          <w:sz w:val="24"/>
          <w:highlight w:val="none"/>
        </w:rPr>
        <w:t>6.3</w:t>
      </w:r>
      <w:r>
        <w:rPr>
          <w:rFonts w:ascii="宋体" w:hAnsi="宋体"/>
          <w:bCs/>
          <w:sz w:val="24"/>
          <w:highlight w:val="none"/>
        </w:rPr>
        <w:t>.3</w:t>
      </w:r>
      <w:r>
        <w:rPr>
          <w:rFonts w:hint="eastAsia" w:ascii="宋体" w:hAnsi="宋体"/>
          <w:bCs/>
          <w:sz w:val="24"/>
          <w:highlight w:val="none"/>
        </w:rPr>
        <w:t xml:space="preserve"> </w:t>
      </w:r>
      <w:r>
        <w:rPr>
          <w:rFonts w:hint="eastAsia" w:ascii="宋体" w:hAnsi="宋体"/>
          <w:sz w:val="24"/>
          <w:highlight w:val="none"/>
        </w:rPr>
        <w:t>如果磋商供应商试图对磋商小组的磋商施加影响，则将导致该磋商供应商的磋商文件被拒绝。</w:t>
      </w:r>
    </w:p>
    <w:p w14:paraId="46BBB6C9">
      <w:pPr>
        <w:autoSpaceDE w:val="0"/>
        <w:autoSpaceDN w:val="0"/>
        <w:adjustRightInd w:val="0"/>
        <w:spacing w:line="360" w:lineRule="auto"/>
        <w:ind w:firstLine="482"/>
        <w:rPr>
          <w:rFonts w:ascii="宋体" w:hAnsi="宋体"/>
          <w:b/>
          <w:bCs/>
          <w:sz w:val="24"/>
          <w:highlight w:val="none"/>
        </w:rPr>
      </w:pPr>
      <w:r>
        <w:rPr>
          <w:rFonts w:hint="eastAsia" w:ascii="宋体" w:hAnsi="宋体"/>
          <w:b/>
          <w:bCs/>
          <w:sz w:val="24"/>
          <w:highlight w:val="none"/>
        </w:rPr>
        <w:t>6.4</w:t>
      </w:r>
      <w:r>
        <w:rPr>
          <w:rFonts w:ascii="宋体" w:hAnsi="宋体"/>
          <w:b/>
          <w:bCs/>
          <w:sz w:val="24"/>
          <w:highlight w:val="none"/>
        </w:rPr>
        <w:t xml:space="preserve"> </w:t>
      </w:r>
      <w:r>
        <w:rPr>
          <w:rFonts w:hint="eastAsia" w:ascii="宋体" w:hAnsi="宋体"/>
          <w:b/>
          <w:bCs/>
          <w:sz w:val="24"/>
          <w:highlight w:val="none"/>
        </w:rPr>
        <w:t>磋商文件的初步评审</w:t>
      </w:r>
    </w:p>
    <w:p w14:paraId="24648B63">
      <w:pPr>
        <w:autoSpaceDE w:val="0"/>
        <w:autoSpaceDN w:val="0"/>
        <w:adjustRightInd w:val="0"/>
        <w:spacing w:line="360" w:lineRule="auto"/>
        <w:ind w:firstLine="482"/>
        <w:rPr>
          <w:rFonts w:ascii="宋体" w:hAnsi="宋体"/>
          <w:sz w:val="24"/>
          <w:highlight w:val="none"/>
        </w:rPr>
      </w:pPr>
      <w:r>
        <w:rPr>
          <w:rFonts w:hint="eastAsia" w:ascii="宋体" w:hAnsi="宋体"/>
          <w:sz w:val="24"/>
          <w:highlight w:val="none"/>
        </w:rPr>
        <w:t>6.4.1 磋商小组首先对所有磋商响应文件进行资格性和符合性审查。有一项不符合的，视为未通过初步审查，不得进入下一评审过程。未通过资格性和符合性审查的磋商响应文件按无效响应处理。</w:t>
      </w:r>
    </w:p>
    <w:p w14:paraId="25E93138">
      <w:pPr>
        <w:autoSpaceDE w:val="0"/>
        <w:autoSpaceDN w:val="0"/>
        <w:adjustRightInd w:val="0"/>
        <w:spacing w:line="360" w:lineRule="auto"/>
        <w:ind w:firstLine="480"/>
        <w:rPr>
          <w:rFonts w:ascii="宋体" w:hAnsi="宋体"/>
          <w:sz w:val="24"/>
          <w:highlight w:val="none"/>
        </w:rPr>
      </w:pPr>
      <w:r>
        <w:rPr>
          <w:rFonts w:hint="eastAsia" w:ascii="宋体" w:hAnsi="宋体"/>
          <w:bCs/>
          <w:sz w:val="24"/>
          <w:highlight w:val="none"/>
        </w:rPr>
        <w:t>6.4</w:t>
      </w:r>
      <w:r>
        <w:rPr>
          <w:rFonts w:ascii="宋体" w:hAnsi="宋体"/>
          <w:bCs/>
          <w:sz w:val="24"/>
          <w:highlight w:val="none"/>
        </w:rPr>
        <w:t>.</w:t>
      </w:r>
      <w:r>
        <w:rPr>
          <w:rFonts w:hint="eastAsia" w:ascii="宋体" w:hAnsi="宋体"/>
          <w:bCs/>
          <w:sz w:val="24"/>
          <w:highlight w:val="none"/>
        </w:rPr>
        <w:t xml:space="preserve">2 </w:t>
      </w:r>
      <w:r>
        <w:rPr>
          <w:rFonts w:hint="eastAsia" w:ascii="宋体" w:hAnsi="宋体"/>
          <w:sz w:val="24"/>
          <w:highlight w:val="none"/>
        </w:rPr>
        <w:t>磋商小组只对已判定为实质性响应且通过资格审查的磋商响应文件进行详细评价和比较。</w:t>
      </w:r>
    </w:p>
    <w:p w14:paraId="267D1EB1">
      <w:pPr>
        <w:autoSpaceDE w:val="0"/>
        <w:autoSpaceDN w:val="0"/>
        <w:adjustRightInd w:val="0"/>
        <w:spacing w:line="360" w:lineRule="auto"/>
        <w:ind w:firstLine="480"/>
        <w:rPr>
          <w:rFonts w:ascii="宋体" w:hAnsi="宋体"/>
          <w:sz w:val="24"/>
          <w:highlight w:val="none"/>
        </w:rPr>
      </w:pPr>
      <w:r>
        <w:rPr>
          <w:rFonts w:hint="eastAsia" w:ascii="宋体" w:hAnsi="宋体"/>
          <w:bCs/>
          <w:sz w:val="24"/>
          <w:highlight w:val="none"/>
        </w:rPr>
        <w:t>6.4</w:t>
      </w:r>
      <w:r>
        <w:rPr>
          <w:rFonts w:ascii="宋体" w:hAnsi="宋体"/>
          <w:bCs/>
          <w:sz w:val="24"/>
          <w:highlight w:val="none"/>
        </w:rPr>
        <w:t>.</w:t>
      </w:r>
      <w:r>
        <w:rPr>
          <w:rFonts w:hint="eastAsia" w:ascii="宋体" w:hAnsi="宋体"/>
          <w:bCs/>
          <w:sz w:val="24"/>
          <w:highlight w:val="none"/>
        </w:rPr>
        <w:t xml:space="preserve">3 </w:t>
      </w:r>
      <w:r>
        <w:rPr>
          <w:rFonts w:hint="eastAsia" w:ascii="宋体" w:hAnsi="宋体"/>
          <w:sz w:val="24"/>
          <w:highlight w:val="none"/>
        </w:rPr>
        <w:t>磋商小组所有成员应当集中与单一磋商响应供应商分别进行磋商，并给于所有参加磋商的磋商响应供应商平等的磋商机会。磋商完成后，要求其在规定时间内提交最后报价。</w:t>
      </w:r>
    </w:p>
    <w:p w14:paraId="161BBED4">
      <w:pPr>
        <w:spacing w:line="360" w:lineRule="auto"/>
        <w:ind w:firstLine="360" w:firstLineChars="150"/>
        <w:rPr>
          <w:rFonts w:ascii="宋体" w:hAnsi="宋体"/>
          <w:sz w:val="24"/>
          <w:highlight w:val="none"/>
        </w:rPr>
      </w:pPr>
      <w:r>
        <w:rPr>
          <w:rFonts w:hint="eastAsia" w:ascii="宋体" w:hAnsi="宋体"/>
          <w:sz w:val="24"/>
          <w:highlight w:val="none"/>
        </w:rPr>
        <w:t>6.4.4</w:t>
      </w:r>
      <w:r>
        <w:rPr>
          <w:rFonts w:ascii="宋体" w:hAnsi="宋体"/>
          <w:sz w:val="24"/>
          <w:highlight w:val="none"/>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w:t>
      </w:r>
      <w:r>
        <w:rPr>
          <w:rFonts w:hint="eastAsia" w:ascii="宋体" w:hAnsi="宋体"/>
          <w:sz w:val="24"/>
          <w:highlight w:val="none"/>
        </w:rPr>
        <w:t>评标系统允许的</w:t>
      </w:r>
      <w:r>
        <w:rPr>
          <w:rFonts w:ascii="宋体" w:hAnsi="宋体"/>
          <w:sz w:val="24"/>
          <w:highlight w:val="none"/>
        </w:rPr>
        <w:t>形式同时通知所有参加磋商的供应商；供应商应当按照磋商文件的变动情况和磋商小组的要求重新提交响应文件，并由其法定代表人</w:t>
      </w:r>
      <w:r>
        <w:rPr>
          <w:rFonts w:hint="eastAsia" w:ascii="宋体" w:hAnsi="宋体"/>
          <w:sz w:val="24"/>
          <w:highlight w:val="none"/>
        </w:rPr>
        <w:t>签章</w:t>
      </w:r>
      <w:r>
        <w:rPr>
          <w:rFonts w:ascii="宋体" w:hAnsi="宋体"/>
          <w:sz w:val="24"/>
          <w:highlight w:val="none"/>
        </w:rPr>
        <w:t>。</w:t>
      </w:r>
    </w:p>
    <w:p w14:paraId="295EC261">
      <w:pPr>
        <w:autoSpaceDE w:val="0"/>
        <w:autoSpaceDN w:val="0"/>
        <w:adjustRightInd w:val="0"/>
        <w:spacing w:line="360" w:lineRule="auto"/>
        <w:ind w:firstLine="482"/>
        <w:rPr>
          <w:rFonts w:ascii="宋体" w:hAnsi="宋体"/>
          <w:b/>
          <w:bCs/>
          <w:sz w:val="24"/>
          <w:highlight w:val="none"/>
        </w:rPr>
      </w:pPr>
      <w:r>
        <w:rPr>
          <w:rFonts w:hint="eastAsia" w:ascii="宋体" w:hAnsi="宋体"/>
          <w:b/>
          <w:sz w:val="24"/>
          <w:highlight w:val="none"/>
        </w:rPr>
        <w:t xml:space="preserve">6.5 </w:t>
      </w:r>
      <w:r>
        <w:rPr>
          <w:rFonts w:hint="eastAsia" w:ascii="宋体" w:hAnsi="宋体"/>
          <w:b/>
          <w:bCs/>
          <w:sz w:val="24"/>
          <w:highlight w:val="none"/>
        </w:rPr>
        <w:t>磋商文件的详细评审</w:t>
      </w:r>
    </w:p>
    <w:p w14:paraId="51433C88">
      <w:pPr>
        <w:pStyle w:val="22"/>
        <w:tabs>
          <w:tab w:val="left" w:pos="1656"/>
        </w:tabs>
        <w:autoSpaceDE w:val="0"/>
        <w:autoSpaceDN w:val="0"/>
        <w:spacing w:before="16" w:line="360" w:lineRule="auto"/>
        <w:ind w:right="83" w:firstLine="480"/>
        <w:rPr>
          <w:rFonts w:ascii="宋体" w:hAnsi="宋体"/>
          <w:sz w:val="24"/>
          <w:highlight w:val="none"/>
        </w:rPr>
      </w:pPr>
      <w:r>
        <w:rPr>
          <w:rFonts w:hint="eastAsia" w:ascii="宋体" w:hAnsi="宋体"/>
          <w:bCs/>
          <w:sz w:val="24"/>
          <w:highlight w:val="none"/>
        </w:rPr>
        <w:t>6.5.1</w:t>
      </w:r>
      <w:r>
        <w:rPr>
          <w:rFonts w:hint="eastAsia" w:ascii="宋体" w:hAnsi="宋体"/>
          <w:sz w:val="24"/>
          <w:highlight w:val="none"/>
        </w:rPr>
        <w:t>根据相关法律法规及有关磋商文件规定，结合本项目具体情况，制定本次磋商磋商办法，并按照“公平、公正、科学、择优”的原则进行磋商。本项目采用综合评分法进行评比。</w:t>
      </w:r>
      <w:r>
        <w:rPr>
          <w:rFonts w:ascii="宋体" w:hAnsi="宋体"/>
          <w:spacing w:val="-6"/>
          <w:sz w:val="24"/>
          <w:highlight w:val="none"/>
        </w:rPr>
        <w:t>综合评分法，是指响应文件满足磋商文件</w:t>
      </w:r>
      <w:r>
        <w:rPr>
          <w:rFonts w:ascii="宋体" w:hAnsi="宋体"/>
          <w:sz w:val="24"/>
          <w:highlight w:val="none"/>
        </w:rPr>
        <w:t>全部实质性要求且按评审因素的量化指标评审得分最高的供应商为成交候选人的评审方法。磋商文件中没有规定的评审标准不得作为评审依据。</w:t>
      </w:r>
    </w:p>
    <w:p w14:paraId="3574C3D0">
      <w:pPr>
        <w:spacing w:line="360" w:lineRule="auto"/>
        <w:ind w:firstLine="480"/>
        <w:rPr>
          <w:rFonts w:ascii="宋体" w:hAnsi="宋体"/>
          <w:sz w:val="24"/>
          <w:highlight w:val="none"/>
        </w:rPr>
      </w:pPr>
      <w:r>
        <w:rPr>
          <w:rFonts w:hint="eastAsia" w:ascii="宋体" w:hAnsi="宋体"/>
          <w:bCs/>
          <w:sz w:val="24"/>
          <w:highlight w:val="none"/>
        </w:rPr>
        <w:t>6.5.2</w:t>
      </w:r>
      <w:r>
        <w:rPr>
          <w:rFonts w:hint="eastAsia" w:ascii="宋体" w:hAnsi="宋体"/>
          <w:sz w:val="24"/>
          <w:highlight w:val="none"/>
        </w:rPr>
        <w:t>在评审过程中，磋商小组可以要求磋商供应商就磋商响应文件中含义不明确的内容进行说明并提供相关材料。</w:t>
      </w:r>
    </w:p>
    <w:p w14:paraId="2F6A7195">
      <w:pPr>
        <w:pStyle w:val="22"/>
        <w:tabs>
          <w:tab w:val="left" w:pos="1656"/>
        </w:tabs>
        <w:autoSpaceDE w:val="0"/>
        <w:autoSpaceDN w:val="0"/>
        <w:spacing w:before="16" w:line="360" w:lineRule="auto"/>
        <w:ind w:right="83" w:firstLineChars="0"/>
        <w:rPr>
          <w:rFonts w:ascii="宋体" w:hAnsi="宋体"/>
          <w:sz w:val="24"/>
          <w:highlight w:val="none"/>
        </w:rPr>
      </w:pPr>
      <w:r>
        <w:rPr>
          <w:rFonts w:hint="eastAsia" w:ascii="宋体" w:hAnsi="宋体"/>
          <w:bCs/>
          <w:sz w:val="24"/>
          <w:highlight w:val="none"/>
        </w:rPr>
        <w:t>6.5</w:t>
      </w:r>
      <w:r>
        <w:rPr>
          <w:rFonts w:ascii="宋体" w:hAnsi="宋体"/>
          <w:bCs/>
          <w:sz w:val="24"/>
          <w:highlight w:val="none"/>
        </w:rPr>
        <w:t>.3</w:t>
      </w:r>
      <w:r>
        <w:rPr>
          <w:rFonts w:hint="eastAsia" w:ascii="宋体" w:hAnsi="宋体"/>
          <w:bCs/>
          <w:sz w:val="24"/>
          <w:highlight w:val="none"/>
        </w:rPr>
        <w:t xml:space="preserve"> </w:t>
      </w:r>
      <w:r>
        <w:rPr>
          <w:rFonts w:hint="eastAsia" w:ascii="宋体" w:hAnsi="宋体"/>
          <w:sz w:val="24"/>
          <w:highlight w:val="none"/>
        </w:rPr>
        <w:t>经磋商确定最终采购需求和</w:t>
      </w:r>
      <w:r>
        <w:rPr>
          <w:rFonts w:ascii="宋体" w:hAnsi="宋体"/>
          <w:sz w:val="24"/>
          <w:highlight w:val="none"/>
        </w:rPr>
        <w:t>有效供应商</w:t>
      </w:r>
      <w:r>
        <w:rPr>
          <w:rFonts w:hint="eastAsia" w:ascii="宋体" w:hAnsi="宋体"/>
          <w:sz w:val="24"/>
          <w:highlight w:val="none"/>
        </w:rPr>
        <w:t>提交最后报价后，磋商小组采用综合评分法对</w:t>
      </w:r>
      <w:r>
        <w:rPr>
          <w:rFonts w:ascii="宋体" w:hAnsi="宋体"/>
          <w:spacing w:val="-6"/>
          <w:sz w:val="24"/>
          <w:highlight w:val="none"/>
        </w:rPr>
        <w:t>有效供应商的响应文件进行综合评分。</w:t>
      </w:r>
    </w:p>
    <w:p w14:paraId="6485C620">
      <w:pPr>
        <w:autoSpaceDE w:val="0"/>
        <w:autoSpaceDN w:val="0"/>
        <w:adjustRightInd w:val="0"/>
        <w:spacing w:line="360" w:lineRule="auto"/>
        <w:ind w:firstLine="480"/>
        <w:rPr>
          <w:rFonts w:ascii="宋体" w:hAnsi="宋体"/>
          <w:sz w:val="24"/>
          <w:highlight w:val="none"/>
        </w:rPr>
      </w:pPr>
      <w:r>
        <w:rPr>
          <w:rFonts w:hint="eastAsia" w:ascii="宋体" w:hAnsi="宋体"/>
          <w:sz w:val="24"/>
          <w:highlight w:val="none"/>
        </w:rPr>
        <w:t>6.5.4 磋商小组根据综合评分情况，按评审得分由高到低的顺序确定三名候选成交供应商，确定排名第一的成交供应商，并编写评审报告。评审得分相同的，按照最后报价由低到高的顺序确定，评审得分且最后报价相同的，以技术服务方案确定成交候选供应商。评审报告由磋商小组全体成员签字。磋商小组成员对评审报告有异议的，磋商小组按照少数服从多数的原则推荐成交候选供应商，采购程序继续进行。对评审报告有异议的磋商小组成员，应当在报告上签署不同意见并说明理由。有磋商小组书面记录相关情况。磋商小组成员拒绝在报告上签字又不书面说明其不同意见和理由的，视为同意评审报告。</w:t>
      </w:r>
    </w:p>
    <w:p w14:paraId="3A2E03B2">
      <w:pPr>
        <w:pStyle w:val="9"/>
        <w:spacing w:line="240" w:lineRule="auto"/>
        <w:ind w:firstLine="171" w:firstLineChars="71"/>
        <w:jc w:val="left"/>
        <w:rPr>
          <w:rFonts w:ascii="宋体" w:hAnsi="宋体" w:eastAsia="宋体"/>
          <w:bCs w:val="0"/>
          <w:sz w:val="24"/>
          <w:szCs w:val="24"/>
          <w:highlight w:val="none"/>
        </w:rPr>
      </w:pPr>
      <w:bookmarkStart w:id="137" w:name="_Toc196238522"/>
      <w:bookmarkStart w:id="138" w:name="_Toc78644405"/>
      <w:r>
        <w:rPr>
          <w:rFonts w:hint="eastAsia" w:ascii="宋体" w:hAnsi="宋体" w:eastAsia="宋体"/>
          <w:bCs w:val="0"/>
          <w:sz w:val="24"/>
          <w:szCs w:val="24"/>
          <w:highlight w:val="none"/>
        </w:rPr>
        <w:t>7重新开展采购活动的情形</w:t>
      </w:r>
      <w:bookmarkEnd w:id="137"/>
    </w:p>
    <w:p w14:paraId="33301A35">
      <w:pPr>
        <w:spacing w:line="360" w:lineRule="auto"/>
        <w:ind w:firstLine="480" w:firstLineChars="200"/>
        <w:rPr>
          <w:rFonts w:asciiTheme="majorEastAsia" w:hAnsiTheme="majorEastAsia" w:eastAsiaTheme="majorEastAsia"/>
          <w:sz w:val="24"/>
          <w:highlight w:val="none"/>
        </w:rPr>
      </w:pPr>
      <w:r>
        <w:rPr>
          <w:rFonts w:hint="eastAsia" w:asciiTheme="majorEastAsia" w:hAnsiTheme="majorEastAsia" w:eastAsiaTheme="majorEastAsia"/>
          <w:sz w:val="24"/>
          <w:highlight w:val="none"/>
        </w:rPr>
        <w:t>7.1出现下列情形之一的，将终止竞争性磋商采购活动，发布项目终止公告并说明原因，重新开展采购活动：</w:t>
      </w:r>
    </w:p>
    <w:p w14:paraId="47AD027E">
      <w:pPr>
        <w:spacing w:line="360" w:lineRule="auto"/>
        <w:ind w:firstLine="480" w:firstLineChars="200"/>
        <w:rPr>
          <w:rFonts w:asciiTheme="majorEastAsia" w:hAnsiTheme="majorEastAsia" w:eastAsiaTheme="majorEastAsia"/>
          <w:sz w:val="24"/>
          <w:highlight w:val="none"/>
        </w:rPr>
      </w:pPr>
      <w:r>
        <w:rPr>
          <w:rFonts w:hint="eastAsia" w:asciiTheme="majorEastAsia" w:hAnsiTheme="majorEastAsia" w:eastAsiaTheme="majorEastAsia"/>
          <w:sz w:val="24"/>
          <w:highlight w:val="none"/>
        </w:rPr>
        <w:t>7.1.1不符合法律、法规和竞争性磋商文件中规定的其他实质性要求的；</w:t>
      </w:r>
    </w:p>
    <w:p w14:paraId="24BB6ADE">
      <w:pPr>
        <w:spacing w:line="360" w:lineRule="auto"/>
        <w:ind w:firstLine="480" w:firstLineChars="200"/>
        <w:rPr>
          <w:rFonts w:asciiTheme="majorEastAsia" w:hAnsiTheme="majorEastAsia" w:eastAsiaTheme="majorEastAsia"/>
          <w:sz w:val="24"/>
          <w:highlight w:val="none"/>
        </w:rPr>
      </w:pPr>
      <w:r>
        <w:rPr>
          <w:rFonts w:hint="eastAsia" w:asciiTheme="majorEastAsia" w:hAnsiTheme="majorEastAsia" w:eastAsiaTheme="majorEastAsia"/>
          <w:sz w:val="24"/>
          <w:highlight w:val="none"/>
        </w:rPr>
        <w:t>7.1.2 其他法律、法规及本竞争性磋商文件规定的属响应无效的情形。终止竞争性磋商采购活动的条款；</w:t>
      </w:r>
    </w:p>
    <w:p w14:paraId="0E34C97C">
      <w:pPr>
        <w:spacing w:line="360" w:lineRule="auto"/>
        <w:ind w:firstLine="480" w:firstLineChars="200"/>
        <w:rPr>
          <w:rFonts w:asciiTheme="majorEastAsia" w:hAnsiTheme="majorEastAsia" w:eastAsiaTheme="majorEastAsia"/>
          <w:sz w:val="24"/>
          <w:highlight w:val="none"/>
        </w:rPr>
      </w:pPr>
      <w:r>
        <w:rPr>
          <w:rFonts w:hint="eastAsia" w:asciiTheme="majorEastAsia" w:hAnsiTheme="majorEastAsia" w:eastAsiaTheme="majorEastAsia"/>
          <w:sz w:val="24"/>
          <w:highlight w:val="none"/>
        </w:rPr>
        <w:t>7.1.3因情况变化，不再符合规定的竞争性磋商采购方式适用情形的；出现影响采购公正的违法、违规行为的；</w:t>
      </w:r>
    </w:p>
    <w:p w14:paraId="68EC234F">
      <w:pPr>
        <w:spacing w:line="360" w:lineRule="auto"/>
        <w:ind w:firstLine="480" w:firstLineChars="200"/>
        <w:rPr>
          <w:rFonts w:asciiTheme="majorEastAsia" w:hAnsiTheme="majorEastAsia" w:eastAsiaTheme="majorEastAsia"/>
          <w:sz w:val="24"/>
          <w:highlight w:val="none"/>
        </w:rPr>
      </w:pPr>
      <w:r>
        <w:rPr>
          <w:rFonts w:hint="eastAsia" w:asciiTheme="majorEastAsia" w:hAnsiTheme="majorEastAsia" w:eastAsiaTheme="majorEastAsia"/>
          <w:sz w:val="24"/>
          <w:highlight w:val="none"/>
        </w:rPr>
        <w:t>7.2磋商截止时间结束后参加响应人不足3家的，应重新组织采购。评审期间符合专业条件的响应人或者对磋商响应文件作出实质响应的响应人不足3家的，采购代理机构将报请主管监督部门，经批准，继续进行评标活动。</w:t>
      </w:r>
    </w:p>
    <w:p w14:paraId="42B66D12">
      <w:pPr>
        <w:pStyle w:val="9"/>
        <w:spacing w:line="240" w:lineRule="auto"/>
        <w:ind w:firstLine="171" w:firstLineChars="71"/>
        <w:jc w:val="left"/>
        <w:rPr>
          <w:rFonts w:ascii="宋体" w:hAnsi="宋体" w:eastAsia="宋体"/>
          <w:bCs w:val="0"/>
          <w:sz w:val="24"/>
          <w:szCs w:val="24"/>
          <w:highlight w:val="none"/>
        </w:rPr>
      </w:pPr>
      <w:bookmarkStart w:id="139" w:name="_Toc196238523"/>
      <w:r>
        <w:rPr>
          <w:rFonts w:hint="eastAsia" w:ascii="宋体" w:hAnsi="宋体" w:eastAsia="宋体"/>
          <w:bCs w:val="0"/>
          <w:sz w:val="24"/>
          <w:szCs w:val="24"/>
          <w:highlight w:val="none"/>
        </w:rPr>
        <w:t>8 成交候选人</w:t>
      </w:r>
      <w:bookmarkEnd w:id="139"/>
    </w:p>
    <w:p w14:paraId="7ED33582">
      <w:pPr>
        <w:spacing w:line="360" w:lineRule="auto"/>
        <w:ind w:firstLine="480" w:firstLineChars="200"/>
        <w:rPr>
          <w:rFonts w:ascii="宋体" w:hAnsi="宋体" w:cs="宋体"/>
          <w:sz w:val="24"/>
          <w:highlight w:val="none"/>
        </w:rPr>
      </w:pPr>
      <w:r>
        <w:rPr>
          <w:rFonts w:hint="eastAsia" w:ascii="宋体" w:hAnsi="宋体" w:cs="宋体"/>
          <w:sz w:val="24"/>
          <w:highlight w:val="none"/>
        </w:rPr>
        <w:t>磋商小组应当根据综合评分情况，按照评审由高到低的顺序推荐成交候选供应商，并向采购人提供书面评审报告，采购人及采购代理机构在政府采购项目评审结束当日内完成评标报告的报送、中标（成交）供应商的确定、中标（成交）公告发布及中标（成交）通知书的发出等。</w:t>
      </w:r>
    </w:p>
    <w:p w14:paraId="5EF81E8D">
      <w:pPr>
        <w:pStyle w:val="9"/>
        <w:spacing w:line="240" w:lineRule="auto"/>
        <w:ind w:firstLine="171" w:firstLineChars="71"/>
        <w:jc w:val="left"/>
        <w:rPr>
          <w:rFonts w:ascii="宋体" w:hAnsi="宋体" w:eastAsia="宋体"/>
          <w:bCs w:val="0"/>
          <w:sz w:val="24"/>
          <w:szCs w:val="24"/>
          <w:highlight w:val="none"/>
        </w:rPr>
      </w:pPr>
      <w:bookmarkStart w:id="140" w:name="_Toc196238524"/>
      <w:r>
        <w:rPr>
          <w:rFonts w:hint="eastAsia" w:ascii="宋体" w:hAnsi="宋体" w:eastAsia="宋体"/>
          <w:bCs w:val="0"/>
          <w:sz w:val="24"/>
          <w:szCs w:val="24"/>
          <w:highlight w:val="none"/>
        </w:rPr>
        <w:t>9 成交通知</w:t>
      </w:r>
      <w:bookmarkEnd w:id="138"/>
      <w:bookmarkEnd w:id="140"/>
    </w:p>
    <w:p w14:paraId="76486C3A">
      <w:pPr>
        <w:spacing w:line="360" w:lineRule="auto"/>
        <w:ind w:firstLine="480"/>
        <w:rPr>
          <w:rFonts w:ascii="宋体" w:hAnsi="宋体" w:cs="宋体"/>
          <w:sz w:val="24"/>
          <w:highlight w:val="none"/>
        </w:rPr>
      </w:pPr>
      <w:r>
        <w:rPr>
          <w:rFonts w:hint="eastAsia" w:ascii="宋体" w:hAnsi="宋体" w:cs="宋体"/>
          <w:sz w:val="24"/>
          <w:highlight w:val="none"/>
        </w:rPr>
        <w:t>9.1成交供应商确定后，采购人向成交供应商签发《成交通知书》，并将成交结果通知所有未成交的磋商响应供应商。</w:t>
      </w:r>
    </w:p>
    <w:p w14:paraId="43E0884D">
      <w:pPr>
        <w:spacing w:line="360" w:lineRule="auto"/>
        <w:ind w:firstLine="480" w:firstLineChars="200"/>
        <w:rPr>
          <w:rFonts w:ascii="宋体" w:hAnsi="宋体" w:cs="宋体"/>
          <w:sz w:val="24"/>
          <w:highlight w:val="none"/>
        </w:rPr>
      </w:pPr>
      <w:r>
        <w:rPr>
          <w:rFonts w:hint="eastAsia" w:ascii="宋体" w:hAnsi="宋体" w:cs="宋体"/>
          <w:sz w:val="24"/>
          <w:highlight w:val="none"/>
        </w:rPr>
        <w:t>9.2《成交通知书》作为签订合同的依据，对采购人和成交供应商均具有法律责任。</w:t>
      </w:r>
    </w:p>
    <w:p w14:paraId="1A0CA2B6">
      <w:pPr>
        <w:autoSpaceDE w:val="0"/>
        <w:autoSpaceDN w:val="0"/>
        <w:adjustRightInd w:val="0"/>
        <w:spacing w:line="360" w:lineRule="auto"/>
        <w:ind w:firstLine="480"/>
        <w:rPr>
          <w:rFonts w:ascii="宋体" w:hAnsi="宋体" w:cs="宋体"/>
          <w:sz w:val="24"/>
          <w:highlight w:val="none"/>
        </w:rPr>
      </w:pPr>
      <w:r>
        <w:rPr>
          <w:rFonts w:hint="eastAsia" w:ascii="宋体" w:hAnsi="宋体"/>
          <w:sz w:val="24"/>
          <w:highlight w:val="none"/>
        </w:rPr>
        <w:t>采购人和其委托的采购代理机构，在政府采购采购项目评审结束之日起2个工作日内完成评标报告的报送、成交供应商的确定、成交公告的发布、成交通知书的发出等工作。</w:t>
      </w:r>
    </w:p>
    <w:p w14:paraId="7388AC92">
      <w:pPr>
        <w:pStyle w:val="9"/>
        <w:spacing w:line="240" w:lineRule="auto"/>
        <w:ind w:firstLine="171" w:firstLineChars="71"/>
        <w:jc w:val="left"/>
        <w:rPr>
          <w:rFonts w:ascii="宋体" w:hAnsi="宋体" w:eastAsia="宋体"/>
          <w:bCs w:val="0"/>
          <w:sz w:val="24"/>
          <w:szCs w:val="24"/>
          <w:highlight w:val="none"/>
        </w:rPr>
      </w:pPr>
      <w:bookmarkStart w:id="141" w:name="_Toc196238525"/>
      <w:bookmarkStart w:id="142" w:name="_Toc78644406"/>
      <w:r>
        <w:rPr>
          <w:rFonts w:hint="eastAsia" w:ascii="宋体" w:hAnsi="宋体" w:eastAsia="宋体"/>
          <w:bCs w:val="0"/>
          <w:sz w:val="24"/>
          <w:szCs w:val="24"/>
          <w:highlight w:val="none"/>
        </w:rPr>
        <w:t>10 授予合同</w:t>
      </w:r>
      <w:bookmarkEnd w:id="141"/>
      <w:bookmarkEnd w:id="142"/>
    </w:p>
    <w:p w14:paraId="656DD914">
      <w:pPr>
        <w:spacing w:line="360" w:lineRule="auto"/>
        <w:ind w:firstLine="360" w:firstLineChars="150"/>
        <w:rPr>
          <w:rFonts w:ascii="宋体" w:hAnsi="宋体" w:cs="宋体"/>
          <w:sz w:val="24"/>
          <w:highlight w:val="none"/>
        </w:rPr>
      </w:pPr>
      <w:r>
        <w:rPr>
          <w:rFonts w:hint="eastAsia" w:ascii="宋体" w:hAnsi="宋体" w:cs="宋体"/>
          <w:sz w:val="24"/>
          <w:highlight w:val="none"/>
        </w:rPr>
        <w:t>10.1成交商的最后一轮报价为成交价，成交价即为合同价。采购人、成交供应商在成交通知书发出之日起</w:t>
      </w:r>
      <w:r>
        <w:rPr>
          <w:rFonts w:hint="eastAsia" w:ascii="宋体" w:hAnsi="宋体" w:cs="宋体"/>
          <w:sz w:val="24"/>
          <w:highlight w:val="none"/>
          <w:lang w:val="en-US" w:eastAsia="zh-CN"/>
        </w:rPr>
        <w:t>1</w:t>
      </w:r>
      <w:r>
        <w:rPr>
          <w:rFonts w:hint="eastAsia" w:ascii="宋体" w:hAnsi="宋体" w:cs="宋体"/>
          <w:sz w:val="24"/>
          <w:highlight w:val="none"/>
        </w:rPr>
        <w:t>个工作日内，按照竞争性磋商文件确定的合同文本以及技术和服务要求等事项签订书面合同。采购人或采购代理机构应于合同签订后</w:t>
      </w:r>
      <w:r>
        <w:rPr>
          <w:rFonts w:hint="eastAsia" w:ascii="宋体" w:hAnsi="宋体" w:cs="宋体"/>
          <w:sz w:val="24"/>
          <w:highlight w:val="none"/>
          <w:lang w:val="en-US" w:eastAsia="zh-CN"/>
        </w:rPr>
        <w:t>2</w:t>
      </w:r>
      <w:r>
        <w:rPr>
          <w:rFonts w:hint="eastAsia" w:ascii="宋体" w:hAnsi="宋体" w:cs="宋体"/>
          <w:sz w:val="24"/>
          <w:highlight w:val="none"/>
        </w:rPr>
        <w:t>个工作日内在河南省政府采购网上发布公告并完成合同备案。</w:t>
      </w:r>
    </w:p>
    <w:p w14:paraId="2C65C794">
      <w:pPr>
        <w:spacing w:line="360" w:lineRule="auto"/>
        <w:ind w:firstLine="360" w:firstLineChars="150"/>
        <w:rPr>
          <w:rFonts w:ascii="宋体" w:hAnsi="宋体" w:cs="宋体"/>
          <w:sz w:val="24"/>
          <w:highlight w:val="none"/>
        </w:rPr>
      </w:pPr>
      <w:r>
        <w:rPr>
          <w:rFonts w:hint="eastAsia" w:ascii="宋体" w:hAnsi="宋体" w:cs="宋体"/>
          <w:sz w:val="24"/>
          <w:highlight w:val="none"/>
        </w:rPr>
        <w:t>10.2采购人不得向成交供应商提出超过竞争性磋商文件以外的任何要求作为签订合同的条件，不得与成交供应商订立背离竞争性磋商文件确定的合同文本以及技术和服务要求等实质性内容的协议。</w:t>
      </w:r>
    </w:p>
    <w:p w14:paraId="4FD8D61B">
      <w:pPr>
        <w:spacing w:line="360" w:lineRule="auto"/>
        <w:ind w:firstLine="360" w:firstLineChars="150"/>
        <w:rPr>
          <w:rFonts w:ascii="宋体" w:hAnsi="宋体" w:cs="宋体"/>
          <w:sz w:val="24"/>
          <w:highlight w:val="none"/>
        </w:rPr>
      </w:pPr>
      <w:r>
        <w:rPr>
          <w:rFonts w:hint="eastAsia" w:ascii="宋体" w:hAnsi="宋体" w:cs="宋体"/>
          <w:sz w:val="24"/>
          <w:highlight w:val="none"/>
        </w:rPr>
        <w:t>10.3竞争性磋商文件、竞争性磋商文件的修改文件、成交供应商的磋商响应文件、补充或修改的文件等，均为双方签订合同的组成部分，并与合同一并作为本采购文件所列项目的互补性法律文件，与合同具有同等法律效力。</w:t>
      </w:r>
    </w:p>
    <w:p w14:paraId="3DFFE3AE">
      <w:pPr>
        <w:pStyle w:val="9"/>
        <w:spacing w:line="240" w:lineRule="auto"/>
        <w:ind w:firstLine="171" w:firstLineChars="71"/>
        <w:jc w:val="left"/>
        <w:rPr>
          <w:rFonts w:ascii="宋体" w:hAnsi="宋体" w:eastAsia="宋体"/>
          <w:bCs w:val="0"/>
          <w:sz w:val="24"/>
          <w:szCs w:val="24"/>
          <w:highlight w:val="none"/>
        </w:rPr>
      </w:pPr>
      <w:bookmarkStart w:id="143" w:name="_Toc196238526"/>
      <w:bookmarkStart w:id="144" w:name="_Toc78644407"/>
      <w:r>
        <w:rPr>
          <w:rFonts w:hint="eastAsia" w:ascii="宋体" w:hAnsi="宋体" w:eastAsia="宋体"/>
          <w:bCs w:val="0"/>
          <w:sz w:val="24"/>
          <w:szCs w:val="24"/>
          <w:highlight w:val="none"/>
        </w:rPr>
        <w:t>11 纪律和监督</w:t>
      </w:r>
      <w:bookmarkEnd w:id="143"/>
      <w:bookmarkEnd w:id="144"/>
    </w:p>
    <w:p w14:paraId="5FBA0613">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11.1 对采购人的纪律要求</w:t>
      </w:r>
    </w:p>
    <w:p w14:paraId="6BDD2CFB">
      <w:pPr>
        <w:snapToGrid w:val="0"/>
        <w:spacing w:line="360" w:lineRule="auto"/>
        <w:ind w:firstLine="480"/>
        <w:rPr>
          <w:rFonts w:ascii="宋体" w:hAnsi="宋体" w:cs="宋体"/>
          <w:sz w:val="24"/>
          <w:highlight w:val="none"/>
        </w:rPr>
      </w:pPr>
      <w:r>
        <w:rPr>
          <w:rFonts w:hint="eastAsia" w:ascii="宋体" w:hAnsi="宋体" w:cs="宋体"/>
          <w:sz w:val="24"/>
          <w:highlight w:val="none"/>
        </w:rPr>
        <w:t>采购人不得泄漏竞争性磋商中应当保密的情况和资料，不得与供应商串通损害国家利益、社会公共利益或者他人合法权益。</w:t>
      </w:r>
    </w:p>
    <w:p w14:paraId="49D041A1">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11.2 对供应商的纪律要求</w:t>
      </w:r>
    </w:p>
    <w:p w14:paraId="5626814E">
      <w:pPr>
        <w:snapToGrid w:val="0"/>
        <w:spacing w:line="360" w:lineRule="auto"/>
        <w:ind w:firstLine="480"/>
        <w:rPr>
          <w:rFonts w:ascii="宋体" w:hAnsi="宋体" w:cs="宋体"/>
          <w:sz w:val="24"/>
          <w:highlight w:val="none"/>
        </w:rPr>
      </w:pPr>
      <w:r>
        <w:rPr>
          <w:rFonts w:hint="eastAsia" w:ascii="宋体" w:hAnsi="宋体" w:cs="宋体"/>
          <w:sz w:val="24"/>
          <w:highlight w:val="none"/>
        </w:rPr>
        <w:t>供应商不得相互串通磋商或者与采购人串通磋商，不得向采购人或者磋商小组成员行贿谋取成交，不得以他人名义竞标或者以其他方式弄虚作假骗取成交；供应商不得以任何方式干扰、影响磋商工作。</w:t>
      </w:r>
    </w:p>
    <w:p w14:paraId="18E90C5E">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11.3 对磋商的纪律要求</w:t>
      </w:r>
    </w:p>
    <w:p w14:paraId="2F058B13">
      <w:pPr>
        <w:snapToGrid w:val="0"/>
        <w:spacing w:line="360" w:lineRule="auto"/>
        <w:ind w:firstLine="480"/>
        <w:rPr>
          <w:rFonts w:ascii="宋体" w:hAnsi="宋体" w:cs="宋体"/>
          <w:sz w:val="24"/>
          <w:highlight w:val="none"/>
        </w:rPr>
      </w:pPr>
      <w:r>
        <w:rPr>
          <w:rFonts w:hint="eastAsia" w:ascii="宋体" w:hAnsi="宋体" w:cs="宋体"/>
          <w:sz w:val="24"/>
          <w:highlight w:val="none"/>
        </w:rPr>
        <w:t>磋商小组成员不得收受他人的财物或者其他好处，不得向他人透漏对磋商文件的评审和比较、成交候选人的推荐情况以及与磋商有关的其他情况。在磋商活动中，磋商小组不得擅离职守，影响磋商程序正常进行。</w:t>
      </w:r>
    </w:p>
    <w:p w14:paraId="03C64514">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11.4 对与磋商活动有关的工作人员的纪律要求</w:t>
      </w:r>
    </w:p>
    <w:p w14:paraId="783B440B">
      <w:pPr>
        <w:snapToGrid w:val="0"/>
        <w:spacing w:line="360" w:lineRule="auto"/>
        <w:ind w:firstLine="480"/>
        <w:rPr>
          <w:rFonts w:ascii="宋体" w:hAnsi="宋体" w:cs="宋体"/>
          <w:sz w:val="24"/>
          <w:highlight w:val="none"/>
        </w:rPr>
      </w:pPr>
      <w:r>
        <w:rPr>
          <w:rFonts w:hint="eastAsia" w:ascii="宋体" w:hAnsi="宋体" w:cs="宋体"/>
          <w:sz w:val="24"/>
          <w:highlight w:val="none"/>
        </w:rPr>
        <w:t>与磋商活动有关的工作人员不得收受他人的财物或者其他好处，不得向他人透漏对磋商响应文件的评审和比较、成交候选人的推荐情况以及与磋商有关的其他情况。在磋商活动中，与磋商活动有关的工作人员不得擅离职守，影响磋商程序正常进行。</w:t>
      </w:r>
    </w:p>
    <w:p w14:paraId="1C3B5EA7">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11.5 质疑</w:t>
      </w:r>
    </w:p>
    <w:p w14:paraId="0C25CD1D">
      <w:pPr>
        <w:snapToGrid w:val="0"/>
        <w:spacing w:line="360" w:lineRule="auto"/>
        <w:ind w:firstLine="480"/>
        <w:rPr>
          <w:rFonts w:ascii="宋体" w:hAnsi="宋体" w:cs="宋体"/>
          <w:sz w:val="24"/>
          <w:highlight w:val="none"/>
        </w:rPr>
      </w:pPr>
      <w:r>
        <w:rPr>
          <w:rFonts w:hint="eastAsia" w:ascii="宋体" w:hAnsi="宋体" w:cs="宋体"/>
          <w:sz w:val="24"/>
          <w:highlight w:val="none"/>
        </w:rPr>
        <w:t>供应商和其他利害关系人认为本次竞争性磋商违反法律、法规和规章规定而使自己的权益受到损害的，可以在知道或者应知其权益受到损害之日起七个工作日内向采购人提出书面质疑材料。采购人应当在收到供应商的书面质疑后七个工作日内做出答复，但答复内容不得涉及商业秘密。</w:t>
      </w:r>
    </w:p>
    <w:p w14:paraId="0AAFBE88">
      <w:pPr>
        <w:pStyle w:val="9"/>
        <w:spacing w:line="240" w:lineRule="auto"/>
        <w:ind w:firstLine="171" w:firstLineChars="71"/>
        <w:jc w:val="left"/>
        <w:rPr>
          <w:rFonts w:ascii="宋体" w:hAnsi="宋体" w:eastAsia="宋体"/>
          <w:bCs w:val="0"/>
          <w:sz w:val="24"/>
          <w:szCs w:val="24"/>
          <w:highlight w:val="none"/>
        </w:rPr>
      </w:pPr>
      <w:bookmarkStart w:id="145" w:name="_Toc196238527"/>
      <w:bookmarkStart w:id="146" w:name="_Toc78644408"/>
      <w:r>
        <w:rPr>
          <w:rFonts w:hint="eastAsia" w:ascii="宋体" w:hAnsi="宋体" w:eastAsia="宋体"/>
          <w:bCs w:val="0"/>
          <w:sz w:val="24"/>
          <w:szCs w:val="24"/>
          <w:highlight w:val="none"/>
        </w:rPr>
        <w:t>12 其他</w:t>
      </w:r>
      <w:bookmarkEnd w:id="145"/>
      <w:bookmarkEnd w:id="146"/>
    </w:p>
    <w:p w14:paraId="62063252">
      <w:pPr>
        <w:spacing w:line="360" w:lineRule="auto"/>
        <w:ind w:firstLine="259" w:firstLineChars="108"/>
        <w:rPr>
          <w:rFonts w:ascii="宋体" w:hAnsi="宋体" w:cs="宋体"/>
          <w:sz w:val="24"/>
          <w:highlight w:val="none"/>
        </w:rPr>
      </w:pPr>
      <w:r>
        <w:rPr>
          <w:rFonts w:hint="eastAsia" w:ascii="宋体" w:hAnsi="宋体" w:cs="宋体"/>
          <w:sz w:val="24"/>
          <w:highlight w:val="none"/>
        </w:rPr>
        <w:t>12.1未尽事宜按国家有关规定执行。</w:t>
      </w:r>
    </w:p>
    <w:p w14:paraId="541119B8">
      <w:pPr>
        <w:ind w:firstLine="259" w:firstLineChars="108"/>
        <w:rPr>
          <w:rFonts w:ascii="宋体" w:hAnsi="宋体"/>
          <w:sz w:val="36"/>
          <w:szCs w:val="36"/>
          <w:highlight w:val="none"/>
        </w:rPr>
      </w:pPr>
      <w:r>
        <w:rPr>
          <w:rFonts w:hint="eastAsia" w:ascii="宋体" w:hAnsi="宋体" w:cs="宋体"/>
          <w:sz w:val="24"/>
          <w:highlight w:val="none"/>
        </w:rPr>
        <w:t>12.2</w:t>
      </w:r>
      <w:r>
        <w:rPr>
          <w:rFonts w:ascii="宋体" w:hAnsi="宋体" w:cs="宋体"/>
          <w:sz w:val="24"/>
          <w:highlight w:val="none"/>
        </w:rPr>
        <w:t xml:space="preserve"> </w:t>
      </w:r>
      <w:r>
        <w:rPr>
          <w:rFonts w:hint="eastAsia" w:ascii="宋体" w:hAnsi="宋体" w:cs="宋体"/>
          <w:sz w:val="24"/>
          <w:highlight w:val="none"/>
        </w:rPr>
        <w:t>本竞争性磋商文件最终解释权归采购人。</w:t>
      </w:r>
      <w:bookmarkEnd w:id="19"/>
      <w:bookmarkEnd w:id="20"/>
      <w:bookmarkEnd w:id="21"/>
      <w:bookmarkEnd w:id="22"/>
      <w:bookmarkEnd w:id="131"/>
      <w:bookmarkEnd w:id="132"/>
      <w:bookmarkStart w:id="147" w:name="_Toc246996918"/>
      <w:bookmarkStart w:id="148" w:name="_Toc152042366"/>
      <w:bookmarkStart w:id="149" w:name="_Toc152045589"/>
      <w:bookmarkStart w:id="150" w:name="_Toc296602477"/>
      <w:bookmarkStart w:id="151" w:name="_Toc43652638"/>
      <w:bookmarkStart w:id="152" w:name="_Toc4869"/>
      <w:bookmarkStart w:id="153" w:name="_Toc179632546"/>
      <w:bookmarkStart w:id="154" w:name="_Toc247085747"/>
      <w:bookmarkStart w:id="155" w:name="_Toc152042305"/>
      <w:bookmarkStart w:id="156" w:name="_Toc246996175"/>
      <w:bookmarkStart w:id="157" w:name="_Toc152045529"/>
      <w:bookmarkStart w:id="158" w:name="_Toc456164344"/>
      <w:bookmarkStart w:id="159" w:name="_Toc247085689"/>
      <w:bookmarkStart w:id="160" w:name="_Toc246996232"/>
      <w:bookmarkStart w:id="161" w:name="_Toc246996975"/>
      <w:bookmarkStart w:id="162" w:name="_Toc296602420"/>
      <w:bookmarkStart w:id="163" w:name="_Toc179632607"/>
      <w:bookmarkStart w:id="164" w:name="_Toc144974497"/>
      <w:bookmarkStart w:id="165" w:name="_Toc144974556"/>
      <w:bookmarkStart w:id="166" w:name="_Toc144974577"/>
      <w:bookmarkStart w:id="167" w:name="_Toc152042387"/>
      <w:bookmarkStart w:id="168" w:name="_Toc152045609"/>
      <w:bookmarkStart w:id="169" w:name="_Toc246996252"/>
      <w:bookmarkStart w:id="170" w:name="_Toc246996995"/>
      <w:bookmarkStart w:id="171" w:name="_Toc247085767"/>
      <w:bookmarkStart w:id="172" w:name="_Toc179632627"/>
    </w:p>
    <w:p w14:paraId="70430CE5">
      <w:pPr>
        <w:pStyle w:val="22"/>
        <w:tabs>
          <w:tab w:val="left" w:pos="1341"/>
        </w:tabs>
        <w:autoSpaceDE w:val="0"/>
        <w:autoSpaceDN w:val="0"/>
        <w:ind w:firstLine="0" w:firstLineChars="0"/>
        <w:rPr>
          <w:rFonts w:ascii="宋体" w:hAnsi="宋体" w:cs="宋体"/>
          <w:b/>
          <w:bCs/>
          <w:spacing w:val="-1"/>
          <w:sz w:val="24"/>
          <w:highlight w:val="none"/>
        </w:rPr>
      </w:pPr>
    </w:p>
    <w:p w14:paraId="1759564C">
      <w:pPr>
        <w:widowControl/>
        <w:jc w:val="left"/>
        <w:rPr>
          <w:rFonts w:cs="宋体" w:asciiTheme="minorEastAsia" w:hAnsiTheme="minorEastAsia" w:eastAsiaTheme="minorEastAsia"/>
          <w:bCs/>
          <w:spacing w:val="-1"/>
          <w:sz w:val="24"/>
          <w:highlight w:val="none"/>
        </w:rPr>
      </w:pPr>
    </w:p>
    <w:p w14:paraId="0575B52E">
      <w:pPr>
        <w:pStyle w:val="22"/>
        <w:tabs>
          <w:tab w:val="left" w:pos="1341"/>
        </w:tabs>
        <w:autoSpaceDE w:val="0"/>
        <w:autoSpaceDN w:val="0"/>
        <w:spacing w:line="360" w:lineRule="auto"/>
        <w:ind w:firstLine="0" w:firstLineChars="0"/>
        <w:rPr>
          <w:rFonts w:cs="宋体" w:asciiTheme="minorEastAsia" w:hAnsiTheme="minorEastAsia" w:eastAsiaTheme="minorEastAsia"/>
          <w:bCs/>
          <w:spacing w:val="-1"/>
          <w:sz w:val="24"/>
          <w:highlight w:val="none"/>
        </w:rPr>
      </w:pPr>
      <w:r>
        <w:rPr>
          <w:rFonts w:hint="eastAsia" w:cs="宋体" w:asciiTheme="minorEastAsia" w:hAnsiTheme="minorEastAsia" w:eastAsiaTheme="minorEastAsia"/>
          <w:bCs/>
          <w:spacing w:val="-1"/>
          <w:sz w:val="24"/>
          <w:highlight w:val="none"/>
        </w:rPr>
        <w:t>附件：招标代理服务收费参照豫招协[2023]002号河南省招标投标协会关于印发《河南省招标代理服务收费指导意见》规定的收费标准收取中标服务费。</w:t>
      </w:r>
    </w:p>
    <w:p w14:paraId="5E774091">
      <w:pPr>
        <w:pStyle w:val="22"/>
        <w:tabs>
          <w:tab w:val="left" w:pos="1341"/>
        </w:tabs>
        <w:autoSpaceDE w:val="0"/>
        <w:autoSpaceDN w:val="0"/>
        <w:spacing w:line="360" w:lineRule="auto"/>
        <w:ind w:firstLine="714" w:firstLineChars="300"/>
        <w:rPr>
          <w:rFonts w:cs="宋体" w:asciiTheme="minorEastAsia" w:hAnsiTheme="minorEastAsia" w:eastAsiaTheme="minorEastAsia"/>
          <w:bCs/>
          <w:spacing w:val="-1"/>
          <w:sz w:val="24"/>
          <w:highlight w:val="none"/>
        </w:rPr>
      </w:pPr>
      <w:r>
        <w:rPr>
          <w:rFonts w:hint="eastAsia" w:cs="宋体" w:asciiTheme="minorEastAsia" w:hAnsiTheme="minorEastAsia" w:eastAsiaTheme="minorEastAsia"/>
          <w:bCs/>
          <w:spacing w:val="-1"/>
          <w:sz w:val="24"/>
          <w:highlight w:val="none"/>
        </w:rPr>
        <w:t>河南省招标代理服务费计算标准</w:t>
      </w:r>
    </w:p>
    <w:tbl>
      <w:tblPr>
        <w:tblStyle w:val="15"/>
        <w:tblpPr w:leftFromText="180" w:rightFromText="180" w:vertAnchor="text" w:horzAnchor="page" w:tblpXSpec="center" w:tblpY="481"/>
        <w:tblOverlap w:val="never"/>
        <w:tblW w:w="8662" w:type="dxa"/>
        <w:tblInd w:w="0" w:type="dxa"/>
        <w:tblLayout w:type="fixed"/>
        <w:tblCellMar>
          <w:top w:w="0" w:type="dxa"/>
          <w:left w:w="15" w:type="dxa"/>
          <w:bottom w:w="0" w:type="dxa"/>
          <w:right w:w="15" w:type="dxa"/>
        </w:tblCellMar>
      </w:tblPr>
      <w:tblGrid>
        <w:gridCol w:w="3559"/>
        <w:gridCol w:w="1701"/>
        <w:gridCol w:w="1701"/>
        <w:gridCol w:w="1701"/>
      </w:tblGrid>
      <w:tr w14:paraId="52289F51">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3F029526">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项目类型/（金额万元）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7BE6E943">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工程</w:t>
            </w:r>
          </w:p>
        </w:tc>
        <w:tc>
          <w:tcPr>
            <w:tcW w:w="1701" w:type="dxa"/>
            <w:tcBorders>
              <w:top w:val="single" w:color="000000" w:sz="4" w:space="0"/>
              <w:left w:val="single" w:color="000000" w:sz="4" w:space="0"/>
              <w:bottom w:val="single" w:color="000000" w:sz="4" w:space="0"/>
              <w:right w:val="single" w:color="000000" w:sz="4" w:space="0"/>
            </w:tcBorders>
            <w:vAlign w:val="center"/>
          </w:tcPr>
          <w:p w14:paraId="12A197FC">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货物</w:t>
            </w:r>
          </w:p>
        </w:tc>
        <w:tc>
          <w:tcPr>
            <w:tcW w:w="1701" w:type="dxa"/>
            <w:tcBorders>
              <w:top w:val="single" w:color="000000" w:sz="4" w:space="0"/>
              <w:left w:val="single" w:color="000000" w:sz="4" w:space="0"/>
              <w:bottom w:val="single" w:color="000000" w:sz="4" w:space="0"/>
              <w:right w:val="single" w:color="000000" w:sz="4" w:space="0"/>
            </w:tcBorders>
            <w:vAlign w:val="center"/>
          </w:tcPr>
          <w:p w14:paraId="33EAFCAC">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服务</w:t>
            </w:r>
          </w:p>
        </w:tc>
      </w:tr>
      <w:tr w14:paraId="70CA6401">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5F6F6B28">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100万元以下（含100万元）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572E96C1">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1.20%</w:t>
            </w:r>
          </w:p>
        </w:tc>
        <w:tc>
          <w:tcPr>
            <w:tcW w:w="1701" w:type="dxa"/>
            <w:tcBorders>
              <w:top w:val="single" w:color="000000" w:sz="4" w:space="0"/>
              <w:left w:val="single" w:color="000000" w:sz="4" w:space="0"/>
              <w:bottom w:val="single" w:color="000000" w:sz="4" w:space="0"/>
              <w:right w:val="single" w:color="000000" w:sz="4" w:space="0"/>
            </w:tcBorders>
            <w:vAlign w:val="center"/>
          </w:tcPr>
          <w:p w14:paraId="08A01889">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1.70%</w:t>
            </w:r>
          </w:p>
        </w:tc>
        <w:tc>
          <w:tcPr>
            <w:tcW w:w="1701" w:type="dxa"/>
            <w:tcBorders>
              <w:top w:val="single" w:color="000000" w:sz="4" w:space="0"/>
              <w:left w:val="single" w:color="000000" w:sz="4" w:space="0"/>
              <w:bottom w:val="single" w:color="000000" w:sz="4" w:space="0"/>
              <w:right w:val="single" w:color="000000" w:sz="4" w:space="0"/>
            </w:tcBorders>
            <w:vAlign w:val="center"/>
          </w:tcPr>
          <w:p w14:paraId="7C495DFD">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1.70%</w:t>
            </w:r>
          </w:p>
        </w:tc>
      </w:tr>
      <w:tr w14:paraId="39A4005A">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22A24913">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100-500万元（含500万元）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7D9912BC">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1.00%</w:t>
            </w:r>
          </w:p>
        </w:tc>
        <w:tc>
          <w:tcPr>
            <w:tcW w:w="1701" w:type="dxa"/>
            <w:tcBorders>
              <w:top w:val="single" w:color="000000" w:sz="4" w:space="0"/>
              <w:left w:val="single" w:color="000000" w:sz="4" w:space="0"/>
              <w:bottom w:val="single" w:color="000000" w:sz="4" w:space="0"/>
              <w:right w:val="single" w:color="000000" w:sz="4" w:space="0"/>
            </w:tcBorders>
            <w:vAlign w:val="center"/>
          </w:tcPr>
          <w:p w14:paraId="309C367F">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1.20%</w:t>
            </w:r>
          </w:p>
        </w:tc>
        <w:tc>
          <w:tcPr>
            <w:tcW w:w="1701" w:type="dxa"/>
            <w:tcBorders>
              <w:top w:val="single" w:color="000000" w:sz="4" w:space="0"/>
              <w:left w:val="single" w:color="000000" w:sz="4" w:space="0"/>
              <w:bottom w:val="single" w:color="000000" w:sz="4" w:space="0"/>
              <w:right w:val="single" w:color="000000" w:sz="4" w:space="0"/>
            </w:tcBorders>
            <w:vAlign w:val="center"/>
          </w:tcPr>
          <w:p w14:paraId="4B82C7F2">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1.20%</w:t>
            </w:r>
          </w:p>
        </w:tc>
      </w:tr>
      <w:tr w14:paraId="52019305">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17119218">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500-1000万元（含1000万元）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7E85E37B">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0.70%</w:t>
            </w:r>
          </w:p>
        </w:tc>
        <w:tc>
          <w:tcPr>
            <w:tcW w:w="1701" w:type="dxa"/>
            <w:tcBorders>
              <w:top w:val="single" w:color="000000" w:sz="4" w:space="0"/>
              <w:left w:val="single" w:color="000000" w:sz="4" w:space="0"/>
              <w:bottom w:val="single" w:color="000000" w:sz="4" w:space="0"/>
              <w:right w:val="single" w:color="000000" w:sz="4" w:space="0"/>
            </w:tcBorders>
            <w:vAlign w:val="center"/>
          </w:tcPr>
          <w:p w14:paraId="077CE01D">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0.80%</w:t>
            </w:r>
          </w:p>
        </w:tc>
        <w:tc>
          <w:tcPr>
            <w:tcW w:w="1701" w:type="dxa"/>
            <w:tcBorders>
              <w:top w:val="single" w:color="000000" w:sz="4" w:space="0"/>
              <w:left w:val="single" w:color="000000" w:sz="4" w:space="0"/>
              <w:bottom w:val="single" w:color="000000" w:sz="4" w:space="0"/>
              <w:right w:val="single" w:color="000000" w:sz="4" w:space="0"/>
            </w:tcBorders>
            <w:vAlign w:val="center"/>
          </w:tcPr>
          <w:p w14:paraId="570EB6B9">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0.70%</w:t>
            </w:r>
          </w:p>
        </w:tc>
      </w:tr>
      <w:tr w14:paraId="375D849E">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654072F2">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1000-5000万元（含5000万元）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34DE7BFA">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0.40%</w:t>
            </w:r>
          </w:p>
        </w:tc>
        <w:tc>
          <w:tcPr>
            <w:tcW w:w="1701" w:type="dxa"/>
            <w:tcBorders>
              <w:top w:val="single" w:color="000000" w:sz="4" w:space="0"/>
              <w:left w:val="single" w:color="000000" w:sz="4" w:space="0"/>
              <w:bottom w:val="single" w:color="000000" w:sz="4" w:space="0"/>
              <w:right w:val="single" w:color="000000" w:sz="4" w:space="0"/>
            </w:tcBorders>
            <w:vAlign w:val="center"/>
          </w:tcPr>
          <w:p w14:paraId="14F85083">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0.50%</w:t>
            </w:r>
          </w:p>
        </w:tc>
        <w:tc>
          <w:tcPr>
            <w:tcW w:w="1701" w:type="dxa"/>
            <w:tcBorders>
              <w:top w:val="single" w:color="000000" w:sz="4" w:space="0"/>
              <w:left w:val="single" w:color="000000" w:sz="4" w:space="0"/>
              <w:bottom w:val="single" w:color="000000" w:sz="4" w:space="0"/>
              <w:right w:val="single" w:color="000000" w:sz="4" w:space="0"/>
            </w:tcBorders>
            <w:vAlign w:val="center"/>
          </w:tcPr>
          <w:p w14:paraId="72F51563">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0.40%</w:t>
            </w:r>
          </w:p>
        </w:tc>
      </w:tr>
      <w:tr w14:paraId="6F4FEFA1">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2275DC93">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5000万元--1亿元（含1亿元）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530D8E5B">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0.25%</w:t>
            </w:r>
          </w:p>
        </w:tc>
        <w:tc>
          <w:tcPr>
            <w:tcW w:w="1701" w:type="dxa"/>
            <w:tcBorders>
              <w:top w:val="single" w:color="000000" w:sz="4" w:space="0"/>
              <w:left w:val="single" w:color="000000" w:sz="4" w:space="0"/>
              <w:bottom w:val="single" w:color="000000" w:sz="4" w:space="0"/>
              <w:right w:val="single" w:color="000000" w:sz="4" w:space="0"/>
            </w:tcBorders>
            <w:vAlign w:val="center"/>
          </w:tcPr>
          <w:p w14:paraId="24B5FB99">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0.30%</w:t>
            </w:r>
          </w:p>
        </w:tc>
        <w:tc>
          <w:tcPr>
            <w:tcW w:w="1701" w:type="dxa"/>
            <w:tcBorders>
              <w:top w:val="single" w:color="000000" w:sz="4" w:space="0"/>
              <w:left w:val="single" w:color="000000" w:sz="4" w:space="0"/>
              <w:bottom w:val="single" w:color="000000" w:sz="4" w:space="0"/>
              <w:right w:val="single" w:color="000000" w:sz="4" w:space="0"/>
            </w:tcBorders>
            <w:vAlign w:val="center"/>
          </w:tcPr>
          <w:p w14:paraId="7C23814D">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0.25%</w:t>
            </w:r>
          </w:p>
        </w:tc>
      </w:tr>
      <w:tr w14:paraId="5554FDAA">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0EED26A2">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1亿--5亿元（含5亿元）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7EF3FFD3">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0.10%</w:t>
            </w:r>
          </w:p>
        </w:tc>
        <w:tc>
          <w:tcPr>
            <w:tcW w:w="1701" w:type="dxa"/>
            <w:tcBorders>
              <w:top w:val="single" w:color="000000" w:sz="4" w:space="0"/>
              <w:left w:val="single" w:color="000000" w:sz="4" w:space="0"/>
              <w:bottom w:val="single" w:color="000000" w:sz="4" w:space="0"/>
              <w:right w:val="single" w:color="000000" w:sz="4" w:space="0"/>
            </w:tcBorders>
            <w:vAlign w:val="center"/>
          </w:tcPr>
          <w:p w14:paraId="3D5C995F">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0.10%</w:t>
            </w:r>
          </w:p>
        </w:tc>
        <w:tc>
          <w:tcPr>
            <w:tcW w:w="1701" w:type="dxa"/>
            <w:tcBorders>
              <w:top w:val="single" w:color="000000" w:sz="4" w:space="0"/>
              <w:left w:val="single" w:color="000000" w:sz="4" w:space="0"/>
              <w:bottom w:val="single" w:color="000000" w:sz="4" w:space="0"/>
              <w:right w:val="single" w:color="000000" w:sz="4" w:space="0"/>
            </w:tcBorders>
            <w:vAlign w:val="center"/>
          </w:tcPr>
          <w:p w14:paraId="0F3AABE0">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0.10%</w:t>
            </w:r>
          </w:p>
        </w:tc>
      </w:tr>
      <w:tr w14:paraId="31A9672E">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right w:val="single" w:color="000000" w:sz="4" w:space="0"/>
            </w:tcBorders>
            <w:vAlign w:val="center"/>
          </w:tcPr>
          <w:p w14:paraId="0FD01A25">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5亿--10亿元（含10亿元）</w:t>
            </w:r>
          </w:p>
        </w:tc>
        <w:tc>
          <w:tcPr>
            <w:tcW w:w="1701" w:type="dxa"/>
            <w:tcBorders>
              <w:top w:val="single" w:color="000000" w:sz="4" w:space="0"/>
              <w:left w:val="single" w:color="000000" w:sz="4" w:space="0"/>
              <w:right w:val="single" w:color="000000" w:sz="4" w:space="0"/>
            </w:tcBorders>
            <w:vAlign w:val="center"/>
          </w:tcPr>
          <w:p w14:paraId="39BDDE12">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0.045%</w:t>
            </w:r>
          </w:p>
        </w:tc>
        <w:tc>
          <w:tcPr>
            <w:tcW w:w="1701" w:type="dxa"/>
            <w:tcBorders>
              <w:top w:val="single" w:color="000000" w:sz="4" w:space="0"/>
              <w:left w:val="single" w:color="000000" w:sz="4" w:space="0"/>
              <w:right w:val="single" w:color="000000" w:sz="4" w:space="0"/>
            </w:tcBorders>
            <w:vAlign w:val="center"/>
          </w:tcPr>
          <w:p w14:paraId="28387560">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0.045%</w:t>
            </w:r>
          </w:p>
        </w:tc>
        <w:tc>
          <w:tcPr>
            <w:tcW w:w="1701" w:type="dxa"/>
            <w:tcBorders>
              <w:top w:val="single" w:color="000000" w:sz="4" w:space="0"/>
              <w:left w:val="single" w:color="000000" w:sz="4" w:space="0"/>
              <w:right w:val="single" w:color="000000" w:sz="4" w:space="0"/>
            </w:tcBorders>
            <w:vAlign w:val="center"/>
          </w:tcPr>
          <w:p w14:paraId="65768E23">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0.045%</w:t>
            </w:r>
          </w:p>
        </w:tc>
      </w:tr>
      <w:tr w14:paraId="4C75C147">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5369CFB6">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10亿--50亿元（含50亿元）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5E87700C">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0.010%</w:t>
            </w:r>
          </w:p>
        </w:tc>
        <w:tc>
          <w:tcPr>
            <w:tcW w:w="1701" w:type="dxa"/>
            <w:tcBorders>
              <w:top w:val="single" w:color="000000" w:sz="4" w:space="0"/>
              <w:left w:val="single" w:color="000000" w:sz="4" w:space="0"/>
              <w:bottom w:val="single" w:color="000000" w:sz="4" w:space="0"/>
              <w:right w:val="single" w:color="000000" w:sz="4" w:space="0"/>
            </w:tcBorders>
            <w:vAlign w:val="center"/>
          </w:tcPr>
          <w:p w14:paraId="411BDFD7">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0.010%</w:t>
            </w:r>
          </w:p>
        </w:tc>
        <w:tc>
          <w:tcPr>
            <w:tcW w:w="1701" w:type="dxa"/>
            <w:tcBorders>
              <w:top w:val="single" w:color="000000" w:sz="4" w:space="0"/>
              <w:left w:val="single" w:color="000000" w:sz="4" w:space="0"/>
              <w:bottom w:val="single" w:color="000000" w:sz="4" w:space="0"/>
              <w:right w:val="single" w:color="000000" w:sz="4" w:space="0"/>
            </w:tcBorders>
            <w:vAlign w:val="center"/>
          </w:tcPr>
          <w:p w14:paraId="157BC887">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0.010%</w:t>
            </w:r>
          </w:p>
        </w:tc>
      </w:tr>
      <w:tr w14:paraId="5EC25FCD">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389D1D3E">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50亿--100亿元（含</w:t>
            </w:r>
            <w:r>
              <w:rPr>
                <w:rFonts w:hint="eastAsia" w:asciiTheme="minorEastAsia" w:hAnsiTheme="minorEastAsia" w:eastAsiaTheme="minorEastAsia"/>
                <w:sz w:val="24"/>
                <w:highlight w:val="none"/>
              </w:rPr>
              <w:t>100</w:t>
            </w:r>
            <w:r>
              <w:rPr>
                <w:rFonts w:asciiTheme="minorEastAsia" w:hAnsiTheme="minorEastAsia" w:eastAsiaTheme="minorEastAsia"/>
                <w:sz w:val="24"/>
                <w:highlight w:val="none"/>
              </w:rPr>
              <w:t>亿元）</w:t>
            </w:r>
          </w:p>
        </w:tc>
        <w:tc>
          <w:tcPr>
            <w:tcW w:w="1701" w:type="dxa"/>
            <w:tcBorders>
              <w:top w:val="single" w:color="000000" w:sz="4" w:space="0"/>
              <w:left w:val="single" w:color="000000" w:sz="4" w:space="0"/>
              <w:bottom w:val="single" w:color="000000" w:sz="4" w:space="0"/>
              <w:right w:val="single" w:color="000000" w:sz="4" w:space="0"/>
            </w:tcBorders>
            <w:vAlign w:val="center"/>
          </w:tcPr>
          <w:p w14:paraId="2775EF88">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0.008%</w:t>
            </w:r>
          </w:p>
        </w:tc>
        <w:tc>
          <w:tcPr>
            <w:tcW w:w="1701" w:type="dxa"/>
            <w:tcBorders>
              <w:top w:val="single" w:color="000000" w:sz="4" w:space="0"/>
              <w:left w:val="single" w:color="000000" w:sz="4" w:space="0"/>
              <w:bottom w:val="single" w:color="000000" w:sz="4" w:space="0"/>
              <w:right w:val="single" w:color="000000" w:sz="4" w:space="0"/>
            </w:tcBorders>
            <w:vAlign w:val="center"/>
          </w:tcPr>
          <w:p w14:paraId="398EFD58">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0.008%</w:t>
            </w:r>
          </w:p>
        </w:tc>
        <w:tc>
          <w:tcPr>
            <w:tcW w:w="1701" w:type="dxa"/>
            <w:tcBorders>
              <w:top w:val="single" w:color="000000" w:sz="4" w:space="0"/>
              <w:left w:val="single" w:color="000000" w:sz="4" w:space="0"/>
              <w:bottom w:val="single" w:color="000000" w:sz="4" w:space="0"/>
              <w:right w:val="single" w:color="000000" w:sz="4" w:space="0"/>
            </w:tcBorders>
            <w:vAlign w:val="center"/>
          </w:tcPr>
          <w:p w14:paraId="39DF0EB2">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0.008%</w:t>
            </w:r>
          </w:p>
        </w:tc>
      </w:tr>
      <w:tr w14:paraId="0688C4E5">
        <w:tblPrEx>
          <w:tblCellMar>
            <w:top w:w="0" w:type="dxa"/>
            <w:left w:w="15" w:type="dxa"/>
            <w:bottom w:w="0" w:type="dxa"/>
            <w:right w:w="15" w:type="dxa"/>
          </w:tblCellMar>
        </w:tblPrEx>
        <w:trPr>
          <w:trHeight w:val="679" w:hRule="atLeast"/>
        </w:trPr>
        <w:tc>
          <w:tcPr>
            <w:tcW w:w="3559" w:type="dxa"/>
            <w:tcBorders>
              <w:top w:val="single" w:color="000000" w:sz="4" w:space="0"/>
              <w:left w:val="single" w:color="000000" w:sz="4" w:space="0"/>
              <w:bottom w:val="single" w:color="000000" w:sz="4" w:space="0"/>
              <w:right w:val="single" w:color="000000" w:sz="4" w:space="0"/>
            </w:tcBorders>
            <w:vAlign w:val="center"/>
          </w:tcPr>
          <w:p w14:paraId="1A2C96D9">
            <w:pPr>
              <w:autoSpaceDN w:val="0"/>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100亿元以上</w:t>
            </w:r>
          </w:p>
        </w:tc>
        <w:tc>
          <w:tcPr>
            <w:tcW w:w="1701" w:type="dxa"/>
            <w:tcBorders>
              <w:top w:val="single" w:color="000000" w:sz="4" w:space="0"/>
              <w:left w:val="single" w:color="000000" w:sz="4" w:space="0"/>
              <w:bottom w:val="single" w:color="000000" w:sz="4" w:space="0"/>
              <w:right w:val="single" w:color="000000" w:sz="4" w:space="0"/>
            </w:tcBorders>
            <w:vAlign w:val="center"/>
          </w:tcPr>
          <w:p w14:paraId="06088B27">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0.004%</w:t>
            </w:r>
          </w:p>
        </w:tc>
        <w:tc>
          <w:tcPr>
            <w:tcW w:w="1701" w:type="dxa"/>
            <w:tcBorders>
              <w:top w:val="single" w:color="000000" w:sz="4" w:space="0"/>
              <w:left w:val="single" w:color="000000" w:sz="4" w:space="0"/>
              <w:bottom w:val="single" w:color="000000" w:sz="4" w:space="0"/>
              <w:right w:val="single" w:color="000000" w:sz="4" w:space="0"/>
            </w:tcBorders>
            <w:vAlign w:val="center"/>
          </w:tcPr>
          <w:p w14:paraId="0898BDFB">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0.004%</w:t>
            </w:r>
          </w:p>
        </w:tc>
        <w:tc>
          <w:tcPr>
            <w:tcW w:w="1701" w:type="dxa"/>
            <w:tcBorders>
              <w:top w:val="single" w:color="000000" w:sz="4" w:space="0"/>
              <w:left w:val="single" w:color="000000" w:sz="4" w:space="0"/>
              <w:bottom w:val="single" w:color="000000" w:sz="4" w:space="0"/>
              <w:right w:val="single" w:color="000000" w:sz="4" w:space="0"/>
            </w:tcBorders>
            <w:vAlign w:val="center"/>
          </w:tcPr>
          <w:p w14:paraId="22AF39D7">
            <w:pPr>
              <w:autoSpaceDN w:val="0"/>
              <w:jc w:val="center"/>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0.004%</w:t>
            </w:r>
          </w:p>
        </w:tc>
      </w:tr>
      <w:tr w14:paraId="3A8607B1">
        <w:tblPrEx>
          <w:tblCellMar>
            <w:top w:w="0" w:type="dxa"/>
            <w:left w:w="15" w:type="dxa"/>
            <w:bottom w:w="0" w:type="dxa"/>
            <w:right w:w="15" w:type="dxa"/>
          </w:tblCellMar>
        </w:tblPrEx>
        <w:trPr>
          <w:trHeight w:val="621" w:hRule="atLeast"/>
        </w:trPr>
        <w:tc>
          <w:tcPr>
            <w:tcW w:w="8662" w:type="dxa"/>
            <w:gridSpan w:val="4"/>
            <w:vAlign w:val="center"/>
          </w:tcPr>
          <w:p w14:paraId="1287CE9F">
            <w:pPr>
              <w:autoSpaceDN w:val="0"/>
              <w:spacing w:line="440" w:lineRule="exact"/>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注：1.按本表费率计算的收费金额为招标代理服务费的基准价格，不含工程量清单、最高投标限价（招标控制价）或标底的编制费用。</w:t>
            </w:r>
          </w:p>
          <w:p w14:paraId="3715D469">
            <w:pPr>
              <w:autoSpaceDN w:val="0"/>
              <w:spacing w:line="440" w:lineRule="exact"/>
              <w:jc w:val="left"/>
              <w:textAlignment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2.招标代理服务收费按差额定率累进法计算。</w:t>
            </w:r>
          </w:p>
          <w:p w14:paraId="144B627E">
            <w:pPr>
              <w:autoSpaceDN w:val="0"/>
              <w:spacing w:line="440" w:lineRule="exact"/>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例如: 某工程招标代理业务，项目预算金额（招标控制价）为10000 万元，招标代理服务收费计算如下:</w:t>
            </w:r>
          </w:p>
          <w:p w14:paraId="2D7A481C">
            <w:pPr>
              <w:autoSpaceDN w:val="0"/>
              <w:spacing w:line="440" w:lineRule="exact"/>
              <w:jc w:val="left"/>
              <w:textAlignment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w:t>
            </w:r>
            <w:r>
              <w:rPr>
                <w:rFonts w:asciiTheme="minorEastAsia" w:hAnsiTheme="minorEastAsia" w:eastAsiaTheme="minorEastAsia"/>
                <w:sz w:val="24"/>
                <w:highlight w:val="none"/>
              </w:rPr>
              <w:t>100万元×1.2%=1.2万元</w:t>
            </w:r>
          </w:p>
          <w:p w14:paraId="55896FCC">
            <w:pPr>
              <w:autoSpaceDN w:val="0"/>
              <w:spacing w:line="440" w:lineRule="exact"/>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（500-100）万元×1.0%=4万元</w:t>
            </w:r>
          </w:p>
          <w:p w14:paraId="634BA3DA">
            <w:pPr>
              <w:autoSpaceDN w:val="0"/>
              <w:spacing w:line="440" w:lineRule="exact"/>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（1000-500）×0.7%=3.5万元</w:t>
            </w:r>
          </w:p>
          <w:p w14:paraId="2FBBD681">
            <w:pPr>
              <w:autoSpaceDN w:val="0"/>
              <w:spacing w:line="440" w:lineRule="exact"/>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（5000-1000）×0.4%=16万元</w:t>
            </w:r>
          </w:p>
          <w:p w14:paraId="3ACAABC3">
            <w:pPr>
              <w:autoSpaceDN w:val="0"/>
              <w:spacing w:line="440" w:lineRule="exact"/>
              <w:jc w:val="left"/>
              <w:textAlignment w:val="center"/>
              <w:rPr>
                <w:rFonts w:asciiTheme="minorEastAsia" w:hAnsiTheme="minorEastAsia" w:eastAsiaTheme="minorEastAsia"/>
                <w:sz w:val="24"/>
                <w:highlight w:val="none"/>
              </w:rPr>
            </w:pPr>
            <w:r>
              <w:rPr>
                <w:rFonts w:asciiTheme="minorEastAsia" w:hAnsiTheme="minorEastAsia" w:eastAsiaTheme="minorEastAsia"/>
                <w:sz w:val="24"/>
                <w:highlight w:val="none"/>
              </w:rPr>
              <w:t>（10000-5000）×0.25%=12.5万元合计收费=1.2+4+3.5+16+12.5=37.2万元</w:t>
            </w:r>
          </w:p>
        </w:tc>
      </w:tr>
    </w:tbl>
    <w:p w14:paraId="18B5ADAF">
      <w:pPr>
        <w:rPr>
          <w:kern w:val="44"/>
          <w:highlight w:val="none"/>
        </w:rPr>
      </w:pPr>
      <w:bookmarkStart w:id="173" w:name="_Toc196238528"/>
      <w:r>
        <w:rPr>
          <w:highlight w:val="none"/>
        </w:rPr>
        <w:br w:type="page"/>
      </w:r>
    </w:p>
    <w:p w14:paraId="0F5CACAC">
      <w:pPr>
        <w:pStyle w:val="8"/>
        <w:spacing w:line="240" w:lineRule="auto"/>
        <w:jc w:val="center"/>
        <w:rPr>
          <w:rFonts w:ascii="宋体" w:hAnsi="宋体"/>
          <w:sz w:val="36"/>
          <w:szCs w:val="36"/>
          <w:highlight w:val="none"/>
        </w:rPr>
      </w:pPr>
      <w:r>
        <w:rPr>
          <w:rFonts w:hint="eastAsia" w:ascii="宋体" w:hAnsi="宋体"/>
          <w:sz w:val="36"/>
          <w:szCs w:val="36"/>
          <w:highlight w:val="none"/>
        </w:rPr>
        <w:t>第三章</w:t>
      </w:r>
      <w:bookmarkStart w:id="174" w:name="_Toc47539002"/>
      <w:r>
        <w:rPr>
          <w:rFonts w:hint="eastAsia" w:ascii="宋体" w:hAnsi="宋体"/>
          <w:sz w:val="36"/>
          <w:szCs w:val="36"/>
          <w:highlight w:val="none"/>
        </w:rPr>
        <w:t xml:space="preserve"> 服务内容及</w:t>
      </w:r>
      <w:bookmarkEnd w:id="174"/>
      <w:bookmarkStart w:id="175" w:name="_Toc287171996"/>
      <w:bookmarkEnd w:id="175"/>
      <w:bookmarkStart w:id="176" w:name="_Toc76438889"/>
      <w:bookmarkEnd w:id="176"/>
      <w:bookmarkStart w:id="177" w:name="_Toc148782775"/>
      <w:bookmarkEnd w:id="177"/>
      <w:r>
        <w:rPr>
          <w:rFonts w:hint="eastAsia" w:ascii="宋体" w:hAnsi="宋体"/>
          <w:sz w:val="36"/>
          <w:szCs w:val="36"/>
          <w:highlight w:val="none"/>
        </w:rPr>
        <w:t>要求</w:t>
      </w:r>
      <w:bookmarkEnd w:id="173"/>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14:paraId="5BF4D53B">
      <w:pPr>
        <w:spacing w:line="360" w:lineRule="auto"/>
        <w:rPr>
          <w:sz w:val="24"/>
          <w:highlight w:val="none"/>
        </w:rPr>
      </w:pPr>
      <w:bookmarkStart w:id="178" w:name="_Toc10506"/>
      <w:bookmarkStart w:id="179" w:name="_Toc16207"/>
      <w:bookmarkStart w:id="180" w:name="_Toc474018119"/>
      <w:bookmarkStart w:id="181" w:name="_Toc373253039"/>
      <w:bookmarkStart w:id="182" w:name="_Toc27662"/>
      <w:bookmarkStart w:id="183" w:name="_Toc43652639"/>
      <w:r>
        <w:rPr>
          <w:rFonts w:hint="eastAsia"/>
          <w:sz w:val="24"/>
          <w:highlight w:val="none"/>
        </w:rPr>
        <w:t>一、技术标准及规范：</w:t>
      </w:r>
      <w:bookmarkEnd w:id="178"/>
      <w:bookmarkEnd w:id="179"/>
    </w:p>
    <w:p w14:paraId="3FD879CE">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本项目的成果必须符合国家有关工程建设标准强制性条文和农业农村部关于高标准农田项目方面现行的标准、规范、规程、定额、办法等，以及河南省高标准农田项目初步设计、实施方案等方面的文件、规定。在设计过程中，如果国家或有关部门颁布了新的技术标准或规范，则设计人应采用新的标准或规范进行勘察设计。设计人在可研、勘测、规划设计工作中必须使用下述标准、规范：</w:t>
      </w:r>
    </w:p>
    <w:p w14:paraId="64CAB5AA">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1. 《高标准农田建设通则》</w:t>
      </w:r>
    </w:p>
    <w:p w14:paraId="5C7741D1">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2. 《灌溉与排水工程设计标准》(GB50288-2018)</w:t>
      </w:r>
    </w:p>
    <w:p w14:paraId="530220E1">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3. 《机井技术规范》(GB/T50625--2010)</w:t>
      </w:r>
    </w:p>
    <w:p w14:paraId="5197EC02">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4. 《灌溉与排水渠系建筑物设计规范》(SL482--2011)</w:t>
      </w:r>
    </w:p>
    <w:p w14:paraId="404F5E35">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5. 《节水灌溉工程技术标准》(GB/T50363--2018)</w:t>
      </w:r>
    </w:p>
    <w:p w14:paraId="522EA08F">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6. 《公路桥涵设计通用规范》(JTGD60-2015)</w:t>
      </w:r>
    </w:p>
    <w:p w14:paraId="7C7BB87D">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7. 《耕地质量验收技术规范》(NY/T1120--2006)</w:t>
      </w:r>
    </w:p>
    <w:p w14:paraId="60A85AFD">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8. 《农田灌溉水质标准》(GB5084-2021)</w:t>
      </w:r>
    </w:p>
    <w:p w14:paraId="2CF8ECC5">
      <w:pPr>
        <w:spacing w:line="360" w:lineRule="auto"/>
        <w:rPr>
          <w:sz w:val="24"/>
          <w:highlight w:val="none"/>
        </w:rPr>
      </w:pPr>
      <w:bookmarkStart w:id="184" w:name="_Toc293"/>
      <w:bookmarkStart w:id="185" w:name="_Toc23180"/>
      <w:r>
        <w:rPr>
          <w:rFonts w:hint="eastAsia"/>
          <w:sz w:val="24"/>
          <w:highlight w:val="none"/>
        </w:rPr>
        <w:t>二、项目概况</w:t>
      </w:r>
      <w:bookmarkEnd w:id="184"/>
      <w:bookmarkEnd w:id="185"/>
    </w:p>
    <w:p w14:paraId="1F04ED18">
      <w:pPr>
        <w:spacing w:line="360" w:lineRule="auto"/>
        <w:ind w:firstLine="480" w:firstLineChars="200"/>
        <w:rPr>
          <w:rFonts w:ascii="宋体" w:hAnsi="宋体" w:cs="宋体"/>
          <w:kern w:val="0"/>
          <w:sz w:val="24"/>
          <w:highlight w:val="none"/>
        </w:rPr>
      </w:pPr>
      <w:r>
        <w:rPr>
          <w:rFonts w:hint="eastAsia" w:ascii="宋体" w:hAnsi="宋体" w:cs="宋体"/>
          <w:sz w:val="24"/>
          <w:highlight w:val="none"/>
        </w:rPr>
        <w:t>本项目为</w:t>
      </w:r>
      <w:r>
        <w:rPr>
          <w:rFonts w:hint="eastAsia" w:ascii="宋体" w:hAnsi="宋体" w:cs="宋体" w:eastAsiaTheme="minorEastAsia"/>
          <w:b w:val="0"/>
          <w:bCs w:val="0"/>
          <w:kern w:val="2"/>
          <w:sz w:val="24"/>
          <w:szCs w:val="24"/>
          <w:highlight w:val="none"/>
          <w:lang w:val="en-US" w:eastAsia="zh-CN" w:bidi="ar"/>
        </w:rPr>
        <w:t>三门峡市陕州区2026年高标准农田建设项目勘测设计服务项目</w:t>
      </w:r>
      <w:r>
        <w:rPr>
          <w:rFonts w:hint="eastAsia" w:ascii="宋体" w:hAnsi="宋体" w:cs="宋体"/>
          <w:b w:val="0"/>
          <w:bCs w:val="0"/>
          <w:kern w:val="2"/>
          <w:sz w:val="24"/>
          <w:szCs w:val="24"/>
          <w:highlight w:val="none"/>
          <w:lang w:val="en-US" w:eastAsia="zh-CN" w:bidi="ar"/>
        </w:rPr>
        <w:t>，主要内容包含新建高标准农田面积1.0万亩，改造提升高标准农田面积1.0万亩。</w:t>
      </w:r>
    </w:p>
    <w:p w14:paraId="4CD3B9E4">
      <w:pPr>
        <w:spacing w:line="360" w:lineRule="auto"/>
        <w:rPr>
          <w:sz w:val="24"/>
          <w:highlight w:val="none"/>
        </w:rPr>
      </w:pPr>
      <w:bookmarkStart w:id="186" w:name="_Toc268"/>
      <w:bookmarkStart w:id="187" w:name="_Toc5873"/>
      <w:r>
        <w:rPr>
          <w:rFonts w:hint="eastAsia"/>
          <w:sz w:val="24"/>
          <w:highlight w:val="none"/>
        </w:rPr>
        <w:t>三、招标内容：</w:t>
      </w:r>
      <w:bookmarkEnd w:id="186"/>
      <w:bookmarkEnd w:id="187"/>
    </w:p>
    <w:p w14:paraId="23BFA069">
      <w:pPr>
        <w:spacing w:line="360" w:lineRule="auto"/>
        <w:ind w:firstLine="480" w:firstLineChars="200"/>
        <w:rPr>
          <w:rFonts w:hint="eastAsia" w:ascii="宋体" w:hAnsi="宋体" w:cs="宋体" w:eastAsiaTheme="minorEastAsia"/>
          <w:b w:val="0"/>
          <w:bCs w:val="0"/>
          <w:kern w:val="2"/>
          <w:sz w:val="24"/>
          <w:szCs w:val="24"/>
          <w:highlight w:val="none"/>
          <w:lang w:val="en-US" w:eastAsia="zh-CN" w:bidi="ar"/>
        </w:rPr>
      </w:pPr>
      <w:bookmarkStart w:id="188" w:name="_Toc9442"/>
      <w:bookmarkStart w:id="189" w:name="_Toc25303"/>
      <w:r>
        <w:rPr>
          <w:rFonts w:hint="eastAsia" w:ascii="宋体" w:hAnsi="宋体" w:cs="宋体" w:eastAsiaTheme="minorEastAsia"/>
          <w:b w:val="0"/>
          <w:bCs w:val="0"/>
          <w:kern w:val="2"/>
          <w:sz w:val="24"/>
          <w:szCs w:val="24"/>
          <w:highlight w:val="none"/>
          <w:lang w:val="en-US" w:eastAsia="zh-CN" w:bidi="ar"/>
        </w:rPr>
        <w:t>三门峡市陕州区2026年高标准农田建设项目勘测设计服务项目，主要内容包含项目勘测、初步设计编制、实施计划（达到施工图设计深度），标段划分、分标段图纸、分标段预算、施工阶段设计技术交底、现场服务、设计变更等。</w:t>
      </w:r>
    </w:p>
    <w:p w14:paraId="02ABD0A0">
      <w:pPr>
        <w:spacing w:line="360" w:lineRule="auto"/>
        <w:rPr>
          <w:sz w:val="24"/>
          <w:highlight w:val="none"/>
        </w:rPr>
      </w:pPr>
      <w:r>
        <w:rPr>
          <w:rFonts w:hint="eastAsia"/>
          <w:sz w:val="24"/>
          <w:highlight w:val="none"/>
        </w:rPr>
        <w:t>四、项目背景</w:t>
      </w:r>
      <w:bookmarkEnd w:id="188"/>
      <w:bookmarkEnd w:id="189"/>
    </w:p>
    <w:p w14:paraId="2D50923E">
      <w:pPr>
        <w:autoSpaceDE w:val="0"/>
        <w:autoSpaceDN w:val="0"/>
        <w:spacing w:line="480" w:lineRule="exact"/>
        <w:ind w:firstLine="480" w:firstLineChars="200"/>
        <w:rPr>
          <w:rFonts w:hint="eastAsia" w:ascii="宋体" w:hAnsi="宋体" w:eastAsia="宋体" w:cs="宋体"/>
          <w:sz w:val="24"/>
          <w:szCs w:val="24"/>
          <w:highlight w:val="none"/>
        </w:rPr>
      </w:pPr>
      <w:bookmarkStart w:id="190" w:name="_Toc17347"/>
      <w:bookmarkStart w:id="191" w:name="_Toc20481"/>
      <w:r>
        <w:rPr>
          <w:rFonts w:hint="eastAsia" w:ascii="宋体" w:hAnsi="宋体" w:eastAsia="宋体" w:cs="宋体"/>
          <w:sz w:val="24"/>
          <w:szCs w:val="24"/>
          <w:highlight w:val="none"/>
        </w:rPr>
        <w:t>国务院《关于切实加强高标准农田建设提升国家粮食安全保障能力的意见》（国办发〔2019〕50号）指出，建设高标准农田，是巩固和提高粮食生产能力、保障国家粮食安全的关键举措。《河南省人民政府办公厅关于加强高标准农田建设打造全国重要粮食生产核心区的实施意见》(豫政办[2020]14号)指出，加快推进我省高标准农田建设，打造全国重要的粮食生产核心区，保障国家粮食安全。以习近平新时代中国特色社会主义思想为指导，深入贯彻党的十九大和十九届二中、三中、四中、五中全会精神，全面落实习近平总书记视察河南重要讲话精神，切实扛稳粮食安全重任，牢牢抓住粮食这个核心竞争力，大力推进高标准农田建设，打造全国重要的粮食生产核心区，在确保国家粮食安全方面展现新担当新作为。实施藏粮于地战略，着力推动农业高质量发展，以提升粮食产能为首要目标，加快推动农田建设项目建设，优化项目布局，统筹整合资金，加大投入力度，推进河南粮食生产核心产区建设，为国家粮食安全夯实基础。</w:t>
      </w:r>
    </w:p>
    <w:p w14:paraId="59B78958">
      <w:pPr>
        <w:spacing w:line="360" w:lineRule="auto"/>
        <w:rPr>
          <w:sz w:val="24"/>
          <w:highlight w:val="none"/>
        </w:rPr>
      </w:pPr>
      <w:r>
        <w:rPr>
          <w:rFonts w:hint="eastAsia"/>
          <w:sz w:val="24"/>
          <w:highlight w:val="none"/>
        </w:rPr>
        <w:t>五、工作目标</w:t>
      </w:r>
      <w:bookmarkEnd w:id="190"/>
      <w:bookmarkEnd w:id="191"/>
    </w:p>
    <w:p w14:paraId="7F721E33">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生产设施系统：以“灌溉输水管道化、灌溉管理信息化、灌溉控制智能化”为总体要求，以现代化的农田高效节水灌溉为重点，构建完备的“田、土、水、路、林、电等基础生产设施配套系统。</w:t>
      </w:r>
    </w:p>
    <w:p w14:paraId="09AFE657">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生态环境系统：以绿色发展为导向，以减少面源污染、生态植保为抓手，构建绿色防护林网、</w:t>
      </w:r>
    </w:p>
    <w:p w14:paraId="5FDAA999">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农业系统：利用智能控制工程和智慧农业管理云平台搭建，形成“数据实时采集、远程自动控制、管理手段智能、用水决策精准、数据信息共享＂的布局模式，构建集“信息采集一信息传输—用水决策—信息反馈—智能控制”为一体的智慧农业管理系统。</w:t>
      </w:r>
    </w:p>
    <w:p w14:paraId="28D83B2A">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管理系统构成：以体制改革和机制创新为动能，推进项目区规范化管理，结合农业水价综合改革，构建产权明晰、权责落实、经费保障，管用得当、持续发展的长效运行机制。</w:t>
      </w:r>
    </w:p>
    <w:p w14:paraId="331594BC">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项目入库：统一上图入库，统一标准规范、统一数据要求，把农田建设项目立项、实施、验收使用等各阶段相关信息上图入库</w:t>
      </w:r>
    </w:p>
    <w:p w14:paraId="2AE9C0A5">
      <w:pPr>
        <w:spacing w:line="360" w:lineRule="auto"/>
        <w:rPr>
          <w:sz w:val="24"/>
          <w:highlight w:val="none"/>
        </w:rPr>
      </w:pPr>
      <w:bookmarkStart w:id="192" w:name="_Toc18169"/>
      <w:bookmarkStart w:id="193" w:name="_Toc15239"/>
      <w:r>
        <w:rPr>
          <w:rFonts w:hint="eastAsia"/>
          <w:sz w:val="24"/>
          <w:highlight w:val="none"/>
        </w:rPr>
        <w:t>六、工作阶段安排</w:t>
      </w:r>
      <w:bookmarkEnd w:id="192"/>
      <w:bookmarkEnd w:id="193"/>
    </w:p>
    <w:p w14:paraId="60EAF32B">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成果要求：依据规范、要求提供本项目相关初步设计文件，相关图纸、概算、实施计划及设计服务，另附成果电子文件。</w:t>
      </w:r>
    </w:p>
    <w:p w14:paraId="08566A54">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1.最终成果要求文本图册套数满足实际需求，另附成果电子文件。</w:t>
      </w:r>
    </w:p>
    <w:p w14:paraId="51917E13">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2.文本图册统一采用简体中文格式，全部设计成果以采购人要求为准。</w:t>
      </w:r>
    </w:p>
    <w:p w14:paraId="0DAE6402">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3.电子文件包含所有设计成果的电子文件。</w:t>
      </w:r>
    </w:p>
    <w:p w14:paraId="136E832F">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4.全部设计成果应制成计算机电子文件，设计说明和图纸的文字必须采用中文或中英两种文字，不得完全使用英文或其他外文。</w:t>
      </w:r>
    </w:p>
    <w:p w14:paraId="08536F77">
      <w:pPr>
        <w:autoSpaceDE w:val="0"/>
        <w:autoSpaceDN w:val="0"/>
        <w:spacing w:line="360" w:lineRule="auto"/>
        <w:ind w:firstLine="480" w:firstLineChars="200"/>
        <w:rPr>
          <w:rFonts w:ascii="宋体" w:hAnsi="宋体" w:cs="宋体"/>
          <w:sz w:val="24"/>
          <w:highlight w:val="none"/>
        </w:rPr>
      </w:pPr>
      <w:r>
        <w:rPr>
          <w:rFonts w:hint="eastAsia" w:ascii="宋体" w:hAnsi="宋体" w:cs="宋体"/>
          <w:sz w:val="24"/>
          <w:highlight w:val="none"/>
        </w:rPr>
        <w:t>5.设计成果文件的署名权归供应商，供应商所投规划方案的一切相关知识产权归采购人所有，采购人可无偿使用其设计方案，供应商应承诺不存在侵权纠纷，如存在侵权纠纷由供应商负责。</w:t>
      </w:r>
    </w:p>
    <w:p w14:paraId="5D87A397">
      <w:pPr>
        <w:spacing w:line="360" w:lineRule="auto"/>
        <w:rPr>
          <w:sz w:val="24"/>
          <w:highlight w:val="none"/>
        </w:rPr>
      </w:pPr>
      <w:bookmarkStart w:id="194" w:name="_Toc15438"/>
      <w:bookmarkStart w:id="195" w:name="_Toc21384"/>
      <w:r>
        <w:rPr>
          <w:rFonts w:hint="eastAsia"/>
          <w:sz w:val="24"/>
          <w:highlight w:val="none"/>
        </w:rPr>
        <w:t>七、其他要求：</w:t>
      </w:r>
      <w:bookmarkEnd w:id="194"/>
      <w:bookmarkEnd w:id="195"/>
    </w:p>
    <w:p w14:paraId="36EDB581">
      <w:pPr>
        <w:spacing w:line="360" w:lineRule="auto"/>
        <w:ind w:firstLine="480" w:firstLineChars="200"/>
        <w:rPr>
          <w:rFonts w:ascii="宋体" w:hAnsi="宋体" w:cs="宋体"/>
          <w:sz w:val="24"/>
          <w:highlight w:val="none"/>
        </w:rPr>
      </w:pPr>
      <w:r>
        <w:rPr>
          <w:rFonts w:hint="eastAsia" w:ascii="宋体" w:hAnsi="宋体" w:cs="宋体"/>
          <w:sz w:val="24"/>
          <w:highlight w:val="none"/>
        </w:rPr>
        <w:t>（1）设计人应自备工作手册：如本项目必备的规范标准、图集等；</w:t>
      </w:r>
    </w:p>
    <w:p w14:paraId="191AB774">
      <w:pPr>
        <w:spacing w:line="360" w:lineRule="auto"/>
        <w:ind w:firstLine="480" w:firstLineChars="200"/>
        <w:rPr>
          <w:rFonts w:ascii="宋体" w:hAnsi="宋体" w:cs="宋体"/>
          <w:sz w:val="24"/>
          <w:highlight w:val="none"/>
        </w:rPr>
      </w:pPr>
      <w:r>
        <w:rPr>
          <w:rFonts w:hint="eastAsia" w:ascii="宋体" w:hAnsi="宋体" w:cs="宋体"/>
          <w:sz w:val="24"/>
          <w:highlight w:val="none"/>
        </w:rPr>
        <w:t>（2）设计人应自备办公设备：如电脑、软件、投影、打印机、复印机、照相机等；</w:t>
      </w:r>
    </w:p>
    <w:p w14:paraId="23C59431">
      <w:pPr>
        <w:spacing w:line="360" w:lineRule="auto"/>
        <w:ind w:firstLine="480" w:firstLineChars="200"/>
        <w:rPr>
          <w:rFonts w:ascii="宋体" w:hAnsi="宋体" w:cs="宋体"/>
          <w:sz w:val="24"/>
          <w:highlight w:val="none"/>
        </w:rPr>
      </w:pPr>
      <w:r>
        <w:rPr>
          <w:rFonts w:hint="eastAsia" w:ascii="宋体" w:hAnsi="宋体" w:cs="宋体"/>
          <w:sz w:val="24"/>
          <w:highlight w:val="none"/>
        </w:rPr>
        <w:t>（3）设计人应自备交通工具：如出行车辆等；</w:t>
      </w:r>
    </w:p>
    <w:p w14:paraId="7C34946F">
      <w:pPr>
        <w:spacing w:line="360" w:lineRule="auto"/>
        <w:ind w:firstLine="480" w:firstLineChars="200"/>
        <w:rPr>
          <w:rFonts w:ascii="宋体" w:hAnsi="宋体" w:cs="宋体"/>
          <w:sz w:val="24"/>
          <w:highlight w:val="none"/>
        </w:rPr>
      </w:pPr>
      <w:r>
        <w:rPr>
          <w:rFonts w:hint="eastAsia" w:ascii="宋体" w:hAnsi="宋体" w:cs="宋体"/>
          <w:sz w:val="24"/>
          <w:highlight w:val="none"/>
        </w:rPr>
        <w:t>（4）设计人应自备现场办公设施：如办公桌椅、文件柜等；</w:t>
      </w:r>
    </w:p>
    <w:p w14:paraId="35ED8A8C">
      <w:pPr>
        <w:spacing w:line="360" w:lineRule="auto"/>
        <w:ind w:firstLine="480" w:firstLineChars="200"/>
        <w:rPr>
          <w:rFonts w:ascii="宋体" w:hAnsi="宋体" w:cs="宋体"/>
          <w:sz w:val="24"/>
          <w:highlight w:val="none"/>
        </w:rPr>
      </w:pPr>
      <w:r>
        <w:rPr>
          <w:rFonts w:hint="eastAsia" w:ascii="宋体" w:hAnsi="宋体" w:cs="宋体"/>
          <w:sz w:val="24"/>
          <w:highlight w:val="none"/>
        </w:rPr>
        <w:t>（5）设计人应自备安全设施：如安全帽、安全鞋、手电筒等；</w:t>
      </w:r>
    </w:p>
    <w:p w14:paraId="77824E88">
      <w:pPr>
        <w:spacing w:line="360" w:lineRule="auto"/>
        <w:ind w:firstLine="480" w:firstLineChars="200"/>
        <w:rPr>
          <w:rFonts w:ascii="宋体" w:hAnsi="宋体" w:cs="宋体"/>
          <w:sz w:val="24"/>
          <w:highlight w:val="none"/>
        </w:rPr>
      </w:pPr>
      <w:r>
        <w:rPr>
          <w:rFonts w:hint="eastAsia" w:ascii="宋体" w:hAnsi="宋体" w:cs="宋体"/>
          <w:sz w:val="24"/>
          <w:highlight w:val="none"/>
        </w:rPr>
        <w:t>（6）</w:t>
      </w:r>
      <w:bookmarkEnd w:id="180"/>
      <w:bookmarkEnd w:id="181"/>
      <w:bookmarkStart w:id="196" w:name="_Toc61290046"/>
      <w:r>
        <w:rPr>
          <w:rFonts w:hint="eastAsia" w:ascii="宋体" w:hAnsi="宋体" w:cs="宋体"/>
          <w:sz w:val="24"/>
          <w:highlight w:val="none"/>
        </w:rPr>
        <w:t>项目实施期间，有专人提供现场设计服务，技术支持；</w:t>
      </w:r>
    </w:p>
    <w:p w14:paraId="24CF9635">
      <w:pPr>
        <w:spacing w:line="360" w:lineRule="auto"/>
        <w:ind w:firstLine="480" w:firstLineChars="200"/>
        <w:rPr>
          <w:rFonts w:ascii="宋体" w:hAnsi="宋体" w:cs="宋体"/>
          <w:sz w:val="24"/>
          <w:highlight w:val="none"/>
        </w:rPr>
      </w:pPr>
      <w:r>
        <w:rPr>
          <w:rFonts w:hint="eastAsia" w:ascii="宋体" w:hAnsi="宋体" w:cs="宋体"/>
          <w:sz w:val="24"/>
          <w:highlight w:val="none"/>
        </w:rPr>
        <w:t>（7）为此工作的实施而必须的其他内容。</w:t>
      </w:r>
    </w:p>
    <w:bookmarkEnd w:id="196"/>
    <w:p w14:paraId="3D146445">
      <w:pPr>
        <w:spacing w:line="360" w:lineRule="auto"/>
        <w:rPr>
          <w:b/>
          <w:bCs/>
          <w:sz w:val="24"/>
          <w:highlight w:val="none"/>
        </w:rPr>
      </w:pPr>
    </w:p>
    <w:p w14:paraId="6DE97E9F">
      <w:pPr>
        <w:widowControl/>
        <w:jc w:val="left"/>
        <w:rPr>
          <w:rFonts w:ascii="宋体" w:hAnsi="宋体"/>
          <w:b/>
          <w:bCs/>
          <w:kern w:val="44"/>
          <w:sz w:val="36"/>
          <w:szCs w:val="36"/>
          <w:highlight w:val="none"/>
        </w:rPr>
      </w:pPr>
      <w:r>
        <w:rPr>
          <w:rFonts w:ascii="宋体" w:hAnsi="宋体"/>
          <w:sz w:val="36"/>
          <w:szCs w:val="36"/>
          <w:highlight w:val="none"/>
        </w:rPr>
        <w:br w:type="page"/>
      </w:r>
    </w:p>
    <w:p w14:paraId="5820B34C">
      <w:pPr>
        <w:pStyle w:val="8"/>
        <w:spacing w:line="240" w:lineRule="auto"/>
        <w:jc w:val="center"/>
        <w:rPr>
          <w:rFonts w:ascii="宋体" w:hAnsi="宋体"/>
          <w:sz w:val="36"/>
          <w:szCs w:val="36"/>
          <w:highlight w:val="none"/>
        </w:rPr>
      </w:pPr>
      <w:bookmarkStart w:id="197" w:name="_Toc196238529"/>
      <w:r>
        <w:rPr>
          <w:rFonts w:hint="eastAsia" w:ascii="宋体" w:hAnsi="宋体"/>
          <w:sz w:val="36"/>
          <w:szCs w:val="36"/>
          <w:highlight w:val="none"/>
        </w:rPr>
        <w:t>第四章 评审办法</w:t>
      </w:r>
      <w:bookmarkEnd w:id="182"/>
      <w:bookmarkEnd w:id="183"/>
      <w:bookmarkEnd w:id="197"/>
    </w:p>
    <w:p w14:paraId="379BF656">
      <w:pPr>
        <w:widowControl/>
        <w:spacing w:line="360" w:lineRule="auto"/>
        <w:rPr>
          <w:rFonts w:ascii="宋体" w:hAnsi="宋体"/>
          <w:kern w:val="0"/>
          <w:sz w:val="24"/>
          <w:highlight w:val="none"/>
        </w:rPr>
      </w:pPr>
      <w:r>
        <w:rPr>
          <w:rFonts w:hint="eastAsia" w:ascii="宋体" w:hAnsi="宋体"/>
          <w:b/>
          <w:bCs/>
          <w:kern w:val="0"/>
          <w:sz w:val="24"/>
          <w:highlight w:val="none"/>
        </w:rPr>
        <w:t>1. 磋商响应文件的评审、比较和否决</w:t>
      </w:r>
    </w:p>
    <w:p w14:paraId="624F5BD7">
      <w:pPr>
        <w:widowControl/>
        <w:spacing w:line="360" w:lineRule="auto"/>
        <w:ind w:firstLine="480"/>
        <w:rPr>
          <w:rFonts w:ascii="宋体" w:hAnsi="宋体"/>
          <w:kern w:val="0"/>
          <w:sz w:val="24"/>
          <w:highlight w:val="none"/>
        </w:rPr>
      </w:pPr>
      <w:r>
        <w:rPr>
          <w:rFonts w:hint="eastAsia" w:ascii="宋体" w:hAnsi="宋体"/>
          <w:b/>
          <w:bCs/>
          <w:kern w:val="0"/>
          <w:sz w:val="24"/>
          <w:highlight w:val="none"/>
        </w:rPr>
        <w:t xml:space="preserve">1.1 </w:t>
      </w:r>
      <w:r>
        <w:rPr>
          <w:rFonts w:hint="eastAsia" w:ascii="宋体" w:hAnsi="宋体"/>
          <w:kern w:val="0"/>
          <w:sz w:val="24"/>
          <w:highlight w:val="none"/>
        </w:rPr>
        <w:t>磋商小组将按照竞争性磋商文件的规定，仅对在实质上响应竞争性磋商文件要求的磋商响应文件进行评估和比较。</w:t>
      </w:r>
    </w:p>
    <w:p w14:paraId="2C39C267">
      <w:pPr>
        <w:widowControl/>
        <w:spacing w:line="360" w:lineRule="auto"/>
        <w:ind w:firstLine="480"/>
        <w:rPr>
          <w:rFonts w:ascii="宋体" w:hAnsi="宋体"/>
          <w:kern w:val="0"/>
          <w:sz w:val="24"/>
          <w:highlight w:val="none"/>
        </w:rPr>
      </w:pPr>
      <w:r>
        <w:rPr>
          <w:rFonts w:hint="eastAsia" w:ascii="宋体" w:hAnsi="宋体"/>
          <w:b/>
          <w:bCs/>
          <w:kern w:val="0"/>
          <w:sz w:val="24"/>
          <w:highlight w:val="none"/>
        </w:rPr>
        <w:t xml:space="preserve">1.2 </w:t>
      </w:r>
      <w:r>
        <w:rPr>
          <w:rFonts w:hint="eastAsia" w:ascii="宋体" w:hAnsi="宋体"/>
          <w:kern w:val="0"/>
          <w:sz w:val="24"/>
          <w:highlight w:val="none"/>
        </w:rPr>
        <w:t>根据相关法律法规及有关招磋商响应文件规定，结合本项目具体情况，制定本次招标评审办法，并按照“公平、公正、科学、择优”的原则进行评标。采用百分制综合评分法进行评比。</w:t>
      </w:r>
    </w:p>
    <w:p w14:paraId="3269DA4E">
      <w:pPr>
        <w:widowControl/>
        <w:spacing w:line="360" w:lineRule="auto"/>
        <w:ind w:firstLine="480"/>
        <w:rPr>
          <w:rFonts w:ascii="宋体" w:hAnsi="宋体"/>
          <w:kern w:val="0"/>
          <w:sz w:val="24"/>
          <w:highlight w:val="none"/>
        </w:rPr>
      </w:pPr>
      <w:r>
        <w:rPr>
          <w:rFonts w:hint="eastAsia" w:ascii="宋体" w:hAnsi="宋体"/>
          <w:b/>
          <w:bCs/>
          <w:kern w:val="0"/>
          <w:sz w:val="24"/>
          <w:highlight w:val="none"/>
        </w:rPr>
        <w:t xml:space="preserve">1.3 </w:t>
      </w:r>
      <w:r>
        <w:rPr>
          <w:rFonts w:hint="eastAsia" w:ascii="宋体" w:hAnsi="宋体"/>
          <w:kern w:val="0"/>
          <w:sz w:val="24"/>
          <w:highlight w:val="none"/>
        </w:rPr>
        <w:t>在评审过程中，磋商小组可以要求供应商就磋商响应文件中含义不明确的内容进行陈述；</w:t>
      </w:r>
      <w:r>
        <w:rPr>
          <w:rFonts w:hint="eastAsia" w:ascii="宋体" w:hAnsi="宋体"/>
          <w:spacing w:val="-12"/>
          <w:kern w:val="0"/>
          <w:sz w:val="24"/>
          <w:highlight w:val="none"/>
        </w:rPr>
        <w:t>凡遇到</w:t>
      </w:r>
      <w:r>
        <w:rPr>
          <w:rFonts w:hint="eastAsia" w:ascii="宋体" w:hAnsi="宋体"/>
          <w:kern w:val="0"/>
          <w:sz w:val="24"/>
          <w:highlight w:val="none"/>
        </w:rPr>
        <w:t>竞争性磋商</w:t>
      </w:r>
      <w:r>
        <w:rPr>
          <w:rFonts w:hint="eastAsia" w:ascii="宋体" w:hAnsi="宋体"/>
          <w:spacing w:val="-12"/>
          <w:kern w:val="0"/>
          <w:sz w:val="24"/>
          <w:highlight w:val="none"/>
        </w:rPr>
        <w:t>文件中无界定或界定不清、前后不一致使磋商小组成员</w:t>
      </w:r>
      <w:r>
        <w:rPr>
          <w:rFonts w:hint="eastAsia" w:ascii="宋体" w:hAnsi="宋体"/>
          <w:kern w:val="0"/>
          <w:sz w:val="24"/>
          <w:highlight w:val="none"/>
        </w:rPr>
        <w:t>意见</w:t>
      </w:r>
      <w:r>
        <w:rPr>
          <w:rFonts w:hint="eastAsia" w:ascii="宋体" w:hAnsi="宋体"/>
          <w:spacing w:val="-12"/>
          <w:kern w:val="0"/>
          <w:sz w:val="24"/>
          <w:highlight w:val="none"/>
        </w:rPr>
        <w:t>有分歧且又难于协商一致的问题，均由磋商小组予以表决，获半数以上同意的即为通过，未获半数同意的即为否决</w:t>
      </w:r>
      <w:r>
        <w:rPr>
          <w:rFonts w:hint="eastAsia" w:ascii="宋体" w:hAnsi="宋体"/>
          <w:kern w:val="0"/>
          <w:sz w:val="24"/>
          <w:highlight w:val="none"/>
        </w:rPr>
        <w:t>。</w:t>
      </w:r>
    </w:p>
    <w:p w14:paraId="2E23B240">
      <w:pPr>
        <w:widowControl/>
        <w:spacing w:line="360" w:lineRule="auto"/>
        <w:ind w:firstLine="480"/>
        <w:rPr>
          <w:rFonts w:ascii="宋体" w:hAnsi="宋体"/>
          <w:kern w:val="0"/>
          <w:sz w:val="24"/>
          <w:highlight w:val="none"/>
        </w:rPr>
      </w:pPr>
      <w:r>
        <w:rPr>
          <w:rFonts w:hint="eastAsia" w:ascii="宋体" w:hAnsi="宋体"/>
          <w:b/>
          <w:bCs/>
          <w:kern w:val="0"/>
          <w:sz w:val="24"/>
          <w:highlight w:val="none"/>
        </w:rPr>
        <w:t xml:space="preserve">1.4 </w:t>
      </w:r>
      <w:r>
        <w:rPr>
          <w:rFonts w:hint="eastAsia" w:ascii="宋体" w:hAnsi="宋体"/>
          <w:kern w:val="0"/>
          <w:sz w:val="24"/>
          <w:highlight w:val="none"/>
        </w:rPr>
        <w:t>评审时，报价是评标的重要依据，但不是唯一依据，采购人不承诺将合同授予报价最低或最高的供应商。</w:t>
      </w:r>
    </w:p>
    <w:p w14:paraId="027BBCDF">
      <w:pPr>
        <w:widowControl/>
        <w:spacing w:line="360" w:lineRule="auto"/>
        <w:ind w:firstLine="480"/>
        <w:rPr>
          <w:rFonts w:ascii="宋体" w:hAnsi="宋体"/>
          <w:kern w:val="0"/>
          <w:sz w:val="24"/>
          <w:highlight w:val="none"/>
        </w:rPr>
      </w:pPr>
      <w:r>
        <w:rPr>
          <w:rFonts w:hint="eastAsia" w:ascii="宋体" w:hAnsi="宋体"/>
          <w:b/>
          <w:bCs/>
          <w:kern w:val="0"/>
          <w:sz w:val="24"/>
          <w:highlight w:val="none"/>
        </w:rPr>
        <w:t xml:space="preserve">1.5 </w:t>
      </w:r>
      <w:r>
        <w:rPr>
          <w:rFonts w:hint="eastAsia" w:ascii="宋体" w:hAnsi="宋体"/>
          <w:kern w:val="0"/>
          <w:sz w:val="24"/>
          <w:highlight w:val="none"/>
        </w:rPr>
        <w:t>磋商小组依据竞争性磋商文件中规定的评标标准和方法，对磋商响应文件进行评审和比较，向采购人提出书面评标报告，并推荐合格的成交候选人。采购人根据磋商小组提出的书面评标报告和推荐的成交候选人按序确定成交人。</w:t>
      </w:r>
    </w:p>
    <w:p w14:paraId="3FAC198B">
      <w:pPr>
        <w:spacing w:line="360" w:lineRule="auto"/>
        <w:ind w:firstLine="480"/>
        <w:rPr>
          <w:rFonts w:ascii="宋体" w:hAnsi="宋体"/>
          <w:bCs/>
          <w:kern w:val="0"/>
          <w:sz w:val="24"/>
          <w:highlight w:val="none"/>
        </w:rPr>
      </w:pPr>
      <w:r>
        <w:rPr>
          <w:rFonts w:hint="eastAsia" w:ascii="宋体" w:hAnsi="宋体"/>
          <w:b/>
          <w:bCs/>
          <w:kern w:val="0"/>
          <w:sz w:val="24"/>
          <w:highlight w:val="none"/>
        </w:rPr>
        <w:t>1.6</w:t>
      </w:r>
      <w:r>
        <w:rPr>
          <w:rFonts w:hint="eastAsia" w:ascii="宋体" w:hAnsi="宋体"/>
          <w:bCs/>
          <w:kern w:val="0"/>
          <w:sz w:val="24"/>
          <w:highlight w:val="none"/>
        </w:rPr>
        <w:t>在磋商过程中，评审得分相同的，首先以报价最低的磋商响应供应商获得成交供应商推荐资格；若报价相同的，以项目技术服务方案得分最高的磋商响应供应商获得成交供应商推荐资格。</w:t>
      </w:r>
    </w:p>
    <w:p w14:paraId="5D6A3F54">
      <w:pPr>
        <w:widowControl/>
        <w:spacing w:line="360" w:lineRule="auto"/>
        <w:rPr>
          <w:rFonts w:ascii="宋体" w:hAnsi="宋体"/>
          <w:b/>
          <w:bCs/>
          <w:kern w:val="0"/>
          <w:sz w:val="24"/>
          <w:highlight w:val="none"/>
        </w:rPr>
      </w:pPr>
      <w:r>
        <w:rPr>
          <w:rFonts w:hint="eastAsia" w:ascii="宋体" w:hAnsi="宋体"/>
          <w:b/>
          <w:bCs/>
          <w:kern w:val="0"/>
          <w:sz w:val="24"/>
          <w:highlight w:val="none"/>
        </w:rPr>
        <w:t>2. 评审程序</w:t>
      </w:r>
    </w:p>
    <w:p w14:paraId="1D861C97">
      <w:pPr>
        <w:spacing w:line="360" w:lineRule="auto"/>
        <w:ind w:firstLine="480"/>
        <w:rPr>
          <w:rFonts w:ascii="宋体" w:hAnsi="宋体"/>
          <w:kern w:val="0"/>
          <w:sz w:val="24"/>
          <w:highlight w:val="none"/>
        </w:rPr>
      </w:pPr>
      <w:r>
        <w:rPr>
          <w:rFonts w:ascii="宋体" w:hAnsi="宋体"/>
          <w:kern w:val="0"/>
          <w:sz w:val="24"/>
          <w:highlight w:val="none"/>
        </w:rPr>
        <w:t xml:space="preserve">2.1 </w:t>
      </w:r>
      <w:r>
        <w:rPr>
          <w:rFonts w:hint="eastAsia" w:ascii="宋体" w:hAnsi="宋体"/>
          <w:kern w:val="0"/>
          <w:sz w:val="24"/>
          <w:highlight w:val="none"/>
        </w:rPr>
        <w:t>资格审查</w:t>
      </w:r>
    </w:p>
    <w:p w14:paraId="0D2E2388">
      <w:pPr>
        <w:spacing w:line="360" w:lineRule="auto"/>
        <w:ind w:firstLine="480"/>
        <w:rPr>
          <w:rFonts w:ascii="宋体" w:hAnsi="宋体"/>
          <w:kern w:val="0"/>
          <w:sz w:val="24"/>
          <w:highlight w:val="none"/>
        </w:rPr>
      </w:pPr>
      <w:r>
        <w:rPr>
          <w:rFonts w:hint="eastAsia" w:ascii="宋体" w:hAnsi="宋体"/>
          <w:kern w:val="0"/>
          <w:sz w:val="24"/>
          <w:highlight w:val="none"/>
        </w:rPr>
        <w:t>磋商小组按照竞争性磋商文件第二章磋商供应商须知前附表第2.0项的要求对磋商供应商的资格要求相关证件材料进行审查，有一项不符合的，视为未通过资格审查，按无效标处理，符合的进入下一磋商程序。</w:t>
      </w:r>
    </w:p>
    <w:p w14:paraId="2BAED96E">
      <w:pPr>
        <w:spacing w:line="360" w:lineRule="auto"/>
        <w:ind w:firstLine="480"/>
        <w:rPr>
          <w:rFonts w:ascii="宋体" w:hAnsi="宋体"/>
          <w:kern w:val="0"/>
          <w:sz w:val="24"/>
          <w:highlight w:val="none"/>
        </w:rPr>
      </w:pPr>
      <w:r>
        <w:rPr>
          <w:rFonts w:ascii="宋体" w:hAnsi="宋体"/>
          <w:kern w:val="0"/>
          <w:sz w:val="24"/>
          <w:highlight w:val="none"/>
        </w:rPr>
        <w:t>2.2</w:t>
      </w:r>
      <w:r>
        <w:rPr>
          <w:rFonts w:hint="eastAsia" w:ascii="宋体" w:hAnsi="宋体"/>
          <w:kern w:val="0"/>
          <w:sz w:val="24"/>
          <w:highlight w:val="none"/>
        </w:rPr>
        <w:t>符合性审查</w:t>
      </w:r>
    </w:p>
    <w:p w14:paraId="09BA0008">
      <w:pPr>
        <w:tabs>
          <w:tab w:val="left" w:pos="900"/>
        </w:tabs>
        <w:spacing w:line="360" w:lineRule="auto"/>
        <w:ind w:left="-1359" w:leftChars="-647" w:firstLine="1920" w:firstLineChars="800"/>
        <w:rPr>
          <w:rFonts w:ascii="宋体" w:hAnsi="宋体"/>
          <w:kern w:val="0"/>
          <w:sz w:val="24"/>
          <w:highlight w:val="none"/>
        </w:rPr>
      </w:pPr>
      <w:r>
        <w:rPr>
          <w:rFonts w:hint="eastAsia" w:ascii="宋体" w:hAnsi="宋体"/>
          <w:kern w:val="0"/>
          <w:sz w:val="24"/>
          <w:highlight w:val="none"/>
        </w:rPr>
        <w:t>磋商文件不能满足下列情形之一的，由磋商小组初审后按无效标处理：</w:t>
      </w:r>
    </w:p>
    <w:p w14:paraId="0A47626C">
      <w:pPr>
        <w:autoSpaceDE w:val="0"/>
        <w:autoSpaceDN w:val="0"/>
        <w:adjustRightInd w:val="0"/>
        <w:spacing w:line="360" w:lineRule="auto"/>
        <w:ind w:firstLine="480"/>
        <w:rPr>
          <w:rFonts w:ascii="宋体" w:hAnsi="宋体"/>
          <w:kern w:val="0"/>
          <w:sz w:val="24"/>
          <w:highlight w:val="none"/>
        </w:rPr>
      </w:pPr>
      <w:r>
        <w:rPr>
          <w:rFonts w:hint="eastAsia" w:ascii="宋体" w:hAnsi="宋体"/>
          <w:kern w:val="0"/>
          <w:sz w:val="24"/>
          <w:highlight w:val="none"/>
        </w:rPr>
        <w:t xml:space="preserve">（1）未按照竞争性磋商文件的规定提交磋商报价承诺函的； </w:t>
      </w:r>
    </w:p>
    <w:p w14:paraId="4FE7D75A">
      <w:pPr>
        <w:autoSpaceDE w:val="0"/>
        <w:autoSpaceDN w:val="0"/>
        <w:adjustRightInd w:val="0"/>
        <w:spacing w:line="360" w:lineRule="auto"/>
        <w:ind w:firstLine="480"/>
        <w:rPr>
          <w:rFonts w:ascii="宋体" w:hAnsi="宋体"/>
          <w:kern w:val="0"/>
          <w:sz w:val="24"/>
          <w:highlight w:val="none"/>
        </w:rPr>
      </w:pPr>
      <w:r>
        <w:rPr>
          <w:rFonts w:hint="eastAsia" w:ascii="宋体" w:hAnsi="宋体"/>
          <w:kern w:val="0"/>
          <w:sz w:val="24"/>
          <w:highlight w:val="none"/>
        </w:rPr>
        <w:t xml:space="preserve">（2）磋商文件未按竞争性磋商文件要求签署、盖章的； </w:t>
      </w:r>
    </w:p>
    <w:p w14:paraId="0ABFED26">
      <w:pPr>
        <w:autoSpaceDE w:val="0"/>
        <w:autoSpaceDN w:val="0"/>
        <w:adjustRightInd w:val="0"/>
        <w:spacing w:line="360" w:lineRule="auto"/>
        <w:ind w:firstLine="480"/>
        <w:rPr>
          <w:rFonts w:ascii="宋体" w:hAnsi="宋体"/>
          <w:kern w:val="0"/>
          <w:sz w:val="24"/>
          <w:highlight w:val="none"/>
        </w:rPr>
      </w:pPr>
      <w:r>
        <w:rPr>
          <w:rFonts w:hint="eastAsia" w:ascii="宋体" w:hAnsi="宋体"/>
          <w:kern w:val="0"/>
          <w:sz w:val="24"/>
          <w:highlight w:val="none"/>
        </w:rPr>
        <w:t>（3）采购范围、质量、</w:t>
      </w:r>
      <w:r>
        <w:rPr>
          <w:rFonts w:hint="eastAsia" w:ascii="宋体" w:hAnsi="宋体"/>
          <w:sz w:val="24"/>
          <w:highlight w:val="none"/>
        </w:rPr>
        <w:t>服务期限</w:t>
      </w:r>
      <w:r>
        <w:rPr>
          <w:rFonts w:hint="eastAsia" w:ascii="宋体" w:hAnsi="宋体"/>
          <w:kern w:val="0"/>
          <w:sz w:val="24"/>
          <w:highlight w:val="none"/>
        </w:rPr>
        <w:t>等不符合采购要求的；</w:t>
      </w:r>
    </w:p>
    <w:p w14:paraId="29286C0B">
      <w:pPr>
        <w:autoSpaceDE w:val="0"/>
        <w:autoSpaceDN w:val="0"/>
        <w:adjustRightInd w:val="0"/>
        <w:spacing w:line="360" w:lineRule="auto"/>
        <w:ind w:firstLine="480"/>
        <w:rPr>
          <w:rFonts w:ascii="宋体" w:hAnsi="宋体"/>
          <w:kern w:val="0"/>
          <w:sz w:val="24"/>
          <w:highlight w:val="none"/>
        </w:rPr>
      </w:pPr>
      <w:r>
        <w:rPr>
          <w:rFonts w:hint="eastAsia" w:ascii="宋体" w:hAnsi="宋体"/>
          <w:kern w:val="0"/>
          <w:sz w:val="24"/>
          <w:highlight w:val="none"/>
        </w:rPr>
        <w:t>（4）报价超过竞争性磋商文件中规定的最高限价的。</w:t>
      </w:r>
    </w:p>
    <w:p w14:paraId="068A2E27">
      <w:pPr>
        <w:autoSpaceDE w:val="0"/>
        <w:autoSpaceDN w:val="0"/>
        <w:adjustRightInd w:val="0"/>
        <w:spacing w:line="360" w:lineRule="auto"/>
        <w:ind w:firstLine="480"/>
        <w:rPr>
          <w:rFonts w:ascii="宋体" w:hAnsi="宋体"/>
          <w:kern w:val="0"/>
          <w:sz w:val="24"/>
          <w:highlight w:val="none"/>
        </w:rPr>
      </w:pPr>
      <w:r>
        <w:rPr>
          <w:rFonts w:hint="eastAsia" w:ascii="宋体" w:hAnsi="宋体"/>
          <w:kern w:val="0"/>
          <w:sz w:val="24"/>
          <w:highlight w:val="none"/>
        </w:rPr>
        <w:t>2.3 根据磋商响应文件签到表的逆顺序，磋商小组所有成员集中与通过初步评审的供应商分别逐一进行磋商，磋商双方可以就磋商项目所涉技术服务方案、服务承诺等进行磋商，但磋商的任何一方不得透露与磋商有关的其他供应商的技术资料、价格和其他信息。磋商结束后要求所有参加磋商的磋商供应商在规定时间内进行最后报价，最后报价不得高于首次报价。</w:t>
      </w:r>
    </w:p>
    <w:p w14:paraId="52C797DC">
      <w:pPr>
        <w:widowControl/>
        <w:spacing w:line="360" w:lineRule="auto"/>
        <w:rPr>
          <w:rFonts w:ascii="宋体" w:hAnsi="宋体"/>
          <w:b/>
          <w:bCs/>
          <w:kern w:val="0"/>
          <w:sz w:val="24"/>
          <w:highlight w:val="none"/>
        </w:rPr>
      </w:pPr>
      <w:r>
        <w:rPr>
          <w:rFonts w:ascii="宋体" w:hAnsi="宋体"/>
          <w:b/>
          <w:bCs/>
          <w:kern w:val="0"/>
          <w:sz w:val="24"/>
          <w:highlight w:val="none"/>
        </w:rPr>
        <w:t>3.</w:t>
      </w:r>
      <w:r>
        <w:rPr>
          <w:rFonts w:hint="eastAsia" w:ascii="宋体" w:hAnsi="宋体"/>
          <w:b/>
          <w:bCs/>
          <w:kern w:val="0"/>
          <w:sz w:val="24"/>
          <w:highlight w:val="none"/>
        </w:rPr>
        <w:t>磋商具体方法和标准</w:t>
      </w:r>
    </w:p>
    <w:p w14:paraId="6B16A6B4">
      <w:pPr>
        <w:spacing w:line="360" w:lineRule="auto"/>
        <w:ind w:firstLine="360" w:firstLineChars="150"/>
        <w:rPr>
          <w:rFonts w:ascii="宋体" w:hAnsi="宋体"/>
          <w:kern w:val="0"/>
          <w:sz w:val="24"/>
          <w:highlight w:val="none"/>
        </w:rPr>
      </w:pPr>
      <w:r>
        <w:rPr>
          <w:rFonts w:hint="eastAsia" w:ascii="宋体" w:hAnsi="宋体"/>
          <w:kern w:val="0"/>
          <w:sz w:val="24"/>
          <w:highlight w:val="none"/>
        </w:rPr>
        <w:t>3.1磋商小组根据磋商原则和办法对所有磋商文件进行集中审核，分别评价。</w:t>
      </w:r>
    </w:p>
    <w:p w14:paraId="2CD10EE8">
      <w:pPr>
        <w:widowControl/>
        <w:spacing w:line="360" w:lineRule="auto"/>
        <w:ind w:firstLine="360" w:firstLineChars="150"/>
        <w:jc w:val="left"/>
        <w:rPr>
          <w:rFonts w:ascii="宋体"/>
          <w:kern w:val="0"/>
          <w:sz w:val="24"/>
          <w:highlight w:val="none"/>
        </w:rPr>
      </w:pPr>
      <w:r>
        <w:rPr>
          <w:rFonts w:hint="eastAsia" w:ascii="宋体"/>
          <w:kern w:val="0"/>
          <w:sz w:val="24"/>
          <w:highlight w:val="none"/>
        </w:rPr>
        <w:t>具体为：</w:t>
      </w:r>
    </w:p>
    <w:tbl>
      <w:tblPr>
        <w:tblStyle w:val="15"/>
        <w:tblW w:w="9077"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1762"/>
        <w:gridCol w:w="6239"/>
      </w:tblGrid>
      <w:tr w14:paraId="1DFD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076" w:type="dxa"/>
            <w:vAlign w:val="center"/>
          </w:tcPr>
          <w:p w14:paraId="0F6282F7">
            <w:pPr>
              <w:spacing w:line="520" w:lineRule="exact"/>
              <w:outlineLvl w:val="0"/>
              <w:rPr>
                <w:rFonts w:hint="default" w:ascii="宋体" w:hAnsi="宋体" w:eastAsiaTheme="minorEastAsia"/>
                <w:b/>
                <w:spacing w:val="1"/>
                <w:kern w:val="0"/>
                <w:sz w:val="24"/>
                <w:highlight w:val="none"/>
                <w:lang w:val="en-US" w:eastAsia="zh-CN"/>
              </w:rPr>
            </w:pPr>
            <w:r>
              <w:rPr>
                <w:rFonts w:hint="eastAsia" w:ascii="宋体" w:hAnsi="宋体" w:cs="宋体"/>
                <w:sz w:val="24"/>
                <w:highlight w:val="none"/>
                <w:lang w:val="en-US" w:eastAsia="zh-CN" w:bidi="ar"/>
              </w:rPr>
              <w:t>初步评审</w:t>
            </w:r>
          </w:p>
        </w:tc>
        <w:tc>
          <w:tcPr>
            <w:tcW w:w="1762" w:type="dxa"/>
            <w:vAlign w:val="center"/>
          </w:tcPr>
          <w:p w14:paraId="0FBBB70D">
            <w:pPr>
              <w:spacing w:line="520" w:lineRule="exact"/>
              <w:ind w:firstLine="420" w:firstLineChars="175"/>
              <w:outlineLvl w:val="0"/>
              <w:rPr>
                <w:rFonts w:ascii="宋体" w:hAnsi="宋体"/>
                <w:b/>
                <w:spacing w:val="1"/>
                <w:kern w:val="0"/>
                <w:sz w:val="24"/>
                <w:highlight w:val="none"/>
              </w:rPr>
            </w:pPr>
            <w:r>
              <w:rPr>
                <w:rFonts w:hint="eastAsia" w:ascii="宋体" w:hAnsi="宋体" w:cs="宋体"/>
                <w:sz w:val="24"/>
                <w:highlight w:val="none"/>
                <w:lang w:bidi="ar"/>
              </w:rPr>
              <w:t>评审因素</w:t>
            </w:r>
          </w:p>
        </w:tc>
        <w:tc>
          <w:tcPr>
            <w:tcW w:w="6239" w:type="dxa"/>
            <w:vAlign w:val="center"/>
          </w:tcPr>
          <w:p w14:paraId="52FA16D4">
            <w:pPr>
              <w:spacing w:line="520" w:lineRule="exact"/>
              <w:ind w:firstLine="420" w:firstLineChars="175"/>
              <w:jc w:val="center"/>
              <w:outlineLvl w:val="0"/>
              <w:rPr>
                <w:rFonts w:ascii="宋体" w:hAnsi="宋体"/>
                <w:b/>
                <w:spacing w:val="1"/>
                <w:kern w:val="0"/>
                <w:sz w:val="24"/>
                <w:highlight w:val="none"/>
              </w:rPr>
            </w:pPr>
            <w:r>
              <w:rPr>
                <w:rFonts w:hint="eastAsia" w:ascii="宋体" w:hAnsi="宋体" w:cs="宋体"/>
                <w:sz w:val="24"/>
                <w:highlight w:val="none"/>
                <w:lang w:bidi="ar"/>
              </w:rPr>
              <w:t>评审标准</w:t>
            </w:r>
          </w:p>
        </w:tc>
      </w:tr>
      <w:tr w14:paraId="3658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076" w:type="dxa"/>
            <w:vMerge w:val="restart"/>
            <w:vAlign w:val="center"/>
          </w:tcPr>
          <w:p w14:paraId="2DA2DB40">
            <w:pPr>
              <w:spacing w:line="520" w:lineRule="exact"/>
              <w:jc w:val="center"/>
              <w:outlineLvl w:val="0"/>
              <w:rPr>
                <w:rFonts w:hint="eastAsia" w:ascii="宋体" w:hAnsi="宋体" w:cs="宋体"/>
                <w:sz w:val="24"/>
                <w:highlight w:val="none"/>
              </w:rPr>
            </w:pPr>
            <w:r>
              <w:rPr>
                <w:rFonts w:hint="eastAsia" w:ascii="宋体" w:hAnsi="宋体" w:cs="宋体"/>
                <w:sz w:val="24"/>
                <w:highlight w:val="none"/>
                <w:lang w:bidi="ar"/>
              </w:rPr>
              <w:t>形式</w:t>
            </w:r>
          </w:p>
          <w:p w14:paraId="41561918">
            <w:pPr>
              <w:spacing w:line="520" w:lineRule="exact"/>
              <w:jc w:val="center"/>
              <w:outlineLvl w:val="0"/>
              <w:rPr>
                <w:rFonts w:hint="eastAsia" w:ascii="宋体" w:hAnsi="宋体" w:cs="宋体"/>
                <w:sz w:val="24"/>
                <w:highlight w:val="none"/>
              </w:rPr>
            </w:pPr>
            <w:r>
              <w:rPr>
                <w:rFonts w:hint="eastAsia" w:ascii="宋体" w:hAnsi="宋体" w:cs="宋体"/>
                <w:sz w:val="24"/>
                <w:highlight w:val="none"/>
                <w:lang w:bidi="ar"/>
              </w:rPr>
              <w:t>评审</w:t>
            </w:r>
          </w:p>
          <w:p w14:paraId="29C762A0">
            <w:pPr>
              <w:spacing w:line="520" w:lineRule="exact"/>
              <w:jc w:val="center"/>
              <w:outlineLvl w:val="0"/>
              <w:rPr>
                <w:highlight w:val="none"/>
              </w:rPr>
            </w:pPr>
            <w:r>
              <w:rPr>
                <w:rFonts w:hint="eastAsia" w:ascii="宋体" w:hAnsi="宋体" w:cs="宋体"/>
                <w:sz w:val="24"/>
                <w:highlight w:val="none"/>
                <w:lang w:bidi="ar"/>
              </w:rPr>
              <w:t>标准</w:t>
            </w:r>
          </w:p>
        </w:tc>
        <w:tc>
          <w:tcPr>
            <w:tcW w:w="1762" w:type="dxa"/>
            <w:vAlign w:val="center"/>
          </w:tcPr>
          <w:p w14:paraId="37795A6C">
            <w:pPr>
              <w:spacing w:line="520" w:lineRule="exact"/>
              <w:outlineLvl w:val="0"/>
              <w:rPr>
                <w:rFonts w:hAnsi="宋体"/>
                <w:color w:val="auto"/>
                <w:highlight w:val="none"/>
              </w:rPr>
            </w:pPr>
            <w:r>
              <w:rPr>
                <w:rFonts w:hint="eastAsia" w:ascii="宋体" w:hAnsi="宋体" w:cs="宋体"/>
                <w:sz w:val="24"/>
                <w:highlight w:val="none"/>
                <w:lang w:bidi="ar"/>
              </w:rPr>
              <w:t>投标人名称</w:t>
            </w:r>
          </w:p>
        </w:tc>
        <w:tc>
          <w:tcPr>
            <w:tcW w:w="6239" w:type="dxa"/>
            <w:vAlign w:val="center"/>
          </w:tcPr>
          <w:p w14:paraId="20B3176E">
            <w:pPr>
              <w:spacing w:line="520" w:lineRule="exact"/>
              <w:outlineLvl w:val="0"/>
              <w:rPr>
                <w:rFonts w:hAnsi="宋体"/>
                <w:color w:val="auto"/>
                <w:highlight w:val="none"/>
              </w:rPr>
            </w:pPr>
            <w:r>
              <w:rPr>
                <w:rFonts w:hint="eastAsia" w:ascii="宋体" w:hAnsi="宋体" w:cs="宋体"/>
                <w:sz w:val="24"/>
                <w:highlight w:val="none"/>
                <w:lang w:bidi="ar"/>
              </w:rPr>
              <w:t>与营业执照、资质证书一致</w:t>
            </w:r>
          </w:p>
        </w:tc>
      </w:tr>
      <w:tr w14:paraId="587E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076" w:type="dxa"/>
            <w:vMerge w:val="continue"/>
            <w:vAlign w:val="center"/>
          </w:tcPr>
          <w:p w14:paraId="6A3A0966">
            <w:pPr>
              <w:rPr>
                <w:highlight w:val="none"/>
              </w:rPr>
            </w:pPr>
          </w:p>
        </w:tc>
        <w:tc>
          <w:tcPr>
            <w:tcW w:w="1762" w:type="dxa"/>
            <w:vAlign w:val="center"/>
          </w:tcPr>
          <w:p w14:paraId="1AB8E95D">
            <w:pPr>
              <w:spacing w:line="520" w:lineRule="exact"/>
              <w:outlineLvl w:val="0"/>
              <w:rPr>
                <w:rFonts w:hAnsi="宋体"/>
                <w:color w:val="auto"/>
                <w:highlight w:val="none"/>
              </w:rPr>
            </w:pPr>
            <w:r>
              <w:rPr>
                <w:rFonts w:hint="eastAsia" w:ascii="宋体" w:hAnsi="宋体" w:cs="宋体"/>
                <w:sz w:val="24"/>
                <w:highlight w:val="none"/>
                <w:lang w:bidi="ar"/>
              </w:rPr>
              <w:t>投标函签字盖章</w:t>
            </w:r>
          </w:p>
        </w:tc>
        <w:tc>
          <w:tcPr>
            <w:tcW w:w="6239" w:type="dxa"/>
            <w:vAlign w:val="center"/>
          </w:tcPr>
          <w:p w14:paraId="45E9958E">
            <w:pPr>
              <w:spacing w:line="520" w:lineRule="exact"/>
              <w:outlineLvl w:val="0"/>
              <w:rPr>
                <w:rFonts w:hAnsi="宋体"/>
                <w:color w:val="auto"/>
                <w:highlight w:val="none"/>
              </w:rPr>
            </w:pPr>
            <w:r>
              <w:rPr>
                <w:rFonts w:hint="eastAsia" w:ascii="宋体" w:hAnsi="宋体" w:cs="宋体"/>
                <w:sz w:val="24"/>
                <w:highlight w:val="none"/>
                <w:lang w:bidi="ar"/>
              </w:rPr>
              <w:t>法定代表人电子签章并加盖单位公章</w:t>
            </w:r>
          </w:p>
        </w:tc>
      </w:tr>
      <w:tr w14:paraId="5C93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076" w:type="dxa"/>
            <w:vMerge w:val="continue"/>
            <w:vAlign w:val="center"/>
          </w:tcPr>
          <w:p w14:paraId="10F55312">
            <w:pPr>
              <w:rPr>
                <w:highlight w:val="none"/>
              </w:rPr>
            </w:pPr>
          </w:p>
        </w:tc>
        <w:tc>
          <w:tcPr>
            <w:tcW w:w="1762" w:type="dxa"/>
            <w:vAlign w:val="center"/>
          </w:tcPr>
          <w:p w14:paraId="7C85C581">
            <w:pPr>
              <w:spacing w:line="520" w:lineRule="exact"/>
              <w:outlineLvl w:val="0"/>
              <w:rPr>
                <w:rFonts w:ascii="宋体" w:hAnsi="宋体"/>
                <w:sz w:val="24"/>
                <w:highlight w:val="none"/>
              </w:rPr>
            </w:pPr>
            <w:r>
              <w:rPr>
                <w:rFonts w:hint="eastAsia" w:ascii="宋体" w:hAnsi="宋体" w:cs="宋体"/>
                <w:sz w:val="24"/>
                <w:highlight w:val="none"/>
                <w:lang w:bidi="ar"/>
              </w:rPr>
              <w:t>报价唯一</w:t>
            </w:r>
          </w:p>
        </w:tc>
        <w:tc>
          <w:tcPr>
            <w:tcW w:w="6239" w:type="dxa"/>
            <w:vAlign w:val="center"/>
          </w:tcPr>
          <w:p w14:paraId="3FE822C2">
            <w:pPr>
              <w:spacing w:line="520" w:lineRule="exact"/>
              <w:outlineLvl w:val="0"/>
              <w:rPr>
                <w:rFonts w:ascii="宋体" w:hAnsi="宋体"/>
                <w:sz w:val="24"/>
                <w:highlight w:val="none"/>
              </w:rPr>
            </w:pPr>
            <w:r>
              <w:rPr>
                <w:rFonts w:hint="eastAsia" w:ascii="宋体" w:hAnsi="宋体" w:cs="宋体"/>
                <w:sz w:val="24"/>
                <w:highlight w:val="none"/>
                <w:lang w:bidi="ar"/>
              </w:rPr>
              <w:t>只能有一个有效报价</w:t>
            </w:r>
          </w:p>
        </w:tc>
      </w:tr>
      <w:tr w14:paraId="61470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076" w:type="dxa"/>
            <w:vMerge w:val="restart"/>
            <w:vAlign w:val="center"/>
          </w:tcPr>
          <w:p w14:paraId="2774384B">
            <w:pPr>
              <w:spacing w:line="520" w:lineRule="exact"/>
              <w:jc w:val="center"/>
              <w:outlineLvl w:val="0"/>
              <w:rPr>
                <w:rFonts w:hint="eastAsia" w:ascii="宋体" w:hAnsi="宋体" w:cs="宋体"/>
                <w:sz w:val="24"/>
                <w:highlight w:val="none"/>
              </w:rPr>
            </w:pPr>
            <w:r>
              <w:rPr>
                <w:rFonts w:hint="eastAsia" w:ascii="宋体" w:hAnsi="宋体" w:cs="宋体"/>
                <w:sz w:val="24"/>
                <w:highlight w:val="none"/>
                <w:lang w:bidi="ar"/>
              </w:rPr>
              <w:t>资格</w:t>
            </w:r>
          </w:p>
          <w:p w14:paraId="3EA0F1E5">
            <w:pPr>
              <w:spacing w:line="520" w:lineRule="exact"/>
              <w:jc w:val="center"/>
              <w:outlineLvl w:val="0"/>
              <w:rPr>
                <w:rFonts w:hint="eastAsia" w:ascii="宋体" w:hAnsi="宋体" w:cs="宋体"/>
                <w:sz w:val="24"/>
                <w:highlight w:val="none"/>
              </w:rPr>
            </w:pPr>
            <w:r>
              <w:rPr>
                <w:rFonts w:hint="eastAsia" w:ascii="宋体" w:hAnsi="宋体" w:cs="宋体"/>
                <w:sz w:val="24"/>
                <w:highlight w:val="none"/>
                <w:lang w:bidi="ar"/>
              </w:rPr>
              <w:t>评审</w:t>
            </w:r>
          </w:p>
          <w:p w14:paraId="29FC5E70">
            <w:pPr>
              <w:jc w:val="center"/>
              <w:rPr>
                <w:highlight w:val="none"/>
              </w:rPr>
            </w:pPr>
            <w:r>
              <w:rPr>
                <w:rFonts w:hint="eastAsia" w:ascii="宋体" w:hAnsi="宋体" w:cs="宋体"/>
                <w:sz w:val="24"/>
                <w:highlight w:val="none"/>
                <w:lang w:bidi="ar"/>
              </w:rPr>
              <w:t>标准</w:t>
            </w:r>
          </w:p>
        </w:tc>
        <w:tc>
          <w:tcPr>
            <w:tcW w:w="1762" w:type="dxa"/>
            <w:vAlign w:val="center"/>
          </w:tcPr>
          <w:p w14:paraId="6919FE95">
            <w:pPr>
              <w:spacing w:line="520" w:lineRule="exact"/>
              <w:outlineLvl w:val="0"/>
              <w:rPr>
                <w:rFonts w:ascii="宋体" w:hAnsi="宋体" w:cs="宋体"/>
                <w:snapToGrid w:val="0"/>
                <w:sz w:val="24"/>
                <w:highlight w:val="none"/>
              </w:rPr>
            </w:pPr>
            <w:r>
              <w:rPr>
                <w:rFonts w:hint="eastAsia" w:ascii="宋体" w:hAnsi="宋体" w:cs="宋体"/>
                <w:sz w:val="24"/>
                <w:highlight w:val="none"/>
                <w:lang w:bidi="ar"/>
              </w:rPr>
              <w:t xml:space="preserve">营业执照 </w:t>
            </w:r>
          </w:p>
        </w:tc>
        <w:tc>
          <w:tcPr>
            <w:tcW w:w="6239" w:type="dxa"/>
            <w:vAlign w:val="center"/>
          </w:tcPr>
          <w:p w14:paraId="428E61C7">
            <w:pPr>
              <w:spacing w:line="520" w:lineRule="exact"/>
              <w:outlineLvl w:val="0"/>
              <w:rPr>
                <w:highlight w:val="none"/>
              </w:rPr>
            </w:pPr>
            <w:r>
              <w:rPr>
                <w:rFonts w:hint="eastAsia" w:ascii="宋体" w:hAnsi="宋体" w:cs="Arial"/>
                <w:kern w:val="0"/>
                <w:sz w:val="24"/>
                <w:szCs w:val="22"/>
                <w:highlight w:val="none"/>
              </w:rPr>
              <w:t>投标人需具有独立法人资格，具有有效的营业执照</w:t>
            </w:r>
            <w:r>
              <w:rPr>
                <w:rFonts w:hint="eastAsia" w:ascii="宋体" w:hAnsi="宋体" w:cs="宋体"/>
                <w:sz w:val="24"/>
                <w:highlight w:val="none"/>
                <w:lang w:bidi="ar"/>
              </w:rPr>
              <w:t>；</w:t>
            </w:r>
          </w:p>
        </w:tc>
      </w:tr>
      <w:tr w14:paraId="5C45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076" w:type="dxa"/>
            <w:vMerge w:val="continue"/>
            <w:vAlign w:val="center"/>
          </w:tcPr>
          <w:p w14:paraId="79BA345B">
            <w:pPr>
              <w:rPr>
                <w:highlight w:val="none"/>
              </w:rPr>
            </w:pPr>
          </w:p>
        </w:tc>
        <w:tc>
          <w:tcPr>
            <w:tcW w:w="1762" w:type="dxa"/>
            <w:vAlign w:val="center"/>
          </w:tcPr>
          <w:p w14:paraId="2C8730B6">
            <w:pPr>
              <w:spacing w:line="520" w:lineRule="exact"/>
              <w:outlineLvl w:val="0"/>
              <w:rPr>
                <w:rFonts w:ascii="宋体" w:hAnsi="宋体"/>
                <w:sz w:val="24"/>
                <w:highlight w:val="none"/>
              </w:rPr>
            </w:pPr>
            <w:r>
              <w:rPr>
                <w:rFonts w:hint="eastAsia" w:ascii="宋体" w:hAnsi="宋体" w:cs="宋体"/>
                <w:sz w:val="24"/>
                <w:highlight w:val="none"/>
                <w:lang w:bidi="ar"/>
              </w:rPr>
              <w:t>资质等级</w:t>
            </w:r>
          </w:p>
        </w:tc>
        <w:tc>
          <w:tcPr>
            <w:tcW w:w="6239" w:type="dxa"/>
            <w:vAlign w:val="center"/>
          </w:tcPr>
          <w:p w14:paraId="4BBE8C68">
            <w:pPr>
              <w:spacing w:line="460" w:lineRule="exact"/>
              <w:rPr>
                <w:rFonts w:ascii="宋体" w:hAnsi="宋体"/>
                <w:sz w:val="24"/>
                <w:highlight w:val="none"/>
              </w:rPr>
            </w:pPr>
            <w:r>
              <w:rPr>
                <w:rFonts w:hint="eastAsia" w:ascii="宋体" w:hAnsi="宋体" w:eastAsia="宋体" w:cs="Arial"/>
                <w:kern w:val="0"/>
                <w:sz w:val="24"/>
                <w:szCs w:val="22"/>
                <w:highlight w:val="none"/>
                <w:lang w:val="en-US" w:eastAsia="zh-CN"/>
              </w:rPr>
              <w:t>投标人须同时具备工程设计和工程勘察（测绘）资质。工程设计资质要求：水利行业丙级或农林行业（农业综合开发生态工程）专业乙级及以上资质；工程勘察（测绘）资质要求：工程勘察（工程测量）专业乙级或测绘乙级及以上资质</w:t>
            </w:r>
            <w:r>
              <w:rPr>
                <w:rFonts w:hint="eastAsia" w:ascii="宋体" w:hAnsi="宋体" w:cs="Arial"/>
                <w:kern w:val="0"/>
                <w:sz w:val="24"/>
                <w:szCs w:val="22"/>
                <w:highlight w:val="none"/>
              </w:rPr>
              <w:t>；</w:t>
            </w:r>
          </w:p>
        </w:tc>
      </w:tr>
      <w:tr w14:paraId="57CA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076" w:type="dxa"/>
            <w:vMerge w:val="continue"/>
            <w:vAlign w:val="center"/>
          </w:tcPr>
          <w:p w14:paraId="414B1763">
            <w:pPr>
              <w:rPr>
                <w:highlight w:val="none"/>
              </w:rPr>
            </w:pPr>
          </w:p>
        </w:tc>
        <w:tc>
          <w:tcPr>
            <w:tcW w:w="1762" w:type="dxa"/>
            <w:vAlign w:val="center"/>
          </w:tcPr>
          <w:p w14:paraId="24498FC6">
            <w:pPr>
              <w:spacing w:line="520" w:lineRule="exact"/>
              <w:outlineLvl w:val="0"/>
              <w:rPr>
                <w:rFonts w:ascii="宋体" w:hAnsi="宋体"/>
                <w:sz w:val="24"/>
                <w:highlight w:val="none"/>
              </w:rPr>
            </w:pPr>
            <w:r>
              <w:rPr>
                <w:rFonts w:hint="eastAsia" w:ascii="宋体" w:hAnsi="宋体" w:cs="宋体"/>
                <w:sz w:val="24"/>
                <w:highlight w:val="none"/>
                <w:lang w:bidi="ar"/>
              </w:rPr>
              <w:t>项目负责人</w:t>
            </w:r>
          </w:p>
        </w:tc>
        <w:tc>
          <w:tcPr>
            <w:tcW w:w="6239" w:type="dxa"/>
            <w:vAlign w:val="center"/>
          </w:tcPr>
          <w:p w14:paraId="5B6001B0">
            <w:pPr>
              <w:spacing w:line="460" w:lineRule="exact"/>
              <w:rPr>
                <w:rFonts w:ascii="宋体" w:hAnsi="宋体"/>
                <w:sz w:val="24"/>
                <w:highlight w:val="none"/>
              </w:rPr>
            </w:pPr>
            <w:r>
              <w:rPr>
                <w:rFonts w:hint="eastAsia" w:ascii="宋体" w:hAnsi="宋体" w:eastAsia="宋体" w:cs="Arial"/>
                <w:kern w:val="0"/>
                <w:sz w:val="24"/>
                <w:szCs w:val="22"/>
                <w:highlight w:val="none"/>
                <w:lang w:val="en-US" w:eastAsia="zh-CN"/>
              </w:rPr>
              <w:t>拟派项目负责人须具有相关专业高级职称，须为本单位正式员工，需提供有效的劳动合同及社保缴纳证明材料</w:t>
            </w:r>
            <w:r>
              <w:rPr>
                <w:rFonts w:hint="eastAsia" w:ascii="宋体" w:hAnsi="宋体" w:cs="Arial"/>
                <w:kern w:val="0"/>
                <w:sz w:val="24"/>
                <w:szCs w:val="22"/>
                <w:highlight w:val="none"/>
              </w:rPr>
              <w:t>；</w:t>
            </w:r>
          </w:p>
        </w:tc>
      </w:tr>
      <w:tr w14:paraId="482FF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076" w:type="dxa"/>
            <w:vMerge w:val="continue"/>
            <w:vAlign w:val="center"/>
          </w:tcPr>
          <w:p w14:paraId="79FE1B0B">
            <w:pPr>
              <w:rPr>
                <w:highlight w:val="none"/>
              </w:rPr>
            </w:pPr>
          </w:p>
        </w:tc>
        <w:tc>
          <w:tcPr>
            <w:tcW w:w="1762" w:type="dxa"/>
            <w:vAlign w:val="center"/>
          </w:tcPr>
          <w:p w14:paraId="70034089">
            <w:pPr>
              <w:spacing w:line="520" w:lineRule="exact"/>
              <w:outlineLvl w:val="0"/>
              <w:rPr>
                <w:rFonts w:ascii="宋体" w:hAnsi="宋体"/>
                <w:sz w:val="24"/>
                <w:highlight w:val="none"/>
              </w:rPr>
            </w:pPr>
            <w:r>
              <w:rPr>
                <w:rFonts w:hint="eastAsia" w:ascii="宋体" w:hAnsi="宋体" w:cs="宋体"/>
                <w:sz w:val="24"/>
                <w:highlight w:val="none"/>
                <w:lang w:bidi="ar"/>
              </w:rPr>
              <w:t>无商业贿赂和不正当竞争行为的承诺书</w:t>
            </w:r>
          </w:p>
        </w:tc>
        <w:tc>
          <w:tcPr>
            <w:tcW w:w="6239" w:type="dxa"/>
            <w:vAlign w:val="center"/>
          </w:tcPr>
          <w:p w14:paraId="2AF3EDA2">
            <w:pPr>
              <w:spacing w:line="520" w:lineRule="exact"/>
              <w:outlineLvl w:val="0"/>
              <w:rPr>
                <w:rFonts w:ascii="宋体" w:hAnsi="宋体" w:cs="宋体"/>
                <w:spacing w:val="-2"/>
                <w:sz w:val="24"/>
                <w:highlight w:val="none"/>
              </w:rPr>
            </w:pPr>
            <w:r>
              <w:rPr>
                <w:rFonts w:hint="eastAsia" w:ascii="宋体" w:hAnsi="宋体" w:cs="宋体"/>
                <w:sz w:val="24"/>
                <w:highlight w:val="none"/>
                <w:lang w:bidi="ar"/>
              </w:rPr>
              <w:t>投标人自行出具本单位无商业贿赂和不正当竞争行为承诺书</w:t>
            </w:r>
            <w:r>
              <w:rPr>
                <w:rFonts w:hint="eastAsia" w:ascii="宋体" w:hAnsi="宋体" w:cs="宋体"/>
                <w:sz w:val="24"/>
                <w:highlight w:val="none"/>
                <w:lang w:eastAsia="zh-CN" w:bidi="ar"/>
              </w:rPr>
              <w:t>；</w:t>
            </w:r>
          </w:p>
        </w:tc>
      </w:tr>
      <w:tr w14:paraId="4A0B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076" w:type="dxa"/>
            <w:vMerge w:val="continue"/>
            <w:vAlign w:val="center"/>
          </w:tcPr>
          <w:p w14:paraId="485B5947">
            <w:pPr>
              <w:rPr>
                <w:highlight w:val="none"/>
              </w:rPr>
            </w:pPr>
          </w:p>
        </w:tc>
        <w:tc>
          <w:tcPr>
            <w:tcW w:w="1762" w:type="dxa"/>
            <w:vAlign w:val="center"/>
          </w:tcPr>
          <w:p w14:paraId="2696796B">
            <w:pPr>
              <w:spacing w:line="520" w:lineRule="exact"/>
              <w:jc w:val="center"/>
              <w:outlineLvl w:val="0"/>
              <w:rPr>
                <w:rFonts w:ascii="宋体" w:hAnsi="宋体"/>
                <w:sz w:val="24"/>
                <w:highlight w:val="none"/>
              </w:rPr>
            </w:pPr>
            <w:r>
              <w:rPr>
                <w:rFonts w:hint="eastAsia" w:ascii="宋体" w:hAnsi="宋体" w:cs="宋体"/>
                <w:sz w:val="24"/>
                <w:highlight w:val="none"/>
                <w:lang w:bidi="ar"/>
              </w:rPr>
              <w:t>信誉要求</w:t>
            </w:r>
          </w:p>
        </w:tc>
        <w:tc>
          <w:tcPr>
            <w:tcW w:w="6239" w:type="dxa"/>
            <w:vAlign w:val="center"/>
          </w:tcPr>
          <w:p w14:paraId="0C494D0E">
            <w:pPr>
              <w:spacing w:line="360" w:lineRule="auto"/>
              <w:jc w:val="left"/>
              <w:outlineLvl w:val="0"/>
              <w:rPr>
                <w:rFonts w:ascii="宋体" w:hAnsi="宋体"/>
                <w:sz w:val="24"/>
                <w:highlight w:val="none"/>
              </w:rPr>
            </w:pPr>
            <w:r>
              <w:rPr>
                <w:rFonts w:hint="eastAsia" w:ascii="宋体" w:hAnsi="宋体" w:cs="宋体"/>
                <w:sz w:val="24"/>
                <w:highlight w:val="none"/>
                <w:lang w:bidi="ar"/>
              </w:rPr>
              <w:t>根据《关于在政府采购活动中查询及使用信用记录有关问题的通知》(财库[2016]125号)和豫财购【2016】15号的规定，企业没有被列入“中国执行信息公开网”网站的“失信被执行人”、“信用中国”网站的“重大税收违法失信主体”、“政府采购严重违法失信行为记录名单”及“中国政府采购网”网站的“政府采购严重违法失信行为记录名单”，查询渠道： “中国执行信息公开网”网站（http://zxgk.court.gov.cn/shixin）“信用中国”网站（www.creditchina.gov.cn）、中国政府采购网（www.ccgp.gov.cn）；（提供“中国执行信息公开网”、“信用中国”和“中国政府采购网”网站的查询信息截图，同时网页查询需包含查询日期，查询日期自公告发布之日至投标截止之日）；</w:t>
            </w:r>
          </w:p>
        </w:tc>
      </w:tr>
      <w:tr w14:paraId="72CC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76" w:type="dxa"/>
            <w:vMerge w:val="continue"/>
            <w:vAlign w:val="center"/>
          </w:tcPr>
          <w:p w14:paraId="508575F1">
            <w:pPr>
              <w:rPr>
                <w:highlight w:val="none"/>
              </w:rPr>
            </w:pPr>
          </w:p>
        </w:tc>
        <w:tc>
          <w:tcPr>
            <w:tcW w:w="1762" w:type="dxa"/>
            <w:vAlign w:val="center"/>
          </w:tcPr>
          <w:p w14:paraId="2299E37D">
            <w:pPr>
              <w:spacing w:line="520" w:lineRule="exact"/>
              <w:jc w:val="center"/>
              <w:outlineLvl w:val="0"/>
              <w:rPr>
                <w:rFonts w:ascii="宋体" w:hAnsi="宋体"/>
                <w:spacing w:val="1"/>
                <w:kern w:val="0"/>
                <w:sz w:val="24"/>
                <w:highlight w:val="none"/>
              </w:rPr>
            </w:pPr>
            <w:r>
              <w:rPr>
                <w:rFonts w:hint="eastAsia" w:ascii="宋体" w:hAnsi="宋体" w:cs="宋体"/>
                <w:sz w:val="24"/>
                <w:highlight w:val="none"/>
              </w:rPr>
              <w:t>不接受</w:t>
            </w:r>
            <w:r>
              <w:rPr>
                <w:rFonts w:ascii="宋体" w:hAnsi="宋体" w:cs="宋体"/>
                <w:sz w:val="24"/>
                <w:highlight w:val="none"/>
              </w:rPr>
              <w:t>联合体承诺书</w:t>
            </w:r>
          </w:p>
        </w:tc>
        <w:tc>
          <w:tcPr>
            <w:tcW w:w="6239" w:type="dxa"/>
            <w:vAlign w:val="center"/>
          </w:tcPr>
          <w:p w14:paraId="410D65C5">
            <w:pPr>
              <w:spacing w:line="360" w:lineRule="auto"/>
              <w:outlineLvl w:val="0"/>
              <w:rPr>
                <w:rFonts w:ascii="宋体" w:hAnsi="宋体"/>
                <w:spacing w:val="1"/>
                <w:kern w:val="0"/>
                <w:sz w:val="24"/>
                <w:highlight w:val="none"/>
              </w:rPr>
            </w:pPr>
            <w:r>
              <w:rPr>
                <w:rFonts w:hint="eastAsia" w:ascii="宋体" w:hAnsi="宋体" w:cs="宋体"/>
                <w:sz w:val="24"/>
                <w:highlight w:val="none"/>
                <w:lang w:bidi="ar"/>
              </w:rPr>
              <w:t>本项目不接受联合体投标（自行承诺，格式自拟）</w:t>
            </w:r>
            <w:r>
              <w:rPr>
                <w:rFonts w:hint="eastAsia" w:ascii="宋体" w:hAnsi="宋体" w:cs="宋体"/>
                <w:sz w:val="24"/>
                <w:highlight w:val="none"/>
                <w:lang w:eastAsia="zh-CN" w:bidi="ar"/>
              </w:rPr>
              <w:t>。</w:t>
            </w:r>
          </w:p>
        </w:tc>
      </w:tr>
      <w:tr w14:paraId="5948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076" w:type="dxa"/>
            <w:vMerge w:val="restart"/>
            <w:vAlign w:val="center"/>
          </w:tcPr>
          <w:p w14:paraId="5F6498BE">
            <w:pPr>
              <w:spacing w:line="520" w:lineRule="exact"/>
              <w:jc w:val="center"/>
              <w:outlineLvl w:val="0"/>
              <w:rPr>
                <w:rFonts w:hint="eastAsia" w:ascii="宋体" w:hAnsi="宋体" w:cs="宋体"/>
                <w:sz w:val="24"/>
                <w:highlight w:val="none"/>
              </w:rPr>
            </w:pPr>
            <w:r>
              <w:rPr>
                <w:rFonts w:hint="eastAsia" w:ascii="宋体" w:hAnsi="宋体" w:cs="宋体"/>
                <w:sz w:val="24"/>
                <w:highlight w:val="none"/>
                <w:lang w:bidi="ar"/>
              </w:rPr>
              <w:t>响应性</w:t>
            </w:r>
          </w:p>
          <w:p w14:paraId="501EF3BB">
            <w:pPr>
              <w:spacing w:line="520" w:lineRule="exact"/>
              <w:jc w:val="center"/>
              <w:outlineLvl w:val="0"/>
              <w:rPr>
                <w:rFonts w:hint="eastAsia" w:ascii="宋体" w:hAnsi="宋体" w:cs="宋体"/>
                <w:sz w:val="24"/>
                <w:highlight w:val="none"/>
              </w:rPr>
            </w:pPr>
            <w:r>
              <w:rPr>
                <w:rFonts w:hint="eastAsia" w:ascii="宋体" w:hAnsi="宋体" w:cs="宋体"/>
                <w:sz w:val="24"/>
                <w:highlight w:val="none"/>
                <w:lang w:bidi="ar"/>
              </w:rPr>
              <w:t>评审</w:t>
            </w:r>
          </w:p>
          <w:p w14:paraId="42B67ABC">
            <w:pPr>
              <w:jc w:val="center"/>
              <w:rPr>
                <w:highlight w:val="none"/>
              </w:rPr>
            </w:pPr>
            <w:r>
              <w:rPr>
                <w:rFonts w:hint="eastAsia" w:ascii="宋体" w:hAnsi="宋体" w:cs="宋体"/>
                <w:sz w:val="24"/>
                <w:highlight w:val="none"/>
                <w:lang w:bidi="ar"/>
              </w:rPr>
              <w:t>标准</w:t>
            </w:r>
          </w:p>
        </w:tc>
        <w:tc>
          <w:tcPr>
            <w:tcW w:w="1762" w:type="dxa"/>
            <w:vAlign w:val="center"/>
          </w:tcPr>
          <w:p w14:paraId="6679DBB5">
            <w:pPr>
              <w:spacing w:line="520" w:lineRule="exact"/>
              <w:jc w:val="both"/>
              <w:outlineLvl w:val="0"/>
              <w:rPr>
                <w:rFonts w:ascii="宋体" w:hAnsi="宋体"/>
                <w:spacing w:val="1"/>
                <w:kern w:val="0"/>
                <w:sz w:val="24"/>
                <w:highlight w:val="none"/>
              </w:rPr>
            </w:pPr>
            <w:r>
              <w:rPr>
                <w:rFonts w:hint="eastAsia" w:ascii="宋体" w:hAnsi="宋体" w:cs="宋体"/>
                <w:sz w:val="24"/>
                <w:highlight w:val="none"/>
              </w:rPr>
              <w:t>投标内容</w:t>
            </w:r>
          </w:p>
        </w:tc>
        <w:tc>
          <w:tcPr>
            <w:tcW w:w="6239" w:type="dxa"/>
            <w:vAlign w:val="center"/>
          </w:tcPr>
          <w:p w14:paraId="102101F3">
            <w:pPr>
              <w:spacing w:line="520" w:lineRule="exact"/>
              <w:outlineLvl w:val="0"/>
              <w:rPr>
                <w:rFonts w:ascii="宋体" w:hAnsi="宋体"/>
                <w:spacing w:val="1"/>
                <w:kern w:val="0"/>
                <w:sz w:val="24"/>
                <w:highlight w:val="none"/>
              </w:rPr>
            </w:pPr>
            <w:r>
              <w:rPr>
                <w:rFonts w:hint="eastAsia" w:ascii="宋体" w:hAnsi="宋体" w:cs="宋体"/>
                <w:sz w:val="24"/>
                <w:highlight w:val="none"/>
                <w:lang w:bidi="ar"/>
              </w:rPr>
              <w:t>同投标须知前附表</w:t>
            </w:r>
          </w:p>
        </w:tc>
      </w:tr>
      <w:tr w14:paraId="7A095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076" w:type="dxa"/>
            <w:vMerge w:val="continue"/>
            <w:vAlign w:val="center"/>
          </w:tcPr>
          <w:p w14:paraId="2FBA4CF6">
            <w:pPr>
              <w:spacing w:line="520" w:lineRule="exact"/>
              <w:jc w:val="center"/>
              <w:outlineLvl w:val="0"/>
              <w:rPr>
                <w:highlight w:val="none"/>
              </w:rPr>
            </w:pPr>
          </w:p>
        </w:tc>
        <w:tc>
          <w:tcPr>
            <w:tcW w:w="1762" w:type="dxa"/>
            <w:vAlign w:val="center"/>
          </w:tcPr>
          <w:p w14:paraId="50ACC9C8">
            <w:pPr>
              <w:spacing w:line="520" w:lineRule="exact"/>
              <w:outlineLvl w:val="0"/>
              <w:rPr>
                <w:rFonts w:ascii="宋体" w:hAnsi="宋体"/>
                <w:spacing w:val="1"/>
                <w:kern w:val="0"/>
                <w:sz w:val="24"/>
                <w:highlight w:val="none"/>
              </w:rPr>
            </w:pPr>
            <w:r>
              <w:rPr>
                <w:rFonts w:hint="eastAsia" w:ascii="宋体" w:hAnsi="宋体" w:cs="宋体"/>
                <w:sz w:val="24"/>
                <w:highlight w:val="none"/>
                <w:lang w:bidi="ar"/>
              </w:rPr>
              <w:t>设计周期</w:t>
            </w:r>
          </w:p>
        </w:tc>
        <w:tc>
          <w:tcPr>
            <w:tcW w:w="6239" w:type="dxa"/>
            <w:vAlign w:val="center"/>
          </w:tcPr>
          <w:p w14:paraId="7E2FB4BD">
            <w:pPr>
              <w:spacing w:line="520" w:lineRule="exact"/>
              <w:outlineLvl w:val="0"/>
              <w:rPr>
                <w:rFonts w:ascii="宋体" w:hAnsi="宋体"/>
                <w:spacing w:val="1"/>
                <w:kern w:val="0"/>
                <w:sz w:val="24"/>
                <w:highlight w:val="none"/>
              </w:rPr>
            </w:pPr>
            <w:r>
              <w:rPr>
                <w:rFonts w:hint="eastAsia" w:ascii="宋体" w:hAnsi="宋体" w:cs="宋体"/>
                <w:sz w:val="24"/>
                <w:highlight w:val="none"/>
                <w:lang w:val="en-US" w:eastAsia="zh-CN" w:bidi="ar"/>
              </w:rPr>
              <w:t>30</w:t>
            </w:r>
            <w:r>
              <w:rPr>
                <w:rFonts w:hint="eastAsia" w:ascii="宋体" w:hAnsi="宋体" w:cs="宋体"/>
                <w:sz w:val="24"/>
                <w:highlight w:val="none"/>
                <w:lang w:bidi="ar"/>
              </w:rPr>
              <w:t>日历天。</w:t>
            </w:r>
          </w:p>
        </w:tc>
      </w:tr>
      <w:tr w14:paraId="4BF9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076" w:type="dxa"/>
            <w:vMerge w:val="continue"/>
            <w:vAlign w:val="center"/>
          </w:tcPr>
          <w:p w14:paraId="5C3C570A">
            <w:pPr>
              <w:rPr>
                <w:highlight w:val="none"/>
              </w:rPr>
            </w:pPr>
          </w:p>
        </w:tc>
        <w:tc>
          <w:tcPr>
            <w:tcW w:w="1762" w:type="dxa"/>
            <w:vAlign w:val="center"/>
          </w:tcPr>
          <w:p w14:paraId="3E5B5737">
            <w:pPr>
              <w:spacing w:line="520" w:lineRule="exact"/>
              <w:outlineLvl w:val="0"/>
              <w:rPr>
                <w:rFonts w:ascii="宋体" w:hAnsi="宋体"/>
                <w:spacing w:val="1"/>
                <w:kern w:val="0"/>
                <w:sz w:val="24"/>
                <w:highlight w:val="none"/>
              </w:rPr>
            </w:pPr>
            <w:r>
              <w:rPr>
                <w:rFonts w:hint="eastAsia" w:ascii="宋体" w:hAnsi="宋体" w:cs="宋体"/>
                <w:sz w:val="24"/>
                <w:highlight w:val="none"/>
                <w:lang w:bidi="ar"/>
              </w:rPr>
              <w:t>质量要求</w:t>
            </w:r>
          </w:p>
        </w:tc>
        <w:tc>
          <w:tcPr>
            <w:tcW w:w="6239" w:type="dxa"/>
            <w:vAlign w:val="center"/>
          </w:tcPr>
          <w:p w14:paraId="4EB19F40">
            <w:pPr>
              <w:spacing w:line="520" w:lineRule="exact"/>
              <w:outlineLvl w:val="0"/>
              <w:rPr>
                <w:rFonts w:asciiTheme="minorEastAsia" w:hAnsiTheme="minorEastAsia" w:eastAsiaTheme="minorEastAsia"/>
                <w:sz w:val="24"/>
                <w:highlight w:val="none"/>
              </w:rPr>
            </w:pPr>
            <w:r>
              <w:rPr>
                <w:rFonts w:hint="eastAsia" w:ascii="宋体" w:hAnsi="宋体" w:cs="宋体"/>
                <w:sz w:val="24"/>
                <w:highlight w:val="none"/>
                <w:lang w:eastAsia="zh-CN" w:bidi="ar"/>
              </w:rPr>
              <w:t>符合国家有关标准、规范和要求，达到合格标准，并通过有关部门的审查批准</w:t>
            </w:r>
            <w:r>
              <w:rPr>
                <w:rFonts w:hint="eastAsia" w:ascii="宋体" w:hAnsi="宋体" w:cs="宋体"/>
                <w:sz w:val="24"/>
                <w:highlight w:val="none"/>
                <w:lang w:bidi="ar"/>
              </w:rPr>
              <w:t>。</w:t>
            </w:r>
          </w:p>
        </w:tc>
      </w:tr>
      <w:tr w14:paraId="0209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76" w:type="dxa"/>
            <w:vMerge w:val="continue"/>
            <w:vAlign w:val="center"/>
          </w:tcPr>
          <w:p w14:paraId="213189AC">
            <w:pPr>
              <w:rPr>
                <w:highlight w:val="none"/>
              </w:rPr>
            </w:pPr>
          </w:p>
        </w:tc>
        <w:tc>
          <w:tcPr>
            <w:tcW w:w="1762" w:type="dxa"/>
            <w:vAlign w:val="center"/>
          </w:tcPr>
          <w:p w14:paraId="4A22F0AE">
            <w:pPr>
              <w:spacing w:line="520" w:lineRule="exact"/>
              <w:outlineLvl w:val="0"/>
              <w:rPr>
                <w:rFonts w:ascii="宋体" w:hAnsi="宋体"/>
                <w:spacing w:val="1"/>
                <w:kern w:val="0"/>
                <w:sz w:val="24"/>
                <w:highlight w:val="none"/>
              </w:rPr>
            </w:pPr>
            <w:r>
              <w:rPr>
                <w:rFonts w:hint="eastAsia" w:ascii="宋体" w:hAnsi="宋体" w:cs="宋体"/>
                <w:sz w:val="24"/>
                <w:highlight w:val="none"/>
                <w:lang w:bidi="ar"/>
              </w:rPr>
              <w:t>投标有效期</w:t>
            </w:r>
          </w:p>
        </w:tc>
        <w:tc>
          <w:tcPr>
            <w:tcW w:w="6239" w:type="dxa"/>
            <w:vAlign w:val="center"/>
          </w:tcPr>
          <w:p w14:paraId="48462D97">
            <w:pPr>
              <w:spacing w:line="520" w:lineRule="exact"/>
              <w:outlineLvl w:val="0"/>
              <w:rPr>
                <w:rFonts w:ascii="宋体" w:hAnsi="宋体"/>
                <w:spacing w:val="1"/>
                <w:kern w:val="0"/>
                <w:sz w:val="24"/>
                <w:highlight w:val="none"/>
              </w:rPr>
            </w:pPr>
            <w:r>
              <w:rPr>
                <w:rFonts w:hint="eastAsia" w:ascii="宋体" w:hAnsi="宋体" w:cs="宋体"/>
                <w:sz w:val="24"/>
                <w:highlight w:val="none"/>
                <w:lang w:bidi="ar"/>
              </w:rPr>
              <w:t>投标截止之日起60日历天</w:t>
            </w:r>
          </w:p>
        </w:tc>
      </w:tr>
      <w:tr w14:paraId="41C1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1076" w:type="dxa"/>
            <w:vMerge w:val="continue"/>
            <w:vAlign w:val="center"/>
          </w:tcPr>
          <w:p w14:paraId="061AE35B">
            <w:pPr>
              <w:rPr>
                <w:highlight w:val="none"/>
              </w:rPr>
            </w:pPr>
          </w:p>
        </w:tc>
        <w:tc>
          <w:tcPr>
            <w:tcW w:w="1762" w:type="dxa"/>
            <w:vAlign w:val="center"/>
          </w:tcPr>
          <w:p w14:paraId="6A59C1F9">
            <w:pPr>
              <w:pStyle w:val="20"/>
              <w:widowControl/>
              <w:spacing w:line="240" w:lineRule="atLeast"/>
              <w:jc w:val="both"/>
              <w:rPr>
                <w:rFonts w:ascii="宋体" w:hAnsi="宋体"/>
                <w:b/>
                <w:spacing w:val="1"/>
                <w:kern w:val="0"/>
                <w:sz w:val="24"/>
                <w:highlight w:val="none"/>
              </w:rPr>
            </w:pPr>
            <w:r>
              <w:rPr>
                <w:rFonts w:hint="eastAsia" w:hAnsi="宋体"/>
                <w:color w:val="auto"/>
                <w:highlight w:val="none"/>
              </w:rPr>
              <w:t>投标报价</w:t>
            </w:r>
          </w:p>
        </w:tc>
        <w:tc>
          <w:tcPr>
            <w:tcW w:w="6239" w:type="dxa"/>
            <w:vAlign w:val="center"/>
          </w:tcPr>
          <w:p w14:paraId="251A2CF9">
            <w:pPr>
              <w:pStyle w:val="20"/>
              <w:widowControl/>
              <w:spacing w:line="240" w:lineRule="atLeast"/>
              <w:rPr>
                <w:highlight w:val="none"/>
              </w:rPr>
            </w:pPr>
            <w:r>
              <w:rPr>
                <w:rFonts w:hint="eastAsia" w:hAnsi="宋体"/>
                <w:color w:val="auto"/>
                <w:highlight w:val="none"/>
              </w:rPr>
              <w:t>投标人投标函附录中的投标报价均不得超出招标控制价，否则按无效标处理。</w:t>
            </w:r>
          </w:p>
        </w:tc>
      </w:tr>
      <w:tr w14:paraId="2D11A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1076" w:type="dxa"/>
            <w:vAlign w:val="top"/>
          </w:tcPr>
          <w:p w14:paraId="39821CCF">
            <w:pPr>
              <w:autoSpaceDE w:val="0"/>
              <w:autoSpaceDN w:val="0"/>
              <w:adjustRightInd w:val="0"/>
              <w:spacing w:before="50"/>
              <w:ind w:right="97" w:rightChars="0" w:firstLine="68" w:firstLineChars="28"/>
              <w:jc w:val="center"/>
              <w:rPr>
                <w:rFonts w:ascii="宋体" w:hAnsi="宋体" w:cs="宋体"/>
                <w:kern w:val="0"/>
                <w:sz w:val="24"/>
                <w:highlight w:val="none"/>
              </w:rPr>
            </w:pPr>
            <w:r>
              <w:rPr>
                <w:rFonts w:hint="eastAsia" w:ascii="宋体" w:hAnsi="宋体"/>
                <w:b/>
                <w:spacing w:val="1"/>
                <w:kern w:val="0"/>
                <w:sz w:val="24"/>
                <w:highlight w:val="none"/>
              </w:rPr>
              <w:t>详细评审</w:t>
            </w:r>
          </w:p>
        </w:tc>
        <w:tc>
          <w:tcPr>
            <w:tcW w:w="8001" w:type="dxa"/>
            <w:gridSpan w:val="2"/>
            <w:vAlign w:val="top"/>
          </w:tcPr>
          <w:p w14:paraId="0B87B9A9">
            <w:pPr>
              <w:autoSpaceDE w:val="0"/>
              <w:autoSpaceDN w:val="0"/>
              <w:adjustRightInd w:val="0"/>
              <w:spacing w:before="50" w:line="360" w:lineRule="auto"/>
              <w:ind w:right="97" w:rightChars="0" w:firstLine="68" w:firstLineChars="28"/>
              <w:jc w:val="center"/>
              <w:rPr>
                <w:rFonts w:ascii="宋体" w:hAnsi="宋体" w:cs="仿宋"/>
                <w:bCs/>
                <w:sz w:val="24"/>
                <w:highlight w:val="none"/>
                <w:lang w:val="zh-CN"/>
              </w:rPr>
            </w:pPr>
            <w:r>
              <w:rPr>
                <w:rFonts w:hint="eastAsia" w:ascii="宋体" w:hAnsi="宋体"/>
                <w:b/>
                <w:spacing w:val="1"/>
                <w:kern w:val="0"/>
                <w:sz w:val="24"/>
                <w:highlight w:val="none"/>
              </w:rPr>
              <w:t>编列内容</w:t>
            </w:r>
          </w:p>
        </w:tc>
      </w:tr>
      <w:tr w14:paraId="3782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076" w:type="dxa"/>
            <w:vAlign w:val="top"/>
          </w:tcPr>
          <w:p w14:paraId="203F8519">
            <w:pPr>
              <w:autoSpaceDE w:val="0"/>
              <w:autoSpaceDN w:val="0"/>
              <w:adjustRightInd w:val="0"/>
              <w:spacing w:before="50"/>
              <w:ind w:right="97" w:firstLine="67" w:firstLineChars="28"/>
              <w:jc w:val="center"/>
              <w:rPr>
                <w:rFonts w:ascii="宋体" w:hAnsi="宋体"/>
                <w:spacing w:val="1"/>
                <w:kern w:val="0"/>
                <w:sz w:val="24"/>
                <w:highlight w:val="none"/>
              </w:rPr>
            </w:pPr>
            <w:r>
              <w:rPr>
                <w:rFonts w:hint="eastAsia" w:ascii="宋体" w:hAnsi="宋体"/>
                <w:spacing w:val="1"/>
                <w:kern w:val="0"/>
                <w:sz w:val="24"/>
                <w:highlight w:val="none"/>
              </w:rPr>
              <w:t>分值</w:t>
            </w:r>
          </w:p>
          <w:p w14:paraId="56507ECC">
            <w:pPr>
              <w:autoSpaceDE w:val="0"/>
              <w:autoSpaceDN w:val="0"/>
              <w:adjustRightInd w:val="0"/>
              <w:spacing w:before="50"/>
              <w:ind w:right="97" w:firstLine="67" w:firstLineChars="28"/>
              <w:jc w:val="center"/>
              <w:rPr>
                <w:rFonts w:ascii="宋体" w:hAnsi="宋体"/>
                <w:spacing w:val="1"/>
                <w:kern w:val="0"/>
                <w:sz w:val="24"/>
                <w:highlight w:val="none"/>
              </w:rPr>
            </w:pPr>
            <w:r>
              <w:rPr>
                <w:rFonts w:hint="eastAsia" w:ascii="宋体" w:hAnsi="宋体"/>
                <w:spacing w:val="1"/>
                <w:kern w:val="0"/>
                <w:sz w:val="24"/>
                <w:highlight w:val="none"/>
              </w:rPr>
              <w:t>构成</w:t>
            </w:r>
          </w:p>
          <w:p w14:paraId="4B1EFBC4">
            <w:pPr>
              <w:autoSpaceDE w:val="0"/>
              <w:autoSpaceDN w:val="0"/>
              <w:adjustRightInd w:val="0"/>
              <w:spacing w:before="50"/>
              <w:ind w:right="97" w:rightChars="0" w:firstLine="67" w:firstLineChars="28"/>
              <w:jc w:val="center"/>
              <w:rPr>
                <w:rFonts w:ascii="宋体" w:hAnsi="宋体" w:cs="宋体"/>
                <w:kern w:val="0"/>
                <w:sz w:val="24"/>
                <w:highlight w:val="none"/>
              </w:rPr>
            </w:pPr>
            <w:r>
              <w:rPr>
                <w:rFonts w:hint="eastAsia" w:ascii="宋体" w:hAnsi="宋体"/>
                <w:spacing w:val="1"/>
                <w:kern w:val="0"/>
                <w:sz w:val="24"/>
                <w:highlight w:val="none"/>
              </w:rPr>
              <w:t>(总分100分)</w:t>
            </w:r>
          </w:p>
        </w:tc>
        <w:tc>
          <w:tcPr>
            <w:tcW w:w="8001" w:type="dxa"/>
            <w:gridSpan w:val="2"/>
            <w:vAlign w:val="top"/>
          </w:tcPr>
          <w:p w14:paraId="07A36842">
            <w:pPr>
              <w:autoSpaceDE w:val="0"/>
              <w:autoSpaceDN w:val="0"/>
              <w:adjustRightInd w:val="0"/>
              <w:spacing w:line="360" w:lineRule="auto"/>
              <w:ind w:left="210" w:leftChars="100"/>
              <w:jc w:val="left"/>
              <w:rPr>
                <w:rFonts w:ascii="宋体" w:hAnsi="宋体" w:cs="宋体"/>
                <w:sz w:val="24"/>
                <w:highlight w:val="none"/>
              </w:rPr>
            </w:pPr>
            <w:r>
              <w:rPr>
                <w:rFonts w:hint="eastAsia" w:ascii="宋体" w:hAnsi="宋体" w:cs="宋体"/>
                <w:sz w:val="24"/>
                <w:highlight w:val="none"/>
              </w:rPr>
              <w:t>报价部分：</w:t>
            </w:r>
            <w:r>
              <w:rPr>
                <w:rFonts w:hint="eastAsia" w:ascii="宋体" w:hAnsi="宋体" w:cs="宋体"/>
                <w:sz w:val="24"/>
                <w:highlight w:val="none"/>
                <w:u w:val="single"/>
              </w:rPr>
              <w:t xml:space="preserve">  15 </w:t>
            </w:r>
            <w:r>
              <w:rPr>
                <w:rFonts w:hint="eastAsia" w:ascii="宋体" w:hAnsi="宋体" w:cs="宋体"/>
                <w:sz w:val="24"/>
                <w:highlight w:val="none"/>
              </w:rPr>
              <w:t xml:space="preserve"> 分</w:t>
            </w:r>
          </w:p>
          <w:p w14:paraId="5AD480E0">
            <w:pPr>
              <w:autoSpaceDE w:val="0"/>
              <w:autoSpaceDN w:val="0"/>
              <w:adjustRightInd w:val="0"/>
              <w:spacing w:line="360" w:lineRule="auto"/>
              <w:ind w:left="210" w:leftChars="100"/>
              <w:jc w:val="left"/>
              <w:rPr>
                <w:rFonts w:ascii="宋体" w:hAnsi="宋体" w:cs="宋体"/>
                <w:sz w:val="24"/>
                <w:highlight w:val="none"/>
              </w:rPr>
            </w:pPr>
            <w:r>
              <w:rPr>
                <w:rFonts w:hint="eastAsia" w:ascii="宋体" w:hAnsi="宋体" w:cs="宋体"/>
                <w:sz w:val="24"/>
                <w:highlight w:val="none"/>
              </w:rPr>
              <w:t>技术部分：</w:t>
            </w:r>
            <w:r>
              <w:rPr>
                <w:rFonts w:hint="eastAsia" w:ascii="宋体" w:hAnsi="宋体" w:cs="宋体"/>
                <w:sz w:val="24"/>
                <w:highlight w:val="none"/>
                <w:u w:val="single"/>
              </w:rPr>
              <w:t xml:space="preserve">  55 </w:t>
            </w:r>
            <w:r>
              <w:rPr>
                <w:rFonts w:hint="eastAsia" w:ascii="宋体" w:hAnsi="宋体" w:cs="宋体"/>
                <w:sz w:val="24"/>
                <w:highlight w:val="none"/>
              </w:rPr>
              <w:t xml:space="preserve"> 分</w:t>
            </w:r>
          </w:p>
          <w:p w14:paraId="025DDC94">
            <w:pPr>
              <w:autoSpaceDE w:val="0"/>
              <w:autoSpaceDN w:val="0"/>
              <w:adjustRightInd w:val="0"/>
              <w:spacing w:line="360" w:lineRule="auto"/>
              <w:ind w:left="210" w:leftChars="100"/>
              <w:jc w:val="left"/>
              <w:rPr>
                <w:rFonts w:ascii="宋体" w:hAnsi="宋体" w:cs="仿宋"/>
                <w:bCs/>
                <w:sz w:val="24"/>
                <w:highlight w:val="none"/>
                <w:lang w:val="zh-CN"/>
              </w:rPr>
            </w:pPr>
            <w:r>
              <w:rPr>
                <w:rFonts w:hint="eastAsia" w:ascii="宋体" w:hAnsi="宋体" w:cs="宋体"/>
                <w:sz w:val="24"/>
                <w:highlight w:val="none"/>
              </w:rPr>
              <w:t>商务部分：</w:t>
            </w:r>
            <w:r>
              <w:rPr>
                <w:rFonts w:hint="eastAsia" w:ascii="宋体" w:hAnsi="宋体" w:cs="宋体"/>
                <w:sz w:val="24"/>
                <w:highlight w:val="none"/>
                <w:u w:val="single"/>
              </w:rPr>
              <w:t xml:space="preserve">  30 </w:t>
            </w:r>
            <w:r>
              <w:rPr>
                <w:rFonts w:hint="eastAsia" w:ascii="宋体" w:hAnsi="宋体" w:cs="宋体"/>
                <w:sz w:val="24"/>
                <w:highlight w:val="none"/>
              </w:rPr>
              <w:t xml:space="preserve"> 分</w:t>
            </w:r>
          </w:p>
        </w:tc>
      </w:tr>
      <w:tr w14:paraId="4558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1076" w:type="dxa"/>
            <w:vAlign w:val="center"/>
          </w:tcPr>
          <w:p w14:paraId="4B25A002">
            <w:pPr>
              <w:jc w:val="center"/>
              <w:rPr>
                <w:rFonts w:ascii="宋体" w:hAnsi="宋体"/>
                <w:sz w:val="24"/>
                <w:highlight w:val="none"/>
              </w:rPr>
            </w:pPr>
            <w:r>
              <w:rPr>
                <w:rFonts w:hint="eastAsia" w:ascii="宋体" w:hAnsi="宋体"/>
                <w:sz w:val="24"/>
                <w:highlight w:val="none"/>
              </w:rPr>
              <w:t>报价部分</w:t>
            </w:r>
          </w:p>
          <w:p w14:paraId="2EBFA270">
            <w:pPr>
              <w:jc w:val="center"/>
              <w:rPr>
                <w:rFonts w:ascii="宋体" w:hAnsi="宋体" w:cs="宋体"/>
                <w:kern w:val="0"/>
                <w:sz w:val="24"/>
                <w:highlight w:val="none"/>
              </w:rPr>
            </w:pPr>
            <w:r>
              <w:rPr>
                <w:rFonts w:hint="eastAsia" w:ascii="宋体" w:hAnsi="宋体"/>
                <w:sz w:val="24"/>
                <w:highlight w:val="none"/>
              </w:rPr>
              <w:t>（15分）</w:t>
            </w:r>
          </w:p>
        </w:tc>
        <w:tc>
          <w:tcPr>
            <w:tcW w:w="8001" w:type="dxa"/>
            <w:gridSpan w:val="2"/>
            <w:vAlign w:val="top"/>
          </w:tcPr>
          <w:p w14:paraId="5CE4EDD8">
            <w:pPr>
              <w:spacing w:line="360" w:lineRule="auto"/>
              <w:rPr>
                <w:rFonts w:ascii="宋体" w:hAnsi="宋体"/>
                <w:sz w:val="24"/>
                <w:highlight w:val="none"/>
              </w:rPr>
            </w:pPr>
            <w:r>
              <w:rPr>
                <w:rFonts w:hint="eastAsia" w:ascii="宋体" w:hAnsi="宋体"/>
                <w:sz w:val="24"/>
                <w:highlight w:val="none"/>
              </w:rPr>
              <w:t>1、</w:t>
            </w:r>
            <w:r>
              <w:rPr>
                <w:rFonts w:hint="eastAsia" w:ascii="宋体" w:hAnsi="宋体"/>
                <w:kern w:val="0"/>
                <w:sz w:val="24"/>
                <w:highlight w:val="none"/>
              </w:rPr>
              <w:t>超出采购人预算金额的报价为无效报价，按废标处理。</w:t>
            </w:r>
          </w:p>
          <w:p w14:paraId="2EB7BA93">
            <w:pPr>
              <w:spacing w:line="360" w:lineRule="auto"/>
              <w:rPr>
                <w:rFonts w:ascii="宋体" w:hAnsi="宋体"/>
                <w:sz w:val="24"/>
                <w:highlight w:val="none"/>
              </w:rPr>
            </w:pPr>
            <w:r>
              <w:rPr>
                <w:rFonts w:hint="eastAsia" w:ascii="宋体" w:hAnsi="宋体"/>
                <w:sz w:val="24"/>
                <w:highlight w:val="none"/>
              </w:rPr>
              <w:t>2、</w:t>
            </w:r>
            <w:r>
              <w:rPr>
                <w:rFonts w:ascii="宋体" w:hAnsi="宋体"/>
                <w:sz w:val="24"/>
                <w:highlight w:val="none"/>
              </w:rPr>
              <w:t>价格分采用低价优先法计算，即满足竞争性磋商文件要求且</w:t>
            </w:r>
            <w:r>
              <w:rPr>
                <w:rFonts w:hint="eastAsia" w:ascii="宋体" w:hAnsi="宋体"/>
                <w:sz w:val="24"/>
                <w:highlight w:val="none"/>
              </w:rPr>
              <w:t>最后报价</w:t>
            </w:r>
            <w:r>
              <w:rPr>
                <w:rFonts w:ascii="宋体" w:hAnsi="宋体"/>
                <w:sz w:val="24"/>
                <w:highlight w:val="none"/>
              </w:rPr>
              <w:t>最低的为磋商基准价，其价格分为满分，其它磋商响应供应商的价格按照下列公式计算</w:t>
            </w:r>
            <w:r>
              <w:rPr>
                <w:rFonts w:hint="eastAsia" w:ascii="宋体" w:hAnsi="宋体"/>
                <w:sz w:val="24"/>
                <w:highlight w:val="none"/>
              </w:rPr>
              <w:t>：</w:t>
            </w:r>
            <w:r>
              <w:rPr>
                <w:rFonts w:ascii="宋体" w:hAnsi="宋体"/>
                <w:sz w:val="24"/>
                <w:highlight w:val="none"/>
              </w:rPr>
              <w:t>磋商响应供应商报价得分=（磋商基准价/</w:t>
            </w:r>
            <w:r>
              <w:rPr>
                <w:rFonts w:hint="eastAsia" w:ascii="宋体" w:hAnsi="宋体"/>
                <w:sz w:val="24"/>
                <w:highlight w:val="none"/>
              </w:rPr>
              <w:t>最后磋商</w:t>
            </w:r>
            <w:r>
              <w:rPr>
                <w:rFonts w:ascii="宋体" w:hAnsi="宋体"/>
                <w:sz w:val="24"/>
                <w:highlight w:val="none"/>
              </w:rPr>
              <w:t>报价）×</w:t>
            </w:r>
            <w:r>
              <w:rPr>
                <w:rFonts w:hint="eastAsia" w:ascii="宋体" w:hAnsi="宋体"/>
                <w:sz w:val="24"/>
                <w:highlight w:val="none"/>
              </w:rPr>
              <w:t>15</w:t>
            </w:r>
          </w:p>
          <w:p w14:paraId="6BA77D29">
            <w:pPr>
              <w:widowControl/>
              <w:spacing w:line="360" w:lineRule="auto"/>
              <w:rPr>
                <w:rFonts w:ascii="宋体" w:hAnsi="宋体" w:eastAsia="宋体" w:cs="宋体"/>
                <w:sz w:val="24"/>
                <w:szCs w:val="24"/>
              </w:rPr>
            </w:pPr>
            <w:r>
              <w:rPr>
                <w:rFonts w:ascii="宋体" w:hAnsi="宋体" w:eastAsia="宋体" w:cs="宋体"/>
                <w:sz w:val="24"/>
                <w:szCs w:val="24"/>
              </w:rPr>
              <w:t>注：1.根据《政府采购促进中小企业发展管理办法》（财库﹝2020﹞46 号）及《三门峡市财政局关于进一步优化提升政府采购营商环境有关事项通知》（三财购（2021）14 号）及《三门峡市财政局关于进一步加大政府采购支持中小企业发展有关事项的通知》（三财购（2022）9 号）的规定，对于非专门面向中小企业的项目</w:t>
            </w:r>
            <w:r>
              <w:rPr>
                <w:rFonts w:hint="eastAsia" w:ascii="宋体" w:hAnsi="宋体" w:eastAsia="宋体" w:cs="宋体"/>
                <w:sz w:val="24"/>
                <w:szCs w:val="24"/>
              </w:rPr>
              <w:t>，</w:t>
            </w:r>
            <w:r>
              <w:rPr>
                <w:rFonts w:ascii="宋体" w:hAnsi="宋体" w:eastAsia="宋体" w:cs="宋体"/>
                <w:sz w:val="24"/>
                <w:szCs w:val="24"/>
              </w:rPr>
              <w:t>对小型、微型企业的价格给予 10%～20%的扣除，本项目小型、微型企业按 20%扣除。对于中型企业的价格不予扣除。在货物采购项目中，供应商提供的货物既有中型企业制造，也有小微企业制造的，不享受20%的扣除。（注：小型、微型企业提供中型企业制造的货物的，视同为中型企业。）</w:t>
            </w:r>
          </w:p>
          <w:p w14:paraId="13797021">
            <w:pPr>
              <w:widowControl/>
              <w:spacing w:line="360" w:lineRule="auto"/>
              <w:rPr>
                <w:rFonts w:ascii="宋体" w:hAnsi="宋体" w:eastAsia="宋体" w:cs="宋体"/>
                <w:sz w:val="24"/>
                <w:szCs w:val="24"/>
              </w:rPr>
            </w:pPr>
            <w:r>
              <w:rPr>
                <w:rFonts w:ascii="宋体" w:hAnsi="宋体" w:eastAsia="宋体" w:cs="宋体"/>
                <w:sz w:val="24"/>
                <w:szCs w:val="24"/>
              </w:rPr>
              <w:t>所投小微企业报价=所投小微企业报价×（1-20%）</w:t>
            </w:r>
          </w:p>
          <w:p w14:paraId="34CF5A8F">
            <w:pPr>
              <w:widowControl/>
              <w:spacing w:line="360" w:lineRule="auto"/>
              <w:rPr>
                <w:rFonts w:ascii="宋体" w:hAnsi="宋体" w:eastAsia="宋体" w:cs="宋体"/>
                <w:sz w:val="24"/>
                <w:szCs w:val="24"/>
              </w:rPr>
            </w:pPr>
            <w:r>
              <w:rPr>
                <w:rFonts w:ascii="宋体" w:hAnsi="宋体" w:eastAsia="宋体" w:cs="宋体"/>
                <w:sz w:val="24"/>
                <w:szCs w:val="24"/>
              </w:rPr>
              <w:t>2.根据财政部司法部《关于政府采购支持监狱企业发展有关问题的通知》（财库〔2014〕68号）规定，对于监狱企业视同为小型、微型企业，价格给予 20%的扣除。</w:t>
            </w:r>
          </w:p>
          <w:p w14:paraId="11D1FF1C">
            <w:pPr>
              <w:widowControl/>
              <w:spacing w:line="360" w:lineRule="auto"/>
              <w:rPr>
                <w:rFonts w:ascii="宋体" w:hAnsi="宋体" w:eastAsia="宋体" w:cs="宋体"/>
                <w:sz w:val="24"/>
                <w:szCs w:val="24"/>
              </w:rPr>
            </w:pPr>
            <w:r>
              <w:rPr>
                <w:rFonts w:ascii="宋体" w:hAnsi="宋体" w:eastAsia="宋体" w:cs="宋体"/>
                <w:sz w:val="24"/>
                <w:szCs w:val="24"/>
              </w:rPr>
              <w:t>所投监狱企业报价=所投监狱企业报价×（1-20%）</w:t>
            </w:r>
          </w:p>
          <w:p w14:paraId="4034A2DF">
            <w:pPr>
              <w:widowControl/>
              <w:spacing w:line="360" w:lineRule="auto"/>
              <w:rPr>
                <w:rFonts w:ascii="宋体" w:hAnsi="宋体" w:eastAsia="宋体" w:cs="宋体"/>
                <w:sz w:val="24"/>
                <w:szCs w:val="24"/>
              </w:rPr>
            </w:pPr>
            <w:r>
              <w:rPr>
                <w:rFonts w:ascii="宋体" w:hAnsi="宋体" w:eastAsia="宋体" w:cs="宋体"/>
                <w:sz w:val="24"/>
                <w:szCs w:val="24"/>
              </w:rPr>
              <w:t>3.根据财政部民政部中国残疾人联合会《关于促进残疾人就业政府采购政策的通知》（财库〔2017〕141号）规定，对于残疾人福利性单位视同为小型、微型企业，价格给予 20%的扣除。</w:t>
            </w:r>
          </w:p>
          <w:p w14:paraId="3E592CB7">
            <w:pPr>
              <w:widowControl/>
              <w:spacing w:line="360" w:lineRule="auto"/>
              <w:rPr>
                <w:rFonts w:ascii="宋体" w:hAnsi="宋体" w:eastAsia="宋体" w:cs="宋体"/>
                <w:sz w:val="24"/>
                <w:szCs w:val="24"/>
              </w:rPr>
            </w:pPr>
            <w:r>
              <w:rPr>
                <w:rFonts w:ascii="宋体" w:hAnsi="宋体" w:eastAsia="宋体" w:cs="宋体"/>
                <w:sz w:val="24"/>
                <w:szCs w:val="24"/>
              </w:rPr>
              <w:t>所投残疾人福利性单位企业报价=所投残疾人福利性单位企业报价×（1-20%）</w:t>
            </w:r>
          </w:p>
          <w:p w14:paraId="7E152AF0">
            <w:pPr>
              <w:widowControl/>
              <w:spacing w:line="360" w:lineRule="auto"/>
              <w:rPr>
                <w:rFonts w:ascii="宋体" w:hAnsi="宋体" w:eastAsia="宋体" w:cs="宋体"/>
                <w:sz w:val="24"/>
                <w:szCs w:val="24"/>
              </w:rPr>
            </w:pPr>
            <w:r>
              <w:rPr>
                <w:rFonts w:ascii="宋体" w:hAnsi="宋体" w:eastAsia="宋体" w:cs="宋体"/>
                <w:sz w:val="24"/>
                <w:szCs w:val="24"/>
              </w:rPr>
              <w:t>同一供应商，中小微企业、监狱企业、残疾人福利性单位的价格扣除优惠只享受一次，不得重复享受。</w:t>
            </w:r>
          </w:p>
          <w:p w14:paraId="21B2468F">
            <w:pPr>
              <w:spacing w:line="360" w:lineRule="auto"/>
              <w:rPr>
                <w:rFonts w:ascii="宋体" w:hAnsi="宋体" w:cs="仿宋"/>
                <w:bCs/>
                <w:sz w:val="24"/>
                <w:highlight w:val="none"/>
                <w:lang w:val="zh-CN"/>
              </w:rPr>
            </w:pPr>
            <w:r>
              <w:rPr>
                <w:rFonts w:ascii="宋体" w:hAnsi="宋体" w:eastAsia="宋体" w:cs="宋体"/>
                <w:sz w:val="24"/>
                <w:szCs w:val="24"/>
              </w:rPr>
              <w:t>备注：评标委员会认为投标人的报价明显低于其他通过符合性审查投标人的报价，有可能影响产品质量或者不能诚信履约的，应当要求其在评标现场合理的时间内提供书面说明，必要时提交相关证明材料；供应商不能提供书面说明、证明材料，或者提供的书面说明、证明材料不能证明其报价合理性的，评审委员会应当将其作为无效投标（响应）处理。</w:t>
            </w:r>
          </w:p>
        </w:tc>
      </w:tr>
      <w:tr w14:paraId="5B774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1076" w:type="dxa"/>
            <w:vMerge w:val="restart"/>
            <w:vAlign w:val="center"/>
          </w:tcPr>
          <w:p w14:paraId="42308897">
            <w:pPr>
              <w:spacing w:line="360" w:lineRule="auto"/>
              <w:jc w:val="center"/>
              <w:rPr>
                <w:rFonts w:ascii="宋体" w:hAnsi="宋体" w:cs="宋体"/>
                <w:kern w:val="0"/>
                <w:sz w:val="24"/>
                <w:highlight w:val="none"/>
              </w:rPr>
            </w:pPr>
            <w:r>
              <w:rPr>
                <w:rFonts w:hint="eastAsia" w:ascii="宋体" w:hAnsi="宋体" w:cs="Courier New"/>
                <w:sz w:val="24"/>
                <w:highlight w:val="none"/>
              </w:rPr>
              <w:t>技术部分</w:t>
            </w:r>
            <w:r>
              <w:rPr>
                <w:rFonts w:hint="eastAsia" w:ascii="宋体" w:hAnsi="宋体" w:cs="仿宋_GB2312"/>
                <w:sz w:val="24"/>
                <w:highlight w:val="none"/>
              </w:rPr>
              <w:t>（55分）</w:t>
            </w:r>
          </w:p>
        </w:tc>
        <w:tc>
          <w:tcPr>
            <w:tcW w:w="1762" w:type="dxa"/>
            <w:vAlign w:val="center"/>
          </w:tcPr>
          <w:p w14:paraId="587A91FF">
            <w:pPr>
              <w:spacing w:line="360" w:lineRule="auto"/>
              <w:jc w:val="center"/>
              <w:rPr>
                <w:rFonts w:ascii="宋体" w:hAnsi="宋体" w:cs="仿宋"/>
                <w:bCs/>
                <w:sz w:val="24"/>
                <w:highlight w:val="none"/>
                <w:lang w:val="zh-CN"/>
              </w:rPr>
            </w:pPr>
            <w:r>
              <w:rPr>
                <w:rFonts w:hint="eastAsia" w:ascii="宋体" w:hAnsi="宋体" w:cs="仿宋"/>
                <w:bCs/>
                <w:sz w:val="24"/>
                <w:highlight w:val="none"/>
                <w:lang w:val="zh-CN"/>
              </w:rPr>
              <w:t>1、对工程的理解（8分）</w:t>
            </w:r>
          </w:p>
        </w:tc>
        <w:tc>
          <w:tcPr>
            <w:tcW w:w="6239" w:type="dxa"/>
            <w:vAlign w:val="center"/>
          </w:tcPr>
          <w:p w14:paraId="6D297936">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lang w:val="zh-CN"/>
              </w:rPr>
              <w:t>对工程理解透彻，对工程的重点、难点分析准确、有针对性，得</w:t>
            </w:r>
            <w:r>
              <w:rPr>
                <w:rFonts w:hint="eastAsia" w:ascii="宋体" w:hAnsi="宋体" w:cs="仿宋"/>
                <w:bCs/>
                <w:sz w:val="24"/>
                <w:highlight w:val="none"/>
                <w:lang w:val="en-US" w:eastAsia="zh-CN"/>
              </w:rPr>
              <w:t>6-</w:t>
            </w:r>
            <w:r>
              <w:rPr>
                <w:rFonts w:hint="eastAsia" w:ascii="宋体" w:hAnsi="宋体" w:cs="仿宋"/>
                <w:bCs/>
                <w:sz w:val="24"/>
                <w:highlight w:val="none"/>
                <w:lang w:val="zh-CN"/>
              </w:rPr>
              <w:t>8分；</w:t>
            </w:r>
          </w:p>
          <w:p w14:paraId="557E4AF4">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lang w:val="zh-CN"/>
              </w:rPr>
              <w:t>对工程理解比较透彻，对工程的重点、难点分析比较准确、比较有针对性，得</w:t>
            </w:r>
            <w:r>
              <w:rPr>
                <w:rFonts w:hint="eastAsia" w:ascii="宋体" w:hAnsi="宋体" w:cs="仿宋"/>
                <w:bCs/>
                <w:sz w:val="24"/>
                <w:highlight w:val="none"/>
                <w:lang w:val="en-US" w:eastAsia="zh-CN"/>
              </w:rPr>
              <w:t>3-</w:t>
            </w:r>
            <w:r>
              <w:rPr>
                <w:rFonts w:hint="eastAsia" w:ascii="宋体" w:hAnsi="宋体" w:cs="仿宋"/>
                <w:bCs/>
                <w:sz w:val="24"/>
                <w:highlight w:val="none"/>
                <w:lang w:val="zh-CN"/>
              </w:rPr>
              <w:t>5分；</w:t>
            </w:r>
          </w:p>
          <w:p w14:paraId="468B2977">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lang w:val="zh-CN"/>
              </w:rPr>
              <w:t>对工程理解基本透彻，对工程的重点、难点分析基本准确、基本有针对性，得</w:t>
            </w:r>
            <w:r>
              <w:rPr>
                <w:rFonts w:hint="eastAsia" w:ascii="宋体" w:hAnsi="宋体" w:cs="仿宋"/>
                <w:bCs/>
                <w:sz w:val="24"/>
                <w:highlight w:val="none"/>
                <w:lang w:val="en-US" w:eastAsia="zh-CN"/>
              </w:rPr>
              <w:t>1-</w:t>
            </w:r>
            <w:r>
              <w:rPr>
                <w:rFonts w:hint="eastAsia" w:ascii="宋体" w:hAnsi="宋体" w:cs="仿宋"/>
                <w:bCs/>
                <w:sz w:val="24"/>
                <w:highlight w:val="none"/>
                <w:lang w:val="zh-CN"/>
              </w:rPr>
              <w:t>2分。</w:t>
            </w:r>
          </w:p>
          <w:p w14:paraId="1BEB63AA">
            <w:pPr>
              <w:pStyle w:val="2"/>
              <w:spacing w:line="360" w:lineRule="auto"/>
              <w:ind w:firstLine="0" w:firstLineChars="0"/>
              <w:rPr>
                <w:highlight w:val="none"/>
              </w:rPr>
            </w:pPr>
            <w:r>
              <w:rPr>
                <w:rFonts w:hint="eastAsia" w:ascii="宋体" w:hAnsi="宋体" w:cs="仿宋"/>
                <w:bCs/>
                <w:sz w:val="24"/>
                <w:highlight w:val="none"/>
                <w:lang w:val="zh-CN"/>
              </w:rPr>
              <w:t>未提供的得0分。</w:t>
            </w:r>
          </w:p>
        </w:tc>
      </w:tr>
      <w:tr w14:paraId="030F5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1076" w:type="dxa"/>
            <w:vMerge w:val="continue"/>
            <w:vAlign w:val="top"/>
          </w:tcPr>
          <w:p w14:paraId="5D71D50C">
            <w:pPr>
              <w:rPr>
                <w:rFonts w:ascii="宋体" w:hAnsi="宋体" w:cs="宋体"/>
                <w:kern w:val="0"/>
                <w:sz w:val="24"/>
                <w:highlight w:val="none"/>
              </w:rPr>
            </w:pPr>
          </w:p>
        </w:tc>
        <w:tc>
          <w:tcPr>
            <w:tcW w:w="1762" w:type="dxa"/>
            <w:vAlign w:val="center"/>
          </w:tcPr>
          <w:p w14:paraId="166BDAA4">
            <w:pPr>
              <w:spacing w:line="360" w:lineRule="auto"/>
              <w:jc w:val="center"/>
              <w:rPr>
                <w:rFonts w:ascii="宋体" w:hAnsi="宋体" w:cs="仿宋"/>
                <w:kern w:val="0"/>
                <w:sz w:val="24"/>
                <w:highlight w:val="none"/>
              </w:rPr>
            </w:pPr>
            <w:r>
              <w:rPr>
                <w:rFonts w:hint="eastAsia" w:ascii="宋体" w:hAnsi="宋体" w:cs="仿宋"/>
                <w:bCs/>
                <w:sz w:val="24"/>
                <w:highlight w:val="none"/>
              </w:rPr>
              <w:t>2、总体勘测设计技术服务思路（8分）</w:t>
            </w:r>
          </w:p>
        </w:tc>
        <w:tc>
          <w:tcPr>
            <w:tcW w:w="6239" w:type="dxa"/>
            <w:vAlign w:val="center"/>
          </w:tcPr>
          <w:p w14:paraId="1A9A9DC7">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lang w:val="zh-CN"/>
              </w:rPr>
              <w:t>总体</w:t>
            </w:r>
            <w:r>
              <w:rPr>
                <w:rFonts w:hint="eastAsia" w:ascii="宋体" w:hAnsi="宋体" w:cs="仿宋"/>
                <w:bCs/>
                <w:sz w:val="24"/>
                <w:highlight w:val="none"/>
              </w:rPr>
              <w:t>勘测</w:t>
            </w:r>
            <w:r>
              <w:rPr>
                <w:rFonts w:hint="eastAsia" w:ascii="宋体" w:hAnsi="宋体" w:cs="仿宋"/>
                <w:bCs/>
                <w:sz w:val="24"/>
                <w:highlight w:val="none"/>
                <w:lang w:val="zh-CN"/>
              </w:rPr>
              <w:t>设计</w:t>
            </w:r>
            <w:r>
              <w:rPr>
                <w:rFonts w:hint="eastAsia" w:ascii="宋体" w:hAnsi="宋体" w:cs="仿宋"/>
                <w:bCs/>
                <w:sz w:val="24"/>
                <w:highlight w:val="none"/>
              </w:rPr>
              <w:t>技术服务</w:t>
            </w:r>
            <w:r>
              <w:rPr>
                <w:rFonts w:hint="eastAsia" w:ascii="宋体" w:hAnsi="宋体" w:cs="仿宋"/>
                <w:bCs/>
                <w:sz w:val="24"/>
                <w:highlight w:val="none"/>
                <w:lang w:val="zh-CN"/>
              </w:rPr>
              <w:t>思路清晰、符合工程实际，得</w:t>
            </w:r>
            <w:r>
              <w:rPr>
                <w:rFonts w:hint="eastAsia" w:ascii="宋体" w:hAnsi="宋体" w:cs="仿宋"/>
                <w:bCs/>
                <w:sz w:val="24"/>
                <w:highlight w:val="none"/>
                <w:lang w:val="en-US" w:eastAsia="zh-CN"/>
              </w:rPr>
              <w:t>6-</w:t>
            </w:r>
            <w:r>
              <w:rPr>
                <w:rFonts w:hint="eastAsia" w:ascii="宋体" w:hAnsi="宋体" w:cs="仿宋"/>
                <w:bCs/>
                <w:sz w:val="24"/>
                <w:highlight w:val="none"/>
                <w:lang w:val="zh-CN"/>
              </w:rPr>
              <w:t>8分；</w:t>
            </w:r>
          </w:p>
          <w:p w14:paraId="635380B3">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lang w:val="zh-CN"/>
              </w:rPr>
              <w:t>总体</w:t>
            </w:r>
            <w:r>
              <w:rPr>
                <w:rFonts w:hint="eastAsia" w:ascii="宋体" w:hAnsi="宋体" w:cs="仿宋"/>
                <w:bCs/>
                <w:sz w:val="24"/>
                <w:highlight w:val="none"/>
              </w:rPr>
              <w:t>勘测</w:t>
            </w:r>
            <w:r>
              <w:rPr>
                <w:rFonts w:hint="eastAsia" w:ascii="宋体" w:hAnsi="宋体" w:cs="仿宋"/>
                <w:bCs/>
                <w:sz w:val="24"/>
                <w:highlight w:val="none"/>
                <w:lang w:val="zh-CN"/>
              </w:rPr>
              <w:t>设计</w:t>
            </w:r>
            <w:r>
              <w:rPr>
                <w:rFonts w:hint="eastAsia" w:ascii="宋体" w:hAnsi="宋体" w:cs="仿宋"/>
                <w:bCs/>
                <w:sz w:val="24"/>
                <w:highlight w:val="none"/>
              </w:rPr>
              <w:t>技术服务</w:t>
            </w:r>
            <w:r>
              <w:rPr>
                <w:rFonts w:hint="eastAsia" w:ascii="宋体" w:hAnsi="宋体" w:cs="仿宋"/>
                <w:bCs/>
                <w:sz w:val="24"/>
                <w:highlight w:val="none"/>
                <w:lang w:val="zh-CN"/>
              </w:rPr>
              <w:t>思路比较清晰、比较符合工程实际，得</w:t>
            </w:r>
            <w:r>
              <w:rPr>
                <w:rFonts w:hint="eastAsia" w:ascii="宋体" w:hAnsi="宋体" w:cs="仿宋"/>
                <w:bCs/>
                <w:sz w:val="24"/>
                <w:highlight w:val="none"/>
                <w:lang w:val="en-US" w:eastAsia="zh-CN"/>
              </w:rPr>
              <w:t>3-</w:t>
            </w:r>
            <w:r>
              <w:rPr>
                <w:rFonts w:hint="eastAsia" w:ascii="宋体" w:hAnsi="宋体" w:cs="仿宋"/>
                <w:bCs/>
                <w:sz w:val="24"/>
                <w:highlight w:val="none"/>
                <w:lang w:val="zh-CN"/>
              </w:rPr>
              <w:t>5分；</w:t>
            </w:r>
          </w:p>
          <w:p w14:paraId="70824016">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lang w:val="zh-CN"/>
              </w:rPr>
              <w:t>总体</w:t>
            </w:r>
            <w:r>
              <w:rPr>
                <w:rFonts w:hint="eastAsia" w:ascii="宋体" w:hAnsi="宋体" w:cs="仿宋"/>
                <w:bCs/>
                <w:sz w:val="24"/>
                <w:highlight w:val="none"/>
              </w:rPr>
              <w:t>勘测</w:t>
            </w:r>
            <w:r>
              <w:rPr>
                <w:rFonts w:hint="eastAsia" w:ascii="宋体" w:hAnsi="宋体" w:cs="仿宋"/>
                <w:bCs/>
                <w:sz w:val="24"/>
                <w:highlight w:val="none"/>
                <w:lang w:val="zh-CN"/>
              </w:rPr>
              <w:t>设计</w:t>
            </w:r>
            <w:r>
              <w:rPr>
                <w:rFonts w:hint="eastAsia" w:ascii="宋体" w:hAnsi="宋体" w:cs="仿宋"/>
                <w:bCs/>
                <w:sz w:val="24"/>
                <w:highlight w:val="none"/>
              </w:rPr>
              <w:t>技术服务</w:t>
            </w:r>
            <w:r>
              <w:rPr>
                <w:rFonts w:hint="eastAsia" w:ascii="宋体" w:hAnsi="宋体" w:cs="仿宋"/>
                <w:bCs/>
                <w:sz w:val="24"/>
                <w:highlight w:val="none"/>
                <w:lang w:val="zh-CN"/>
              </w:rPr>
              <w:t>思路基本清晰、基本符合工程实际，得</w:t>
            </w:r>
            <w:r>
              <w:rPr>
                <w:rFonts w:hint="eastAsia" w:ascii="宋体" w:hAnsi="宋体" w:cs="仿宋"/>
                <w:bCs/>
                <w:sz w:val="24"/>
                <w:highlight w:val="none"/>
                <w:lang w:val="en-US" w:eastAsia="zh-CN"/>
              </w:rPr>
              <w:t>1-</w:t>
            </w:r>
            <w:r>
              <w:rPr>
                <w:rFonts w:hint="eastAsia" w:ascii="宋体" w:hAnsi="宋体" w:cs="仿宋"/>
                <w:bCs/>
                <w:sz w:val="24"/>
                <w:highlight w:val="none"/>
                <w:lang w:val="zh-CN"/>
              </w:rPr>
              <w:t>2分。</w:t>
            </w:r>
          </w:p>
          <w:p w14:paraId="649918E3">
            <w:pPr>
              <w:pStyle w:val="2"/>
              <w:spacing w:line="360" w:lineRule="auto"/>
              <w:ind w:firstLine="0" w:firstLineChars="0"/>
              <w:rPr>
                <w:highlight w:val="none"/>
              </w:rPr>
            </w:pPr>
            <w:r>
              <w:rPr>
                <w:rFonts w:hint="eastAsia" w:ascii="宋体" w:hAnsi="宋体" w:cs="仿宋"/>
                <w:bCs/>
                <w:sz w:val="24"/>
                <w:highlight w:val="none"/>
                <w:lang w:val="zh-CN"/>
              </w:rPr>
              <w:t>未提供的得0分。</w:t>
            </w:r>
          </w:p>
        </w:tc>
      </w:tr>
      <w:tr w14:paraId="0A50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0" w:hRule="atLeast"/>
        </w:trPr>
        <w:tc>
          <w:tcPr>
            <w:tcW w:w="1076" w:type="dxa"/>
            <w:vMerge w:val="continue"/>
            <w:vAlign w:val="top"/>
          </w:tcPr>
          <w:p w14:paraId="000A308B">
            <w:pPr>
              <w:rPr>
                <w:rFonts w:ascii="宋体" w:hAnsi="宋体" w:cs="宋体"/>
                <w:kern w:val="0"/>
                <w:sz w:val="24"/>
                <w:highlight w:val="none"/>
              </w:rPr>
            </w:pPr>
          </w:p>
        </w:tc>
        <w:tc>
          <w:tcPr>
            <w:tcW w:w="1762" w:type="dxa"/>
            <w:vAlign w:val="center"/>
          </w:tcPr>
          <w:p w14:paraId="58C7D8C5">
            <w:pPr>
              <w:spacing w:line="360" w:lineRule="auto"/>
              <w:jc w:val="center"/>
              <w:rPr>
                <w:rFonts w:ascii="宋体" w:hAnsi="宋体" w:cs="仿宋"/>
                <w:kern w:val="0"/>
                <w:sz w:val="24"/>
                <w:highlight w:val="none"/>
                <w:lang w:val="zh-CN"/>
              </w:rPr>
            </w:pPr>
            <w:r>
              <w:rPr>
                <w:rFonts w:hint="eastAsia" w:ascii="宋体" w:hAnsi="宋体" w:cs="仿宋"/>
                <w:bCs/>
                <w:sz w:val="24"/>
                <w:highlight w:val="none"/>
                <w:lang w:val="zh-CN"/>
              </w:rPr>
              <w:t>3、</w:t>
            </w:r>
            <w:r>
              <w:rPr>
                <w:rFonts w:hint="eastAsia" w:ascii="宋体" w:hAnsi="宋体" w:cs="仿宋"/>
                <w:bCs/>
                <w:sz w:val="24"/>
                <w:highlight w:val="none"/>
              </w:rPr>
              <w:t>勘测</w:t>
            </w:r>
            <w:r>
              <w:rPr>
                <w:rFonts w:hint="eastAsia" w:ascii="宋体" w:hAnsi="宋体" w:cs="仿宋"/>
                <w:bCs/>
                <w:sz w:val="24"/>
                <w:highlight w:val="none"/>
                <w:lang w:val="zh-CN"/>
              </w:rPr>
              <w:t>设计</w:t>
            </w:r>
            <w:r>
              <w:rPr>
                <w:rFonts w:hint="eastAsia" w:ascii="宋体" w:hAnsi="宋体" w:cs="仿宋"/>
                <w:bCs/>
                <w:sz w:val="24"/>
                <w:highlight w:val="none"/>
              </w:rPr>
              <w:t>技术服务</w:t>
            </w:r>
            <w:r>
              <w:rPr>
                <w:rFonts w:hint="eastAsia" w:ascii="宋体" w:hAnsi="宋体" w:cs="仿宋"/>
                <w:bCs/>
                <w:sz w:val="24"/>
                <w:highlight w:val="none"/>
                <w:lang w:val="zh-CN"/>
              </w:rPr>
              <w:t>方案及工作（8分）</w:t>
            </w:r>
          </w:p>
        </w:tc>
        <w:tc>
          <w:tcPr>
            <w:tcW w:w="6239" w:type="dxa"/>
            <w:vAlign w:val="center"/>
          </w:tcPr>
          <w:p w14:paraId="7A77AB85">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rPr>
              <w:t>勘测</w:t>
            </w:r>
            <w:r>
              <w:rPr>
                <w:rFonts w:hint="eastAsia" w:ascii="宋体" w:hAnsi="宋体" w:cs="仿宋"/>
                <w:bCs/>
                <w:sz w:val="24"/>
                <w:highlight w:val="none"/>
                <w:lang w:val="zh-CN"/>
              </w:rPr>
              <w:t>设计</w:t>
            </w:r>
            <w:r>
              <w:rPr>
                <w:rFonts w:hint="eastAsia" w:ascii="宋体" w:hAnsi="宋体" w:cs="仿宋"/>
                <w:bCs/>
                <w:sz w:val="24"/>
                <w:highlight w:val="none"/>
              </w:rPr>
              <w:t>技术服务</w:t>
            </w:r>
            <w:r>
              <w:rPr>
                <w:rFonts w:hint="eastAsia" w:ascii="宋体" w:hAnsi="宋体" w:cs="仿宋"/>
                <w:bCs/>
                <w:sz w:val="24"/>
                <w:highlight w:val="none"/>
                <w:lang w:val="zh-CN"/>
              </w:rPr>
              <w:t>方案及工作合理得</w:t>
            </w:r>
            <w:r>
              <w:rPr>
                <w:rFonts w:hint="eastAsia" w:ascii="宋体" w:hAnsi="宋体" w:cs="仿宋"/>
                <w:bCs/>
                <w:sz w:val="24"/>
                <w:highlight w:val="none"/>
                <w:lang w:val="en-US" w:eastAsia="zh-CN"/>
              </w:rPr>
              <w:t>6-</w:t>
            </w:r>
            <w:r>
              <w:rPr>
                <w:rFonts w:hint="eastAsia" w:ascii="宋体" w:hAnsi="宋体" w:cs="仿宋"/>
                <w:bCs/>
                <w:sz w:val="24"/>
                <w:highlight w:val="none"/>
                <w:lang w:val="zh-CN"/>
              </w:rPr>
              <w:t>8分；</w:t>
            </w:r>
          </w:p>
          <w:p w14:paraId="735E2DCF">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rPr>
              <w:t>勘测</w:t>
            </w:r>
            <w:r>
              <w:rPr>
                <w:rFonts w:hint="eastAsia" w:ascii="宋体" w:hAnsi="宋体" w:cs="仿宋"/>
                <w:bCs/>
                <w:sz w:val="24"/>
                <w:highlight w:val="none"/>
                <w:lang w:val="zh-CN"/>
              </w:rPr>
              <w:t>设计</w:t>
            </w:r>
            <w:r>
              <w:rPr>
                <w:rFonts w:hint="eastAsia" w:ascii="宋体" w:hAnsi="宋体" w:cs="仿宋"/>
                <w:bCs/>
                <w:sz w:val="24"/>
                <w:highlight w:val="none"/>
              </w:rPr>
              <w:t>技术服务</w:t>
            </w:r>
            <w:r>
              <w:rPr>
                <w:rFonts w:hint="eastAsia" w:ascii="宋体" w:hAnsi="宋体" w:cs="仿宋"/>
                <w:bCs/>
                <w:sz w:val="24"/>
                <w:highlight w:val="none"/>
                <w:lang w:val="zh-CN"/>
              </w:rPr>
              <w:t>方案及工作比较合理得</w:t>
            </w:r>
            <w:r>
              <w:rPr>
                <w:rFonts w:hint="eastAsia" w:ascii="宋体" w:hAnsi="宋体" w:cs="仿宋"/>
                <w:bCs/>
                <w:sz w:val="24"/>
                <w:highlight w:val="none"/>
                <w:lang w:val="en-US" w:eastAsia="zh-CN"/>
              </w:rPr>
              <w:t>3-</w:t>
            </w:r>
            <w:r>
              <w:rPr>
                <w:rFonts w:hint="eastAsia" w:ascii="宋体" w:hAnsi="宋体" w:cs="仿宋"/>
                <w:bCs/>
                <w:sz w:val="24"/>
                <w:highlight w:val="none"/>
                <w:lang w:val="zh-CN"/>
              </w:rPr>
              <w:t>5分；</w:t>
            </w:r>
          </w:p>
          <w:p w14:paraId="560EEE4A">
            <w:pPr>
              <w:autoSpaceDE w:val="0"/>
              <w:autoSpaceDN w:val="0"/>
              <w:spacing w:line="360" w:lineRule="auto"/>
              <w:rPr>
                <w:rFonts w:ascii="宋体" w:hAnsi="宋体" w:cs="仿宋"/>
                <w:bCs/>
                <w:sz w:val="24"/>
                <w:highlight w:val="none"/>
                <w:lang w:val="zh-CN"/>
              </w:rPr>
            </w:pPr>
            <w:r>
              <w:rPr>
                <w:rFonts w:hint="eastAsia" w:ascii="宋体" w:hAnsi="宋体" w:cs="仿宋"/>
                <w:bCs/>
                <w:sz w:val="24"/>
                <w:highlight w:val="none"/>
              </w:rPr>
              <w:t>勘测</w:t>
            </w:r>
            <w:r>
              <w:rPr>
                <w:rFonts w:hint="eastAsia" w:ascii="宋体" w:hAnsi="宋体" w:cs="仿宋"/>
                <w:bCs/>
                <w:sz w:val="24"/>
                <w:highlight w:val="none"/>
                <w:lang w:val="zh-CN"/>
              </w:rPr>
              <w:t>设计</w:t>
            </w:r>
            <w:r>
              <w:rPr>
                <w:rFonts w:hint="eastAsia" w:ascii="宋体" w:hAnsi="宋体" w:cs="仿宋"/>
                <w:bCs/>
                <w:sz w:val="24"/>
                <w:highlight w:val="none"/>
              </w:rPr>
              <w:t>技术服务</w:t>
            </w:r>
            <w:r>
              <w:rPr>
                <w:rFonts w:hint="eastAsia" w:ascii="宋体" w:hAnsi="宋体" w:cs="仿宋"/>
                <w:bCs/>
                <w:sz w:val="24"/>
                <w:highlight w:val="none"/>
                <w:lang w:val="zh-CN"/>
              </w:rPr>
              <w:t>方案及工作基本合理得</w:t>
            </w:r>
            <w:r>
              <w:rPr>
                <w:rFonts w:hint="eastAsia" w:ascii="宋体" w:hAnsi="宋体" w:cs="仿宋"/>
                <w:bCs/>
                <w:sz w:val="24"/>
                <w:highlight w:val="none"/>
                <w:lang w:val="en-US" w:eastAsia="zh-CN"/>
              </w:rPr>
              <w:t>1-</w:t>
            </w:r>
            <w:r>
              <w:rPr>
                <w:rFonts w:hint="eastAsia" w:ascii="宋体" w:hAnsi="宋体" w:cs="仿宋"/>
                <w:bCs/>
                <w:sz w:val="24"/>
                <w:highlight w:val="none"/>
                <w:lang w:val="zh-CN"/>
              </w:rPr>
              <w:t>2分。</w:t>
            </w:r>
          </w:p>
          <w:p w14:paraId="3D077957">
            <w:pPr>
              <w:pStyle w:val="2"/>
              <w:spacing w:line="360" w:lineRule="auto"/>
              <w:ind w:firstLine="0" w:firstLineChars="0"/>
              <w:rPr>
                <w:highlight w:val="none"/>
              </w:rPr>
            </w:pPr>
            <w:r>
              <w:rPr>
                <w:rFonts w:hint="eastAsia" w:ascii="宋体" w:hAnsi="宋体" w:cs="仿宋"/>
                <w:bCs/>
                <w:sz w:val="24"/>
                <w:highlight w:val="none"/>
                <w:lang w:val="zh-CN"/>
              </w:rPr>
              <w:t>未提供的得0分。</w:t>
            </w:r>
          </w:p>
        </w:tc>
      </w:tr>
      <w:tr w14:paraId="781DC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76" w:type="dxa"/>
            <w:vMerge w:val="continue"/>
            <w:vAlign w:val="top"/>
          </w:tcPr>
          <w:p w14:paraId="1AF13971">
            <w:pPr>
              <w:rPr>
                <w:rFonts w:ascii="宋体" w:hAnsi="宋体" w:cs="宋体"/>
                <w:sz w:val="24"/>
                <w:highlight w:val="none"/>
              </w:rPr>
            </w:pPr>
          </w:p>
        </w:tc>
        <w:tc>
          <w:tcPr>
            <w:tcW w:w="1762" w:type="dxa"/>
            <w:vAlign w:val="center"/>
          </w:tcPr>
          <w:p w14:paraId="71000229">
            <w:pPr>
              <w:spacing w:line="360" w:lineRule="auto"/>
              <w:jc w:val="center"/>
              <w:rPr>
                <w:rFonts w:cs="仿宋_GB2312" w:asciiTheme="minorEastAsia" w:hAnsiTheme="minorEastAsia" w:eastAsiaTheme="minorEastAsia"/>
                <w:sz w:val="24"/>
                <w:highlight w:val="none"/>
              </w:rPr>
            </w:pPr>
            <w:r>
              <w:rPr>
                <w:rFonts w:hint="eastAsia" w:ascii="宋体" w:hAnsi="宋体" w:cs="仿宋"/>
                <w:bCs/>
                <w:sz w:val="24"/>
                <w:highlight w:val="none"/>
                <w:lang w:val="zh-CN"/>
              </w:rPr>
              <w:t>4、进度计划及保障措施（8分）</w:t>
            </w:r>
          </w:p>
        </w:tc>
        <w:tc>
          <w:tcPr>
            <w:tcW w:w="6239" w:type="dxa"/>
            <w:vAlign w:val="center"/>
          </w:tcPr>
          <w:p w14:paraId="6E7BCA61">
            <w:pPr>
              <w:spacing w:line="360" w:lineRule="auto"/>
              <w:rPr>
                <w:rFonts w:ascii="宋体" w:hAnsi="宋体" w:cs="仿宋"/>
                <w:bCs/>
                <w:sz w:val="24"/>
                <w:highlight w:val="none"/>
                <w:lang w:val="zh-CN"/>
              </w:rPr>
            </w:pPr>
            <w:r>
              <w:rPr>
                <w:rFonts w:hint="eastAsia" w:ascii="宋体" w:hAnsi="宋体" w:cs="仿宋"/>
                <w:bCs/>
                <w:sz w:val="24"/>
                <w:highlight w:val="none"/>
                <w:lang w:val="zh-CN"/>
              </w:rPr>
              <w:t>进度计划合理、保障措施得力得</w:t>
            </w:r>
            <w:r>
              <w:rPr>
                <w:rFonts w:hint="eastAsia" w:ascii="宋体" w:hAnsi="宋体" w:cs="仿宋"/>
                <w:bCs/>
                <w:sz w:val="24"/>
                <w:highlight w:val="none"/>
                <w:lang w:val="en-US" w:eastAsia="zh-CN"/>
              </w:rPr>
              <w:t>6-</w:t>
            </w:r>
            <w:r>
              <w:rPr>
                <w:rFonts w:hint="eastAsia" w:ascii="宋体" w:hAnsi="宋体" w:cs="仿宋"/>
                <w:bCs/>
                <w:sz w:val="24"/>
                <w:highlight w:val="none"/>
                <w:lang w:val="zh-CN"/>
              </w:rPr>
              <w:t>8分；</w:t>
            </w:r>
          </w:p>
          <w:p w14:paraId="4374FCB9">
            <w:pPr>
              <w:spacing w:line="360" w:lineRule="auto"/>
              <w:rPr>
                <w:rFonts w:ascii="宋体" w:hAnsi="宋体" w:cs="仿宋"/>
                <w:bCs/>
                <w:sz w:val="24"/>
                <w:highlight w:val="none"/>
                <w:lang w:val="zh-CN"/>
              </w:rPr>
            </w:pPr>
            <w:r>
              <w:rPr>
                <w:rFonts w:hint="eastAsia" w:ascii="宋体" w:hAnsi="宋体" w:cs="仿宋"/>
                <w:bCs/>
                <w:sz w:val="24"/>
                <w:highlight w:val="none"/>
                <w:lang w:val="zh-CN"/>
              </w:rPr>
              <w:t>进度计划比较合理、保障措施比较得力得</w:t>
            </w:r>
            <w:r>
              <w:rPr>
                <w:rFonts w:hint="eastAsia" w:ascii="宋体" w:hAnsi="宋体" w:cs="仿宋"/>
                <w:bCs/>
                <w:sz w:val="24"/>
                <w:highlight w:val="none"/>
                <w:lang w:val="en-US" w:eastAsia="zh-CN"/>
              </w:rPr>
              <w:t>3-</w:t>
            </w:r>
            <w:r>
              <w:rPr>
                <w:rFonts w:hint="eastAsia" w:ascii="宋体" w:hAnsi="宋体" w:cs="仿宋"/>
                <w:bCs/>
                <w:sz w:val="24"/>
                <w:highlight w:val="none"/>
                <w:lang w:val="zh-CN"/>
              </w:rPr>
              <w:t>5分；</w:t>
            </w:r>
          </w:p>
          <w:p w14:paraId="51E4CA16">
            <w:pPr>
              <w:spacing w:line="360" w:lineRule="auto"/>
              <w:rPr>
                <w:rFonts w:ascii="宋体" w:hAnsi="宋体" w:cs="仿宋"/>
                <w:bCs/>
                <w:sz w:val="24"/>
                <w:highlight w:val="none"/>
                <w:lang w:val="zh-CN"/>
              </w:rPr>
            </w:pPr>
            <w:r>
              <w:rPr>
                <w:rFonts w:hint="eastAsia" w:ascii="宋体" w:hAnsi="宋体" w:cs="仿宋"/>
                <w:bCs/>
                <w:sz w:val="24"/>
                <w:highlight w:val="none"/>
                <w:lang w:val="zh-CN"/>
              </w:rPr>
              <w:t>进度计划基本合理、保障措施基本得力得</w:t>
            </w:r>
            <w:r>
              <w:rPr>
                <w:rFonts w:hint="eastAsia" w:ascii="宋体" w:hAnsi="宋体" w:cs="仿宋"/>
                <w:bCs/>
                <w:sz w:val="24"/>
                <w:highlight w:val="none"/>
                <w:lang w:val="en-US" w:eastAsia="zh-CN"/>
              </w:rPr>
              <w:t>1-</w:t>
            </w:r>
            <w:r>
              <w:rPr>
                <w:rFonts w:hint="eastAsia" w:ascii="宋体" w:hAnsi="宋体" w:cs="仿宋"/>
                <w:bCs/>
                <w:sz w:val="24"/>
                <w:highlight w:val="none"/>
                <w:lang w:val="zh-CN"/>
              </w:rPr>
              <w:t>2分。</w:t>
            </w:r>
          </w:p>
          <w:p w14:paraId="4DA392CA">
            <w:pPr>
              <w:pStyle w:val="2"/>
              <w:spacing w:line="360" w:lineRule="auto"/>
              <w:ind w:firstLine="0" w:firstLineChars="0"/>
              <w:rPr>
                <w:highlight w:val="none"/>
              </w:rPr>
            </w:pPr>
            <w:r>
              <w:rPr>
                <w:rFonts w:hint="eastAsia" w:ascii="宋体" w:hAnsi="宋体" w:cs="仿宋"/>
                <w:bCs/>
                <w:sz w:val="24"/>
                <w:highlight w:val="none"/>
                <w:lang w:val="zh-CN"/>
              </w:rPr>
              <w:t>未提供的得0分。</w:t>
            </w:r>
          </w:p>
        </w:tc>
      </w:tr>
      <w:tr w14:paraId="7B30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76" w:type="dxa"/>
            <w:vMerge w:val="continue"/>
            <w:vAlign w:val="top"/>
          </w:tcPr>
          <w:p w14:paraId="7DC5CA55">
            <w:pPr>
              <w:rPr>
                <w:rFonts w:ascii="宋体" w:hAnsi="宋体"/>
                <w:sz w:val="24"/>
                <w:highlight w:val="none"/>
              </w:rPr>
            </w:pPr>
          </w:p>
        </w:tc>
        <w:tc>
          <w:tcPr>
            <w:tcW w:w="1762" w:type="dxa"/>
            <w:vAlign w:val="center"/>
          </w:tcPr>
          <w:p w14:paraId="0146644E">
            <w:pPr>
              <w:spacing w:line="360" w:lineRule="auto"/>
              <w:jc w:val="center"/>
              <w:rPr>
                <w:rFonts w:ascii="宋体" w:hAnsi="宋体" w:cs="仿宋"/>
                <w:kern w:val="0"/>
                <w:highlight w:val="none"/>
              </w:rPr>
            </w:pPr>
            <w:r>
              <w:rPr>
                <w:rFonts w:hint="eastAsia" w:ascii="宋体" w:hAnsi="宋体" w:cs="仿宋"/>
                <w:bCs/>
                <w:sz w:val="24"/>
                <w:highlight w:val="none"/>
                <w:lang w:val="zh-CN"/>
              </w:rPr>
              <w:t>5、质量保证体系及保证措施（8分）</w:t>
            </w:r>
          </w:p>
        </w:tc>
        <w:tc>
          <w:tcPr>
            <w:tcW w:w="6239" w:type="dxa"/>
            <w:vAlign w:val="center"/>
          </w:tcPr>
          <w:p w14:paraId="78D1E666">
            <w:pPr>
              <w:spacing w:line="360" w:lineRule="auto"/>
              <w:rPr>
                <w:rFonts w:ascii="宋体" w:hAnsi="宋体" w:cs="仿宋"/>
                <w:bCs/>
                <w:sz w:val="24"/>
                <w:highlight w:val="none"/>
                <w:lang w:val="zh-CN"/>
              </w:rPr>
            </w:pPr>
            <w:r>
              <w:rPr>
                <w:rFonts w:hint="eastAsia" w:ascii="宋体" w:hAnsi="宋体" w:cs="仿宋"/>
                <w:bCs/>
                <w:sz w:val="24"/>
                <w:highlight w:val="none"/>
                <w:lang w:val="zh-CN"/>
              </w:rPr>
              <w:t>质量保证体系健全，措施合理得</w:t>
            </w:r>
            <w:r>
              <w:rPr>
                <w:rFonts w:hint="eastAsia" w:ascii="宋体" w:hAnsi="宋体" w:cs="仿宋"/>
                <w:bCs/>
                <w:sz w:val="24"/>
                <w:highlight w:val="none"/>
                <w:lang w:val="en-US" w:eastAsia="zh-CN"/>
              </w:rPr>
              <w:t>6-</w:t>
            </w:r>
            <w:r>
              <w:rPr>
                <w:rFonts w:hint="eastAsia" w:ascii="宋体" w:hAnsi="宋体" w:cs="仿宋"/>
                <w:bCs/>
                <w:sz w:val="24"/>
                <w:highlight w:val="none"/>
                <w:lang w:val="zh-CN"/>
              </w:rPr>
              <w:t>8分；</w:t>
            </w:r>
          </w:p>
          <w:p w14:paraId="7EAA2D01">
            <w:pPr>
              <w:spacing w:line="360" w:lineRule="auto"/>
              <w:rPr>
                <w:rFonts w:ascii="宋体" w:hAnsi="宋体" w:cs="仿宋"/>
                <w:bCs/>
                <w:sz w:val="24"/>
                <w:highlight w:val="none"/>
                <w:lang w:val="zh-CN"/>
              </w:rPr>
            </w:pPr>
            <w:r>
              <w:rPr>
                <w:rFonts w:hint="eastAsia" w:ascii="宋体" w:hAnsi="宋体" w:cs="仿宋"/>
                <w:bCs/>
                <w:sz w:val="24"/>
                <w:highlight w:val="none"/>
                <w:lang w:val="zh-CN"/>
              </w:rPr>
              <w:t>质量保证体系比较健全，措施比较合理得</w:t>
            </w:r>
            <w:r>
              <w:rPr>
                <w:rFonts w:hint="eastAsia" w:ascii="宋体" w:hAnsi="宋体" w:cs="仿宋"/>
                <w:bCs/>
                <w:sz w:val="24"/>
                <w:highlight w:val="none"/>
                <w:lang w:val="en-US" w:eastAsia="zh-CN"/>
              </w:rPr>
              <w:t>3-</w:t>
            </w:r>
            <w:r>
              <w:rPr>
                <w:rFonts w:hint="eastAsia" w:ascii="宋体" w:hAnsi="宋体" w:cs="仿宋"/>
                <w:bCs/>
                <w:sz w:val="24"/>
                <w:highlight w:val="none"/>
                <w:lang w:val="zh-CN"/>
              </w:rPr>
              <w:t>5分；</w:t>
            </w:r>
          </w:p>
          <w:p w14:paraId="4C6B4E97">
            <w:pPr>
              <w:spacing w:line="360" w:lineRule="auto"/>
              <w:rPr>
                <w:rFonts w:ascii="宋体" w:hAnsi="宋体" w:cs="仿宋"/>
                <w:bCs/>
                <w:sz w:val="24"/>
                <w:highlight w:val="none"/>
                <w:lang w:val="zh-CN"/>
              </w:rPr>
            </w:pPr>
            <w:r>
              <w:rPr>
                <w:rFonts w:hint="eastAsia" w:ascii="宋体" w:hAnsi="宋体" w:cs="仿宋"/>
                <w:bCs/>
                <w:sz w:val="24"/>
                <w:highlight w:val="none"/>
                <w:lang w:val="zh-CN"/>
              </w:rPr>
              <w:t>质量保证体系基本健全，措施基本合理得</w:t>
            </w:r>
            <w:r>
              <w:rPr>
                <w:rFonts w:hint="eastAsia" w:ascii="宋体" w:hAnsi="宋体" w:cs="仿宋"/>
                <w:bCs/>
                <w:sz w:val="24"/>
                <w:highlight w:val="none"/>
                <w:lang w:val="en-US" w:eastAsia="zh-CN"/>
              </w:rPr>
              <w:t>1-</w:t>
            </w:r>
            <w:r>
              <w:rPr>
                <w:rFonts w:hint="eastAsia" w:ascii="宋体" w:hAnsi="宋体" w:cs="仿宋"/>
                <w:bCs/>
                <w:sz w:val="24"/>
                <w:highlight w:val="none"/>
                <w:lang w:val="zh-CN"/>
              </w:rPr>
              <w:t>2分。</w:t>
            </w:r>
          </w:p>
          <w:p w14:paraId="69D14C34">
            <w:pPr>
              <w:pStyle w:val="2"/>
              <w:spacing w:line="360" w:lineRule="auto"/>
              <w:ind w:firstLine="0" w:firstLineChars="0"/>
              <w:rPr>
                <w:highlight w:val="none"/>
              </w:rPr>
            </w:pPr>
            <w:r>
              <w:rPr>
                <w:rFonts w:hint="eastAsia" w:ascii="宋体" w:hAnsi="宋体" w:cs="仿宋"/>
                <w:bCs/>
                <w:sz w:val="24"/>
                <w:highlight w:val="none"/>
                <w:lang w:val="zh-CN"/>
              </w:rPr>
              <w:t>未提供的得0分。</w:t>
            </w:r>
          </w:p>
        </w:tc>
      </w:tr>
      <w:tr w14:paraId="76CD0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4" w:hRule="atLeast"/>
        </w:trPr>
        <w:tc>
          <w:tcPr>
            <w:tcW w:w="1076" w:type="dxa"/>
            <w:vMerge w:val="continue"/>
            <w:vAlign w:val="top"/>
          </w:tcPr>
          <w:p w14:paraId="70E90D53">
            <w:pPr>
              <w:rPr>
                <w:rFonts w:ascii="宋体" w:hAnsi="宋体"/>
                <w:sz w:val="24"/>
                <w:highlight w:val="none"/>
              </w:rPr>
            </w:pPr>
          </w:p>
        </w:tc>
        <w:tc>
          <w:tcPr>
            <w:tcW w:w="1762" w:type="dxa"/>
            <w:vAlign w:val="center"/>
          </w:tcPr>
          <w:p w14:paraId="47331FF8">
            <w:pPr>
              <w:spacing w:line="360" w:lineRule="auto"/>
              <w:jc w:val="center"/>
              <w:rPr>
                <w:rFonts w:ascii="宋体" w:hAnsi="宋体" w:cs="仿宋_GB2312"/>
                <w:sz w:val="24"/>
                <w:highlight w:val="none"/>
              </w:rPr>
            </w:pPr>
            <w:r>
              <w:rPr>
                <w:rFonts w:hint="eastAsia" w:ascii="宋体" w:hAnsi="宋体" w:cs="仿宋"/>
                <w:kern w:val="0"/>
                <w:sz w:val="24"/>
                <w:highlight w:val="none"/>
              </w:rPr>
              <w:t>6、后续服务的安排及保证措施（8 分）</w:t>
            </w:r>
          </w:p>
        </w:tc>
        <w:tc>
          <w:tcPr>
            <w:tcW w:w="6239" w:type="dxa"/>
            <w:vAlign w:val="center"/>
          </w:tcPr>
          <w:p w14:paraId="25239108">
            <w:pPr>
              <w:spacing w:line="360" w:lineRule="auto"/>
              <w:jc w:val="left"/>
              <w:rPr>
                <w:rFonts w:ascii="宋体" w:hAnsi="宋体" w:cs="仿宋"/>
                <w:kern w:val="0"/>
                <w:sz w:val="24"/>
                <w:highlight w:val="none"/>
              </w:rPr>
            </w:pPr>
            <w:r>
              <w:rPr>
                <w:rFonts w:hint="eastAsia" w:ascii="宋体" w:hAnsi="宋体" w:cs="仿宋"/>
                <w:kern w:val="0"/>
                <w:sz w:val="24"/>
                <w:highlight w:val="none"/>
              </w:rPr>
              <w:t>由磋商小组根据承诺的服务质量、完成时间、服务保证措施等内容酌情打分：</w:t>
            </w:r>
          </w:p>
          <w:p w14:paraId="274CF352">
            <w:pPr>
              <w:spacing w:line="360" w:lineRule="auto"/>
              <w:jc w:val="left"/>
              <w:rPr>
                <w:rFonts w:hint="eastAsia" w:ascii="宋体" w:hAnsi="宋体" w:cs="仿宋"/>
                <w:kern w:val="0"/>
                <w:sz w:val="24"/>
                <w:highlight w:val="none"/>
              </w:rPr>
            </w:pPr>
            <w:r>
              <w:rPr>
                <w:rFonts w:hint="eastAsia" w:ascii="宋体" w:hAnsi="宋体" w:cs="仿宋"/>
                <w:kern w:val="0"/>
                <w:sz w:val="24"/>
                <w:highlight w:val="none"/>
              </w:rPr>
              <w:t xml:space="preserve">内容详实、考虑周全、措施到位、针对性强得 </w:t>
            </w:r>
            <w:r>
              <w:rPr>
                <w:rFonts w:hint="eastAsia" w:ascii="宋体" w:hAnsi="宋体" w:cs="仿宋"/>
                <w:kern w:val="0"/>
                <w:sz w:val="24"/>
                <w:highlight w:val="none"/>
                <w:lang w:val="en-US" w:eastAsia="zh-CN"/>
              </w:rPr>
              <w:t>6-</w:t>
            </w:r>
            <w:r>
              <w:rPr>
                <w:rFonts w:hint="eastAsia" w:ascii="宋体" w:hAnsi="宋体" w:cs="仿宋"/>
                <w:kern w:val="0"/>
                <w:sz w:val="24"/>
                <w:highlight w:val="none"/>
              </w:rPr>
              <w:t>8 分；</w:t>
            </w:r>
          </w:p>
          <w:p w14:paraId="422623F2">
            <w:pPr>
              <w:spacing w:line="360" w:lineRule="auto"/>
              <w:jc w:val="left"/>
              <w:rPr>
                <w:rFonts w:ascii="宋体" w:hAnsi="宋体" w:cs="仿宋"/>
                <w:kern w:val="0"/>
                <w:sz w:val="24"/>
                <w:highlight w:val="none"/>
              </w:rPr>
            </w:pPr>
            <w:r>
              <w:rPr>
                <w:rFonts w:hint="eastAsia" w:ascii="宋体" w:hAnsi="宋体" w:cs="仿宋"/>
                <w:kern w:val="0"/>
                <w:sz w:val="24"/>
                <w:highlight w:val="none"/>
              </w:rPr>
              <w:t xml:space="preserve">内容基本完整、考虑基本周全、措施有待优化、针对性一般得 </w:t>
            </w:r>
            <w:r>
              <w:rPr>
                <w:rFonts w:hint="eastAsia" w:ascii="宋体" w:hAnsi="宋体" w:cs="仿宋"/>
                <w:kern w:val="0"/>
                <w:sz w:val="24"/>
                <w:highlight w:val="none"/>
                <w:lang w:val="en-US" w:eastAsia="zh-CN"/>
              </w:rPr>
              <w:t>3-</w:t>
            </w:r>
            <w:r>
              <w:rPr>
                <w:rFonts w:hint="eastAsia" w:ascii="宋体" w:hAnsi="宋体" w:cs="仿宋"/>
                <w:kern w:val="0"/>
                <w:sz w:val="24"/>
                <w:highlight w:val="none"/>
              </w:rPr>
              <w:t>5 分；</w:t>
            </w:r>
          </w:p>
          <w:p w14:paraId="1C8EF616">
            <w:pPr>
              <w:spacing w:line="360" w:lineRule="auto"/>
              <w:jc w:val="left"/>
              <w:rPr>
                <w:rFonts w:ascii="宋体" w:hAnsi="宋体" w:cs="仿宋"/>
                <w:kern w:val="0"/>
                <w:sz w:val="24"/>
                <w:highlight w:val="none"/>
              </w:rPr>
            </w:pPr>
            <w:r>
              <w:rPr>
                <w:rFonts w:hint="eastAsia" w:ascii="宋体" w:hAnsi="宋体" w:cs="仿宋"/>
                <w:kern w:val="0"/>
                <w:sz w:val="24"/>
                <w:highlight w:val="none"/>
              </w:rPr>
              <w:t xml:space="preserve">内容不完整、考虑不周全、措施不到位、针对性差得 </w:t>
            </w:r>
            <w:r>
              <w:rPr>
                <w:rFonts w:hint="eastAsia" w:ascii="宋体" w:hAnsi="宋体" w:cs="仿宋"/>
                <w:kern w:val="0"/>
                <w:sz w:val="24"/>
                <w:highlight w:val="none"/>
                <w:lang w:val="en-US" w:eastAsia="zh-CN"/>
              </w:rPr>
              <w:t>1-</w:t>
            </w:r>
            <w:r>
              <w:rPr>
                <w:rFonts w:hint="eastAsia" w:ascii="宋体" w:hAnsi="宋体" w:cs="仿宋"/>
                <w:kern w:val="0"/>
                <w:sz w:val="24"/>
                <w:highlight w:val="none"/>
              </w:rPr>
              <w:t>2 分；</w:t>
            </w:r>
          </w:p>
          <w:p w14:paraId="00D36962">
            <w:pPr>
              <w:spacing w:line="360" w:lineRule="auto"/>
              <w:jc w:val="left"/>
              <w:rPr>
                <w:highlight w:val="none"/>
              </w:rPr>
            </w:pPr>
            <w:r>
              <w:rPr>
                <w:rFonts w:hint="eastAsia" w:ascii="宋体" w:hAnsi="宋体" w:cs="仿宋"/>
                <w:bCs/>
                <w:sz w:val="24"/>
                <w:highlight w:val="none"/>
                <w:lang w:val="zh-CN"/>
              </w:rPr>
              <w:t>未提供的得0分。</w:t>
            </w:r>
          </w:p>
        </w:tc>
      </w:tr>
      <w:tr w14:paraId="704D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trPr>
        <w:tc>
          <w:tcPr>
            <w:tcW w:w="1076" w:type="dxa"/>
            <w:vMerge w:val="continue"/>
            <w:vAlign w:val="top"/>
          </w:tcPr>
          <w:p w14:paraId="721DEAA1">
            <w:pPr>
              <w:rPr>
                <w:rFonts w:ascii="宋体" w:hAnsi="宋体"/>
                <w:sz w:val="24"/>
                <w:highlight w:val="none"/>
              </w:rPr>
            </w:pPr>
          </w:p>
        </w:tc>
        <w:tc>
          <w:tcPr>
            <w:tcW w:w="1762" w:type="dxa"/>
            <w:vAlign w:val="center"/>
          </w:tcPr>
          <w:p w14:paraId="379245D6">
            <w:pPr>
              <w:spacing w:line="360" w:lineRule="auto"/>
              <w:jc w:val="center"/>
              <w:rPr>
                <w:rFonts w:ascii="宋体" w:hAnsi="宋体"/>
                <w:sz w:val="24"/>
                <w:highlight w:val="none"/>
              </w:rPr>
            </w:pPr>
            <w:r>
              <w:rPr>
                <w:rFonts w:hint="eastAsia" w:ascii="宋体" w:hAnsi="宋体" w:cs="仿宋"/>
                <w:kern w:val="0"/>
                <w:sz w:val="24"/>
                <w:highlight w:val="none"/>
                <w:lang w:val="zh-CN"/>
              </w:rPr>
              <w:t>7、工作重点、难点</w:t>
            </w:r>
            <w:r>
              <w:rPr>
                <w:rFonts w:hint="eastAsia"/>
                <w:sz w:val="24"/>
                <w:highlight w:val="none"/>
                <w:lang w:bidi="zh-CN"/>
              </w:rPr>
              <w:t>分析及</w:t>
            </w:r>
            <w:r>
              <w:rPr>
                <w:rFonts w:hint="eastAsia" w:ascii="宋体" w:hAnsi="宋体" w:cs="仿宋"/>
                <w:kern w:val="0"/>
                <w:sz w:val="24"/>
                <w:highlight w:val="none"/>
                <w:lang w:val="zh-CN"/>
              </w:rPr>
              <w:t>合理化建议（</w:t>
            </w:r>
            <w:r>
              <w:rPr>
                <w:rFonts w:hint="eastAsia" w:ascii="宋体" w:hAnsi="宋体" w:cs="仿宋"/>
                <w:kern w:val="0"/>
                <w:sz w:val="24"/>
                <w:highlight w:val="none"/>
              </w:rPr>
              <w:t>7</w:t>
            </w:r>
            <w:r>
              <w:rPr>
                <w:rFonts w:hint="eastAsia" w:ascii="宋体" w:hAnsi="宋体" w:cs="仿宋"/>
                <w:kern w:val="0"/>
                <w:sz w:val="24"/>
                <w:highlight w:val="none"/>
                <w:lang w:val="zh-CN"/>
              </w:rPr>
              <w:t>分）</w:t>
            </w:r>
          </w:p>
        </w:tc>
        <w:tc>
          <w:tcPr>
            <w:tcW w:w="6239" w:type="dxa"/>
            <w:vAlign w:val="center"/>
          </w:tcPr>
          <w:p w14:paraId="0791DA98">
            <w:pPr>
              <w:spacing w:line="360" w:lineRule="auto"/>
              <w:jc w:val="left"/>
              <w:rPr>
                <w:rFonts w:ascii="宋体" w:hAnsi="宋体" w:cs="仿宋"/>
                <w:kern w:val="0"/>
                <w:sz w:val="24"/>
                <w:highlight w:val="none"/>
              </w:rPr>
            </w:pPr>
            <w:r>
              <w:rPr>
                <w:rFonts w:hint="eastAsia" w:ascii="宋体" w:hAnsi="宋体" w:cs="仿宋"/>
                <w:kern w:val="0"/>
                <w:sz w:val="24"/>
                <w:highlight w:val="none"/>
              </w:rPr>
              <w:t>结合本项目特点，对</w:t>
            </w:r>
            <w:r>
              <w:rPr>
                <w:rFonts w:hint="eastAsia" w:ascii="宋体" w:hAnsi="宋体" w:cs="仿宋"/>
                <w:kern w:val="0"/>
                <w:sz w:val="24"/>
                <w:highlight w:val="none"/>
                <w:lang w:val="zh-CN"/>
              </w:rPr>
              <w:t>工作重点、</w:t>
            </w:r>
            <w:r>
              <w:rPr>
                <w:rFonts w:hint="eastAsia" w:ascii="宋体" w:hAnsi="宋体" w:cs="仿宋"/>
                <w:kern w:val="0"/>
                <w:sz w:val="24"/>
                <w:highlight w:val="none"/>
              </w:rPr>
              <w:t>难点分析并给出合理化建议：</w:t>
            </w:r>
          </w:p>
          <w:p w14:paraId="46E3D270">
            <w:pPr>
              <w:spacing w:line="360" w:lineRule="auto"/>
              <w:jc w:val="left"/>
              <w:rPr>
                <w:rFonts w:ascii="宋体" w:hAnsi="宋体" w:cs="仿宋"/>
                <w:kern w:val="0"/>
                <w:sz w:val="24"/>
                <w:highlight w:val="none"/>
              </w:rPr>
            </w:pPr>
            <w:r>
              <w:rPr>
                <w:rFonts w:hint="eastAsia" w:ascii="宋体" w:hAnsi="宋体" w:cs="仿宋"/>
                <w:kern w:val="0"/>
                <w:sz w:val="24"/>
                <w:highlight w:val="none"/>
              </w:rPr>
              <w:t>内容详实、考虑周全、合理完善的得</w:t>
            </w:r>
            <w:r>
              <w:rPr>
                <w:rFonts w:hint="eastAsia" w:ascii="宋体" w:hAnsi="宋体" w:cs="仿宋"/>
                <w:kern w:val="0"/>
                <w:sz w:val="24"/>
                <w:highlight w:val="none"/>
                <w:lang w:val="en-US" w:eastAsia="zh-CN"/>
              </w:rPr>
              <w:t>5-</w:t>
            </w:r>
            <w:r>
              <w:rPr>
                <w:rFonts w:hint="eastAsia" w:ascii="宋体" w:hAnsi="宋体" w:cs="仿宋"/>
                <w:kern w:val="0"/>
                <w:sz w:val="24"/>
                <w:highlight w:val="none"/>
              </w:rPr>
              <w:t>7分；</w:t>
            </w:r>
          </w:p>
          <w:p w14:paraId="112AC98A">
            <w:pPr>
              <w:spacing w:line="360" w:lineRule="auto"/>
              <w:jc w:val="left"/>
              <w:rPr>
                <w:rFonts w:ascii="宋体" w:hAnsi="宋体" w:cs="仿宋"/>
                <w:kern w:val="0"/>
                <w:sz w:val="24"/>
                <w:highlight w:val="none"/>
              </w:rPr>
            </w:pPr>
            <w:r>
              <w:rPr>
                <w:rFonts w:hint="eastAsia" w:ascii="宋体" w:hAnsi="宋体" w:cs="仿宋"/>
                <w:kern w:val="0"/>
                <w:sz w:val="24"/>
                <w:highlight w:val="none"/>
              </w:rPr>
              <w:t>内容基本完整、考虑基本周全、合理完善度的一般得</w:t>
            </w:r>
            <w:r>
              <w:rPr>
                <w:rFonts w:hint="eastAsia" w:ascii="宋体" w:hAnsi="宋体" w:cs="仿宋"/>
                <w:kern w:val="0"/>
                <w:sz w:val="24"/>
                <w:highlight w:val="none"/>
                <w:lang w:val="en-US" w:eastAsia="zh-CN"/>
              </w:rPr>
              <w:t>2-</w:t>
            </w:r>
            <w:r>
              <w:rPr>
                <w:rFonts w:hint="eastAsia" w:ascii="宋体" w:hAnsi="宋体" w:cs="仿宋"/>
                <w:kern w:val="0"/>
                <w:sz w:val="24"/>
                <w:highlight w:val="none"/>
              </w:rPr>
              <w:t>4分；</w:t>
            </w:r>
          </w:p>
          <w:p w14:paraId="6919D24B">
            <w:pPr>
              <w:spacing w:line="360" w:lineRule="auto"/>
              <w:jc w:val="left"/>
              <w:rPr>
                <w:highlight w:val="none"/>
              </w:rPr>
            </w:pPr>
            <w:r>
              <w:rPr>
                <w:rFonts w:hint="eastAsia" w:ascii="宋体" w:hAnsi="宋体" w:cs="仿宋"/>
                <w:kern w:val="0"/>
                <w:sz w:val="24"/>
                <w:highlight w:val="none"/>
              </w:rPr>
              <w:t>内容不完整、考虑不周全、不合理完善的得1分；</w:t>
            </w:r>
            <w:r>
              <w:rPr>
                <w:rFonts w:hint="eastAsia" w:ascii="宋体" w:hAnsi="宋体" w:cs="仿宋"/>
                <w:bCs/>
                <w:sz w:val="24"/>
                <w:highlight w:val="none"/>
                <w:lang w:val="zh-CN"/>
              </w:rPr>
              <w:t>未提供的得0分。</w:t>
            </w:r>
          </w:p>
        </w:tc>
      </w:tr>
      <w:tr w14:paraId="0A83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1076" w:type="dxa"/>
            <w:vMerge w:val="restart"/>
            <w:vAlign w:val="center"/>
          </w:tcPr>
          <w:p w14:paraId="054FDBC3">
            <w:pPr>
              <w:autoSpaceDE w:val="0"/>
              <w:autoSpaceDN w:val="0"/>
              <w:adjustRightInd w:val="0"/>
              <w:spacing w:line="360" w:lineRule="auto"/>
              <w:ind w:firstLine="120" w:firstLineChars="50"/>
              <w:jc w:val="center"/>
              <w:rPr>
                <w:rFonts w:ascii="宋体" w:hAnsi="宋体"/>
                <w:sz w:val="24"/>
                <w:highlight w:val="none"/>
              </w:rPr>
            </w:pPr>
            <w:r>
              <w:rPr>
                <w:rFonts w:hint="eastAsia" w:ascii="宋体" w:hAnsi="宋体"/>
                <w:sz w:val="24"/>
                <w:highlight w:val="none"/>
              </w:rPr>
              <w:t>商务部分</w:t>
            </w:r>
          </w:p>
          <w:p w14:paraId="64083373">
            <w:pPr>
              <w:autoSpaceDE w:val="0"/>
              <w:autoSpaceDN w:val="0"/>
              <w:adjustRightInd w:val="0"/>
              <w:spacing w:line="360" w:lineRule="auto"/>
              <w:ind w:firstLine="120" w:firstLineChars="50"/>
              <w:jc w:val="center"/>
              <w:rPr>
                <w:rFonts w:ascii="宋体" w:hAnsi="宋体"/>
                <w:sz w:val="24"/>
                <w:highlight w:val="none"/>
              </w:rPr>
            </w:pPr>
            <w:r>
              <w:rPr>
                <w:rFonts w:hint="eastAsia" w:ascii="宋体" w:hAnsi="宋体"/>
                <w:sz w:val="24"/>
                <w:highlight w:val="none"/>
              </w:rPr>
              <w:t>（30分）</w:t>
            </w:r>
          </w:p>
        </w:tc>
        <w:tc>
          <w:tcPr>
            <w:tcW w:w="1762" w:type="dxa"/>
            <w:vAlign w:val="center"/>
          </w:tcPr>
          <w:p w14:paraId="6FA3784A">
            <w:pPr>
              <w:spacing w:line="360" w:lineRule="auto"/>
              <w:rPr>
                <w:rFonts w:ascii="宋体" w:hAnsi="宋体" w:cs="Courier New"/>
                <w:sz w:val="24"/>
                <w:highlight w:val="none"/>
              </w:rPr>
            </w:pPr>
            <w:r>
              <w:rPr>
                <w:rFonts w:hint="eastAsia" w:ascii="宋体" w:hAnsi="宋体" w:cs="仿宋_GB2312"/>
                <w:sz w:val="24"/>
                <w:highlight w:val="none"/>
              </w:rPr>
              <w:t>1、企业业绩（</w:t>
            </w:r>
            <w:r>
              <w:rPr>
                <w:rFonts w:hint="eastAsia" w:ascii="宋体" w:hAnsi="宋体" w:cs="仿宋_GB2312"/>
                <w:sz w:val="24"/>
                <w:highlight w:val="none"/>
                <w:lang w:val="en-US" w:eastAsia="zh-CN"/>
              </w:rPr>
              <w:t>8</w:t>
            </w:r>
            <w:r>
              <w:rPr>
                <w:rFonts w:hint="eastAsia" w:ascii="宋体" w:hAnsi="宋体" w:cs="仿宋_GB2312"/>
                <w:sz w:val="24"/>
                <w:highlight w:val="none"/>
              </w:rPr>
              <w:t>分）</w:t>
            </w:r>
          </w:p>
        </w:tc>
        <w:tc>
          <w:tcPr>
            <w:tcW w:w="6239" w:type="dxa"/>
            <w:vAlign w:val="center"/>
          </w:tcPr>
          <w:p w14:paraId="0D374CC9">
            <w:pPr>
              <w:spacing w:line="360" w:lineRule="auto"/>
              <w:jc w:val="left"/>
              <w:rPr>
                <w:highlight w:val="none"/>
              </w:rPr>
            </w:pPr>
            <w:r>
              <w:rPr>
                <w:rFonts w:hint="eastAsia" w:ascii="宋体" w:hAnsi="宋体" w:cs="宋体"/>
                <w:sz w:val="24"/>
                <w:highlight w:val="none"/>
              </w:rPr>
              <w:t>供应商202</w:t>
            </w:r>
            <w:r>
              <w:rPr>
                <w:rFonts w:hint="eastAsia" w:ascii="宋体" w:hAnsi="宋体" w:cs="宋体"/>
                <w:sz w:val="24"/>
                <w:highlight w:val="none"/>
                <w:lang w:val="en-US" w:eastAsia="zh-CN"/>
              </w:rPr>
              <w:t>3</w:t>
            </w:r>
            <w:r>
              <w:rPr>
                <w:rFonts w:hint="eastAsia" w:ascii="宋体" w:hAnsi="宋体" w:cs="宋体"/>
                <w:sz w:val="24"/>
                <w:highlight w:val="none"/>
              </w:rPr>
              <w:t>年1月1日以来承担过类似</w:t>
            </w:r>
            <w:r>
              <w:rPr>
                <w:rFonts w:hint="eastAsia" w:ascii="宋体" w:hAnsi="宋体"/>
                <w:sz w:val="24"/>
                <w:highlight w:val="none"/>
              </w:rPr>
              <w:t>勘察（勘测）或设计</w:t>
            </w:r>
            <w:r>
              <w:rPr>
                <w:rFonts w:hint="eastAsia" w:ascii="宋体" w:hAnsi="宋体" w:cs="宋体"/>
                <w:sz w:val="24"/>
                <w:highlight w:val="none"/>
              </w:rPr>
              <w:t>项目业绩，每</w:t>
            </w:r>
            <w:r>
              <w:rPr>
                <w:rFonts w:hint="eastAsia" w:ascii="宋体" w:hAnsi="宋体" w:cs="仿宋"/>
                <w:kern w:val="0"/>
                <w:sz w:val="24"/>
                <w:highlight w:val="none"/>
              </w:rPr>
              <w:t>提供一个</w:t>
            </w:r>
            <w:r>
              <w:rPr>
                <w:rFonts w:hint="eastAsia" w:ascii="宋体" w:hAnsi="宋体" w:cs="宋体"/>
                <w:sz w:val="24"/>
                <w:highlight w:val="none"/>
              </w:rPr>
              <w:t>得2分，最多得</w:t>
            </w:r>
            <w:r>
              <w:rPr>
                <w:rFonts w:hint="eastAsia" w:ascii="宋体" w:hAnsi="宋体" w:cs="宋体"/>
                <w:sz w:val="24"/>
                <w:highlight w:val="none"/>
                <w:lang w:val="en-US" w:eastAsia="zh-CN"/>
              </w:rPr>
              <w:t>8</w:t>
            </w:r>
            <w:r>
              <w:rPr>
                <w:rFonts w:hint="eastAsia" w:ascii="宋体" w:hAnsi="宋体" w:cs="宋体"/>
                <w:sz w:val="24"/>
                <w:highlight w:val="none"/>
              </w:rPr>
              <w:t>分。</w:t>
            </w:r>
            <w:r>
              <w:rPr>
                <w:rFonts w:hint="eastAsia" w:ascii="宋体" w:hAnsi="宋体" w:cs="宋体"/>
                <w:bCs/>
                <w:sz w:val="24"/>
                <w:highlight w:val="none"/>
              </w:rPr>
              <w:t>（须提供</w:t>
            </w:r>
            <w:r>
              <w:rPr>
                <w:rFonts w:hint="eastAsia" w:ascii="宋体" w:hAnsi="宋体"/>
                <w:sz w:val="24"/>
                <w:highlight w:val="none"/>
              </w:rPr>
              <w:t>中标通知书</w:t>
            </w:r>
            <w:r>
              <w:rPr>
                <w:rFonts w:hint="eastAsia" w:ascii="宋体" w:hAnsi="宋体" w:cs="宋体"/>
                <w:sz w:val="24"/>
                <w:highlight w:val="none"/>
              </w:rPr>
              <w:t>和</w:t>
            </w:r>
            <w:r>
              <w:rPr>
                <w:rFonts w:hint="eastAsia" w:ascii="宋体" w:hAnsi="宋体" w:cs="仿宋"/>
                <w:kern w:val="0"/>
                <w:sz w:val="24"/>
                <w:highlight w:val="none"/>
              </w:rPr>
              <w:t>合同协议书</w:t>
            </w:r>
            <w:r>
              <w:rPr>
                <w:rFonts w:hint="eastAsia" w:ascii="宋体" w:hAnsi="宋体" w:cs="宋体"/>
                <w:bCs/>
                <w:sz w:val="24"/>
                <w:highlight w:val="none"/>
              </w:rPr>
              <w:t>原件的扫描件并加盖公章，</w:t>
            </w:r>
            <w:r>
              <w:rPr>
                <w:rFonts w:hint="eastAsia" w:ascii="宋体" w:hAnsi="宋体" w:cs="仿宋"/>
                <w:kern w:val="0"/>
                <w:sz w:val="24"/>
                <w:highlight w:val="none"/>
              </w:rPr>
              <w:t>时间</w:t>
            </w:r>
            <w:r>
              <w:rPr>
                <w:rFonts w:hint="eastAsia" w:ascii="宋体" w:hAnsi="宋体" w:cs="宋体"/>
                <w:bCs/>
                <w:sz w:val="24"/>
                <w:highlight w:val="none"/>
              </w:rPr>
              <w:t>以合同签订日期为准。）</w:t>
            </w:r>
          </w:p>
        </w:tc>
      </w:tr>
      <w:tr w14:paraId="5481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rPr>
        <w:tc>
          <w:tcPr>
            <w:tcW w:w="1076" w:type="dxa"/>
            <w:vMerge w:val="continue"/>
            <w:vAlign w:val="center"/>
          </w:tcPr>
          <w:p w14:paraId="7F66D53E">
            <w:pPr>
              <w:autoSpaceDE w:val="0"/>
              <w:autoSpaceDN w:val="0"/>
              <w:adjustRightInd w:val="0"/>
              <w:spacing w:line="360" w:lineRule="auto"/>
              <w:ind w:firstLine="121" w:firstLineChars="50"/>
              <w:jc w:val="center"/>
              <w:rPr>
                <w:rFonts w:ascii="宋体" w:hAnsi="宋体"/>
                <w:spacing w:val="1"/>
                <w:kern w:val="0"/>
                <w:sz w:val="24"/>
                <w:highlight w:val="none"/>
              </w:rPr>
            </w:pPr>
          </w:p>
        </w:tc>
        <w:tc>
          <w:tcPr>
            <w:tcW w:w="1762" w:type="dxa"/>
            <w:vAlign w:val="center"/>
          </w:tcPr>
          <w:p w14:paraId="3C3CCFEC">
            <w:pPr>
              <w:spacing w:line="360" w:lineRule="auto"/>
              <w:rPr>
                <w:highlight w:val="none"/>
              </w:rPr>
            </w:pPr>
            <w:r>
              <w:rPr>
                <w:rFonts w:hint="eastAsia" w:ascii="宋体" w:hAnsi="宋体" w:cs="仿宋"/>
                <w:kern w:val="0"/>
                <w:sz w:val="24"/>
                <w:highlight w:val="none"/>
              </w:rPr>
              <w:t>2、项目管理机构</w:t>
            </w:r>
            <w:r>
              <w:rPr>
                <w:rFonts w:hint="eastAsia" w:ascii="宋体" w:hAnsi="宋体" w:cs="仿宋"/>
                <w:kern w:val="0"/>
                <w:sz w:val="24"/>
                <w:highlight w:val="none"/>
                <w:lang w:val="zh-CN"/>
              </w:rPr>
              <w:t>（</w:t>
            </w:r>
            <w:r>
              <w:rPr>
                <w:rFonts w:hint="eastAsia" w:ascii="宋体" w:hAnsi="宋体" w:cs="仿宋"/>
                <w:kern w:val="0"/>
                <w:sz w:val="24"/>
                <w:highlight w:val="none"/>
              </w:rPr>
              <w:t>10分</w:t>
            </w:r>
            <w:r>
              <w:rPr>
                <w:rFonts w:hint="eastAsia" w:ascii="宋体" w:hAnsi="宋体" w:cs="仿宋"/>
                <w:kern w:val="0"/>
                <w:sz w:val="24"/>
                <w:highlight w:val="none"/>
                <w:lang w:val="zh-CN"/>
              </w:rPr>
              <w:t>）</w:t>
            </w:r>
          </w:p>
        </w:tc>
        <w:tc>
          <w:tcPr>
            <w:tcW w:w="6239" w:type="dxa"/>
            <w:vAlign w:val="center"/>
          </w:tcPr>
          <w:p w14:paraId="07074F7F">
            <w:pPr>
              <w:spacing w:line="360" w:lineRule="auto"/>
              <w:rPr>
                <w:highlight w:val="none"/>
              </w:rPr>
            </w:pPr>
            <w:r>
              <w:rPr>
                <w:rFonts w:hint="eastAsia" w:ascii="宋体" w:hAnsi="宋体" w:cs="仿宋"/>
                <w:kern w:val="0"/>
                <w:sz w:val="24"/>
                <w:highlight w:val="none"/>
              </w:rPr>
              <w:t>项目组成员（除项目负责人外）具有水利相关专业高级职称每提供一个得 2分,最多得 8分；具有水利相关专业中级职称每提供一个得 1分,最多得 2 分（附证书原件的扫描件和</w:t>
            </w:r>
            <w:r>
              <w:rPr>
                <w:rFonts w:hint="eastAsia" w:ascii="宋体" w:hAnsi="宋体"/>
                <w:bCs/>
                <w:sz w:val="24"/>
                <w:highlight w:val="none"/>
              </w:rPr>
              <w:t>近半年连续三个月</w:t>
            </w:r>
            <w:r>
              <w:rPr>
                <w:rFonts w:hint="eastAsia" w:ascii="宋体" w:hAnsi="宋体"/>
                <w:sz w:val="24"/>
                <w:highlight w:val="none"/>
              </w:rPr>
              <w:t>社保缴费证明</w:t>
            </w:r>
            <w:r>
              <w:rPr>
                <w:rFonts w:hint="eastAsia" w:ascii="宋体" w:hAnsi="宋体" w:cs="仿宋"/>
                <w:kern w:val="0"/>
                <w:sz w:val="24"/>
                <w:highlight w:val="none"/>
              </w:rPr>
              <w:t>，否则不得分。） 。</w:t>
            </w:r>
          </w:p>
        </w:tc>
      </w:tr>
      <w:tr w14:paraId="00197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rPr>
        <w:tc>
          <w:tcPr>
            <w:tcW w:w="1076" w:type="dxa"/>
            <w:vMerge w:val="continue"/>
            <w:vAlign w:val="center"/>
          </w:tcPr>
          <w:p w14:paraId="317A72F8">
            <w:pPr>
              <w:autoSpaceDE w:val="0"/>
              <w:autoSpaceDN w:val="0"/>
              <w:adjustRightInd w:val="0"/>
              <w:spacing w:line="360" w:lineRule="auto"/>
              <w:ind w:firstLine="121" w:firstLineChars="50"/>
              <w:jc w:val="center"/>
              <w:rPr>
                <w:rFonts w:ascii="宋体" w:hAnsi="宋体"/>
                <w:spacing w:val="1"/>
                <w:kern w:val="0"/>
                <w:sz w:val="24"/>
                <w:highlight w:val="none"/>
              </w:rPr>
            </w:pPr>
          </w:p>
        </w:tc>
        <w:tc>
          <w:tcPr>
            <w:tcW w:w="1762" w:type="dxa"/>
            <w:vAlign w:val="center"/>
          </w:tcPr>
          <w:p w14:paraId="679EFD38">
            <w:pPr>
              <w:spacing w:line="360" w:lineRule="auto"/>
              <w:rPr>
                <w:rFonts w:hint="eastAsia" w:ascii="宋体" w:hAnsi="宋体" w:cs="仿宋"/>
                <w:kern w:val="0"/>
                <w:sz w:val="24"/>
                <w:highlight w:val="none"/>
              </w:rPr>
            </w:pPr>
            <w:r>
              <w:rPr>
                <w:rFonts w:hint="eastAsia" w:ascii="宋体" w:hAnsi="宋体" w:cs="仿宋_GB2312"/>
                <w:sz w:val="24"/>
                <w:highlight w:val="none"/>
              </w:rPr>
              <w:t>3、认证证书（</w:t>
            </w:r>
            <w:r>
              <w:rPr>
                <w:rFonts w:hint="eastAsia" w:ascii="宋体" w:hAnsi="宋体" w:cs="仿宋_GB2312"/>
                <w:sz w:val="24"/>
                <w:highlight w:val="none"/>
                <w:lang w:val="en-US" w:eastAsia="zh-CN"/>
              </w:rPr>
              <w:t>2</w:t>
            </w:r>
            <w:r>
              <w:rPr>
                <w:rFonts w:hint="eastAsia" w:ascii="宋体" w:hAnsi="宋体" w:cs="仿宋_GB2312"/>
                <w:sz w:val="24"/>
                <w:highlight w:val="none"/>
              </w:rPr>
              <w:t>分）</w:t>
            </w:r>
          </w:p>
        </w:tc>
        <w:tc>
          <w:tcPr>
            <w:tcW w:w="6239" w:type="dxa"/>
            <w:vAlign w:val="center"/>
          </w:tcPr>
          <w:p w14:paraId="7BCB62A9">
            <w:pPr>
              <w:autoSpaceDE w:val="0"/>
              <w:autoSpaceDN w:val="0"/>
              <w:adjustRightInd w:val="0"/>
              <w:spacing w:line="360" w:lineRule="auto"/>
              <w:rPr>
                <w:rFonts w:hint="eastAsia" w:ascii="宋体" w:hAnsi="宋体" w:cs="仿宋"/>
                <w:kern w:val="0"/>
                <w:sz w:val="24"/>
                <w:highlight w:val="none"/>
              </w:rPr>
            </w:pPr>
            <w:r>
              <w:rPr>
                <w:rFonts w:hint="eastAsia" w:ascii="宋体" w:hAnsi="宋体" w:cs="宋体"/>
                <w:sz w:val="24"/>
                <w:highlight w:val="none"/>
              </w:rPr>
              <w:t>具有有效期内的质量管理体系认证证书</w:t>
            </w:r>
            <w:r>
              <w:rPr>
                <w:rFonts w:hint="eastAsia" w:ascii="宋体" w:hAnsi="宋体"/>
                <w:sz w:val="24"/>
                <w:highlight w:val="none"/>
              </w:rPr>
              <w:t>、</w:t>
            </w:r>
            <w:r>
              <w:rPr>
                <w:rFonts w:hint="eastAsia" w:ascii="宋体" w:hAnsi="宋体" w:cs="宋体"/>
                <w:sz w:val="24"/>
                <w:highlight w:val="none"/>
              </w:rPr>
              <w:t>职业健康安全管理体系认证证书</w:t>
            </w:r>
            <w:r>
              <w:rPr>
                <w:rFonts w:hint="eastAsia" w:ascii="宋体" w:hAnsi="宋体"/>
                <w:sz w:val="24"/>
                <w:highlight w:val="none"/>
              </w:rPr>
              <w:t>、</w:t>
            </w:r>
            <w:r>
              <w:rPr>
                <w:rFonts w:hint="eastAsia" w:ascii="宋体" w:hAnsi="宋体" w:cs="宋体"/>
                <w:sz w:val="24"/>
                <w:highlight w:val="none"/>
              </w:rPr>
              <w:t>环境管理体系认证证书</w:t>
            </w:r>
            <w:r>
              <w:rPr>
                <w:rFonts w:hint="eastAsia" w:ascii="宋体" w:hAnsi="宋体"/>
                <w:sz w:val="24"/>
                <w:highlight w:val="none"/>
              </w:rPr>
              <w:t>的，得</w:t>
            </w:r>
            <w:r>
              <w:rPr>
                <w:rFonts w:hint="eastAsia" w:ascii="宋体" w:hAnsi="宋体"/>
                <w:sz w:val="24"/>
                <w:highlight w:val="none"/>
                <w:lang w:val="en-US" w:eastAsia="zh-CN"/>
              </w:rPr>
              <w:t>2</w:t>
            </w:r>
            <w:r>
              <w:rPr>
                <w:rFonts w:hint="eastAsia" w:ascii="宋体" w:hAnsi="宋体"/>
                <w:sz w:val="24"/>
                <w:highlight w:val="none"/>
              </w:rPr>
              <w:t>分。缺一不得分</w:t>
            </w:r>
            <w:r>
              <w:rPr>
                <w:rFonts w:hint="eastAsia" w:ascii="宋体" w:hAnsi="宋体" w:cs="仿宋_GB2312"/>
                <w:sz w:val="24"/>
                <w:highlight w:val="none"/>
              </w:rPr>
              <w:t>（附证书原件扫描件）</w:t>
            </w:r>
          </w:p>
        </w:tc>
      </w:tr>
      <w:tr w14:paraId="6D75F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rPr>
        <w:tc>
          <w:tcPr>
            <w:tcW w:w="1076" w:type="dxa"/>
            <w:vMerge w:val="continue"/>
            <w:vAlign w:val="center"/>
          </w:tcPr>
          <w:p w14:paraId="5BBC101D">
            <w:pPr>
              <w:autoSpaceDE w:val="0"/>
              <w:autoSpaceDN w:val="0"/>
              <w:adjustRightInd w:val="0"/>
              <w:spacing w:line="360" w:lineRule="auto"/>
              <w:ind w:firstLine="121" w:firstLineChars="50"/>
              <w:jc w:val="center"/>
              <w:rPr>
                <w:rFonts w:ascii="宋体" w:hAnsi="宋体"/>
                <w:spacing w:val="1"/>
                <w:kern w:val="0"/>
                <w:sz w:val="24"/>
                <w:highlight w:val="none"/>
              </w:rPr>
            </w:pPr>
          </w:p>
        </w:tc>
        <w:tc>
          <w:tcPr>
            <w:tcW w:w="1762" w:type="dxa"/>
            <w:vAlign w:val="center"/>
          </w:tcPr>
          <w:p w14:paraId="74428F1D">
            <w:pPr>
              <w:spacing w:line="360" w:lineRule="auto"/>
              <w:rPr>
                <w:rFonts w:hint="eastAsia" w:ascii="宋体" w:hAnsi="宋体" w:cs="仿宋"/>
                <w:kern w:val="0"/>
                <w:sz w:val="24"/>
                <w:highlight w:val="none"/>
              </w:rPr>
            </w:pPr>
            <w:r>
              <w:rPr>
                <w:rFonts w:hint="eastAsia" w:ascii="宋体" w:hAnsi="宋体" w:cs="仿宋_GB2312"/>
                <w:sz w:val="24"/>
                <w:highlight w:val="none"/>
              </w:rPr>
              <w:t>4、</w:t>
            </w:r>
            <w:r>
              <w:rPr>
                <w:rFonts w:hint="eastAsia" w:ascii="宋体" w:hAnsi="宋体" w:cs="宋体"/>
                <w:sz w:val="24"/>
                <w:highlight w:val="none"/>
              </w:rPr>
              <w:t>响应文件编制</w:t>
            </w:r>
            <w:r>
              <w:rPr>
                <w:rFonts w:hint="eastAsia" w:ascii="宋体" w:hAnsi="宋体" w:cs="仿宋_GB2312"/>
                <w:sz w:val="24"/>
                <w:highlight w:val="none"/>
              </w:rPr>
              <w:t>（</w:t>
            </w:r>
            <w:r>
              <w:rPr>
                <w:rFonts w:hint="eastAsia" w:ascii="宋体" w:hAnsi="宋体" w:cs="仿宋_GB2312"/>
                <w:sz w:val="24"/>
                <w:highlight w:val="none"/>
                <w:lang w:val="en-US" w:eastAsia="zh-CN"/>
              </w:rPr>
              <w:t>2</w:t>
            </w:r>
            <w:r>
              <w:rPr>
                <w:rFonts w:hint="eastAsia" w:ascii="宋体" w:hAnsi="宋体" w:cs="仿宋_GB2312"/>
                <w:sz w:val="24"/>
                <w:highlight w:val="none"/>
              </w:rPr>
              <w:t>分）</w:t>
            </w:r>
          </w:p>
        </w:tc>
        <w:tc>
          <w:tcPr>
            <w:tcW w:w="6239" w:type="dxa"/>
            <w:vAlign w:val="center"/>
          </w:tcPr>
          <w:p w14:paraId="3F70CF2F">
            <w:pPr>
              <w:spacing w:line="360" w:lineRule="auto"/>
              <w:textAlignment w:val="baseline"/>
              <w:rPr>
                <w:rFonts w:hint="eastAsia" w:ascii="宋体" w:hAnsi="宋体" w:cs="仿宋"/>
                <w:kern w:val="0"/>
                <w:sz w:val="24"/>
                <w:highlight w:val="none"/>
              </w:rPr>
            </w:pPr>
            <w:r>
              <w:rPr>
                <w:rFonts w:ascii="宋体" w:hAnsi="宋体"/>
                <w:sz w:val="24"/>
                <w:szCs w:val="24"/>
                <w:highlight w:val="none"/>
                <w:lang w:eastAsia="zh-CN"/>
              </w:rPr>
              <w:t>响应文件制作规范、整洁、完整程度，由评委在 0-</w:t>
            </w:r>
            <w:r>
              <w:rPr>
                <w:rFonts w:hint="eastAsia" w:ascii="宋体" w:hAnsi="宋体"/>
                <w:sz w:val="24"/>
                <w:szCs w:val="24"/>
                <w:highlight w:val="none"/>
                <w:lang w:eastAsia="zh-CN"/>
              </w:rPr>
              <w:t>2</w:t>
            </w:r>
            <w:r>
              <w:rPr>
                <w:rFonts w:ascii="宋体" w:hAnsi="宋体"/>
                <w:sz w:val="24"/>
                <w:szCs w:val="24"/>
                <w:highlight w:val="none"/>
                <w:lang w:eastAsia="zh-CN"/>
              </w:rPr>
              <w:t>分之间进行打分。</w:t>
            </w:r>
          </w:p>
        </w:tc>
      </w:tr>
      <w:tr w14:paraId="79B3B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1076" w:type="dxa"/>
            <w:vMerge w:val="continue"/>
            <w:vAlign w:val="center"/>
          </w:tcPr>
          <w:p w14:paraId="37F09957">
            <w:pPr>
              <w:autoSpaceDE w:val="0"/>
              <w:autoSpaceDN w:val="0"/>
              <w:adjustRightInd w:val="0"/>
              <w:spacing w:line="360" w:lineRule="auto"/>
              <w:ind w:firstLine="121" w:firstLineChars="50"/>
              <w:jc w:val="center"/>
              <w:rPr>
                <w:rFonts w:ascii="宋体" w:hAnsi="宋体"/>
                <w:spacing w:val="1"/>
                <w:kern w:val="0"/>
                <w:sz w:val="24"/>
                <w:highlight w:val="none"/>
              </w:rPr>
            </w:pPr>
          </w:p>
        </w:tc>
        <w:tc>
          <w:tcPr>
            <w:tcW w:w="1762" w:type="dxa"/>
            <w:vAlign w:val="center"/>
          </w:tcPr>
          <w:p w14:paraId="599F7D53">
            <w:pPr>
              <w:wordWrap w:val="0"/>
              <w:spacing w:line="360" w:lineRule="auto"/>
              <w:rPr>
                <w:rFonts w:hint="eastAsia" w:ascii="宋体" w:hAnsi="宋体" w:cs="仿宋"/>
                <w:kern w:val="0"/>
                <w:sz w:val="24"/>
                <w:highlight w:val="none"/>
              </w:rPr>
            </w:pPr>
            <w:r>
              <w:rPr>
                <w:rFonts w:hint="eastAsia" w:ascii="宋体" w:hAnsi="宋体" w:cs="Courier New"/>
                <w:sz w:val="24"/>
                <w:highlight w:val="none"/>
              </w:rPr>
              <w:t>5、</w:t>
            </w:r>
            <w:r>
              <w:rPr>
                <w:rFonts w:ascii="宋体" w:hAnsi="宋体" w:cs="Courier New"/>
                <w:sz w:val="24"/>
                <w:highlight w:val="none"/>
              </w:rPr>
              <w:t>服务承诺（</w:t>
            </w:r>
            <w:r>
              <w:rPr>
                <w:rFonts w:hint="eastAsia" w:ascii="宋体" w:hAnsi="宋体" w:cs="Courier New"/>
                <w:sz w:val="24"/>
                <w:highlight w:val="none"/>
              </w:rPr>
              <w:t>8</w:t>
            </w:r>
            <w:r>
              <w:rPr>
                <w:rFonts w:ascii="宋体" w:hAnsi="宋体" w:cs="Courier New"/>
                <w:sz w:val="24"/>
                <w:highlight w:val="none"/>
              </w:rPr>
              <w:t>分）</w:t>
            </w:r>
          </w:p>
        </w:tc>
        <w:tc>
          <w:tcPr>
            <w:tcW w:w="6239" w:type="dxa"/>
            <w:vAlign w:val="center"/>
          </w:tcPr>
          <w:p w14:paraId="6A2ADDAB">
            <w:pPr>
              <w:wordWrap w:val="0"/>
              <w:spacing w:line="420" w:lineRule="exact"/>
              <w:rPr>
                <w:rFonts w:ascii="宋体" w:hAnsi="宋体" w:cs="Courier New"/>
                <w:sz w:val="24"/>
                <w:highlight w:val="none"/>
              </w:rPr>
            </w:pPr>
            <w:r>
              <w:rPr>
                <w:rFonts w:hint="eastAsia" w:ascii="宋体" w:hAnsi="宋体" w:cs="Courier New"/>
                <w:sz w:val="24"/>
                <w:highlight w:val="none"/>
              </w:rPr>
              <w:t>针对本项目的服务内容、形式、时间、服务安排、服务措施的合理性及其他优惠措施等进行打分：</w:t>
            </w:r>
          </w:p>
          <w:p w14:paraId="680A2A7C">
            <w:pPr>
              <w:wordWrap w:val="0"/>
              <w:spacing w:line="420" w:lineRule="exact"/>
              <w:rPr>
                <w:rFonts w:ascii="宋体" w:hAnsi="宋体" w:cs="Courier New"/>
                <w:sz w:val="24"/>
                <w:highlight w:val="none"/>
              </w:rPr>
            </w:pPr>
            <w:r>
              <w:rPr>
                <w:rFonts w:hint="eastAsia" w:ascii="宋体" w:hAnsi="宋体" w:cs="Courier New"/>
                <w:sz w:val="24"/>
                <w:highlight w:val="none"/>
              </w:rPr>
              <w:t>承诺合理、详实、可行得8分；</w:t>
            </w:r>
          </w:p>
          <w:p w14:paraId="0716BBAF">
            <w:pPr>
              <w:wordWrap w:val="0"/>
              <w:spacing w:line="420" w:lineRule="exact"/>
              <w:rPr>
                <w:rFonts w:ascii="宋体" w:hAnsi="宋体" w:cs="Courier New"/>
                <w:sz w:val="24"/>
                <w:highlight w:val="none"/>
              </w:rPr>
            </w:pPr>
            <w:r>
              <w:rPr>
                <w:rFonts w:hint="eastAsia" w:ascii="宋体" w:hAnsi="宋体" w:cs="Courier New"/>
                <w:sz w:val="24"/>
                <w:highlight w:val="none"/>
              </w:rPr>
              <w:t>承诺比较合理、详实、可行得5分</w:t>
            </w:r>
          </w:p>
          <w:p w14:paraId="4140593E">
            <w:pPr>
              <w:wordWrap w:val="0"/>
              <w:spacing w:line="420" w:lineRule="exact"/>
              <w:rPr>
                <w:rFonts w:ascii="宋体" w:hAnsi="宋体" w:cs="Courier New"/>
                <w:sz w:val="24"/>
                <w:highlight w:val="none"/>
              </w:rPr>
            </w:pPr>
            <w:r>
              <w:rPr>
                <w:rFonts w:hint="eastAsia" w:ascii="宋体" w:hAnsi="宋体" w:cs="Courier New"/>
                <w:sz w:val="24"/>
                <w:highlight w:val="none"/>
              </w:rPr>
              <w:t>承诺基本合理、详实、可行得2分；</w:t>
            </w:r>
          </w:p>
          <w:p w14:paraId="1F8DBB50">
            <w:pPr>
              <w:wordWrap w:val="0"/>
              <w:spacing w:line="420" w:lineRule="exact"/>
              <w:rPr>
                <w:rFonts w:hint="eastAsia" w:ascii="宋体" w:hAnsi="宋体" w:cs="仿宋"/>
                <w:kern w:val="0"/>
                <w:sz w:val="24"/>
                <w:highlight w:val="none"/>
              </w:rPr>
            </w:pPr>
            <w:r>
              <w:rPr>
                <w:rFonts w:hint="eastAsia" w:ascii="宋体" w:hAnsi="宋体" w:cs="仿宋"/>
                <w:bCs/>
                <w:sz w:val="24"/>
                <w:highlight w:val="none"/>
                <w:lang w:val="zh-CN"/>
              </w:rPr>
              <w:t>未提供的得0分。</w:t>
            </w:r>
          </w:p>
        </w:tc>
      </w:tr>
      <w:tr w14:paraId="2B3E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077" w:type="dxa"/>
            <w:gridSpan w:val="3"/>
            <w:vAlign w:val="center"/>
          </w:tcPr>
          <w:p w14:paraId="673AF4A8">
            <w:pPr>
              <w:autoSpaceDE w:val="0"/>
              <w:autoSpaceDN w:val="0"/>
              <w:adjustRightInd w:val="0"/>
              <w:spacing w:before="50" w:line="360" w:lineRule="auto"/>
              <w:ind w:right="96"/>
              <w:jc w:val="left"/>
              <w:rPr>
                <w:rFonts w:ascii="宋体" w:hAnsi="宋体"/>
                <w:b/>
                <w:spacing w:val="1"/>
                <w:kern w:val="0"/>
                <w:sz w:val="24"/>
                <w:highlight w:val="none"/>
              </w:rPr>
            </w:pPr>
            <w:r>
              <w:rPr>
                <w:rFonts w:hint="eastAsia" w:ascii="宋体" w:hAnsi="宋体"/>
                <w:spacing w:val="1"/>
                <w:kern w:val="0"/>
                <w:sz w:val="24"/>
                <w:highlight w:val="none"/>
              </w:rPr>
              <w:t>注：1、供应商综合得分=</w:t>
            </w:r>
            <w:r>
              <w:rPr>
                <w:rFonts w:hint="eastAsia" w:ascii="宋体" w:hAnsi="宋体"/>
                <w:sz w:val="24"/>
                <w:highlight w:val="none"/>
              </w:rPr>
              <w:t>报价部分</w:t>
            </w:r>
            <w:r>
              <w:rPr>
                <w:rFonts w:hint="eastAsia" w:ascii="宋体" w:hAnsi="宋体"/>
                <w:spacing w:val="1"/>
                <w:kern w:val="0"/>
                <w:sz w:val="24"/>
                <w:highlight w:val="none"/>
              </w:rPr>
              <w:t>+技术部分+商务部分。</w:t>
            </w:r>
          </w:p>
          <w:p w14:paraId="4B7C6E27">
            <w:pPr>
              <w:spacing w:line="360" w:lineRule="auto"/>
              <w:rPr>
                <w:rFonts w:hint="eastAsia" w:ascii="宋体" w:hAnsi="宋体" w:cs="仿宋"/>
                <w:kern w:val="0"/>
                <w:sz w:val="24"/>
                <w:highlight w:val="none"/>
              </w:rPr>
            </w:pPr>
            <w:r>
              <w:rPr>
                <w:rFonts w:hint="eastAsia" w:ascii="宋体" w:hAnsi="宋体"/>
                <w:spacing w:val="1"/>
                <w:kern w:val="0"/>
                <w:sz w:val="24"/>
                <w:highlight w:val="none"/>
              </w:rPr>
              <w:t>2、</w:t>
            </w:r>
            <w:r>
              <w:rPr>
                <w:rFonts w:hint="eastAsia" w:ascii="宋体" w:hAnsi="宋体"/>
                <w:spacing w:val="3"/>
                <w:kern w:val="0"/>
                <w:sz w:val="24"/>
                <w:highlight w:val="none"/>
              </w:rPr>
              <w:t>磋商小组按照最终得分由高至低的次序推荐3名成交候选人，并向采购人提交书面评标报告。</w:t>
            </w:r>
          </w:p>
        </w:tc>
      </w:tr>
    </w:tbl>
    <w:p w14:paraId="47FDEFAC">
      <w:pPr>
        <w:tabs>
          <w:tab w:val="left" w:pos="900"/>
        </w:tabs>
        <w:spacing w:line="360" w:lineRule="auto"/>
        <w:ind w:firstLine="480"/>
        <w:rPr>
          <w:rFonts w:ascii="宋体" w:hAnsi="宋体" w:cs="宋体"/>
          <w:b/>
          <w:bCs/>
          <w:sz w:val="24"/>
          <w:highlight w:val="none"/>
        </w:rPr>
      </w:pPr>
      <w:r>
        <w:rPr>
          <w:rFonts w:hint="eastAsia" w:ascii="宋体" w:hAnsi="宋体"/>
          <w:sz w:val="24"/>
          <w:highlight w:val="none"/>
        </w:rPr>
        <w:t>3</w:t>
      </w:r>
      <w:r>
        <w:rPr>
          <w:rFonts w:ascii="宋体" w:hAnsi="宋体"/>
          <w:sz w:val="24"/>
          <w:highlight w:val="none"/>
        </w:rPr>
        <w:t>.</w:t>
      </w:r>
      <w:r>
        <w:rPr>
          <w:rFonts w:hint="eastAsia" w:ascii="宋体" w:hAnsi="宋体"/>
          <w:sz w:val="24"/>
          <w:highlight w:val="none"/>
        </w:rPr>
        <w:t>2分数汇总时，磋商小组根据竞争性磋商文件、磋商响应文件，按照磋商评审办法，根据评委个人评判分值，得出每位评委磋商分值。每个磋商供应商的最终得分为：评委评分的算术平均值。评分分值计算保留小数点后两位，小数点后第三位“四舍五入”。</w:t>
      </w:r>
    </w:p>
    <w:p w14:paraId="23A0885E">
      <w:pPr>
        <w:snapToGrid w:val="0"/>
        <w:spacing w:line="360" w:lineRule="auto"/>
        <w:ind w:firstLine="480"/>
        <w:rPr>
          <w:rFonts w:ascii="宋体" w:hAnsi="宋体"/>
          <w:sz w:val="24"/>
          <w:highlight w:val="none"/>
        </w:rPr>
      </w:pPr>
      <w:r>
        <w:rPr>
          <w:rFonts w:hint="eastAsia" w:ascii="宋体" w:hAnsi="宋体"/>
          <w:sz w:val="24"/>
          <w:highlight w:val="none"/>
        </w:rPr>
        <w:t>3.3 磋商文件的澄清和补正</w:t>
      </w:r>
    </w:p>
    <w:p w14:paraId="2D539519">
      <w:pPr>
        <w:snapToGrid w:val="0"/>
        <w:spacing w:line="360" w:lineRule="auto"/>
        <w:ind w:firstLine="480"/>
        <w:rPr>
          <w:rFonts w:ascii="宋体" w:hAnsi="宋体"/>
          <w:sz w:val="24"/>
          <w:highlight w:val="none"/>
        </w:rPr>
      </w:pPr>
      <w:r>
        <w:rPr>
          <w:rFonts w:hint="eastAsia" w:ascii="宋体" w:hAnsi="宋体"/>
          <w:sz w:val="24"/>
          <w:highlight w:val="none"/>
        </w:rPr>
        <w:t>在磋商过程中，磋商小组可以要求磋商供应商对所提交磋商文件中不明确的内容进行澄清或说明，或者对细微偏差进行补正。磋商小组不接受磋商供应商主动提出的澄清、说明或补正。澄清、说明和补正不得改变磋商文件的实质性内容。磋商供应商的书面澄清、说明和补正属于磋商文件的组成部分。磋商小组对磋商供应商提交的澄清、说明或补正有疑问的，可以要求磋商供应商进一步澄清、说明或补正，直至满足磋商小组的要求。</w:t>
      </w:r>
    </w:p>
    <w:p w14:paraId="418698C1">
      <w:pPr>
        <w:snapToGrid w:val="0"/>
        <w:spacing w:line="360" w:lineRule="auto"/>
        <w:ind w:firstLine="480"/>
        <w:rPr>
          <w:rFonts w:ascii="宋体" w:hAnsi="宋体"/>
          <w:sz w:val="24"/>
          <w:highlight w:val="none"/>
        </w:rPr>
      </w:pPr>
      <w:r>
        <w:rPr>
          <w:rFonts w:hint="eastAsia" w:ascii="宋体" w:hAnsi="宋体"/>
          <w:sz w:val="24"/>
          <w:highlight w:val="none"/>
        </w:rPr>
        <w:t>3.4磋商结果</w:t>
      </w:r>
    </w:p>
    <w:p w14:paraId="66DAFA99">
      <w:pPr>
        <w:snapToGrid w:val="0"/>
        <w:spacing w:line="360" w:lineRule="auto"/>
        <w:ind w:firstLine="480"/>
        <w:rPr>
          <w:rFonts w:ascii="宋体" w:hAnsi="宋体"/>
          <w:sz w:val="24"/>
          <w:highlight w:val="none"/>
        </w:rPr>
      </w:pPr>
      <w:r>
        <w:rPr>
          <w:rFonts w:hint="eastAsia" w:ascii="宋体" w:hAnsi="宋体"/>
          <w:sz w:val="24"/>
          <w:highlight w:val="none"/>
        </w:rPr>
        <w:t>由磋商小组按照得分由高到低的顺序推荐</w:t>
      </w:r>
      <w:r>
        <w:rPr>
          <w:rFonts w:ascii="宋体" w:hAnsi="宋体"/>
          <w:sz w:val="24"/>
          <w:highlight w:val="none"/>
        </w:rPr>
        <w:t>3</w:t>
      </w:r>
      <w:r>
        <w:rPr>
          <w:rFonts w:hint="eastAsia" w:ascii="宋体" w:hAnsi="宋体"/>
          <w:sz w:val="24"/>
          <w:highlight w:val="none"/>
        </w:rPr>
        <w:t>名成交侯选人。评审得分相同的，按照最后报价由低到高的顺序确定，评审得分且最后报价相同的，按照项目勘测设计技术服务方案优劣顺序确定成交候选供应商。磋商小组完成磋商后，应当向采购人提交书面磋商报告。</w:t>
      </w:r>
    </w:p>
    <w:p w14:paraId="703AF19A">
      <w:pPr>
        <w:spacing w:before="1" w:line="218" w:lineRule="auto"/>
        <w:ind w:left="2416"/>
        <w:rPr>
          <w:rFonts w:ascii="宋体" w:hAnsi="宋体"/>
          <w:sz w:val="36"/>
          <w:szCs w:val="36"/>
          <w:highlight w:val="none"/>
        </w:rPr>
      </w:pPr>
      <w:bookmarkStart w:id="198" w:name="_Toc24049"/>
      <w:r>
        <w:rPr>
          <w:rFonts w:ascii="宋体" w:hAnsi="宋体"/>
          <w:sz w:val="36"/>
          <w:szCs w:val="36"/>
          <w:highlight w:val="none"/>
        </w:rPr>
        <w:br w:type="page"/>
      </w:r>
      <w:bookmarkEnd w:id="166"/>
      <w:bookmarkEnd w:id="167"/>
      <w:bookmarkEnd w:id="168"/>
      <w:bookmarkEnd w:id="169"/>
      <w:bookmarkEnd w:id="170"/>
      <w:bookmarkEnd w:id="171"/>
      <w:bookmarkEnd w:id="172"/>
      <w:bookmarkEnd w:id="198"/>
      <w:bookmarkStart w:id="199" w:name="_Toc30741"/>
    </w:p>
    <w:p w14:paraId="5424D08B">
      <w:pPr>
        <w:pStyle w:val="8"/>
        <w:spacing w:line="240" w:lineRule="auto"/>
        <w:jc w:val="center"/>
        <w:rPr>
          <w:rFonts w:ascii="宋体" w:hAnsi="宋体"/>
          <w:highlight w:val="none"/>
        </w:rPr>
      </w:pPr>
      <w:bookmarkStart w:id="200" w:name="_Toc196238530"/>
      <w:r>
        <w:rPr>
          <w:rFonts w:hint="eastAsia" w:ascii="宋体" w:hAnsi="宋体"/>
          <w:sz w:val="36"/>
          <w:szCs w:val="36"/>
          <w:highlight w:val="none"/>
        </w:rPr>
        <w:t>第五章 合同条款及格式</w:t>
      </w:r>
      <w:bookmarkEnd w:id="200"/>
      <w:r>
        <w:rPr>
          <w:rFonts w:hint="eastAsia" w:ascii="宋体" w:hAnsi="宋体"/>
          <w:sz w:val="36"/>
          <w:szCs w:val="36"/>
          <w:highlight w:val="none"/>
        </w:rPr>
        <w:t xml:space="preserve">  </w:t>
      </w:r>
    </w:p>
    <w:p w14:paraId="13989C82">
      <w:pPr>
        <w:spacing w:line="520" w:lineRule="exact"/>
        <w:jc w:val="center"/>
        <w:rPr>
          <w:rFonts w:ascii="宋体" w:hAnsi="宋体" w:cs="Arial"/>
          <w:b/>
          <w:bCs/>
          <w:sz w:val="24"/>
          <w:highlight w:val="none"/>
        </w:rPr>
      </w:pPr>
      <w:r>
        <w:rPr>
          <w:rFonts w:hint="eastAsia" w:ascii="宋体" w:hAnsi="宋体" w:cs="Arial"/>
          <w:b/>
          <w:bCs/>
          <w:sz w:val="24"/>
          <w:highlight w:val="none"/>
        </w:rPr>
        <w:t>（本合同模板仅供参考，具体以成交后双方签订合同为准）</w:t>
      </w:r>
    </w:p>
    <w:p w14:paraId="14C3791A">
      <w:pPr>
        <w:pStyle w:val="3"/>
        <w:spacing w:line="460" w:lineRule="auto"/>
        <w:rPr>
          <w:b/>
          <w:highlight w:val="none"/>
        </w:rPr>
      </w:pPr>
    </w:p>
    <w:bookmarkEnd w:id="199"/>
    <w:p w14:paraId="41BF1EAB">
      <w:pPr>
        <w:spacing w:line="360" w:lineRule="auto"/>
        <w:ind w:firstLine="480" w:firstLineChars="200"/>
        <w:rPr>
          <w:rFonts w:ascii="宋体" w:hAnsi="宋体" w:cs="Arial"/>
          <w:sz w:val="24"/>
          <w:highlight w:val="none"/>
        </w:rPr>
      </w:pPr>
      <w:r>
        <w:rPr>
          <w:rFonts w:hint="eastAsia" w:ascii="宋体" w:hAnsi="宋体" w:cs="宋体"/>
          <w:kern w:val="0"/>
          <w:sz w:val="24"/>
          <w:highlight w:val="none"/>
          <w:lang w:eastAsia="zh-CN"/>
        </w:rPr>
        <w:t>三门峡市陕州区农业农村局</w:t>
      </w:r>
      <w:r>
        <w:rPr>
          <w:rFonts w:hint="eastAsia" w:ascii="宋体" w:hAnsi="宋体"/>
          <w:sz w:val="24"/>
          <w:highlight w:val="none"/>
        </w:rPr>
        <w:t xml:space="preserve"> </w:t>
      </w:r>
      <w:r>
        <w:rPr>
          <w:rFonts w:ascii="宋体" w:hAnsi="宋体" w:cs="Arial"/>
          <w:sz w:val="24"/>
          <w:highlight w:val="none"/>
        </w:rPr>
        <w:t>（发包人名称，以下简称“</w:t>
      </w:r>
      <w:r>
        <w:rPr>
          <w:rFonts w:hint="eastAsia" w:ascii="宋体" w:hAnsi="宋体" w:cs="Arial"/>
          <w:sz w:val="24"/>
          <w:highlight w:val="none"/>
        </w:rPr>
        <w:t>甲方</w:t>
      </w:r>
      <w:r>
        <w:rPr>
          <w:rFonts w:ascii="宋体" w:hAnsi="宋体" w:cs="Arial"/>
          <w:sz w:val="24"/>
          <w:highlight w:val="none"/>
        </w:rPr>
        <w:t>”）为实施</w:t>
      </w:r>
      <w:r>
        <w:rPr>
          <w:rFonts w:hint="eastAsia" w:ascii="宋体" w:hAnsi="宋体" w:cs="宋体" w:eastAsiaTheme="minorEastAsia"/>
          <w:b w:val="0"/>
          <w:bCs w:val="0"/>
          <w:kern w:val="2"/>
          <w:sz w:val="24"/>
          <w:szCs w:val="24"/>
          <w:highlight w:val="none"/>
          <w:lang w:val="en-US" w:eastAsia="zh-CN" w:bidi="ar"/>
        </w:rPr>
        <w:t>三</w:t>
      </w:r>
      <w:r>
        <w:rPr>
          <w:rFonts w:hint="eastAsia" w:ascii="宋体" w:hAnsi="宋体" w:cs="宋体" w:eastAsiaTheme="minorEastAsia"/>
          <w:b w:val="0"/>
          <w:bCs w:val="0"/>
          <w:kern w:val="2"/>
          <w:sz w:val="24"/>
          <w:szCs w:val="24"/>
          <w:highlight w:val="none"/>
          <w:u w:val="single"/>
          <w:lang w:val="en-US" w:eastAsia="zh-CN" w:bidi="ar"/>
        </w:rPr>
        <w:t>门峡市陕州区2026年高标准农田建设项目勘测设计服务项目</w:t>
      </w:r>
      <w:r>
        <w:rPr>
          <w:rFonts w:ascii="宋体" w:hAnsi="宋体" w:cs="Arial"/>
          <w:sz w:val="24"/>
          <w:highlight w:val="none"/>
          <w:u w:val="single"/>
        </w:rPr>
        <w:t>（项目名称）</w:t>
      </w:r>
      <w:r>
        <w:rPr>
          <w:rFonts w:ascii="宋体" w:hAnsi="宋体" w:cs="Arial"/>
          <w:sz w:val="24"/>
          <w:highlight w:val="none"/>
        </w:rPr>
        <w:t>，已接受</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（设计人名称，以下简称“</w:t>
      </w:r>
      <w:r>
        <w:rPr>
          <w:rFonts w:hint="eastAsia" w:ascii="宋体" w:hAnsi="宋体" w:cs="Arial"/>
          <w:sz w:val="24"/>
          <w:highlight w:val="none"/>
        </w:rPr>
        <w:t>乙方</w:t>
      </w:r>
      <w:r>
        <w:rPr>
          <w:rFonts w:ascii="宋体" w:hAnsi="宋体" w:cs="Arial"/>
          <w:sz w:val="24"/>
          <w:highlight w:val="none"/>
        </w:rPr>
        <w:t>”）对该项目勘察设计的投标。发包人和设计人共同达成如下协议。</w:t>
      </w:r>
    </w:p>
    <w:p w14:paraId="69DE5D1F">
      <w:pPr>
        <w:numPr>
          <w:ilvl w:val="0"/>
          <w:numId w:val="2"/>
        </w:numPr>
        <w:spacing w:line="360" w:lineRule="auto"/>
        <w:ind w:firstLine="480" w:firstLineChars="200"/>
        <w:rPr>
          <w:rFonts w:ascii="宋体" w:hAnsi="宋体" w:cs="Arial"/>
          <w:sz w:val="24"/>
          <w:highlight w:val="none"/>
        </w:rPr>
      </w:pPr>
      <w:r>
        <w:rPr>
          <w:rFonts w:hint="eastAsia" w:ascii="宋体" w:hAnsi="宋体" w:cs="Arial"/>
          <w:sz w:val="24"/>
          <w:highlight w:val="none"/>
        </w:rPr>
        <w:t>工程概况：</w:t>
      </w:r>
    </w:p>
    <w:p w14:paraId="6A1BEA17">
      <w:pPr>
        <w:spacing w:line="360" w:lineRule="auto"/>
        <w:ind w:firstLine="480" w:firstLineChars="200"/>
        <w:rPr>
          <w:highlight w:val="none"/>
          <w:u w:val="single"/>
        </w:rPr>
      </w:pPr>
      <w:r>
        <w:rPr>
          <w:rFonts w:hint="eastAsia" w:ascii="宋体" w:hAnsi="宋体" w:cs="宋体"/>
          <w:sz w:val="24"/>
          <w:highlight w:val="none"/>
          <w:u w:val="single"/>
        </w:rPr>
        <w:t>本项目为</w:t>
      </w:r>
      <w:r>
        <w:rPr>
          <w:rFonts w:hint="eastAsia" w:ascii="宋体" w:hAnsi="宋体" w:cs="宋体" w:eastAsiaTheme="minorEastAsia"/>
          <w:b w:val="0"/>
          <w:bCs w:val="0"/>
          <w:kern w:val="2"/>
          <w:sz w:val="24"/>
          <w:szCs w:val="24"/>
          <w:highlight w:val="none"/>
          <w:u w:val="single"/>
          <w:lang w:val="en-US" w:eastAsia="zh-CN" w:bidi="ar"/>
        </w:rPr>
        <w:t>三门峡市陕州区2026年高标准农田建设项目勘测设计服务项目</w:t>
      </w:r>
      <w:r>
        <w:rPr>
          <w:rFonts w:hint="eastAsia" w:ascii="宋体" w:hAnsi="宋体" w:cs="宋体"/>
          <w:b w:val="0"/>
          <w:bCs w:val="0"/>
          <w:kern w:val="2"/>
          <w:sz w:val="24"/>
          <w:szCs w:val="24"/>
          <w:highlight w:val="none"/>
          <w:u w:val="single"/>
          <w:lang w:val="en-US" w:eastAsia="zh-CN" w:bidi="ar"/>
        </w:rPr>
        <w:t>，主要内容包含新建高标准农田面积1.0万亩，改造提升高标准农田面积1.0万亩。</w:t>
      </w:r>
    </w:p>
    <w:p w14:paraId="282BBFC0">
      <w:pPr>
        <w:numPr>
          <w:ilvl w:val="0"/>
          <w:numId w:val="3"/>
        </w:numPr>
        <w:spacing w:line="520" w:lineRule="exact"/>
        <w:ind w:firstLine="480" w:firstLineChars="200"/>
        <w:rPr>
          <w:rFonts w:ascii="宋体" w:hAnsi="宋体" w:cs="Arial"/>
          <w:sz w:val="24"/>
          <w:highlight w:val="none"/>
        </w:rPr>
      </w:pPr>
      <w:r>
        <w:rPr>
          <w:rFonts w:ascii="宋体" w:hAnsi="宋体" w:cs="Arial"/>
          <w:sz w:val="24"/>
          <w:highlight w:val="none"/>
        </w:rPr>
        <w:t>乙方承担的勘察设计任务包括：</w:t>
      </w:r>
    </w:p>
    <w:p w14:paraId="0FBDC221">
      <w:pPr>
        <w:spacing w:line="360" w:lineRule="auto"/>
        <w:ind w:firstLine="480" w:firstLineChars="200"/>
        <w:rPr>
          <w:rFonts w:hint="eastAsia" w:ascii="宋体" w:hAnsi="宋体" w:cs="宋体" w:eastAsiaTheme="minorEastAsia"/>
          <w:b w:val="0"/>
          <w:bCs w:val="0"/>
          <w:kern w:val="2"/>
          <w:sz w:val="24"/>
          <w:szCs w:val="24"/>
          <w:highlight w:val="none"/>
          <w:u w:val="single"/>
          <w:lang w:val="en-US" w:eastAsia="zh-CN" w:bidi="ar"/>
        </w:rPr>
      </w:pPr>
      <w:r>
        <w:rPr>
          <w:rFonts w:hint="eastAsia" w:ascii="宋体" w:hAnsi="宋体" w:cs="宋体" w:eastAsiaTheme="minorEastAsia"/>
          <w:b w:val="0"/>
          <w:bCs w:val="0"/>
          <w:kern w:val="2"/>
          <w:sz w:val="24"/>
          <w:szCs w:val="24"/>
          <w:highlight w:val="none"/>
          <w:u w:val="single"/>
          <w:lang w:val="en-US" w:eastAsia="zh-CN" w:bidi="ar"/>
        </w:rPr>
        <w:t>三门峡市陕州区2026年高标准农田建设项目勘测设计服务项目，主要内容包含项目勘测、初步设计编制、实施计划（达到施工图设计深度），标段划分、分标段图纸、分标段预算、施工阶段设计技术交底、现场服务、设计变更等。</w:t>
      </w:r>
    </w:p>
    <w:p w14:paraId="3F0C4E2F">
      <w:pPr>
        <w:spacing w:line="520" w:lineRule="exact"/>
        <w:ind w:firstLine="480" w:firstLineChars="200"/>
        <w:rPr>
          <w:rFonts w:ascii="宋体" w:hAnsi="宋体" w:cs="Arial"/>
          <w:sz w:val="24"/>
          <w:highlight w:val="none"/>
        </w:rPr>
      </w:pPr>
      <w:r>
        <w:rPr>
          <w:rFonts w:ascii="宋体" w:hAnsi="宋体" w:cs="Arial"/>
          <w:sz w:val="24"/>
          <w:highlight w:val="none"/>
        </w:rPr>
        <w:t>三、下列文件应作为本合同的组成部分：</w:t>
      </w:r>
    </w:p>
    <w:p w14:paraId="089EC60C">
      <w:pPr>
        <w:spacing w:line="520" w:lineRule="exact"/>
        <w:ind w:firstLine="480" w:firstLineChars="200"/>
        <w:rPr>
          <w:rFonts w:ascii="宋体" w:hAnsi="宋体" w:cs="Arial"/>
          <w:sz w:val="24"/>
          <w:highlight w:val="none"/>
        </w:rPr>
      </w:pPr>
      <w:r>
        <w:rPr>
          <w:rFonts w:ascii="宋体" w:hAnsi="宋体" w:cs="Arial"/>
          <w:sz w:val="24"/>
          <w:highlight w:val="none"/>
        </w:rPr>
        <w:t>（1）本协议书及各种合同附件（含评标期间和合同谈判过程中的澄清文件和补充资料；设计人提交的经发包人审核通过的勘察设计详细工作大纲及进度计划、专题研究详细工作大纲等）；</w:t>
      </w:r>
    </w:p>
    <w:p w14:paraId="41DAA2B9">
      <w:pPr>
        <w:spacing w:line="520" w:lineRule="exact"/>
        <w:ind w:firstLine="480" w:firstLineChars="200"/>
        <w:rPr>
          <w:rFonts w:ascii="宋体" w:hAnsi="宋体" w:cs="Arial"/>
          <w:sz w:val="24"/>
          <w:highlight w:val="none"/>
        </w:rPr>
      </w:pPr>
      <w:r>
        <w:rPr>
          <w:rFonts w:ascii="宋体" w:hAnsi="宋体" w:cs="Arial"/>
          <w:sz w:val="24"/>
          <w:highlight w:val="none"/>
        </w:rPr>
        <w:t>（2）</w:t>
      </w:r>
      <w:r>
        <w:rPr>
          <w:rFonts w:hint="eastAsia" w:ascii="宋体" w:hAnsi="宋体" w:cs="Arial"/>
          <w:sz w:val="24"/>
          <w:highlight w:val="none"/>
        </w:rPr>
        <w:t>成交</w:t>
      </w:r>
      <w:r>
        <w:rPr>
          <w:rFonts w:ascii="宋体" w:hAnsi="宋体" w:cs="Arial"/>
          <w:sz w:val="24"/>
          <w:highlight w:val="none"/>
        </w:rPr>
        <w:t>通知书；</w:t>
      </w:r>
    </w:p>
    <w:p w14:paraId="0F3AC0E0">
      <w:pPr>
        <w:spacing w:line="520" w:lineRule="exact"/>
        <w:ind w:firstLine="480" w:firstLineChars="200"/>
        <w:rPr>
          <w:rFonts w:ascii="宋体" w:hAnsi="宋体" w:cs="Arial"/>
          <w:sz w:val="24"/>
          <w:highlight w:val="none"/>
        </w:rPr>
      </w:pPr>
      <w:r>
        <w:rPr>
          <w:rFonts w:ascii="宋体" w:hAnsi="宋体" w:cs="Arial"/>
          <w:sz w:val="24"/>
          <w:highlight w:val="none"/>
        </w:rPr>
        <w:t>（3）</w:t>
      </w:r>
      <w:r>
        <w:rPr>
          <w:rFonts w:hint="eastAsia" w:ascii="宋体" w:hAnsi="宋体" w:cs="Arial"/>
          <w:sz w:val="24"/>
          <w:highlight w:val="none"/>
        </w:rPr>
        <w:t>响应</w:t>
      </w:r>
      <w:r>
        <w:rPr>
          <w:rFonts w:ascii="宋体" w:hAnsi="宋体" w:cs="Arial"/>
          <w:sz w:val="24"/>
          <w:highlight w:val="none"/>
        </w:rPr>
        <w:t>函；</w:t>
      </w:r>
    </w:p>
    <w:p w14:paraId="28C21399">
      <w:pPr>
        <w:spacing w:line="520" w:lineRule="exact"/>
        <w:ind w:firstLine="480" w:firstLineChars="200"/>
        <w:rPr>
          <w:rFonts w:ascii="宋体" w:hAnsi="宋体" w:cs="Arial"/>
          <w:sz w:val="24"/>
          <w:highlight w:val="none"/>
        </w:rPr>
      </w:pPr>
      <w:r>
        <w:rPr>
          <w:rFonts w:ascii="宋体" w:hAnsi="宋体" w:cs="Arial"/>
          <w:sz w:val="24"/>
          <w:highlight w:val="none"/>
        </w:rPr>
        <w:t>（4）专用合同条款；</w:t>
      </w:r>
    </w:p>
    <w:p w14:paraId="5A31829C">
      <w:pPr>
        <w:spacing w:line="520" w:lineRule="exact"/>
        <w:ind w:firstLine="480" w:firstLineChars="200"/>
        <w:rPr>
          <w:rFonts w:ascii="宋体" w:hAnsi="宋体" w:cs="Arial"/>
          <w:sz w:val="24"/>
          <w:highlight w:val="none"/>
        </w:rPr>
      </w:pPr>
      <w:r>
        <w:rPr>
          <w:rFonts w:ascii="宋体" w:hAnsi="宋体" w:cs="Arial"/>
          <w:sz w:val="24"/>
          <w:highlight w:val="none"/>
        </w:rPr>
        <w:t>（5）通用合同条款；</w:t>
      </w:r>
    </w:p>
    <w:p w14:paraId="0477DF94">
      <w:pPr>
        <w:spacing w:line="520" w:lineRule="exact"/>
        <w:ind w:firstLine="480" w:firstLineChars="200"/>
        <w:rPr>
          <w:rFonts w:ascii="宋体" w:hAnsi="宋体" w:cs="Arial"/>
          <w:sz w:val="24"/>
          <w:highlight w:val="none"/>
        </w:rPr>
      </w:pPr>
      <w:r>
        <w:rPr>
          <w:rFonts w:ascii="宋体" w:hAnsi="宋体" w:cs="Arial"/>
          <w:sz w:val="24"/>
          <w:highlight w:val="none"/>
        </w:rPr>
        <w:t>（6）勘察设计技术要求；</w:t>
      </w:r>
    </w:p>
    <w:p w14:paraId="554183A6">
      <w:pPr>
        <w:spacing w:line="520" w:lineRule="exact"/>
        <w:ind w:firstLine="480" w:firstLineChars="200"/>
        <w:rPr>
          <w:rFonts w:ascii="宋体" w:hAnsi="宋体" w:cs="Arial"/>
          <w:sz w:val="24"/>
          <w:highlight w:val="none"/>
        </w:rPr>
      </w:pPr>
      <w:r>
        <w:rPr>
          <w:rFonts w:ascii="宋体" w:hAnsi="宋体" w:cs="Arial"/>
          <w:sz w:val="24"/>
          <w:highlight w:val="none"/>
        </w:rPr>
        <w:t>（7）报价清单（如有）；</w:t>
      </w:r>
    </w:p>
    <w:p w14:paraId="1446E455">
      <w:pPr>
        <w:spacing w:line="520" w:lineRule="exact"/>
        <w:ind w:firstLine="480" w:firstLineChars="200"/>
        <w:rPr>
          <w:rFonts w:ascii="宋体" w:hAnsi="宋体" w:cs="Arial"/>
          <w:sz w:val="24"/>
          <w:highlight w:val="none"/>
        </w:rPr>
      </w:pPr>
      <w:r>
        <w:rPr>
          <w:rFonts w:ascii="宋体" w:hAnsi="宋体" w:cs="Arial"/>
          <w:sz w:val="24"/>
          <w:highlight w:val="none"/>
        </w:rPr>
        <w:t>（8）电子投标文件中承诺投入的项目主要人员；</w:t>
      </w:r>
    </w:p>
    <w:p w14:paraId="1496E0C0">
      <w:pPr>
        <w:spacing w:line="520" w:lineRule="exact"/>
        <w:ind w:firstLine="480" w:firstLineChars="200"/>
        <w:rPr>
          <w:rFonts w:ascii="宋体" w:hAnsi="宋体" w:cs="Arial"/>
          <w:sz w:val="24"/>
          <w:highlight w:val="none"/>
        </w:rPr>
      </w:pPr>
      <w:r>
        <w:rPr>
          <w:rFonts w:ascii="宋体" w:hAnsi="宋体" w:cs="Arial"/>
          <w:sz w:val="24"/>
          <w:highlight w:val="none"/>
        </w:rPr>
        <w:t>（9）联合体协议（如有）；</w:t>
      </w:r>
    </w:p>
    <w:p w14:paraId="0C927911">
      <w:pPr>
        <w:spacing w:line="520" w:lineRule="exact"/>
        <w:ind w:firstLine="480" w:firstLineChars="200"/>
        <w:rPr>
          <w:rFonts w:ascii="宋体" w:hAnsi="宋体" w:cs="Arial"/>
          <w:sz w:val="24"/>
          <w:highlight w:val="none"/>
        </w:rPr>
      </w:pPr>
      <w:r>
        <w:rPr>
          <w:rFonts w:ascii="宋体" w:hAnsi="宋体" w:cs="Arial"/>
          <w:sz w:val="24"/>
          <w:highlight w:val="none"/>
        </w:rPr>
        <w:t>（10）构成本合同组成部分的其他文件。</w:t>
      </w:r>
    </w:p>
    <w:p w14:paraId="65675D9C">
      <w:pPr>
        <w:spacing w:line="520" w:lineRule="exact"/>
        <w:ind w:firstLine="480" w:firstLineChars="200"/>
        <w:rPr>
          <w:rFonts w:ascii="宋体" w:hAnsi="宋体" w:cs="Arial"/>
          <w:sz w:val="24"/>
          <w:highlight w:val="none"/>
        </w:rPr>
      </w:pPr>
      <w:r>
        <w:rPr>
          <w:rFonts w:ascii="宋体" w:hAnsi="宋体" w:cs="Arial"/>
          <w:sz w:val="24"/>
          <w:highlight w:val="none"/>
        </w:rPr>
        <w:t>上述文件应认为是互为补充和解释的，但如有含义不清或互相矛盾处，以上面所列顺序在前者为准。</w:t>
      </w:r>
    </w:p>
    <w:p w14:paraId="2F930B4F">
      <w:pPr>
        <w:numPr>
          <w:ilvl w:val="0"/>
          <w:numId w:val="3"/>
        </w:numPr>
        <w:spacing w:line="520" w:lineRule="exact"/>
        <w:ind w:firstLine="480" w:firstLineChars="200"/>
        <w:rPr>
          <w:rFonts w:ascii="宋体" w:hAnsi="宋体" w:cs="Arial"/>
          <w:sz w:val="24"/>
          <w:highlight w:val="none"/>
        </w:rPr>
      </w:pPr>
      <w:r>
        <w:rPr>
          <w:rFonts w:ascii="宋体" w:hAnsi="宋体" w:cs="Arial"/>
          <w:sz w:val="24"/>
          <w:highlight w:val="none"/>
        </w:rPr>
        <w:t>合同总价为</w:t>
      </w:r>
      <w:r>
        <w:rPr>
          <w:rFonts w:hint="eastAsia" w:ascii="宋体" w:hAnsi="宋体" w:cs="Arial"/>
          <w:sz w:val="24"/>
          <w:highlight w:val="none"/>
        </w:rPr>
        <w:t>：</w:t>
      </w:r>
      <w:r>
        <w:rPr>
          <w:rFonts w:ascii="宋体" w:hAnsi="宋体" w:cs="Arial"/>
          <w:sz w:val="24"/>
          <w:highlight w:val="none"/>
        </w:rPr>
        <w:t>人民币大写</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hint="eastAsia" w:ascii="宋体" w:hAnsi="宋体" w:cs="Arial"/>
          <w:sz w:val="24"/>
          <w:highlight w:val="none"/>
        </w:rPr>
        <w:t>元，小写：</w:t>
      </w:r>
      <w:r>
        <w:rPr>
          <w:rFonts w:hint="eastAsia" w:ascii="宋体" w:hAnsi="宋体"/>
          <w:sz w:val="24"/>
          <w:highlight w:val="none"/>
        </w:rPr>
        <w:t>￥</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元</w:t>
      </w:r>
      <w:r>
        <w:rPr>
          <w:rFonts w:hint="eastAsia" w:ascii="宋体" w:hAnsi="宋体" w:cs="Arial"/>
          <w:sz w:val="24"/>
          <w:highlight w:val="none"/>
        </w:rPr>
        <w:t>；</w:t>
      </w:r>
    </w:p>
    <w:p w14:paraId="518B2C34">
      <w:pPr>
        <w:numPr>
          <w:ilvl w:val="0"/>
          <w:numId w:val="3"/>
        </w:numPr>
        <w:spacing w:line="520" w:lineRule="exact"/>
        <w:ind w:firstLine="480" w:firstLineChars="200"/>
        <w:rPr>
          <w:rFonts w:ascii="宋体" w:hAnsi="宋体" w:cs="Arial"/>
          <w:sz w:val="24"/>
          <w:highlight w:val="none"/>
        </w:rPr>
      </w:pPr>
      <w:r>
        <w:rPr>
          <w:rFonts w:hint="eastAsia" w:ascii="宋体" w:hAnsi="宋体" w:cs="Arial"/>
          <w:sz w:val="24"/>
          <w:highlight w:val="none"/>
        </w:rPr>
        <w:t xml:space="preserve">合同形式为： </w:t>
      </w:r>
      <w:r>
        <w:rPr>
          <w:rFonts w:hint="eastAsia" w:ascii="宋体" w:hAnsi="宋体" w:cs="Arial"/>
          <w:sz w:val="24"/>
          <w:highlight w:val="none"/>
          <w:u w:val="single"/>
        </w:rPr>
        <w:t xml:space="preserve">               </w:t>
      </w:r>
      <w:r>
        <w:rPr>
          <w:rFonts w:ascii="宋体" w:hAnsi="宋体" w:cs="Arial"/>
          <w:sz w:val="24"/>
          <w:highlight w:val="none"/>
        </w:rPr>
        <w:t>。</w:t>
      </w:r>
    </w:p>
    <w:p w14:paraId="7DC57561">
      <w:pPr>
        <w:spacing w:line="520" w:lineRule="exact"/>
        <w:ind w:firstLine="480" w:firstLineChars="200"/>
        <w:rPr>
          <w:rFonts w:ascii="宋体" w:hAnsi="宋体" w:cs="Arial"/>
          <w:sz w:val="24"/>
          <w:highlight w:val="none"/>
        </w:rPr>
      </w:pPr>
      <w:r>
        <w:rPr>
          <w:rFonts w:ascii="宋体" w:hAnsi="宋体" w:cs="Arial"/>
          <w:sz w:val="24"/>
          <w:highlight w:val="none"/>
        </w:rPr>
        <w:t>五、项目负责人：</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w:t>
      </w:r>
    </w:p>
    <w:p w14:paraId="0C44DCCC">
      <w:pPr>
        <w:spacing w:line="520" w:lineRule="exact"/>
        <w:ind w:firstLine="480" w:firstLineChars="200"/>
        <w:rPr>
          <w:rFonts w:ascii="宋体" w:hAnsi="宋体" w:cs="Arial"/>
          <w:sz w:val="24"/>
          <w:highlight w:val="none"/>
        </w:rPr>
      </w:pPr>
      <w:r>
        <w:rPr>
          <w:rFonts w:ascii="宋体" w:hAnsi="宋体" w:cs="Arial"/>
          <w:sz w:val="24"/>
          <w:highlight w:val="none"/>
        </w:rPr>
        <w:t>六、</w:t>
      </w:r>
      <w:r>
        <w:rPr>
          <w:rFonts w:hint="eastAsia" w:ascii="宋体" w:hAnsi="宋体" w:cs="Arial"/>
          <w:sz w:val="24"/>
          <w:highlight w:val="none"/>
        </w:rPr>
        <w:t>服务</w:t>
      </w:r>
      <w:r>
        <w:rPr>
          <w:rFonts w:ascii="宋体" w:hAnsi="宋体" w:cs="Arial"/>
          <w:sz w:val="24"/>
          <w:highlight w:val="none"/>
        </w:rPr>
        <w:t>周期：</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w:t>
      </w:r>
    </w:p>
    <w:p w14:paraId="0DCDDBEC">
      <w:pPr>
        <w:spacing w:line="520" w:lineRule="exact"/>
        <w:ind w:firstLine="480" w:firstLineChars="200"/>
        <w:rPr>
          <w:rFonts w:ascii="宋体" w:hAnsi="宋体" w:cs="Arial"/>
          <w:sz w:val="24"/>
          <w:highlight w:val="none"/>
        </w:rPr>
      </w:pPr>
      <w:r>
        <w:rPr>
          <w:rFonts w:ascii="宋体" w:hAnsi="宋体" w:cs="Arial"/>
          <w:sz w:val="24"/>
          <w:highlight w:val="none"/>
        </w:rPr>
        <w:t>七、甲方和乙方双方的责任和义务及违约条款遵照勘察设计合同条款的规定。</w:t>
      </w:r>
    </w:p>
    <w:p w14:paraId="26D52D76">
      <w:pPr>
        <w:spacing w:line="520" w:lineRule="exact"/>
        <w:ind w:firstLine="424" w:firstLineChars="177"/>
        <w:rPr>
          <w:rFonts w:ascii="宋体" w:hAnsi="宋体" w:cs="Arial"/>
          <w:sz w:val="24"/>
          <w:highlight w:val="none"/>
        </w:rPr>
      </w:pPr>
      <w:r>
        <w:rPr>
          <w:rFonts w:ascii="宋体" w:hAnsi="宋体" w:cs="Arial"/>
          <w:sz w:val="24"/>
          <w:highlight w:val="none"/>
        </w:rPr>
        <w:t>（一）甲方义务</w:t>
      </w:r>
    </w:p>
    <w:p w14:paraId="004E29B0">
      <w:pPr>
        <w:spacing w:line="520" w:lineRule="exact"/>
        <w:ind w:firstLine="424" w:firstLineChars="177"/>
        <w:rPr>
          <w:rFonts w:ascii="宋体" w:hAnsi="宋体" w:cs="Arial"/>
          <w:sz w:val="24"/>
          <w:highlight w:val="none"/>
        </w:rPr>
      </w:pPr>
      <w:r>
        <w:rPr>
          <w:rFonts w:ascii="宋体" w:hAnsi="宋体" w:cs="Arial"/>
          <w:sz w:val="24"/>
          <w:highlight w:val="none"/>
        </w:rPr>
        <w:t>为保证乙方及时、有效地进行勘察设计工作，甲方应当向乙方提供以下协作事项：</w:t>
      </w:r>
    </w:p>
    <w:p w14:paraId="27DEE4F9">
      <w:pPr>
        <w:spacing w:line="520" w:lineRule="exact"/>
        <w:ind w:firstLine="424" w:firstLineChars="177"/>
        <w:rPr>
          <w:rFonts w:ascii="宋体" w:hAnsi="宋体" w:cs="Arial"/>
          <w:sz w:val="24"/>
          <w:highlight w:val="none"/>
        </w:rPr>
      </w:pPr>
      <w:r>
        <w:rPr>
          <w:rFonts w:ascii="宋体" w:hAnsi="宋体" w:cs="Arial"/>
          <w:sz w:val="24"/>
          <w:highlight w:val="none"/>
        </w:rPr>
        <w:t>1、甲方协助提供有关技术、基础资料。对于乙方以自身的专业知识对有关技术、基础资料的准确性所进行的核实工作，甲方应给予必要的协助。</w:t>
      </w:r>
    </w:p>
    <w:p w14:paraId="3439E717">
      <w:pPr>
        <w:spacing w:line="520" w:lineRule="exact"/>
        <w:ind w:firstLine="424" w:firstLineChars="177"/>
        <w:rPr>
          <w:rFonts w:ascii="宋体" w:hAnsi="宋体" w:cs="Arial"/>
          <w:sz w:val="24"/>
          <w:highlight w:val="none"/>
        </w:rPr>
      </w:pPr>
      <w:r>
        <w:rPr>
          <w:rFonts w:ascii="宋体" w:hAnsi="宋体" w:cs="Arial"/>
          <w:sz w:val="24"/>
          <w:highlight w:val="none"/>
        </w:rPr>
        <w:t>2、提供相应的其他工作条件，主要包括：</w:t>
      </w:r>
    </w:p>
    <w:p w14:paraId="61D4DEC5">
      <w:pPr>
        <w:spacing w:line="520" w:lineRule="exact"/>
        <w:ind w:firstLine="424" w:firstLineChars="177"/>
        <w:rPr>
          <w:rFonts w:ascii="宋体" w:hAnsi="宋体" w:cs="Arial"/>
          <w:sz w:val="24"/>
          <w:highlight w:val="none"/>
        </w:rPr>
      </w:pPr>
      <w:r>
        <w:rPr>
          <w:rFonts w:ascii="宋体" w:hAnsi="宋体" w:cs="Arial"/>
          <w:sz w:val="24"/>
          <w:highlight w:val="none"/>
        </w:rPr>
        <w:t>（1）指定联系人配合乙方工作；</w:t>
      </w:r>
    </w:p>
    <w:p w14:paraId="5F2CE629">
      <w:pPr>
        <w:spacing w:line="520" w:lineRule="exact"/>
        <w:ind w:firstLine="424" w:firstLineChars="177"/>
        <w:rPr>
          <w:rFonts w:ascii="宋体" w:hAnsi="宋体" w:cs="Arial"/>
          <w:sz w:val="24"/>
          <w:highlight w:val="none"/>
        </w:rPr>
      </w:pPr>
      <w:r>
        <w:rPr>
          <w:rFonts w:ascii="宋体" w:hAnsi="宋体" w:cs="Arial"/>
          <w:sz w:val="24"/>
          <w:highlight w:val="none"/>
        </w:rPr>
        <w:t>（2）依照本合同约定支付乙方工作报酬。</w:t>
      </w:r>
    </w:p>
    <w:p w14:paraId="4C168CBB">
      <w:pPr>
        <w:spacing w:line="520" w:lineRule="exact"/>
        <w:ind w:firstLine="424" w:firstLineChars="177"/>
        <w:rPr>
          <w:rFonts w:ascii="宋体" w:hAnsi="宋体" w:cs="Arial"/>
          <w:sz w:val="24"/>
          <w:highlight w:val="none"/>
        </w:rPr>
      </w:pPr>
      <w:r>
        <w:rPr>
          <w:rFonts w:ascii="宋体" w:hAnsi="宋体" w:cs="Arial"/>
          <w:sz w:val="24"/>
          <w:highlight w:val="none"/>
        </w:rPr>
        <w:t>（二）勘察设计成果的体现形式、验收标准、方式、时间和地点</w:t>
      </w:r>
    </w:p>
    <w:p w14:paraId="579F4923">
      <w:pPr>
        <w:spacing w:line="520" w:lineRule="exact"/>
        <w:ind w:firstLine="424" w:firstLineChars="177"/>
        <w:rPr>
          <w:rFonts w:ascii="宋体" w:hAnsi="宋体" w:cs="Arial"/>
          <w:sz w:val="24"/>
          <w:highlight w:val="none"/>
        </w:rPr>
      </w:pPr>
      <w:r>
        <w:rPr>
          <w:rFonts w:ascii="宋体" w:hAnsi="宋体" w:cs="Arial"/>
          <w:sz w:val="24"/>
          <w:highlight w:val="none"/>
        </w:rPr>
        <w:t>1、编制工作成果的体现形式为《施工图设计》及其他相关勘察设计图纸文本版及CAD、PDF等相关技术资料。</w:t>
      </w:r>
    </w:p>
    <w:p w14:paraId="11592BA6">
      <w:pPr>
        <w:spacing w:line="520" w:lineRule="exact"/>
        <w:ind w:firstLine="424" w:firstLineChars="177"/>
        <w:rPr>
          <w:rFonts w:ascii="宋体" w:hAnsi="宋体" w:cs="Arial"/>
          <w:sz w:val="24"/>
          <w:highlight w:val="none"/>
        </w:rPr>
      </w:pPr>
      <w:r>
        <w:rPr>
          <w:rFonts w:ascii="宋体" w:hAnsi="宋体" w:cs="Arial"/>
          <w:sz w:val="24"/>
          <w:highlight w:val="none"/>
        </w:rPr>
        <w:t>2、验收标准根据国家发展和改革委员会等行业和部门对勘察设计的有关规定、技术规范和要求进行验收。</w:t>
      </w:r>
    </w:p>
    <w:p w14:paraId="5583C27E">
      <w:pPr>
        <w:spacing w:line="520" w:lineRule="exact"/>
        <w:ind w:firstLine="424" w:firstLineChars="177"/>
        <w:rPr>
          <w:rFonts w:ascii="宋体" w:hAnsi="宋体" w:cs="Arial"/>
          <w:sz w:val="24"/>
          <w:highlight w:val="none"/>
        </w:rPr>
      </w:pPr>
      <w:r>
        <w:rPr>
          <w:rFonts w:ascii="宋体" w:hAnsi="宋体" w:cs="Arial"/>
          <w:sz w:val="24"/>
          <w:highlight w:val="none"/>
        </w:rPr>
        <w:t>3、验收方式：乙方《施工图设计》等勘察设计图纸及相关技术资料通过主管部门审批，并取得批复文件。</w:t>
      </w:r>
    </w:p>
    <w:p w14:paraId="1855B882">
      <w:pPr>
        <w:spacing w:line="520" w:lineRule="exact"/>
        <w:ind w:firstLine="424" w:firstLineChars="177"/>
        <w:rPr>
          <w:rFonts w:ascii="宋体" w:hAnsi="宋体" w:cs="Arial"/>
          <w:sz w:val="24"/>
          <w:highlight w:val="none"/>
        </w:rPr>
      </w:pPr>
      <w:r>
        <w:rPr>
          <w:rFonts w:ascii="宋体" w:hAnsi="宋体" w:cs="Arial"/>
          <w:sz w:val="24"/>
          <w:highlight w:val="none"/>
        </w:rPr>
        <w:t>4、验收时间和地点</w:t>
      </w:r>
    </w:p>
    <w:p w14:paraId="5162C16E">
      <w:pPr>
        <w:spacing w:line="520" w:lineRule="exact"/>
        <w:ind w:firstLine="424" w:firstLineChars="177"/>
        <w:rPr>
          <w:rFonts w:ascii="宋体" w:hAnsi="宋体" w:cs="Arial"/>
          <w:sz w:val="24"/>
          <w:highlight w:val="none"/>
        </w:rPr>
      </w:pPr>
      <w:r>
        <w:rPr>
          <w:rFonts w:ascii="宋体" w:hAnsi="宋体" w:cs="Arial"/>
          <w:sz w:val="24"/>
          <w:highlight w:val="none"/>
        </w:rPr>
        <w:t>（1）时间：获得主管部门审批正式文件之日。</w:t>
      </w:r>
    </w:p>
    <w:p w14:paraId="74DAE22F">
      <w:pPr>
        <w:spacing w:line="520" w:lineRule="exact"/>
        <w:ind w:firstLine="424" w:firstLineChars="177"/>
        <w:rPr>
          <w:rFonts w:ascii="宋体" w:hAnsi="宋体" w:cs="Arial"/>
          <w:sz w:val="24"/>
          <w:highlight w:val="none"/>
        </w:rPr>
      </w:pPr>
      <w:r>
        <w:rPr>
          <w:rFonts w:ascii="宋体" w:hAnsi="宋体" w:cs="Arial"/>
          <w:sz w:val="24"/>
          <w:highlight w:val="none"/>
        </w:rPr>
        <w:t>（2）地点：另行约定</w:t>
      </w:r>
    </w:p>
    <w:p w14:paraId="527B29B5">
      <w:pPr>
        <w:spacing w:line="520" w:lineRule="exact"/>
        <w:ind w:firstLine="424" w:firstLineChars="177"/>
        <w:rPr>
          <w:rFonts w:ascii="宋体" w:hAnsi="宋体" w:cs="Arial"/>
          <w:sz w:val="24"/>
          <w:highlight w:val="none"/>
        </w:rPr>
      </w:pPr>
      <w:r>
        <w:rPr>
          <w:rFonts w:ascii="宋体" w:hAnsi="宋体" w:cs="Arial"/>
          <w:sz w:val="24"/>
          <w:highlight w:val="none"/>
        </w:rPr>
        <w:t>（三）勘察设计费及其支付方式</w:t>
      </w:r>
    </w:p>
    <w:p w14:paraId="56D6A6F6">
      <w:pPr>
        <w:spacing w:line="520" w:lineRule="exact"/>
        <w:ind w:firstLine="424" w:firstLineChars="177"/>
        <w:rPr>
          <w:rFonts w:ascii="宋体" w:hAnsi="宋体" w:cs="Arial"/>
          <w:sz w:val="24"/>
          <w:highlight w:val="none"/>
        </w:rPr>
      </w:pPr>
      <w:r>
        <w:rPr>
          <w:rFonts w:ascii="宋体" w:hAnsi="宋体" w:cs="Arial"/>
          <w:sz w:val="24"/>
          <w:highlight w:val="none"/>
        </w:rPr>
        <w:t>1、经甲乙双方协商一致，</w:t>
      </w:r>
      <w:bookmarkStart w:id="201" w:name="_Hlk64972953"/>
      <w:r>
        <w:rPr>
          <w:rFonts w:hint="eastAsia" w:ascii="宋体" w:hAnsi="宋体" w:cs="Arial"/>
          <w:sz w:val="24"/>
          <w:highlight w:val="none"/>
        </w:rPr>
        <w:t>合同总价为</w:t>
      </w:r>
      <w:r>
        <w:rPr>
          <w:rFonts w:ascii="宋体" w:hAnsi="宋体" w:cs="Arial"/>
          <w:sz w:val="24"/>
          <w:highlight w:val="none"/>
        </w:rPr>
        <w:t>人民币大写</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hint="eastAsia" w:ascii="宋体" w:hAnsi="宋体" w:cs="Arial"/>
          <w:sz w:val="24"/>
          <w:highlight w:val="none"/>
        </w:rPr>
        <w:t>元；小写</w:t>
      </w:r>
      <w:r>
        <w:rPr>
          <w:rFonts w:hint="eastAsia" w:ascii="宋体" w:hAnsi="宋体"/>
          <w:sz w:val="24"/>
          <w:highlight w:val="none"/>
        </w:rPr>
        <w:t>￥</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元。</w:t>
      </w:r>
      <w:bookmarkEnd w:id="201"/>
    </w:p>
    <w:p w14:paraId="7D7F9553">
      <w:pPr>
        <w:spacing w:line="520" w:lineRule="exact"/>
        <w:ind w:firstLine="424" w:firstLineChars="177"/>
        <w:rPr>
          <w:rFonts w:ascii="宋体" w:hAnsi="宋体" w:cs="Arial"/>
          <w:sz w:val="24"/>
          <w:highlight w:val="none"/>
        </w:rPr>
      </w:pPr>
      <w:r>
        <w:rPr>
          <w:rFonts w:ascii="宋体" w:hAnsi="宋体" w:cs="Arial"/>
          <w:sz w:val="24"/>
          <w:highlight w:val="none"/>
        </w:rPr>
        <w:t>2、支付期限和方式</w:t>
      </w:r>
    </w:p>
    <w:p w14:paraId="2D8A127D">
      <w:pPr>
        <w:spacing w:line="520" w:lineRule="exact"/>
        <w:ind w:firstLine="424" w:firstLineChars="177"/>
        <w:rPr>
          <w:rFonts w:ascii="宋体" w:hAnsi="宋体" w:cs="Arial"/>
          <w:sz w:val="24"/>
          <w:highlight w:val="none"/>
        </w:rPr>
      </w:pPr>
      <w:r>
        <w:rPr>
          <w:rFonts w:ascii="宋体" w:hAnsi="宋体" w:cs="Arial"/>
          <w:sz w:val="24"/>
          <w:highlight w:val="none"/>
        </w:rPr>
        <w:t>以上约定的勘察设计费由甲方分</w:t>
      </w:r>
      <w:r>
        <w:rPr>
          <w:rFonts w:hint="eastAsia" w:ascii="宋体" w:hAnsi="宋体" w:cs="Arial"/>
          <w:sz w:val="24"/>
          <w:highlight w:val="none"/>
          <w:u w:val="single"/>
        </w:rPr>
        <w:t xml:space="preserve">     </w:t>
      </w:r>
      <w:r>
        <w:rPr>
          <w:rFonts w:ascii="宋体" w:hAnsi="宋体" w:cs="Arial"/>
          <w:sz w:val="24"/>
          <w:highlight w:val="none"/>
        </w:rPr>
        <w:t>次支付给乙方，具体支付时间和方式如下：</w:t>
      </w:r>
    </w:p>
    <w:p w14:paraId="2A221469">
      <w:pPr>
        <w:spacing w:line="520" w:lineRule="exact"/>
        <w:ind w:firstLine="424" w:firstLineChars="177"/>
        <w:rPr>
          <w:rFonts w:ascii="宋体" w:hAnsi="宋体" w:cs="Arial"/>
          <w:sz w:val="24"/>
          <w:highlight w:val="none"/>
        </w:rPr>
      </w:pPr>
      <w:r>
        <w:rPr>
          <w:rFonts w:ascii="宋体" w:hAnsi="宋体" w:cs="Arial"/>
          <w:sz w:val="24"/>
          <w:highlight w:val="none"/>
        </w:rPr>
        <w:t>（1）本合同签订后，乙方按甲方的财务管理制度办理款项申请手续，经甲方审核确认后十个工作日内支付预付款，支付金额为合同总金额的</w:t>
      </w:r>
      <w:r>
        <w:rPr>
          <w:rFonts w:hint="eastAsia" w:ascii="宋体" w:hAnsi="宋体" w:cs="Arial"/>
          <w:sz w:val="24"/>
          <w:highlight w:val="none"/>
          <w:u w:val="single"/>
        </w:rPr>
        <w:t xml:space="preserve">           </w:t>
      </w:r>
      <w:r>
        <w:rPr>
          <w:rFonts w:ascii="宋体" w:hAnsi="宋体" w:cs="Arial"/>
          <w:sz w:val="24"/>
          <w:highlight w:val="none"/>
        </w:rPr>
        <w:t>，计</w:t>
      </w:r>
      <w:r>
        <w:rPr>
          <w:rFonts w:hint="eastAsia" w:ascii="宋体" w:hAnsi="宋体" w:cs="Arial"/>
          <w:sz w:val="24"/>
          <w:highlight w:val="none"/>
        </w:rPr>
        <w:t>人民币</w:t>
      </w:r>
      <w:r>
        <w:rPr>
          <w:rFonts w:ascii="宋体" w:hAnsi="宋体" w:cs="Arial"/>
          <w:sz w:val="24"/>
          <w:highlight w:val="none"/>
        </w:rPr>
        <w:t>大写</w:t>
      </w:r>
      <w:r>
        <w:rPr>
          <w:rFonts w:hint="eastAsia" w:ascii="宋体" w:hAnsi="宋体" w:cs="Arial"/>
          <w:sz w:val="24"/>
          <w:highlight w:val="none"/>
        </w:rPr>
        <w:t>元</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hint="eastAsia" w:ascii="宋体" w:hAnsi="宋体" w:cs="Arial"/>
          <w:sz w:val="24"/>
          <w:highlight w:val="none"/>
        </w:rPr>
        <w:t>小写</w:t>
      </w:r>
      <w:r>
        <w:rPr>
          <w:rFonts w:hint="eastAsia" w:ascii="宋体" w:hAnsi="宋体"/>
          <w:sz w:val="24"/>
          <w:highlight w:val="none"/>
        </w:rPr>
        <w:t>￥</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元</w:t>
      </w:r>
      <w:r>
        <w:rPr>
          <w:rFonts w:hint="eastAsia" w:ascii="宋体" w:hAnsi="宋体" w:cs="Arial"/>
          <w:sz w:val="24"/>
          <w:highlight w:val="none"/>
        </w:rPr>
        <w:t>）</w:t>
      </w:r>
      <w:r>
        <w:rPr>
          <w:rFonts w:ascii="宋体" w:hAnsi="宋体" w:cs="Arial"/>
          <w:sz w:val="24"/>
          <w:highlight w:val="none"/>
        </w:rPr>
        <w:t>。</w:t>
      </w:r>
    </w:p>
    <w:p w14:paraId="6FA78B68">
      <w:pPr>
        <w:spacing w:line="520" w:lineRule="exact"/>
        <w:ind w:firstLine="424" w:firstLineChars="177"/>
        <w:rPr>
          <w:rFonts w:ascii="宋体" w:hAnsi="宋体" w:cs="Arial"/>
          <w:sz w:val="24"/>
          <w:highlight w:val="none"/>
        </w:rPr>
      </w:pPr>
      <w:r>
        <w:rPr>
          <w:rFonts w:ascii="宋体" w:hAnsi="宋体" w:cs="Arial"/>
          <w:sz w:val="24"/>
          <w:highlight w:val="none"/>
        </w:rPr>
        <w:t>（2）乙方向甲方提交《施工图设计》及相关勘察设计成果，通过专家评审后，按甲方的财务管理制度办理款项申请手续，经甲方审核确认后十个工作日内支付本合同勘察设计费总金额的</w:t>
      </w:r>
      <w:r>
        <w:rPr>
          <w:rFonts w:hint="eastAsia" w:ascii="宋体" w:hAnsi="宋体" w:cs="Arial"/>
          <w:sz w:val="24"/>
          <w:highlight w:val="none"/>
          <w:u w:val="single"/>
        </w:rPr>
        <w:t xml:space="preserve">         </w:t>
      </w:r>
      <w:r>
        <w:rPr>
          <w:rFonts w:ascii="宋体" w:hAnsi="宋体" w:cs="Arial"/>
          <w:sz w:val="24"/>
          <w:highlight w:val="none"/>
        </w:rPr>
        <w:t>，计</w:t>
      </w:r>
      <w:r>
        <w:rPr>
          <w:rFonts w:hint="eastAsia" w:ascii="宋体" w:hAnsi="宋体" w:cs="Arial"/>
          <w:sz w:val="24"/>
          <w:highlight w:val="none"/>
        </w:rPr>
        <w:t>人民币</w:t>
      </w:r>
      <w:r>
        <w:rPr>
          <w:rFonts w:ascii="宋体" w:hAnsi="宋体" w:cs="Arial"/>
          <w:sz w:val="24"/>
          <w:highlight w:val="none"/>
        </w:rPr>
        <w:t>大写</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hint="eastAsia" w:ascii="宋体" w:hAnsi="宋体" w:cs="Arial"/>
          <w:sz w:val="24"/>
          <w:highlight w:val="none"/>
        </w:rPr>
        <w:t>元小写</w:t>
      </w:r>
      <w:r>
        <w:rPr>
          <w:rFonts w:hint="eastAsia" w:ascii="宋体" w:hAnsi="宋体"/>
          <w:sz w:val="24"/>
          <w:highlight w:val="none"/>
        </w:rPr>
        <w:t>￥</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元</w:t>
      </w:r>
      <w:r>
        <w:rPr>
          <w:rFonts w:hint="eastAsia" w:ascii="宋体" w:hAnsi="宋体" w:cs="Arial"/>
          <w:sz w:val="24"/>
          <w:highlight w:val="none"/>
        </w:rPr>
        <w:t>）</w:t>
      </w:r>
      <w:r>
        <w:rPr>
          <w:rFonts w:ascii="宋体" w:hAnsi="宋体" w:cs="Arial"/>
          <w:sz w:val="24"/>
          <w:highlight w:val="none"/>
        </w:rPr>
        <w:t>。</w:t>
      </w:r>
    </w:p>
    <w:p w14:paraId="45EF9B4C">
      <w:pPr>
        <w:spacing w:line="520" w:lineRule="exact"/>
        <w:ind w:firstLine="424" w:firstLineChars="177"/>
        <w:rPr>
          <w:rFonts w:ascii="宋体" w:hAnsi="宋体" w:cs="Arial"/>
          <w:sz w:val="24"/>
          <w:highlight w:val="none"/>
        </w:rPr>
      </w:pPr>
      <w:r>
        <w:rPr>
          <w:rFonts w:ascii="宋体" w:hAnsi="宋体" w:cs="Arial"/>
          <w:sz w:val="24"/>
          <w:highlight w:val="none"/>
        </w:rPr>
        <w:t>（3）乙方向甲方提交符合本合同约定的《施工图设计》及相关勘察设计成果的正式书面文本并经验收通取得批复文件后，乙方按甲方的财务管理制度办理款项申请手续，经甲方审核确认后十个工作日内支付本</w:t>
      </w:r>
      <w:bookmarkStart w:id="202" w:name="_Hlk64969516"/>
      <w:r>
        <w:rPr>
          <w:rFonts w:ascii="宋体" w:hAnsi="宋体" w:cs="Arial"/>
          <w:sz w:val="24"/>
          <w:highlight w:val="none"/>
        </w:rPr>
        <w:t>合同</w:t>
      </w:r>
      <w:bookmarkStart w:id="203" w:name="_Hlk61342892"/>
      <w:r>
        <w:rPr>
          <w:rFonts w:ascii="宋体" w:hAnsi="宋体" w:cs="Arial"/>
          <w:sz w:val="24"/>
          <w:highlight w:val="none"/>
        </w:rPr>
        <w:t>勘察设计费</w:t>
      </w:r>
      <w:bookmarkEnd w:id="203"/>
      <w:r>
        <w:rPr>
          <w:rFonts w:ascii="宋体" w:hAnsi="宋体" w:cs="Arial"/>
          <w:sz w:val="24"/>
          <w:highlight w:val="none"/>
        </w:rPr>
        <w:t>总金额</w:t>
      </w:r>
      <w:bookmarkEnd w:id="202"/>
      <w:r>
        <w:rPr>
          <w:rFonts w:ascii="宋体" w:hAnsi="宋体" w:cs="Arial"/>
          <w:sz w:val="24"/>
          <w:highlight w:val="none"/>
        </w:rPr>
        <w:t>的</w:t>
      </w:r>
      <w:r>
        <w:rPr>
          <w:rFonts w:hint="eastAsia" w:ascii="宋体" w:hAnsi="宋体" w:cs="Arial"/>
          <w:sz w:val="24"/>
          <w:highlight w:val="none"/>
          <w:u w:val="single"/>
        </w:rPr>
        <w:t xml:space="preserve">             </w:t>
      </w:r>
      <w:r>
        <w:rPr>
          <w:rFonts w:ascii="宋体" w:hAnsi="宋体" w:cs="Arial"/>
          <w:sz w:val="24"/>
          <w:highlight w:val="none"/>
        </w:rPr>
        <w:t>，计</w:t>
      </w:r>
      <w:r>
        <w:rPr>
          <w:rFonts w:hint="eastAsia" w:ascii="宋体" w:hAnsi="宋体" w:cs="Arial"/>
          <w:sz w:val="24"/>
          <w:highlight w:val="none"/>
        </w:rPr>
        <w:t>人民币</w:t>
      </w:r>
      <w:r>
        <w:rPr>
          <w:rFonts w:ascii="宋体" w:hAnsi="宋体" w:cs="Arial"/>
          <w:sz w:val="24"/>
          <w:highlight w:val="none"/>
        </w:rPr>
        <w:t>大写</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hint="eastAsia" w:ascii="宋体" w:hAnsi="宋体" w:cs="Arial"/>
          <w:sz w:val="24"/>
          <w:highlight w:val="none"/>
        </w:rPr>
        <w:t>元小写</w:t>
      </w:r>
      <w:r>
        <w:rPr>
          <w:rFonts w:hint="eastAsia" w:ascii="宋体" w:hAnsi="宋体"/>
          <w:sz w:val="24"/>
          <w:highlight w:val="none"/>
        </w:rPr>
        <w:t>￥</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ascii="宋体" w:hAnsi="宋体" w:cs="Arial"/>
          <w:sz w:val="24"/>
          <w:highlight w:val="none"/>
        </w:rPr>
        <w:t>元</w:t>
      </w:r>
      <w:r>
        <w:rPr>
          <w:rFonts w:hint="eastAsia" w:ascii="宋体" w:hAnsi="宋体" w:cs="Arial"/>
          <w:sz w:val="24"/>
          <w:highlight w:val="none"/>
        </w:rPr>
        <w:t>）</w:t>
      </w:r>
      <w:r>
        <w:rPr>
          <w:rFonts w:ascii="宋体" w:hAnsi="宋体" w:cs="Arial"/>
          <w:sz w:val="24"/>
          <w:highlight w:val="none"/>
        </w:rPr>
        <w:t>。</w:t>
      </w:r>
    </w:p>
    <w:p w14:paraId="3A2BEA95">
      <w:pPr>
        <w:spacing w:line="520" w:lineRule="exact"/>
        <w:ind w:firstLine="424" w:firstLineChars="177"/>
        <w:rPr>
          <w:rFonts w:ascii="宋体" w:hAnsi="宋体" w:cs="Arial"/>
          <w:sz w:val="24"/>
          <w:highlight w:val="none"/>
        </w:rPr>
      </w:pPr>
      <w:r>
        <w:rPr>
          <w:rFonts w:hint="eastAsia" w:ascii="宋体" w:hAnsi="宋体" w:cs="Arial"/>
          <w:sz w:val="24"/>
          <w:highlight w:val="none"/>
        </w:rPr>
        <w:t>（</w:t>
      </w:r>
      <w:r>
        <w:rPr>
          <w:rFonts w:ascii="宋体" w:hAnsi="宋体" w:cs="Arial"/>
          <w:sz w:val="24"/>
          <w:highlight w:val="none"/>
        </w:rPr>
        <w:t>4</w:t>
      </w:r>
      <w:r>
        <w:rPr>
          <w:rFonts w:hint="eastAsia" w:ascii="宋体" w:hAnsi="宋体" w:cs="Arial"/>
          <w:sz w:val="24"/>
          <w:highlight w:val="none"/>
        </w:rPr>
        <w:t>）</w:t>
      </w:r>
      <w:r>
        <w:rPr>
          <w:rFonts w:ascii="宋体" w:hAnsi="宋体" w:cs="Arial"/>
          <w:sz w:val="24"/>
          <w:highlight w:val="none"/>
        </w:rPr>
        <w:t>因乙方提交的《施工图设计》及相关勘察设计成果不符合要求而不能通过主管部门审批时，由乙方负责免费修改，直至通过主管部门审批为止，并由乙方按照有关约定承担违约责任。</w:t>
      </w:r>
    </w:p>
    <w:p w14:paraId="09EF7E5B">
      <w:pPr>
        <w:spacing w:line="520" w:lineRule="exact"/>
        <w:ind w:firstLine="424" w:firstLineChars="177"/>
        <w:rPr>
          <w:rFonts w:ascii="宋体" w:hAnsi="宋体" w:cs="Arial"/>
          <w:sz w:val="24"/>
          <w:highlight w:val="none"/>
        </w:rPr>
      </w:pPr>
      <w:r>
        <w:rPr>
          <w:rFonts w:hint="eastAsia" w:ascii="宋体" w:hAnsi="宋体" w:cs="Arial"/>
          <w:sz w:val="24"/>
          <w:highlight w:val="none"/>
        </w:rPr>
        <w:t>（5）履约保证金：无。</w:t>
      </w:r>
    </w:p>
    <w:p w14:paraId="03F634EE">
      <w:pPr>
        <w:spacing w:line="520" w:lineRule="exact"/>
        <w:ind w:firstLine="424" w:firstLineChars="177"/>
        <w:rPr>
          <w:rFonts w:ascii="宋体" w:hAnsi="宋体" w:cs="Arial"/>
          <w:sz w:val="24"/>
          <w:highlight w:val="none"/>
        </w:rPr>
      </w:pPr>
      <w:r>
        <w:rPr>
          <w:rFonts w:ascii="宋体" w:hAnsi="宋体" w:cs="Arial"/>
          <w:sz w:val="24"/>
          <w:highlight w:val="none"/>
        </w:rPr>
        <w:t>3、因项目停建等原因致使《施工图设计》及相关勘察设计成果无需送主管部门审批的，由甲方和乙方协商解决。</w:t>
      </w:r>
    </w:p>
    <w:p w14:paraId="011F1BEF">
      <w:pPr>
        <w:spacing w:line="520" w:lineRule="exact"/>
        <w:ind w:firstLine="424" w:firstLineChars="177"/>
        <w:rPr>
          <w:rFonts w:ascii="宋体" w:hAnsi="宋体" w:cs="Arial"/>
          <w:sz w:val="24"/>
          <w:highlight w:val="none"/>
        </w:rPr>
      </w:pPr>
      <w:r>
        <w:rPr>
          <w:rFonts w:ascii="宋体" w:hAnsi="宋体" w:cs="Arial"/>
          <w:sz w:val="24"/>
          <w:highlight w:val="none"/>
        </w:rPr>
        <w:t>4、以上支付均以银行转帐方式进行。乙方须在正式转帐前向甲方提交增值税专用发票报。</w:t>
      </w:r>
    </w:p>
    <w:p w14:paraId="2D2D574F">
      <w:pPr>
        <w:spacing w:line="520" w:lineRule="exact"/>
        <w:ind w:firstLine="424" w:firstLineChars="177"/>
        <w:rPr>
          <w:rFonts w:ascii="宋体" w:hAnsi="宋体" w:cs="Arial"/>
          <w:sz w:val="24"/>
          <w:highlight w:val="none"/>
        </w:rPr>
      </w:pPr>
      <w:r>
        <w:rPr>
          <w:rFonts w:ascii="宋体" w:hAnsi="宋体" w:cs="Arial"/>
          <w:sz w:val="24"/>
          <w:highlight w:val="none"/>
        </w:rPr>
        <w:t>八、违约责任</w:t>
      </w:r>
    </w:p>
    <w:p w14:paraId="4380527E">
      <w:pPr>
        <w:spacing w:line="520" w:lineRule="exact"/>
        <w:ind w:firstLine="424" w:firstLineChars="177"/>
        <w:rPr>
          <w:rFonts w:ascii="宋体" w:hAnsi="宋体" w:cs="Arial"/>
          <w:sz w:val="24"/>
          <w:highlight w:val="none"/>
        </w:rPr>
      </w:pPr>
      <w:r>
        <w:rPr>
          <w:rFonts w:ascii="宋体" w:hAnsi="宋体" w:cs="Arial"/>
          <w:sz w:val="24"/>
          <w:highlight w:val="none"/>
        </w:rPr>
        <w:t>1、除非法律、法规规定或本合同约定，任何一方不得擅自解除合同。擅自解除合同属违约行为。于此情形下，违约的一方应向对方支付本合同约定的编制工作报酬总额的20%作为违约金。</w:t>
      </w:r>
    </w:p>
    <w:p w14:paraId="5F6A1B42">
      <w:pPr>
        <w:spacing w:line="520" w:lineRule="exact"/>
        <w:ind w:firstLine="424" w:firstLineChars="177"/>
        <w:rPr>
          <w:rFonts w:ascii="宋体" w:hAnsi="宋体" w:cs="Arial"/>
          <w:sz w:val="24"/>
          <w:highlight w:val="none"/>
        </w:rPr>
      </w:pPr>
      <w:r>
        <w:rPr>
          <w:rFonts w:ascii="宋体" w:hAnsi="宋体" w:cs="Arial"/>
          <w:sz w:val="24"/>
          <w:highlight w:val="none"/>
        </w:rPr>
        <w:t>2、因乙方自身的原因未按本合同约定的期限提交《施工图设计》及相关勘察设计成果的初稿或正式文本，属于违约行为。于此情形下，乙方每逾期一个日历日，甲方有权扣减本合同约定的勘察设计费总额的3‰作为违约金；逾期15个日历日以上，甲方有权单方面解除合同，并有权要求乙方支付本合同约定的勘察设计费总额的20%作为违约金。</w:t>
      </w:r>
    </w:p>
    <w:p w14:paraId="137A6DFA">
      <w:pPr>
        <w:spacing w:line="520" w:lineRule="exact"/>
        <w:ind w:firstLine="424" w:firstLineChars="177"/>
        <w:rPr>
          <w:rFonts w:ascii="宋体" w:hAnsi="宋体" w:cs="Arial"/>
          <w:sz w:val="24"/>
          <w:highlight w:val="none"/>
        </w:rPr>
      </w:pPr>
      <w:r>
        <w:rPr>
          <w:rFonts w:ascii="宋体" w:hAnsi="宋体" w:cs="Arial"/>
          <w:sz w:val="24"/>
          <w:highlight w:val="none"/>
        </w:rPr>
        <w:t>3、《施工图设计》及相关勘察设计成果未获验收通过，属于违约行为。于此情形下，乙方应无偿返工或者采取补救措施；因此而造成超期七个日历日以上（含七个日历日）交付《施工图设计》及相关勘察设计成果的，乙方还应承担本条第（二）项约定的违约责任。</w:t>
      </w:r>
    </w:p>
    <w:p w14:paraId="68BF8BFB">
      <w:pPr>
        <w:spacing w:line="520" w:lineRule="exact"/>
        <w:ind w:firstLine="424" w:firstLineChars="177"/>
        <w:rPr>
          <w:rFonts w:ascii="宋体" w:hAnsi="宋体" w:cs="Arial"/>
          <w:sz w:val="24"/>
          <w:highlight w:val="none"/>
        </w:rPr>
      </w:pPr>
      <w:r>
        <w:rPr>
          <w:rFonts w:ascii="宋体" w:hAnsi="宋体" w:cs="Arial"/>
          <w:sz w:val="24"/>
          <w:highlight w:val="none"/>
        </w:rPr>
        <w:t>4、乙方所提交的《施工图设计》及相关勘察设计成果不符合约定，属于违约行为。于此情形下，乙方除无偿返工或者采取补救措施加以完善之外，还应承担违约赔偿责任。</w:t>
      </w:r>
    </w:p>
    <w:p w14:paraId="6A86BDCD">
      <w:pPr>
        <w:spacing w:line="520" w:lineRule="exact"/>
        <w:ind w:firstLine="424" w:firstLineChars="177"/>
        <w:rPr>
          <w:rFonts w:ascii="宋体" w:hAnsi="宋体" w:cs="Arial"/>
          <w:sz w:val="24"/>
          <w:highlight w:val="none"/>
        </w:rPr>
      </w:pPr>
      <w:r>
        <w:rPr>
          <w:rFonts w:ascii="宋体" w:hAnsi="宋体" w:cs="Arial"/>
          <w:sz w:val="24"/>
          <w:highlight w:val="none"/>
        </w:rPr>
        <w:t>5、乙方违反本合同其他约定（含其他文件的承诺），亦属于违约行为。每违反一次，扣减本合同约定的勘察设计费总额的5‰作为违约金。</w:t>
      </w:r>
    </w:p>
    <w:p w14:paraId="455C2F34">
      <w:pPr>
        <w:spacing w:line="520" w:lineRule="exact"/>
        <w:ind w:firstLine="424" w:firstLineChars="177"/>
        <w:rPr>
          <w:rFonts w:ascii="宋体" w:hAnsi="宋体" w:cs="Arial"/>
          <w:sz w:val="24"/>
          <w:highlight w:val="none"/>
        </w:rPr>
      </w:pPr>
      <w:r>
        <w:rPr>
          <w:rFonts w:ascii="宋体" w:hAnsi="宋体" w:cs="Arial"/>
          <w:sz w:val="24"/>
          <w:highlight w:val="none"/>
        </w:rPr>
        <w:t>6、本项目使用财政资金的，应在财政资金下达后予以支付，因财政资金未下达造成甲方未能按期支付的，不属于甲方违约责任。</w:t>
      </w:r>
    </w:p>
    <w:p w14:paraId="18510DB8">
      <w:pPr>
        <w:spacing w:line="520" w:lineRule="exact"/>
        <w:ind w:firstLine="424" w:firstLineChars="177"/>
        <w:rPr>
          <w:rFonts w:ascii="宋体" w:hAnsi="宋体" w:cs="Arial"/>
          <w:sz w:val="24"/>
          <w:highlight w:val="none"/>
        </w:rPr>
      </w:pPr>
      <w:r>
        <w:rPr>
          <w:rFonts w:ascii="宋体" w:hAnsi="宋体" w:cs="Arial"/>
          <w:sz w:val="24"/>
          <w:highlight w:val="none"/>
        </w:rPr>
        <w:t>7、由于一方的违约行为而给另一方造成损失的，违约的一方应承担相应的赔偿责任。</w:t>
      </w:r>
    </w:p>
    <w:p w14:paraId="62680D70">
      <w:pPr>
        <w:spacing w:line="520" w:lineRule="exact"/>
        <w:ind w:firstLine="424" w:firstLineChars="177"/>
        <w:rPr>
          <w:rFonts w:ascii="宋体" w:hAnsi="宋体" w:cs="Arial"/>
          <w:sz w:val="24"/>
          <w:highlight w:val="none"/>
        </w:rPr>
      </w:pPr>
      <w:r>
        <w:rPr>
          <w:rFonts w:ascii="宋体" w:hAnsi="宋体" w:cs="Arial"/>
          <w:sz w:val="24"/>
          <w:highlight w:val="none"/>
        </w:rPr>
        <w:t>8、在本合同有效期内，乙方的单位名称变更的，应及时以书面形式通知甲方；乙方法定代表人变更的，应在变更后15日内向甲方提交新法定代表人的职务、职称、联系电话、通信地址等信息。否则视为乙方违约，乙方应当向甲方支付10000元作为违约金。</w:t>
      </w:r>
    </w:p>
    <w:p w14:paraId="711B6D4A">
      <w:pPr>
        <w:spacing w:line="520" w:lineRule="exact"/>
        <w:ind w:firstLine="424" w:firstLineChars="177"/>
        <w:rPr>
          <w:rFonts w:ascii="宋体" w:hAnsi="宋体" w:cs="Arial"/>
          <w:sz w:val="24"/>
          <w:highlight w:val="none"/>
        </w:rPr>
      </w:pPr>
      <w:r>
        <w:rPr>
          <w:rFonts w:ascii="宋体" w:hAnsi="宋体" w:cs="Arial"/>
          <w:sz w:val="24"/>
          <w:highlight w:val="none"/>
        </w:rPr>
        <w:t>九、合同变更</w:t>
      </w:r>
    </w:p>
    <w:p w14:paraId="4041F6EC">
      <w:pPr>
        <w:spacing w:line="520" w:lineRule="exact"/>
        <w:ind w:firstLine="424" w:firstLineChars="177"/>
        <w:rPr>
          <w:rFonts w:ascii="宋体" w:hAnsi="宋体" w:cs="Arial"/>
          <w:sz w:val="24"/>
          <w:highlight w:val="none"/>
        </w:rPr>
      </w:pPr>
      <w:r>
        <w:rPr>
          <w:rFonts w:ascii="宋体" w:hAnsi="宋体" w:cs="Arial"/>
          <w:sz w:val="24"/>
          <w:highlight w:val="none"/>
        </w:rPr>
        <w:t>本合同可以变更，必要时可签订补充合同。变更必须由甲乙双方协商一致，并以书面形式确定。一方可以书面形式向另一方提出变更合同的请求，另一方应当在15日内予以书面答复；逾期未予答复的，视为不同意变更。</w:t>
      </w:r>
    </w:p>
    <w:p w14:paraId="1EB81028">
      <w:pPr>
        <w:spacing w:line="520" w:lineRule="exact"/>
        <w:ind w:firstLine="424" w:firstLineChars="177"/>
        <w:rPr>
          <w:rFonts w:ascii="宋体" w:hAnsi="宋体" w:cs="Arial"/>
          <w:sz w:val="24"/>
          <w:highlight w:val="none"/>
        </w:rPr>
      </w:pPr>
      <w:r>
        <w:rPr>
          <w:rFonts w:ascii="宋体" w:hAnsi="宋体" w:cs="Arial"/>
          <w:sz w:val="24"/>
          <w:highlight w:val="none"/>
        </w:rPr>
        <w:t>十、项目联系人及其职责</w:t>
      </w:r>
    </w:p>
    <w:p w14:paraId="5FFC57D0">
      <w:pPr>
        <w:spacing w:line="520" w:lineRule="exact"/>
        <w:ind w:firstLine="424" w:firstLineChars="177"/>
        <w:rPr>
          <w:rFonts w:ascii="宋体" w:hAnsi="宋体" w:cs="Arial"/>
          <w:sz w:val="24"/>
          <w:highlight w:val="none"/>
        </w:rPr>
      </w:pPr>
      <w:r>
        <w:rPr>
          <w:rFonts w:ascii="宋体" w:hAnsi="宋体" w:cs="Arial"/>
          <w:sz w:val="24"/>
          <w:highlight w:val="none"/>
        </w:rPr>
        <w:t>双方确定，在本合同有效期内，甲方指定为甲方项目联系人，乙方指定为乙方项目联系人。</w:t>
      </w:r>
    </w:p>
    <w:p w14:paraId="7A6430BB">
      <w:pPr>
        <w:spacing w:line="520" w:lineRule="exact"/>
        <w:ind w:firstLine="424" w:firstLineChars="177"/>
        <w:rPr>
          <w:rFonts w:ascii="宋体" w:hAnsi="宋体" w:cs="Arial"/>
          <w:sz w:val="24"/>
          <w:highlight w:val="none"/>
        </w:rPr>
      </w:pPr>
      <w:r>
        <w:rPr>
          <w:rFonts w:ascii="宋体" w:hAnsi="宋体" w:cs="Arial"/>
          <w:sz w:val="24"/>
          <w:highlight w:val="none"/>
        </w:rPr>
        <w:t>项目联系人承担以下责任：</w:t>
      </w:r>
    </w:p>
    <w:p w14:paraId="273083C1">
      <w:pPr>
        <w:spacing w:line="520" w:lineRule="exact"/>
        <w:ind w:firstLine="424" w:firstLineChars="177"/>
        <w:rPr>
          <w:rFonts w:ascii="宋体" w:hAnsi="宋体" w:cs="Arial"/>
          <w:sz w:val="24"/>
          <w:highlight w:val="none"/>
        </w:rPr>
      </w:pPr>
      <w:r>
        <w:rPr>
          <w:rFonts w:ascii="宋体" w:hAnsi="宋体" w:cs="Arial"/>
          <w:sz w:val="24"/>
          <w:highlight w:val="none"/>
        </w:rPr>
        <w:t>1、负责项目有关事宜的联络与沟通；</w:t>
      </w:r>
    </w:p>
    <w:p w14:paraId="40A4D3FF">
      <w:pPr>
        <w:spacing w:line="520" w:lineRule="exact"/>
        <w:ind w:firstLine="424" w:firstLineChars="177"/>
        <w:rPr>
          <w:rFonts w:ascii="宋体" w:hAnsi="宋体" w:cs="Arial"/>
          <w:sz w:val="24"/>
          <w:highlight w:val="none"/>
        </w:rPr>
      </w:pPr>
      <w:r>
        <w:rPr>
          <w:rFonts w:ascii="宋体" w:hAnsi="宋体" w:cs="Arial"/>
          <w:sz w:val="24"/>
          <w:highlight w:val="none"/>
        </w:rPr>
        <w:t>2、协助《施工图设计》及相关勘察设计成果的上报审批工作；</w:t>
      </w:r>
    </w:p>
    <w:p w14:paraId="4E347F04">
      <w:pPr>
        <w:spacing w:line="520" w:lineRule="exact"/>
        <w:ind w:firstLine="424" w:firstLineChars="177"/>
        <w:rPr>
          <w:rFonts w:ascii="宋体" w:hAnsi="宋体" w:cs="Arial"/>
          <w:sz w:val="24"/>
          <w:highlight w:val="none"/>
        </w:rPr>
      </w:pPr>
      <w:r>
        <w:rPr>
          <w:rFonts w:ascii="宋体" w:hAnsi="宋体" w:cs="Arial"/>
          <w:sz w:val="24"/>
          <w:highlight w:val="none"/>
        </w:rPr>
        <w:t>3、解答有关《施工图设计》及相关勘察设计成果编制内容的问题。</w:t>
      </w:r>
    </w:p>
    <w:p w14:paraId="05F31319">
      <w:pPr>
        <w:spacing w:line="520" w:lineRule="exact"/>
        <w:ind w:firstLine="424" w:firstLineChars="177"/>
        <w:rPr>
          <w:rFonts w:ascii="宋体" w:hAnsi="宋体" w:cs="Arial"/>
          <w:sz w:val="24"/>
          <w:highlight w:val="none"/>
        </w:rPr>
      </w:pPr>
      <w:r>
        <w:rPr>
          <w:rFonts w:ascii="宋体" w:hAnsi="宋体" w:cs="Arial"/>
          <w:sz w:val="24"/>
          <w:highlight w:val="none"/>
        </w:rPr>
        <w:t>一方变更项目联系人的，有义务及时以书面形式通知另一方。任何一方未履行及时通知义务，导致影响本合同的履行并造成损失的，应承担相应的法律责任。</w:t>
      </w:r>
    </w:p>
    <w:p w14:paraId="0CC8D353">
      <w:pPr>
        <w:spacing w:line="520" w:lineRule="exact"/>
        <w:ind w:firstLine="424" w:firstLineChars="177"/>
        <w:rPr>
          <w:rFonts w:ascii="宋体" w:hAnsi="宋体" w:cs="Arial"/>
          <w:sz w:val="24"/>
          <w:highlight w:val="none"/>
        </w:rPr>
      </w:pPr>
      <w:r>
        <w:rPr>
          <w:rFonts w:ascii="宋体" w:hAnsi="宋体" w:cs="Arial"/>
          <w:sz w:val="24"/>
          <w:highlight w:val="none"/>
        </w:rPr>
        <w:t>十一、保密条款</w:t>
      </w:r>
    </w:p>
    <w:p w14:paraId="7136F42D">
      <w:pPr>
        <w:spacing w:line="520" w:lineRule="exact"/>
        <w:ind w:firstLine="424" w:firstLineChars="177"/>
        <w:rPr>
          <w:rFonts w:ascii="宋体" w:hAnsi="宋体" w:cs="Arial"/>
          <w:sz w:val="24"/>
          <w:highlight w:val="none"/>
        </w:rPr>
      </w:pPr>
      <w:r>
        <w:rPr>
          <w:rFonts w:ascii="宋体" w:hAnsi="宋体" w:cs="Arial"/>
          <w:sz w:val="24"/>
          <w:highlight w:val="none"/>
        </w:rPr>
        <w:t>乙方郑重承诺：在本合同履行期间及履行完毕后5年内，所有涉密人员（包括但不限于项目小组人员及乙方内部有关人员）未经甲方同意，不会将甲方所提供的资料（包括但不限于技术资料和经营资料）和编制的《施工图设计》及相关勘察设计成果用于本项目以外的其他用途，如有违反，乙方保证承担其相应的法律责任。</w:t>
      </w:r>
    </w:p>
    <w:p w14:paraId="37461C55">
      <w:pPr>
        <w:spacing w:line="520" w:lineRule="exact"/>
        <w:ind w:firstLine="424" w:firstLineChars="177"/>
        <w:rPr>
          <w:rFonts w:ascii="宋体" w:hAnsi="宋体" w:cs="Arial"/>
          <w:sz w:val="24"/>
          <w:highlight w:val="none"/>
        </w:rPr>
      </w:pPr>
      <w:r>
        <w:rPr>
          <w:rFonts w:ascii="宋体" w:hAnsi="宋体" w:cs="Arial"/>
          <w:sz w:val="24"/>
          <w:highlight w:val="none"/>
        </w:rPr>
        <w:t>十二、争议解决因本合同引起的或与本合同有关的任何争议，由合同各方协商解决，也可由有关部门调解。协商或调解不成的，依法向甲方所在地有管辖权的人民法院起诉。</w:t>
      </w:r>
    </w:p>
    <w:p w14:paraId="395E9435">
      <w:pPr>
        <w:spacing w:line="520" w:lineRule="exact"/>
        <w:ind w:firstLine="424" w:firstLineChars="177"/>
        <w:rPr>
          <w:rFonts w:ascii="宋体" w:hAnsi="宋体" w:cs="Arial"/>
          <w:sz w:val="24"/>
          <w:highlight w:val="none"/>
        </w:rPr>
      </w:pPr>
      <w:r>
        <w:rPr>
          <w:rFonts w:ascii="宋体" w:hAnsi="宋体" w:cs="Arial"/>
          <w:sz w:val="24"/>
          <w:highlight w:val="none"/>
        </w:rPr>
        <w:t>十三、本合同经甲乙双方法定代表人签字并经单位盖章后生效。</w:t>
      </w:r>
    </w:p>
    <w:p w14:paraId="538D981E">
      <w:pPr>
        <w:spacing w:line="520" w:lineRule="exact"/>
        <w:ind w:firstLine="424" w:firstLineChars="177"/>
        <w:rPr>
          <w:rFonts w:ascii="宋体" w:hAnsi="宋体" w:cs="Arial"/>
          <w:sz w:val="24"/>
          <w:highlight w:val="none"/>
        </w:rPr>
      </w:pPr>
      <w:r>
        <w:rPr>
          <w:rFonts w:ascii="宋体" w:hAnsi="宋体" w:cs="Arial"/>
          <w:sz w:val="24"/>
          <w:highlight w:val="none"/>
        </w:rPr>
        <w:t>十四、本合同一式</w:t>
      </w:r>
      <w:r>
        <w:rPr>
          <w:rFonts w:hint="eastAsia" w:ascii="宋体" w:hAnsi="宋体" w:cs="Arial"/>
          <w:sz w:val="24"/>
          <w:highlight w:val="none"/>
          <w:u w:val="single"/>
        </w:rPr>
        <w:t xml:space="preserve">   </w:t>
      </w:r>
      <w:r>
        <w:rPr>
          <w:rFonts w:ascii="宋体" w:hAnsi="宋体" w:cs="Arial"/>
          <w:sz w:val="24"/>
          <w:highlight w:val="none"/>
        </w:rPr>
        <w:t>份，各方各执</w:t>
      </w:r>
      <w:r>
        <w:rPr>
          <w:rFonts w:hint="eastAsia" w:ascii="宋体" w:hAnsi="宋体" w:cs="Arial"/>
          <w:sz w:val="24"/>
          <w:highlight w:val="none"/>
          <w:u w:val="single"/>
        </w:rPr>
        <w:t xml:space="preserve">   </w:t>
      </w:r>
      <w:r>
        <w:rPr>
          <w:rFonts w:ascii="宋体" w:hAnsi="宋体" w:cs="Arial"/>
          <w:sz w:val="24"/>
          <w:highlight w:val="none"/>
        </w:rPr>
        <w:t>份，具有同等法律效力。</w:t>
      </w:r>
    </w:p>
    <w:p w14:paraId="11CE9B9E">
      <w:pPr>
        <w:spacing w:line="480" w:lineRule="exact"/>
        <w:ind w:firstLine="539"/>
        <w:rPr>
          <w:rFonts w:ascii="宋体" w:hAnsi="宋体" w:cs="宋体"/>
          <w:sz w:val="24"/>
          <w:highlight w:val="none"/>
        </w:rPr>
      </w:pPr>
    </w:p>
    <w:p w14:paraId="6EC41D41">
      <w:pPr>
        <w:spacing w:line="480" w:lineRule="exact"/>
        <w:ind w:firstLine="539"/>
        <w:rPr>
          <w:rFonts w:ascii="宋体" w:hAnsi="宋体" w:cs="宋体"/>
          <w:sz w:val="24"/>
          <w:highlight w:val="none"/>
        </w:rPr>
      </w:pPr>
    </w:p>
    <w:p w14:paraId="5A7A032C">
      <w:pPr>
        <w:spacing w:line="480" w:lineRule="exact"/>
        <w:rPr>
          <w:rFonts w:ascii="宋体" w:hAnsi="宋体" w:cs="宋体"/>
          <w:sz w:val="24"/>
          <w:highlight w:val="none"/>
        </w:rPr>
      </w:pPr>
      <w:r>
        <w:rPr>
          <w:rFonts w:hint="eastAsia" w:ascii="宋体" w:hAnsi="宋体" w:cs="宋体"/>
          <w:sz w:val="24"/>
          <w:highlight w:val="none"/>
        </w:rPr>
        <w:t>发包人：  (公章)                      设计人：  (公章)</w:t>
      </w:r>
    </w:p>
    <w:p w14:paraId="614C533E">
      <w:pPr>
        <w:spacing w:line="480" w:lineRule="exact"/>
        <w:rPr>
          <w:rFonts w:ascii="宋体" w:hAnsi="宋体" w:cs="宋体"/>
          <w:sz w:val="24"/>
          <w:highlight w:val="none"/>
        </w:rPr>
      </w:pPr>
      <w:r>
        <w:rPr>
          <w:rFonts w:hint="eastAsia" w:ascii="宋体" w:hAnsi="宋体" w:cs="宋体"/>
          <w:sz w:val="24"/>
          <w:highlight w:val="none"/>
        </w:rPr>
        <w:t>法定代表人：                          法定代表人：</w:t>
      </w:r>
    </w:p>
    <w:p w14:paraId="2E499FBA">
      <w:pPr>
        <w:spacing w:line="480" w:lineRule="exact"/>
        <w:rPr>
          <w:rFonts w:ascii="宋体" w:hAnsi="宋体" w:cs="宋体"/>
          <w:sz w:val="24"/>
          <w:highlight w:val="none"/>
        </w:rPr>
      </w:pPr>
      <w:r>
        <w:rPr>
          <w:rFonts w:hint="eastAsia" w:ascii="宋体" w:hAnsi="宋体" w:cs="宋体"/>
          <w:sz w:val="24"/>
          <w:highlight w:val="none"/>
        </w:rPr>
        <w:t>委托代理人：                          委托代理人：</w:t>
      </w:r>
    </w:p>
    <w:p w14:paraId="2EEB373E">
      <w:pPr>
        <w:spacing w:line="480" w:lineRule="exact"/>
        <w:rPr>
          <w:rFonts w:ascii="宋体" w:hAnsi="宋体" w:cs="宋体"/>
          <w:sz w:val="24"/>
          <w:highlight w:val="none"/>
        </w:rPr>
      </w:pPr>
      <w:r>
        <w:rPr>
          <w:rFonts w:hint="eastAsia" w:ascii="宋体" w:hAnsi="宋体" w:cs="宋体"/>
          <w:sz w:val="24"/>
          <w:highlight w:val="none"/>
        </w:rPr>
        <w:t>联系人（签字）：                       联系人（签字）：</w:t>
      </w:r>
    </w:p>
    <w:p w14:paraId="536502F8">
      <w:pPr>
        <w:spacing w:line="480" w:lineRule="exact"/>
        <w:rPr>
          <w:rFonts w:ascii="宋体" w:hAnsi="宋体" w:cs="宋体"/>
          <w:sz w:val="24"/>
          <w:highlight w:val="none"/>
        </w:rPr>
      </w:pPr>
      <w:r>
        <w:rPr>
          <w:rFonts w:hint="eastAsia" w:ascii="宋体" w:hAnsi="宋体" w:cs="宋体"/>
          <w:sz w:val="24"/>
          <w:highlight w:val="none"/>
        </w:rPr>
        <w:t>邮政编码：                            邮政编码：</w:t>
      </w:r>
    </w:p>
    <w:p w14:paraId="7416A5FB">
      <w:pPr>
        <w:spacing w:line="480" w:lineRule="exact"/>
        <w:rPr>
          <w:rFonts w:ascii="宋体" w:hAnsi="宋体" w:cs="宋体"/>
          <w:sz w:val="24"/>
          <w:highlight w:val="none"/>
        </w:rPr>
      </w:pPr>
      <w:r>
        <w:rPr>
          <w:rFonts w:hint="eastAsia" w:ascii="宋体" w:hAnsi="宋体" w:cs="宋体"/>
          <w:sz w:val="24"/>
          <w:highlight w:val="none"/>
        </w:rPr>
        <w:t>组织机构代码：                        组织机构代码：</w:t>
      </w:r>
    </w:p>
    <w:p w14:paraId="7F0FC29E">
      <w:pPr>
        <w:spacing w:line="480" w:lineRule="exact"/>
        <w:rPr>
          <w:rFonts w:ascii="宋体" w:hAnsi="宋体" w:cs="宋体"/>
          <w:sz w:val="24"/>
          <w:highlight w:val="none"/>
        </w:rPr>
      </w:pPr>
      <w:r>
        <w:rPr>
          <w:rFonts w:hint="eastAsia" w:ascii="宋体" w:hAnsi="宋体" w:cs="宋体"/>
          <w:sz w:val="24"/>
          <w:highlight w:val="none"/>
        </w:rPr>
        <w:t>地  址：                              地  址：</w:t>
      </w:r>
    </w:p>
    <w:p w14:paraId="2BD432B0">
      <w:pPr>
        <w:spacing w:line="480" w:lineRule="exact"/>
        <w:rPr>
          <w:rFonts w:ascii="宋体" w:hAnsi="宋体" w:cs="宋体"/>
          <w:sz w:val="24"/>
          <w:highlight w:val="none"/>
          <w:u w:val="single"/>
        </w:rPr>
      </w:pPr>
      <w:r>
        <w:rPr>
          <w:rFonts w:hint="eastAsia" w:ascii="宋体" w:hAnsi="宋体" w:cs="宋体"/>
          <w:sz w:val="24"/>
          <w:highlight w:val="none"/>
        </w:rPr>
        <w:t>电  话：                              电  话：</w:t>
      </w:r>
    </w:p>
    <w:p w14:paraId="1E2B6E77">
      <w:pPr>
        <w:spacing w:line="480" w:lineRule="exact"/>
        <w:rPr>
          <w:rFonts w:ascii="宋体" w:hAnsi="宋体" w:cs="宋体"/>
          <w:sz w:val="24"/>
          <w:highlight w:val="none"/>
        </w:rPr>
      </w:pPr>
      <w:r>
        <w:rPr>
          <w:rFonts w:hint="eastAsia" w:ascii="宋体" w:hAnsi="宋体" w:cs="宋体"/>
          <w:sz w:val="24"/>
          <w:highlight w:val="none"/>
        </w:rPr>
        <w:t>电子邮箱：                            电子邮箱：</w:t>
      </w:r>
    </w:p>
    <w:p w14:paraId="58A73D9C">
      <w:pPr>
        <w:spacing w:line="480" w:lineRule="exact"/>
        <w:rPr>
          <w:rFonts w:ascii="宋体" w:hAnsi="宋体" w:cs="宋体"/>
          <w:sz w:val="24"/>
          <w:highlight w:val="none"/>
        </w:rPr>
      </w:pPr>
      <w:r>
        <w:rPr>
          <w:rFonts w:hint="eastAsia" w:ascii="宋体" w:hAnsi="宋体" w:cs="宋体"/>
          <w:sz w:val="24"/>
          <w:highlight w:val="none"/>
        </w:rPr>
        <w:t>开户银行：                            开户银行：</w:t>
      </w:r>
    </w:p>
    <w:p w14:paraId="6F4135D9">
      <w:pPr>
        <w:spacing w:line="520" w:lineRule="exact"/>
        <w:rPr>
          <w:rFonts w:ascii="宋体" w:hAnsi="宋体" w:cs="Arial"/>
          <w:sz w:val="24"/>
          <w:highlight w:val="none"/>
        </w:rPr>
      </w:pPr>
      <w:r>
        <w:rPr>
          <w:rFonts w:hint="eastAsia" w:ascii="宋体" w:hAnsi="宋体" w:cs="宋体"/>
          <w:sz w:val="24"/>
          <w:highlight w:val="none"/>
        </w:rPr>
        <w:t>账  号：                              账 号：</w:t>
      </w:r>
    </w:p>
    <w:p w14:paraId="6B020CE4">
      <w:pPr>
        <w:widowControl/>
        <w:jc w:val="left"/>
        <w:rPr>
          <w:rFonts w:ascii="宋体" w:hAnsi="宋体"/>
          <w:b/>
          <w:bCs/>
          <w:kern w:val="44"/>
          <w:sz w:val="36"/>
          <w:szCs w:val="36"/>
          <w:highlight w:val="none"/>
        </w:rPr>
      </w:pPr>
      <w:r>
        <w:rPr>
          <w:rFonts w:ascii="宋体" w:hAnsi="宋体"/>
          <w:sz w:val="36"/>
          <w:szCs w:val="36"/>
          <w:highlight w:val="none"/>
        </w:rPr>
        <w:br w:type="page"/>
      </w:r>
    </w:p>
    <w:p w14:paraId="15A0E927">
      <w:pPr>
        <w:pStyle w:val="8"/>
        <w:spacing w:line="240" w:lineRule="auto"/>
        <w:jc w:val="center"/>
        <w:rPr>
          <w:rFonts w:ascii="宋体" w:hAnsi="宋体" w:cs="宋体"/>
          <w:sz w:val="24"/>
          <w:highlight w:val="none"/>
        </w:rPr>
      </w:pPr>
      <w:bookmarkStart w:id="204" w:name="_Toc196238531"/>
      <w:r>
        <w:rPr>
          <w:rFonts w:hint="eastAsia" w:ascii="宋体" w:hAnsi="宋体"/>
          <w:sz w:val="36"/>
          <w:szCs w:val="36"/>
          <w:highlight w:val="none"/>
        </w:rPr>
        <w:t>第六章 磋商响应文件格式</w:t>
      </w:r>
      <w:bookmarkEnd w:id="204"/>
      <w:r>
        <w:rPr>
          <w:rFonts w:hint="eastAsia" w:ascii="宋体" w:hAnsi="宋体"/>
          <w:sz w:val="36"/>
          <w:szCs w:val="36"/>
          <w:highlight w:val="none"/>
        </w:rPr>
        <w:t xml:space="preserve">   </w:t>
      </w:r>
    </w:p>
    <w:p w14:paraId="2445C8C3">
      <w:pPr>
        <w:ind w:firstLine="488"/>
        <w:jc w:val="center"/>
        <w:rPr>
          <w:rFonts w:ascii="宋体" w:hAnsi="宋体" w:cs="宋体"/>
          <w:sz w:val="36"/>
          <w:szCs w:val="36"/>
          <w:highlight w:val="none"/>
        </w:rPr>
      </w:pPr>
      <w:r>
        <w:rPr>
          <w:rFonts w:hint="eastAsia" w:ascii="宋体" w:hAnsi="宋体" w:cs="宋体"/>
          <w:sz w:val="36"/>
          <w:szCs w:val="36"/>
          <w:highlight w:val="none"/>
        </w:rPr>
        <w:t xml:space="preserve">                              </w:t>
      </w:r>
    </w:p>
    <w:p w14:paraId="38419731">
      <w:pPr>
        <w:spacing w:line="740" w:lineRule="exact"/>
        <w:jc w:val="center"/>
        <w:rPr>
          <w:rFonts w:hint="default" w:ascii="宋体" w:hAnsi="宋体" w:cs="宋体"/>
          <w:b/>
          <w:bCs/>
          <w:color w:val="000000"/>
          <w:sz w:val="48"/>
          <w:szCs w:val="48"/>
          <w:highlight w:val="none"/>
          <w:u w:val="single"/>
          <w:lang w:val="en-US" w:eastAsia="zh-CN"/>
        </w:rPr>
      </w:pPr>
      <w:r>
        <w:rPr>
          <w:rFonts w:hint="eastAsia" w:ascii="宋体" w:hAnsi="宋体" w:cs="宋体"/>
          <w:b/>
          <w:bCs/>
          <w:color w:val="000000"/>
          <w:sz w:val="48"/>
          <w:szCs w:val="48"/>
          <w:highlight w:val="none"/>
          <w:lang w:val="en-US" w:eastAsia="zh-CN"/>
        </w:rPr>
        <w:t xml:space="preserve"> </w:t>
      </w:r>
      <w:r>
        <w:rPr>
          <w:rFonts w:hint="eastAsia" w:ascii="宋体" w:hAnsi="宋体" w:cs="宋体"/>
          <w:b/>
          <w:bCs/>
          <w:color w:val="000000"/>
          <w:sz w:val="48"/>
          <w:szCs w:val="48"/>
          <w:highlight w:val="none"/>
          <w:u w:val="single"/>
          <w:lang w:val="en-US" w:eastAsia="zh-CN"/>
        </w:rPr>
        <w:t>（项目名称）</w:t>
      </w:r>
    </w:p>
    <w:p w14:paraId="5A4B5A6F">
      <w:pPr>
        <w:spacing w:line="740" w:lineRule="exact"/>
        <w:jc w:val="center"/>
        <w:rPr>
          <w:rFonts w:ascii="宋体" w:hAnsi="宋体" w:cs="宋体"/>
          <w:b/>
          <w:bCs/>
          <w:color w:val="000000"/>
          <w:sz w:val="48"/>
          <w:szCs w:val="48"/>
          <w:highlight w:val="none"/>
        </w:rPr>
      </w:pPr>
    </w:p>
    <w:p w14:paraId="35A204C2">
      <w:pPr>
        <w:spacing w:line="360" w:lineRule="auto"/>
        <w:jc w:val="center"/>
        <w:rPr>
          <w:rFonts w:ascii="宋体" w:hAnsi="宋体"/>
          <w:b/>
          <w:sz w:val="32"/>
          <w:szCs w:val="32"/>
          <w:highlight w:val="none"/>
        </w:rPr>
      </w:pPr>
    </w:p>
    <w:p w14:paraId="34E0ACE9">
      <w:pPr>
        <w:spacing w:line="360" w:lineRule="auto"/>
        <w:jc w:val="both"/>
        <w:rPr>
          <w:rFonts w:ascii="宋体" w:hAnsi="宋体"/>
          <w:b/>
          <w:sz w:val="32"/>
          <w:szCs w:val="32"/>
          <w:highlight w:val="none"/>
        </w:rPr>
      </w:pPr>
    </w:p>
    <w:p w14:paraId="09DBE6B5">
      <w:pPr>
        <w:ind w:firstLine="2168" w:firstLineChars="300"/>
        <w:rPr>
          <w:rFonts w:ascii="宋体" w:hAnsi="宋体"/>
          <w:b/>
          <w:sz w:val="72"/>
          <w:szCs w:val="56"/>
          <w:highlight w:val="none"/>
        </w:rPr>
      </w:pPr>
    </w:p>
    <w:p w14:paraId="5AE367B4">
      <w:pPr>
        <w:spacing w:line="276" w:lineRule="auto"/>
        <w:ind w:firstLine="2168" w:firstLineChars="300"/>
        <w:rPr>
          <w:rFonts w:hint="eastAsia" w:ascii="宋体" w:hAnsi="宋体"/>
          <w:b/>
          <w:sz w:val="72"/>
          <w:szCs w:val="56"/>
          <w:highlight w:val="none"/>
        </w:rPr>
      </w:pPr>
      <w:r>
        <w:rPr>
          <w:rFonts w:hint="eastAsia" w:ascii="宋体" w:hAnsi="宋体"/>
          <w:b/>
          <w:sz w:val="72"/>
          <w:szCs w:val="56"/>
          <w:highlight w:val="none"/>
        </w:rPr>
        <w:t>磋商响应文件</w:t>
      </w:r>
    </w:p>
    <w:p w14:paraId="21CE4942">
      <w:pPr>
        <w:spacing w:line="276" w:lineRule="auto"/>
        <w:ind w:firstLine="2168" w:firstLineChars="300"/>
        <w:rPr>
          <w:rFonts w:hint="eastAsia" w:ascii="宋体" w:hAnsi="宋体"/>
          <w:b/>
          <w:sz w:val="72"/>
          <w:szCs w:val="56"/>
          <w:highlight w:val="none"/>
        </w:rPr>
      </w:pPr>
    </w:p>
    <w:p w14:paraId="45C2A72A">
      <w:pPr>
        <w:spacing w:line="360" w:lineRule="auto"/>
        <w:ind w:firstLine="2249" w:firstLineChars="700"/>
        <w:jc w:val="left"/>
        <w:rPr>
          <w:rFonts w:ascii="宋体" w:hAnsi="宋体"/>
          <w:sz w:val="24"/>
          <w:highlight w:val="none"/>
        </w:rPr>
      </w:pPr>
      <w:r>
        <w:rPr>
          <w:rFonts w:hint="eastAsia" w:ascii="宋体" w:hAnsi="宋体"/>
          <w:b/>
          <w:sz w:val="32"/>
          <w:szCs w:val="32"/>
          <w:highlight w:val="none"/>
        </w:rPr>
        <w:t>项目编号：</w:t>
      </w:r>
      <w:r>
        <w:rPr>
          <w:rFonts w:ascii="宋体" w:hAnsi="宋体"/>
          <w:sz w:val="24"/>
          <w:highlight w:val="none"/>
        </w:rPr>
        <w:t xml:space="preserve"> </w:t>
      </w:r>
    </w:p>
    <w:p w14:paraId="3F197D9C">
      <w:pPr>
        <w:spacing w:line="276" w:lineRule="auto"/>
        <w:ind w:firstLine="1807" w:firstLineChars="750"/>
        <w:rPr>
          <w:rFonts w:ascii="宋体" w:hAnsi="宋体"/>
          <w:b/>
          <w:bCs/>
          <w:sz w:val="24"/>
          <w:highlight w:val="none"/>
        </w:rPr>
      </w:pPr>
    </w:p>
    <w:p w14:paraId="07C63AAF">
      <w:pPr>
        <w:spacing w:line="360" w:lineRule="auto"/>
        <w:ind w:firstLine="480" w:firstLineChars="200"/>
        <w:rPr>
          <w:rFonts w:ascii="宋体" w:hAnsi="宋体"/>
          <w:sz w:val="24"/>
          <w:highlight w:val="none"/>
        </w:rPr>
      </w:pPr>
    </w:p>
    <w:p w14:paraId="4A8FCD7A">
      <w:pPr>
        <w:spacing w:line="360" w:lineRule="auto"/>
        <w:ind w:firstLine="480" w:firstLineChars="200"/>
        <w:rPr>
          <w:rFonts w:ascii="宋体" w:hAnsi="宋体"/>
          <w:sz w:val="24"/>
          <w:highlight w:val="none"/>
        </w:rPr>
      </w:pPr>
    </w:p>
    <w:p w14:paraId="23BF0C35">
      <w:pPr>
        <w:spacing w:line="360" w:lineRule="auto"/>
        <w:ind w:firstLine="480" w:firstLineChars="200"/>
        <w:rPr>
          <w:rFonts w:ascii="宋体" w:hAnsi="宋体"/>
          <w:sz w:val="24"/>
          <w:highlight w:val="none"/>
        </w:rPr>
      </w:pPr>
    </w:p>
    <w:p w14:paraId="265A3249">
      <w:pPr>
        <w:spacing w:line="360" w:lineRule="auto"/>
        <w:ind w:firstLine="480" w:firstLineChars="200"/>
        <w:rPr>
          <w:rFonts w:ascii="宋体" w:hAnsi="宋体"/>
          <w:sz w:val="24"/>
          <w:highlight w:val="none"/>
        </w:rPr>
      </w:pPr>
    </w:p>
    <w:p w14:paraId="42B1B94A">
      <w:pPr>
        <w:spacing w:line="360" w:lineRule="auto"/>
        <w:rPr>
          <w:rFonts w:ascii="宋体" w:hAnsi="宋体"/>
          <w:sz w:val="24"/>
          <w:highlight w:val="none"/>
        </w:rPr>
      </w:pPr>
    </w:p>
    <w:p w14:paraId="79EE88D0">
      <w:pPr>
        <w:spacing w:line="360" w:lineRule="auto"/>
        <w:ind w:firstLine="480" w:firstLineChars="200"/>
        <w:rPr>
          <w:rFonts w:ascii="宋体" w:hAnsi="宋体"/>
          <w:sz w:val="24"/>
          <w:highlight w:val="none"/>
        </w:rPr>
      </w:pPr>
    </w:p>
    <w:p w14:paraId="2C559FC3">
      <w:pPr>
        <w:spacing w:line="360" w:lineRule="auto"/>
        <w:ind w:firstLine="480" w:firstLineChars="200"/>
        <w:rPr>
          <w:rFonts w:ascii="宋体" w:hAnsi="宋体"/>
          <w:sz w:val="24"/>
          <w:highlight w:val="none"/>
        </w:rPr>
      </w:pPr>
    </w:p>
    <w:p w14:paraId="5D534893">
      <w:pPr>
        <w:spacing w:line="360" w:lineRule="auto"/>
        <w:ind w:firstLine="1397" w:firstLineChars="400"/>
        <w:rPr>
          <w:rFonts w:ascii="宋体"/>
          <w:b/>
          <w:spacing w:val="24"/>
          <w:sz w:val="30"/>
          <w:szCs w:val="30"/>
          <w:highlight w:val="none"/>
        </w:rPr>
      </w:pPr>
      <w:r>
        <w:rPr>
          <w:rFonts w:hint="eastAsia" w:ascii="宋体" w:hAnsi="宋体"/>
          <w:b/>
          <w:spacing w:val="24"/>
          <w:sz w:val="30"/>
          <w:szCs w:val="30"/>
          <w:highlight w:val="none"/>
        </w:rPr>
        <w:t>磋商供应商：</w:t>
      </w:r>
      <w:r>
        <w:rPr>
          <w:rFonts w:hint="eastAsia" w:ascii="宋体" w:hAnsi="宋体"/>
          <w:b/>
          <w:spacing w:val="24"/>
          <w:sz w:val="30"/>
          <w:szCs w:val="30"/>
          <w:highlight w:val="none"/>
          <w:u w:val="single"/>
        </w:rPr>
        <w:t xml:space="preserve">            </w:t>
      </w:r>
      <w:r>
        <w:rPr>
          <w:rFonts w:hint="eastAsia" w:ascii="宋体" w:hAnsi="宋体"/>
          <w:b/>
          <w:spacing w:val="24"/>
          <w:sz w:val="30"/>
          <w:szCs w:val="30"/>
          <w:highlight w:val="none"/>
        </w:rPr>
        <w:t>（单位电子签章）</w:t>
      </w:r>
    </w:p>
    <w:p w14:paraId="428CD64E">
      <w:pPr>
        <w:spacing w:line="360" w:lineRule="auto"/>
        <w:jc w:val="center"/>
        <w:rPr>
          <w:rFonts w:ascii="宋体"/>
          <w:b/>
          <w:spacing w:val="24"/>
          <w:sz w:val="30"/>
          <w:szCs w:val="30"/>
          <w:highlight w:val="none"/>
        </w:rPr>
      </w:pPr>
      <w:r>
        <w:rPr>
          <w:rFonts w:hint="eastAsia" w:ascii="宋体" w:hAnsi="宋体"/>
          <w:b/>
          <w:spacing w:val="24"/>
          <w:sz w:val="30"/>
          <w:szCs w:val="30"/>
          <w:highlight w:val="none"/>
        </w:rPr>
        <w:t xml:space="preserve">       法定代表人：</w:t>
      </w:r>
      <w:r>
        <w:rPr>
          <w:rFonts w:hint="eastAsia" w:ascii="宋体" w:hAnsi="宋体"/>
          <w:b/>
          <w:spacing w:val="24"/>
          <w:sz w:val="30"/>
          <w:szCs w:val="30"/>
          <w:highlight w:val="none"/>
          <w:u w:val="single"/>
        </w:rPr>
        <w:t xml:space="preserve">            </w:t>
      </w:r>
      <w:r>
        <w:rPr>
          <w:rFonts w:hint="eastAsia" w:ascii="宋体" w:hAnsi="宋体"/>
          <w:b/>
          <w:spacing w:val="24"/>
          <w:sz w:val="30"/>
          <w:szCs w:val="30"/>
          <w:highlight w:val="none"/>
        </w:rPr>
        <w:t>（法人电子签章）</w:t>
      </w:r>
    </w:p>
    <w:p w14:paraId="0B398759">
      <w:pPr>
        <w:spacing w:line="360" w:lineRule="auto"/>
        <w:ind w:right="452" w:firstLine="1397" w:firstLineChars="400"/>
        <w:rPr>
          <w:rFonts w:ascii="宋体" w:hAnsi="宋体" w:cs="宋体"/>
          <w:b/>
          <w:spacing w:val="8"/>
          <w:sz w:val="30"/>
          <w:szCs w:val="30"/>
          <w:highlight w:val="none"/>
        </w:rPr>
      </w:pPr>
      <w:r>
        <w:rPr>
          <w:rFonts w:hint="eastAsia" w:ascii="宋体" w:hAnsi="宋体"/>
          <w:b/>
          <w:spacing w:val="24"/>
          <w:sz w:val="30"/>
          <w:szCs w:val="30"/>
          <w:highlight w:val="none"/>
        </w:rPr>
        <w:t>日    期：</w:t>
      </w:r>
      <w:r>
        <w:rPr>
          <w:rFonts w:hint="eastAsia" w:ascii="宋体" w:hAnsi="宋体"/>
          <w:b/>
          <w:spacing w:val="24"/>
          <w:sz w:val="30"/>
          <w:szCs w:val="30"/>
          <w:highlight w:val="none"/>
          <w:u w:val="single"/>
        </w:rPr>
        <w:t xml:space="preserve">     </w:t>
      </w:r>
      <w:r>
        <w:rPr>
          <w:rFonts w:hint="eastAsia" w:ascii="宋体" w:hAnsi="宋体"/>
          <w:b/>
          <w:spacing w:val="24"/>
          <w:sz w:val="30"/>
          <w:szCs w:val="30"/>
          <w:highlight w:val="none"/>
        </w:rPr>
        <w:t>年</w:t>
      </w:r>
      <w:r>
        <w:rPr>
          <w:rFonts w:hint="eastAsia" w:ascii="宋体" w:hAnsi="宋体"/>
          <w:b/>
          <w:spacing w:val="24"/>
          <w:sz w:val="30"/>
          <w:szCs w:val="30"/>
          <w:highlight w:val="none"/>
          <w:u w:val="single"/>
        </w:rPr>
        <w:t xml:space="preserve">    </w:t>
      </w:r>
      <w:r>
        <w:rPr>
          <w:rFonts w:hint="eastAsia" w:ascii="宋体" w:hAnsi="宋体"/>
          <w:b/>
          <w:spacing w:val="24"/>
          <w:sz w:val="30"/>
          <w:szCs w:val="30"/>
          <w:highlight w:val="none"/>
        </w:rPr>
        <w:t>月</w:t>
      </w:r>
      <w:r>
        <w:rPr>
          <w:rFonts w:hint="eastAsia" w:ascii="宋体" w:hAnsi="宋体"/>
          <w:b/>
          <w:spacing w:val="24"/>
          <w:sz w:val="30"/>
          <w:szCs w:val="30"/>
          <w:highlight w:val="none"/>
          <w:u w:val="single"/>
        </w:rPr>
        <w:t xml:space="preserve">    </w:t>
      </w:r>
      <w:r>
        <w:rPr>
          <w:rFonts w:hint="eastAsia" w:ascii="宋体" w:hAnsi="宋体"/>
          <w:b/>
          <w:spacing w:val="24"/>
          <w:sz w:val="30"/>
          <w:szCs w:val="30"/>
          <w:highlight w:val="none"/>
        </w:rPr>
        <w:t>日</w:t>
      </w:r>
    </w:p>
    <w:p w14:paraId="3F7F694D">
      <w:pPr>
        <w:autoSpaceDE w:val="0"/>
        <w:autoSpaceDN w:val="0"/>
        <w:adjustRightInd w:val="0"/>
        <w:spacing w:line="420" w:lineRule="exact"/>
        <w:jc w:val="center"/>
        <w:rPr>
          <w:rFonts w:hint="eastAsia" w:ascii="宋体" w:hAnsi="宋体" w:cs="宋体"/>
          <w:b/>
          <w:kern w:val="0"/>
          <w:sz w:val="44"/>
          <w:szCs w:val="44"/>
          <w:highlight w:val="none"/>
        </w:rPr>
      </w:pPr>
    </w:p>
    <w:p w14:paraId="4BA4F82B">
      <w:pPr>
        <w:autoSpaceDE w:val="0"/>
        <w:autoSpaceDN w:val="0"/>
        <w:adjustRightInd w:val="0"/>
        <w:spacing w:line="420" w:lineRule="exact"/>
        <w:jc w:val="center"/>
        <w:rPr>
          <w:rFonts w:hint="eastAsia" w:ascii="宋体" w:hAnsi="宋体" w:cs="宋体"/>
          <w:b/>
          <w:kern w:val="0"/>
          <w:sz w:val="44"/>
          <w:szCs w:val="44"/>
          <w:highlight w:val="none"/>
        </w:rPr>
      </w:pPr>
    </w:p>
    <w:p w14:paraId="02244A76">
      <w:pPr>
        <w:autoSpaceDE w:val="0"/>
        <w:autoSpaceDN w:val="0"/>
        <w:adjustRightInd w:val="0"/>
        <w:spacing w:line="420" w:lineRule="exact"/>
        <w:jc w:val="center"/>
        <w:rPr>
          <w:rFonts w:ascii="宋体" w:hAnsi="宋体" w:cs="宋体"/>
          <w:b/>
          <w:kern w:val="0"/>
          <w:sz w:val="44"/>
          <w:szCs w:val="44"/>
          <w:highlight w:val="none"/>
        </w:rPr>
      </w:pPr>
      <w:r>
        <w:rPr>
          <w:rFonts w:hint="eastAsia" w:ascii="宋体" w:hAnsi="宋体" w:cs="宋体"/>
          <w:b/>
          <w:kern w:val="0"/>
          <w:sz w:val="44"/>
          <w:szCs w:val="44"/>
          <w:highlight w:val="none"/>
        </w:rPr>
        <w:t>目   录</w:t>
      </w:r>
    </w:p>
    <w:p w14:paraId="59F0C547">
      <w:pPr>
        <w:autoSpaceDE w:val="0"/>
        <w:autoSpaceDN w:val="0"/>
        <w:adjustRightInd w:val="0"/>
        <w:spacing w:line="420" w:lineRule="exact"/>
        <w:jc w:val="center"/>
        <w:rPr>
          <w:rFonts w:ascii="宋体" w:hAnsi="宋体" w:cs="宋体"/>
          <w:kern w:val="0"/>
          <w:sz w:val="28"/>
          <w:szCs w:val="28"/>
          <w:highlight w:val="none"/>
        </w:rPr>
      </w:pPr>
    </w:p>
    <w:p w14:paraId="4F0A835E">
      <w:pPr>
        <w:autoSpaceDE w:val="0"/>
        <w:autoSpaceDN w:val="0"/>
        <w:adjustRightInd w:val="0"/>
        <w:spacing w:line="360" w:lineRule="auto"/>
        <w:ind w:firstLine="1850" w:firstLineChars="771"/>
        <w:jc w:val="left"/>
        <w:rPr>
          <w:rFonts w:ascii="宋体" w:hAnsi="宋体" w:cs="宋体"/>
          <w:bCs/>
          <w:kern w:val="0"/>
          <w:sz w:val="24"/>
          <w:highlight w:val="none"/>
        </w:rPr>
      </w:pPr>
    </w:p>
    <w:p w14:paraId="044F742E">
      <w:pPr>
        <w:spacing w:line="360" w:lineRule="auto"/>
        <w:ind w:firstLine="602" w:firstLineChars="250"/>
        <w:jc w:val="center"/>
        <w:rPr>
          <w:rFonts w:hint="eastAsia" w:ascii="宋体" w:hAnsi="宋体" w:cs="宋体-PUA" w:eastAsiaTheme="minorEastAsia"/>
          <w:b/>
          <w:bCs/>
          <w:sz w:val="24"/>
          <w:highlight w:val="none"/>
          <w:lang w:eastAsia="zh-CN"/>
        </w:rPr>
        <w:sectPr>
          <w:footerReference r:id="rId5" w:type="default"/>
          <w:pgSz w:w="11906" w:h="16838"/>
          <w:pgMar w:top="1440" w:right="1797" w:bottom="1440" w:left="1797" w:header="851" w:footer="902" w:gutter="0"/>
          <w:cols w:space="720" w:num="1"/>
          <w:docGrid w:linePitch="334" w:charSpace="808"/>
        </w:sectPr>
      </w:pPr>
      <w:r>
        <w:rPr>
          <w:rFonts w:hint="eastAsia" w:ascii="宋体" w:hAnsi="宋体" w:cs="宋体-PUA"/>
          <w:b/>
          <w:bCs/>
          <w:sz w:val="24"/>
          <w:highlight w:val="none"/>
          <w:lang w:eastAsia="zh-CN"/>
        </w:rPr>
        <w:t>（</w:t>
      </w:r>
      <w:r>
        <w:rPr>
          <w:rFonts w:hint="eastAsia" w:ascii="宋体" w:hAnsi="宋体" w:cs="宋体-PUA"/>
          <w:b/>
          <w:bCs/>
          <w:sz w:val="24"/>
          <w:highlight w:val="none"/>
          <w:lang w:val="en-US" w:eastAsia="zh-CN"/>
        </w:rPr>
        <w:t>格式自拟</w:t>
      </w:r>
      <w:r>
        <w:rPr>
          <w:rFonts w:hint="eastAsia" w:ascii="宋体" w:hAnsi="宋体" w:cs="宋体-PUA"/>
          <w:b/>
          <w:bCs/>
          <w:sz w:val="24"/>
          <w:highlight w:val="none"/>
          <w:lang w:eastAsia="zh-CN"/>
        </w:rPr>
        <w:t>）</w:t>
      </w:r>
    </w:p>
    <w:p w14:paraId="5CC09B83">
      <w:pPr>
        <w:pStyle w:val="9"/>
        <w:spacing w:line="240" w:lineRule="exact"/>
        <w:jc w:val="center"/>
        <w:rPr>
          <w:rFonts w:ascii="宋体" w:hAnsi="宋体" w:eastAsia="宋体" w:cs="宋体-PUA"/>
          <w:sz w:val="24"/>
          <w:szCs w:val="24"/>
          <w:highlight w:val="none"/>
        </w:rPr>
      </w:pPr>
      <w:bookmarkStart w:id="205" w:name="_Toc144974857"/>
      <w:bookmarkStart w:id="206" w:name="_Toc152045788"/>
      <w:bookmarkStart w:id="207" w:name="_Toc179632808"/>
      <w:bookmarkStart w:id="208" w:name="_Toc246997099"/>
      <w:bookmarkStart w:id="209" w:name="_Toc296602602"/>
      <w:bookmarkStart w:id="210" w:name="_Toc247085874"/>
      <w:bookmarkStart w:id="211" w:name="_Toc6295"/>
      <w:bookmarkStart w:id="212" w:name="_Toc152042577"/>
      <w:bookmarkStart w:id="213" w:name="_Toc246996356"/>
      <w:bookmarkStart w:id="214" w:name="_Toc196238532"/>
      <w:bookmarkStart w:id="215" w:name="_Toc43652642"/>
      <w:r>
        <w:rPr>
          <w:rFonts w:hint="eastAsia" w:ascii="宋体" w:hAnsi="宋体" w:eastAsia="宋体" w:cs="宋体-PUA"/>
          <w:sz w:val="24"/>
          <w:szCs w:val="24"/>
          <w:highlight w:val="none"/>
        </w:rPr>
        <w:t>一、响应函</w:t>
      </w:r>
      <w:bookmarkEnd w:id="205"/>
      <w:bookmarkEnd w:id="206"/>
      <w:bookmarkEnd w:id="207"/>
      <w:bookmarkEnd w:id="208"/>
      <w:bookmarkEnd w:id="209"/>
      <w:bookmarkEnd w:id="210"/>
      <w:bookmarkEnd w:id="211"/>
      <w:bookmarkEnd w:id="212"/>
      <w:bookmarkEnd w:id="213"/>
      <w:r>
        <w:rPr>
          <w:rFonts w:hint="eastAsia" w:ascii="宋体" w:hAnsi="宋体" w:eastAsia="宋体" w:cs="宋体-PUA"/>
          <w:sz w:val="24"/>
          <w:szCs w:val="24"/>
          <w:highlight w:val="none"/>
        </w:rPr>
        <w:t>及响应函附表</w:t>
      </w:r>
      <w:bookmarkEnd w:id="214"/>
      <w:bookmarkEnd w:id="215"/>
    </w:p>
    <w:p w14:paraId="7F903110">
      <w:pPr>
        <w:jc w:val="center"/>
        <w:rPr>
          <w:b/>
          <w:sz w:val="28"/>
          <w:szCs w:val="28"/>
          <w:highlight w:val="none"/>
        </w:rPr>
      </w:pPr>
      <w:r>
        <w:rPr>
          <w:rFonts w:hint="eastAsia"/>
          <w:b/>
          <w:sz w:val="28"/>
          <w:szCs w:val="28"/>
          <w:highlight w:val="none"/>
        </w:rPr>
        <w:t>（一）响应函</w:t>
      </w:r>
    </w:p>
    <w:p w14:paraId="307C8692">
      <w:pPr>
        <w:spacing w:line="360" w:lineRule="auto"/>
        <w:rPr>
          <w:rFonts w:ascii="宋体" w:hAnsi="宋体"/>
          <w:sz w:val="24"/>
          <w:highlight w:val="none"/>
        </w:rPr>
      </w:pPr>
      <w:bookmarkStart w:id="216" w:name="_Toc152045790"/>
      <w:bookmarkStart w:id="217" w:name="_Toc296602604"/>
      <w:bookmarkStart w:id="218" w:name="_Toc179632810"/>
      <w:bookmarkStart w:id="219" w:name="_Toc144974859"/>
      <w:bookmarkStart w:id="220" w:name="_Toc247085876"/>
      <w:bookmarkStart w:id="221" w:name="_Toc246997101"/>
      <w:bookmarkStart w:id="222" w:name="_Toc246996358"/>
      <w:bookmarkStart w:id="223" w:name="_Toc152042579"/>
    </w:p>
    <w:p w14:paraId="413AECE6">
      <w:pPr>
        <w:spacing w:line="360" w:lineRule="auto"/>
        <w:rPr>
          <w:rFonts w:ascii="宋体" w:hAnsi="宋体"/>
          <w:sz w:val="24"/>
          <w:highlight w:val="none"/>
        </w:rPr>
      </w:pPr>
      <w:r>
        <w:rPr>
          <w:rFonts w:hint="eastAsia" w:ascii="宋体" w:hAnsi="宋体"/>
          <w:sz w:val="24"/>
          <w:highlight w:val="none"/>
        </w:rPr>
        <w:t xml:space="preserve">致： </w:t>
      </w:r>
      <w:r>
        <w:rPr>
          <w:rFonts w:hint="eastAsia" w:ascii="宋体" w:hAnsi="宋体"/>
          <w:sz w:val="24"/>
          <w:highlight w:val="none"/>
          <w:u w:val="single"/>
        </w:rPr>
        <w:t xml:space="preserve">               </w:t>
      </w:r>
      <w:r>
        <w:rPr>
          <w:rFonts w:hint="eastAsia" w:ascii="宋体" w:hAnsi="宋体"/>
          <w:sz w:val="24"/>
          <w:highlight w:val="none"/>
        </w:rPr>
        <w:t xml:space="preserve"> （采购人名称）</w:t>
      </w:r>
    </w:p>
    <w:p w14:paraId="24A23E97">
      <w:pPr>
        <w:spacing w:line="360" w:lineRule="auto"/>
        <w:ind w:firstLine="360" w:firstLineChars="150"/>
        <w:rPr>
          <w:rFonts w:ascii="宋体" w:hAnsi="宋体"/>
          <w:sz w:val="24"/>
          <w:highlight w:val="none"/>
          <w:u w:val="single"/>
        </w:rPr>
      </w:pPr>
      <w:r>
        <w:rPr>
          <w:rFonts w:hint="eastAsia" w:ascii="宋体" w:hAnsi="宋体"/>
          <w:sz w:val="24"/>
          <w:highlight w:val="none"/>
        </w:rPr>
        <w:t>1．我方已仔细研究了</w:t>
      </w:r>
      <w:r>
        <w:rPr>
          <w:rFonts w:hint="eastAsia" w:ascii="宋体" w:hAnsi="宋体"/>
          <w:sz w:val="24"/>
          <w:highlight w:val="none"/>
          <w:u w:val="single"/>
        </w:rPr>
        <w:t xml:space="preserve">           </w:t>
      </w:r>
      <w:r>
        <w:rPr>
          <w:rFonts w:hint="eastAsia" w:ascii="宋体" w:hAnsi="宋体"/>
          <w:sz w:val="24"/>
          <w:highlight w:val="none"/>
        </w:rPr>
        <w:t>（项目名称）</w:t>
      </w:r>
      <w:r>
        <w:rPr>
          <w:rFonts w:hint="eastAsia" w:ascii="宋体" w:hAnsi="宋体"/>
          <w:sz w:val="24"/>
          <w:highlight w:val="none"/>
          <w:u w:val="single"/>
        </w:rPr>
        <w:t xml:space="preserve">          </w:t>
      </w:r>
      <w:r>
        <w:rPr>
          <w:rFonts w:hint="eastAsia" w:ascii="宋体" w:hAnsi="宋体"/>
          <w:sz w:val="24"/>
          <w:highlight w:val="none"/>
        </w:rPr>
        <w:t>（项目编号）竞争性磋商文件的全部内容，我方对该项目首次报价为人民币（大写）</w:t>
      </w:r>
      <w:r>
        <w:rPr>
          <w:rFonts w:hint="eastAsia" w:ascii="宋体" w:hAnsi="宋体"/>
          <w:sz w:val="24"/>
          <w:highlight w:val="none"/>
          <w:u w:val="single"/>
        </w:rPr>
        <w:t xml:space="preserve">                </w:t>
      </w:r>
    </w:p>
    <w:p w14:paraId="5CDF00DC">
      <w:pPr>
        <w:spacing w:line="360" w:lineRule="auto"/>
        <w:jc w:val="left"/>
        <w:rPr>
          <w:sz w:val="24"/>
          <w:highlight w:val="none"/>
        </w:rPr>
      </w:pPr>
      <w:r>
        <w:rPr>
          <w:rFonts w:hint="eastAsia" w:ascii="宋体" w:hAnsi="宋体"/>
          <w:sz w:val="24"/>
          <w:highlight w:val="none"/>
        </w:rPr>
        <w:t xml:space="preserve">（小写： </w:t>
      </w:r>
      <w:r>
        <w:rPr>
          <w:rFonts w:hint="eastAsia" w:ascii="宋体" w:hAnsi="宋体"/>
          <w:sz w:val="24"/>
          <w:highlight w:val="none"/>
          <w:u w:val="single"/>
        </w:rPr>
        <w:t xml:space="preserve">        </w:t>
      </w:r>
      <w:r>
        <w:rPr>
          <w:rFonts w:hint="eastAsia" w:ascii="宋体" w:hAnsi="宋体"/>
          <w:sz w:val="24"/>
          <w:highlight w:val="none"/>
        </w:rPr>
        <w:t>元），服务期限</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sz w:val="24"/>
          <w:highlight w:val="none"/>
        </w:rPr>
        <w:t>，质量</w:t>
      </w:r>
      <w:r>
        <w:rPr>
          <w:rFonts w:hint="eastAsia" w:ascii="宋体" w:hAnsi="宋体"/>
          <w:sz w:val="24"/>
          <w:highlight w:val="none"/>
          <w:lang w:eastAsia="zh-CN"/>
        </w:rPr>
        <w:t>要求</w:t>
      </w:r>
      <w:r>
        <w:rPr>
          <w:rFonts w:hint="eastAsia" w:ascii="宋体" w:hAnsi="宋体"/>
          <w:sz w:val="24"/>
          <w:highlight w:val="none"/>
        </w:rPr>
        <w:t>：</w:t>
      </w:r>
      <w:r>
        <w:rPr>
          <w:rFonts w:hint="eastAsia" w:ascii="宋体" w:hAnsi="宋体"/>
          <w:sz w:val="24"/>
          <w:highlight w:val="none"/>
          <w:u w:val="single"/>
        </w:rPr>
        <w:t xml:space="preserve">           </w:t>
      </w:r>
      <w:r>
        <w:rPr>
          <w:rFonts w:hint="eastAsia" w:ascii="宋体" w:hAnsi="宋体" w:cs="Arial"/>
          <w:sz w:val="24"/>
          <w:highlight w:val="none"/>
          <w:shd w:val="clear" w:color="auto" w:fill="FFFFFF"/>
        </w:rPr>
        <w:t>。</w:t>
      </w:r>
    </w:p>
    <w:p w14:paraId="4767D2B7">
      <w:pPr>
        <w:autoSpaceDE w:val="0"/>
        <w:autoSpaceDN w:val="0"/>
        <w:adjustRightInd w:val="0"/>
        <w:spacing w:line="360" w:lineRule="auto"/>
        <w:ind w:firstLine="360" w:firstLineChars="150"/>
        <w:jc w:val="left"/>
        <w:rPr>
          <w:rFonts w:ascii="宋体" w:hAnsi="宋体"/>
          <w:sz w:val="24"/>
          <w:highlight w:val="none"/>
        </w:rPr>
      </w:pPr>
      <w:r>
        <w:rPr>
          <w:rFonts w:hint="eastAsia" w:ascii="宋体" w:hAnsi="宋体"/>
          <w:sz w:val="24"/>
          <w:highlight w:val="none"/>
        </w:rPr>
        <w:t>2．我方承诺在磋商响应文件有效期(60日历天)内不修改、撤销磋商响应文件。</w:t>
      </w:r>
    </w:p>
    <w:p w14:paraId="0115039B">
      <w:pPr>
        <w:spacing w:line="360" w:lineRule="auto"/>
        <w:ind w:firstLine="360" w:firstLineChars="150"/>
        <w:rPr>
          <w:rFonts w:ascii="宋体" w:hAnsi="宋体"/>
          <w:sz w:val="24"/>
          <w:highlight w:val="none"/>
        </w:rPr>
      </w:pPr>
      <w:r>
        <w:rPr>
          <w:rFonts w:hint="eastAsia" w:ascii="宋体" w:hAnsi="宋体"/>
          <w:sz w:val="24"/>
          <w:highlight w:val="none"/>
        </w:rPr>
        <w:t>3．我方完全理解贵方不一定接受报价最低的供应商为成交供应商的行为。</w:t>
      </w:r>
    </w:p>
    <w:p w14:paraId="05C8E528">
      <w:pPr>
        <w:spacing w:line="360" w:lineRule="auto"/>
        <w:ind w:firstLine="360" w:firstLineChars="150"/>
        <w:rPr>
          <w:rFonts w:ascii="宋体" w:hAnsi="宋体"/>
          <w:sz w:val="24"/>
          <w:highlight w:val="none"/>
        </w:rPr>
      </w:pPr>
      <w:r>
        <w:rPr>
          <w:rFonts w:hint="eastAsia" w:ascii="宋体" w:hAnsi="宋体"/>
          <w:sz w:val="24"/>
          <w:highlight w:val="none"/>
        </w:rPr>
        <w:t>4.如我方成交：</w:t>
      </w:r>
    </w:p>
    <w:p w14:paraId="3928239A">
      <w:pPr>
        <w:spacing w:line="360" w:lineRule="auto"/>
        <w:ind w:firstLine="360" w:firstLineChars="150"/>
        <w:rPr>
          <w:rFonts w:ascii="宋体" w:hAnsi="宋体"/>
          <w:sz w:val="24"/>
          <w:highlight w:val="none"/>
        </w:rPr>
      </w:pPr>
      <w:r>
        <w:rPr>
          <w:rFonts w:hint="eastAsia" w:ascii="宋体" w:hAnsi="宋体"/>
          <w:sz w:val="24"/>
          <w:highlight w:val="none"/>
        </w:rPr>
        <w:t>（1）我方承诺在收到成交通知书后，在成交通知书规定的期限内与你方签订合同。</w:t>
      </w:r>
    </w:p>
    <w:p w14:paraId="6F0E7758">
      <w:pPr>
        <w:spacing w:line="360" w:lineRule="auto"/>
        <w:ind w:firstLine="360" w:firstLineChars="150"/>
        <w:rPr>
          <w:rFonts w:ascii="宋体" w:hAnsi="宋体"/>
          <w:sz w:val="24"/>
          <w:highlight w:val="none"/>
        </w:rPr>
      </w:pPr>
      <w:r>
        <w:rPr>
          <w:rFonts w:hint="eastAsia" w:ascii="宋体" w:hAnsi="宋体"/>
          <w:sz w:val="24"/>
          <w:highlight w:val="none"/>
        </w:rPr>
        <w:t>（2）除非另外达成协议并生效，成交通知书和本竞争性磋商文件、磋商响应文件将成为约束双方的合同文件的组成部分。</w:t>
      </w:r>
    </w:p>
    <w:p w14:paraId="3B9BBF22">
      <w:pPr>
        <w:spacing w:line="360" w:lineRule="auto"/>
        <w:ind w:firstLine="360" w:firstLineChars="150"/>
        <w:rPr>
          <w:rFonts w:ascii="宋体" w:hAnsi="宋体"/>
          <w:sz w:val="24"/>
          <w:highlight w:val="none"/>
        </w:rPr>
      </w:pPr>
      <w:r>
        <w:rPr>
          <w:rFonts w:hint="eastAsia" w:ascii="宋体" w:hAnsi="宋体"/>
          <w:sz w:val="24"/>
          <w:highlight w:val="none"/>
        </w:rPr>
        <w:t>（3）如我方成交，我方愿意按竞争性磋商文件规定支付采购代理服务费。</w:t>
      </w:r>
    </w:p>
    <w:p w14:paraId="0BFEA84D">
      <w:pPr>
        <w:spacing w:line="360" w:lineRule="auto"/>
        <w:ind w:firstLine="240" w:firstLineChars="100"/>
        <w:rPr>
          <w:rFonts w:ascii="宋体" w:hAnsi="宋体"/>
          <w:sz w:val="24"/>
          <w:highlight w:val="none"/>
        </w:rPr>
      </w:pPr>
      <w:r>
        <w:rPr>
          <w:rFonts w:hint="eastAsia" w:ascii="宋体" w:hAnsi="宋体"/>
          <w:sz w:val="24"/>
          <w:highlight w:val="none"/>
        </w:rPr>
        <w:t>5. 我方在此声明，所递交的磋商响应文件及有关资料内容完整、真实和准确。</w:t>
      </w:r>
    </w:p>
    <w:p w14:paraId="15444B24">
      <w:pPr>
        <w:spacing w:line="360" w:lineRule="auto"/>
        <w:jc w:val="left"/>
        <w:rPr>
          <w:rFonts w:ascii="宋体" w:hAnsi="宋体"/>
          <w:spacing w:val="24"/>
          <w:sz w:val="24"/>
          <w:highlight w:val="none"/>
        </w:rPr>
      </w:pPr>
    </w:p>
    <w:p w14:paraId="370F9C5B">
      <w:pPr>
        <w:autoSpaceDE w:val="0"/>
        <w:autoSpaceDN w:val="0"/>
        <w:adjustRightInd w:val="0"/>
        <w:spacing w:line="360" w:lineRule="auto"/>
        <w:ind w:firstLine="1320" w:firstLineChars="550"/>
        <w:jc w:val="left"/>
        <w:rPr>
          <w:rFonts w:ascii="宋体" w:hAnsi="宋体" w:cs="宋体"/>
          <w:kern w:val="0"/>
          <w:sz w:val="24"/>
          <w:highlight w:val="none"/>
        </w:rPr>
      </w:pPr>
    </w:p>
    <w:p w14:paraId="6428C290">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2D93AD51">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4A3E88A3">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6B5D1B05">
      <w:pPr>
        <w:spacing w:line="360" w:lineRule="auto"/>
        <w:ind w:firstLine="3144" w:firstLineChars="1310"/>
        <w:rPr>
          <w:rFonts w:ascii="宋体" w:hAnsi="宋体"/>
          <w:bCs/>
          <w:sz w:val="24"/>
          <w:highlight w:val="none"/>
        </w:rPr>
      </w:pPr>
    </w:p>
    <w:p w14:paraId="6A134151">
      <w:pPr>
        <w:spacing w:line="480" w:lineRule="auto"/>
        <w:ind w:left="-39" w:leftChars="-95" w:right="452" w:hanging="160" w:hangingChars="67"/>
        <w:jc w:val="center"/>
        <w:rPr>
          <w:rFonts w:ascii="宋体" w:hAnsi="宋体"/>
          <w:sz w:val="24"/>
          <w:highlight w:val="none"/>
        </w:rPr>
      </w:pPr>
    </w:p>
    <w:p w14:paraId="4D1DA857">
      <w:pPr>
        <w:spacing w:line="360" w:lineRule="auto"/>
        <w:jc w:val="center"/>
        <w:rPr>
          <w:rFonts w:ascii="宋体" w:hAnsi="宋体"/>
          <w:b/>
          <w:bCs/>
          <w:sz w:val="24"/>
          <w:highlight w:val="none"/>
        </w:rPr>
        <w:sectPr>
          <w:pgSz w:w="11906" w:h="16838"/>
          <w:pgMar w:top="1440" w:right="1797" w:bottom="1440" w:left="1797" w:header="851" w:footer="992" w:gutter="0"/>
          <w:cols w:space="720" w:num="1"/>
          <w:docGrid w:linePitch="312" w:charSpace="0"/>
        </w:sectPr>
      </w:pPr>
    </w:p>
    <w:p w14:paraId="6A5B3320">
      <w:pPr>
        <w:jc w:val="center"/>
        <w:rPr>
          <w:b/>
          <w:sz w:val="28"/>
          <w:szCs w:val="28"/>
          <w:highlight w:val="none"/>
        </w:rPr>
      </w:pPr>
      <w:bookmarkStart w:id="224" w:name="_Toc24879"/>
      <w:r>
        <w:rPr>
          <w:rFonts w:hint="eastAsia"/>
          <w:b/>
          <w:sz w:val="28"/>
          <w:szCs w:val="28"/>
          <w:highlight w:val="none"/>
        </w:rPr>
        <w:t>（二）</w:t>
      </w:r>
      <w:bookmarkEnd w:id="216"/>
      <w:bookmarkEnd w:id="217"/>
      <w:bookmarkEnd w:id="218"/>
      <w:bookmarkEnd w:id="219"/>
      <w:bookmarkEnd w:id="220"/>
      <w:bookmarkEnd w:id="221"/>
      <w:bookmarkEnd w:id="222"/>
      <w:bookmarkEnd w:id="223"/>
      <w:bookmarkEnd w:id="224"/>
      <w:r>
        <w:rPr>
          <w:rFonts w:hint="eastAsia"/>
          <w:b/>
          <w:sz w:val="28"/>
          <w:szCs w:val="28"/>
          <w:highlight w:val="none"/>
        </w:rPr>
        <w:t>响应</w:t>
      </w:r>
      <w:r>
        <w:rPr>
          <w:b/>
          <w:sz w:val="28"/>
          <w:szCs w:val="28"/>
          <w:highlight w:val="none"/>
        </w:rPr>
        <w:t>函附</w:t>
      </w:r>
      <w:r>
        <w:rPr>
          <w:rFonts w:hint="eastAsia"/>
          <w:b/>
          <w:sz w:val="28"/>
          <w:szCs w:val="28"/>
          <w:highlight w:val="none"/>
        </w:rPr>
        <w:t>表</w:t>
      </w:r>
    </w:p>
    <w:p w14:paraId="3BAFAFDB">
      <w:pPr>
        <w:jc w:val="center"/>
        <w:rPr>
          <w:b/>
          <w:sz w:val="30"/>
          <w:szCs w:val="30"/>
          <w:highlight w:val="none"/>
        </w:rPr>
      </w:pPr>
    </w:p>
    <w:tbl>
      <w:tblPr>
        <w:tblStyle w:val="15"/>
        <w:tblpPr w:leftFromText="180" w:rightFromText="180" w:vertAnchor="text" w:horzAnchor="margin" w:tblpXSpec="center" w:tblpY="180"/>
        <w:tblOverlap w:val="never"/>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759"/>
        <w:gridCol w:w="1050"/>
        <w:gridCol w:w="1134"/>
        <w:gridCol w:w="993"/>
        <w:gridCol w:w="1275"/>
        <w:gridCol w:w="1134"/>
      </w:tblGrid>
      <w:tr w14:paraId="130F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0" w:hRule="atLeast"/>
        </w:trPr>
        <w:tc>
          <w:tcPr>
            <w:tcW w:w="2268" w:type="dxa"/>
            <w:tcBorders>
              <w:bottom w:val="single" w:color="auto" w:sz="4" w:space="0"/>
            </w:tcBorders>
            <w:vAlign w:val="center"/>
          </w:tcPr>
          <w:p w14:paraId="2CEBF457">
            <w:pPr>
              <w:jc w:val="center"/>
              <w:rPr>
                <w:rFonts w:ascii="宋体" w:hAnsi="宋体" w:cs="宋体"/>
                <w:sz w:val="24"/>
                <w:highlight w:val="none"/>
              </w:rPr>
            </w:pPr>
            <w:r>
              <w:rPr>
                <w:rFonts w:hint="eastAsia" w:ascii="宋体" w:hAnsi="宋体" w:cs="宋体"/>
                <w:sz w:val="24"/>
                <w:highlight w:val="none"/>
              </w:rPr>
              <w:t>项目名称</w:t>
            </w:r>
          </w:p>
        </w:tc>
        <w:tc>
          <w:tcPr>
            <w:tcW w:w="6345" w:type="dxa"/>
            <w:gridSpan w:val="6"/>
            <w:tcBorders>
              <w:bottom w:val="single" w:color="auto" w:sz="4" w:space="0"/>
            </w:tcBorders>
            <w:vAlign w:val="center"/>
          </w:tcPr>
          <w:p w14:paraId="2179538C">
            <w:pPr>
              <w:jc w:val="center"/>
              <w:rPr>
                <w:rFonts w:ascii="宋体" w:hAnsi="宋体" w:cs="宋体"/>
                <w:sz w:val="24"/>
                <w:highlight w:val="none"/>
              </w:rPr>
            </w:pPr>
            <w:r>
              <w:rPr>
                <w:rFonts w:hint="eastAsia" w:ascii="宋体" w:hAnsi="宋体" w:cs="宋体"/>
                <w:sz w:val="24"/>
                <w:highlight w:val="none"/>
              </w:rPr>
              <w:t xml:space="preserve">                                                   </w:t>
            </w:r>
          </w:p>
        </w:tc>
      </w:tr>
      <w:tr w14:paraId="32C5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trPr>
        <w:tc>
          <w:tcPr>
            <w:tcW w:w="2268" w:type="dxa"/>
            <w:tcBorders>
              <w:bottom w:val="single" w:color="auto" w:sz="4" w:space="0"/>
            </w:tcBorders>
            <w:vAlign w:val="center"/>
          </w:tcPr>
          <w:p w14:paraId="420F9ED0">
            <w:pPr>
              <w:jc w:val="center"/>
              <w:rPr>
                <w:rFonts w:ascii="宋体" w:hAnsi="宋体" w:cs="宋体"/>
                <w:sz w:val="24"/>
                <w:highlight w:val="none"/>
              </w:rPr>
            </w:pPr>
            <w:r>
              <w:rPr>
                <w:rFonts w:hint="eastAsia" w:ascii="宋体" w:hAnsi="宋体" w:cs="宋体"/>
                <w:sz w:val="24"/>
                <w:highlight w:val="none"/>
              </w:rPr>
              <w:t>供应商名称</w:t>
            </w:r>
          </w:p>
        </w:tc>
        <w:tc>
          <w:tcPr>
            <w:tcW w:w="6345" w:type="dxa"/>
            <w:gridSpan w:val="6"/>
            <w:tcBorders>
              <w:bottom w:val="single" w:color="auto" w:sz="4" w:space="0"/>
            </w:tcBorders>
          </w:tcPr>
          <w:p w14:paraId="79995BB2">
            <w:pPr>
              <w:rPr>
                <w:rFonts w:ascii="宋体" w:hAnsi="宋体" w:cs="宋体"/>
                <w:sz w:val="24"/>
                <w:highlight w:val="none"/>
              </w:rPr>
            </w:pPr>
          </w:p>
        </w:tc>
      </w:tr>
      <w:tr w14:paraId="237D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trPr>
        <w:tc>
          <w:tcPr>
            <w:tcW w:w="2268" w:type="dxa"/>
            <w:tcBorders>
              <w:bottom w:val="single" w:color="auto" w:sz="4" w:space="0"/>
            </w:tcBorders>
            <w:vAlign w:val="center"/>
          </w:tcPr>
          <w:p w14:paraId="5665CFD7">
            <w:pPr>
              <w:jc w:val="center"/>
              <w:rPr>
                <w:rFonts w:ascii="宋体" w:hAnsi="宋体" w:cs="宋体"/>
                <w:sz w:val="24"/>
                <w:highlight w:val="none"/>
              </w:rPr>
            </w:pPr>
            <w:r>
              <w:rPr>
                <w:rFonts w:hint="eastAsia" w:ascii="宋体" w:hAnsi="宋体" w:cs="宋体"/>
                <w:sz w:val="24"/>
                <w:highlight w:val="none"/>
              </w:rPr>
              <w:t>采购范围</w:t>
            </w:r>
          </w:p>
        </w:tc>
        <w:tc>
          <w:tcPr>
            <w:tcW w:w="6345" w:type="dxa"/>
            <w:gridSpan w:val="6"/>
            <w:tcBorders>
              <w:bottom w:val="single" w:color="auto" w:sz="4" w:space="0"/>
            </w:tcBorders>
          </w:tcPr>
          <w:p w14:paraId="47554AC2">
            <w:pPr>
              <w:rPr>
                <w:rFonts w:ascii="宋体" w:hAnsi="宋体" w:cs="宋体"/>
                <w:sz w:val="24"/>
                <w:highlight w:val="none"/>
              </w:rPr>
            </w:pPr>
          </w:p>
        </w:tc>
      </w:tr>
      <w:tr w14:paraId="37DE1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trPr>
        <w:tc>
          <w:tcPr>
            <w:tcW w:w="2268" w:type="dxa"/>
            <w:vAlign w:val="center"/>
          </w:tcPr>
          <w:p w14:paraId="004488AA">
            <w:pPr>
              <w:overflowPunct w:val="0"/>
              <w:topLinePunct/>
              <w:adjustRightInd w:val="0"/>
              <w:jc w:val="center"/>
              <w:textAlignment w:val="top"/>
              <w:rPr>
                <w:rFonts w:ascii="宋体" w:hAnsi="宋体" w:cs="宋体"/>
                <w:kern w:val="24"/>
                <w:sz w:val="24"/>
                <w:highlight w:val="none"/>
              </w:rPr>
            </w:pPr>
            <w:r>
              <w:rPr>
                <w:rFonts w:hint="eastAsia" w:ascii="宋体" w:hAnsi="宋体" w:cs="宋体"/>
                <w:kern w:val="24"/>
                <w:sz w:val="24"/>
                <w:highlight w:val="none"/>
              </w:rPr>
              <w:t>首次报价（元）</w:t>
            </w:r>
          </w:p>
        </w:tc>
        <w:tc>
          <w:tcPr>
            <w:tcW w:w="6345" w:type="dxa"/>
            <w:gridSpan w:val="6"/>
            <w:tcBorders>
              <w:bottom w:val="single" w:color="auto" w:sz="4" w:space="0"/>
            </w:tcBorders>
            <w:vAlign w:val="center"/>
          </w:tcPr>
          <w:p w14:paraId="412639AE">
            <w:pPr>
              <w:rPr>
                <w:rFonts w:ascii="宋体" w:hAnsi="宋体" w:cs="宋体"/>
                <w:sz w:val="24"/>
                <w:highlight w:val="none"/>
              </w:rPr>
            </w:pPr>
            <w:r>
              <w:rPr>
                <w:rFonts w:ascii="宋体" w:hAnsi="宋体"/>
                <w:sz w:val="24"/>
                <w:highlight w:val="none"/>
              </w:rPr>
              <w:t xml:space="preserve">大写：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小写：</w:t>
            </w:r>
            <w:r>
              <w:rPr>
                <w:rFonts w:hint="eastAsia" w:ascii="宋体" w:hAnsi="宋体" w:cs="宋体"/>
                <w:kern w:val="0"/>
                <w:sz w:val="24"/>
                <w:highlight w:val="none"/>
              </w:rPr>
              <w:t>￥</w:t>
            </w:r>
          </w:p>
        </w:tc>
      </w:tr>
      <w:tr w14:paraId="2CE88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trPr>
        <w:tc>
          <w:tcPr>
            <w:tcW w:w="2268" w:type="dxa"/>
            <w:tcBorders>
              <w:bottom w:val="single" w:color="auto" w:sz="4" w:space="0"/>
            </w:tcBorders>
            <w:vAlign w:val="center"/>
          </w:tcPr>
          <w:p w14:paraId="03D21814">
            <w:pPr>
              <w:snapToGrid w:val="0"/>
              <w:jc w:val="center"/>
              <w:rPr>
                <w:rFonts w:ascii="宋体" w:hAnsi="宋体" w:cs="宋体"/>
                <w:sz w:val="24"/>
                <w:highlight w:val="none"/>
              </w:rPr>
            </w:pPr>
            <w:r>
              <w:rPr>
                <w:rFonts w:hint="eastAsia" w:ascii="宋体" w:hAnsi="宋体"/>
                <w:sz w:val="24"/>
                <w:highlight w:val="none"/>
              </w:rPr>
              <w:t>服务期限</w:t>
            </w:r>
          </w:p>
        </w:tc>
        <w:tc>
          <w:tcPr>
            <w:tcW w:w="6345" w:type="dxa"/>
            <w:gridSpan w:val="6"/>
            <w:tcBorders>
              <w:bottom w:val="single" w:color="auto" w:sz="4" w:space="0"/>
            </w:tcBorders>
          </w:tcPr>
          <w:p w14:paraId="611097A7">
            <w:pPr>
              <w:rPr>
                <w:rFonts w:ascii="宋体" w:hAnsi="宋体" w:cs="宋体"/>
                <w:sz w:val="24"/>
                <w:highlight w:val="none"/>
              </w:rPr>
            </w:pPr>
          </w:p>
        </w:tc>
      </w:tr>
      <w:tr w14:paraId="3DDA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trPr>
        <w:tc>
          <w:tcPr>
            <w:tcW w:w="2268" w:type="dxa"/>
            <w:tcBorders>
              <w:bottom w:val="single" w:color="auto" w:sz="4" w:space="0"/>
            </w:tcBorders>
            <w:vAlign w:val="center"/>
          </w:tcPr>
          <w:p w14:paraId="0E4F7F1E">
            <w:pPr>
              <w:jc w:val="center"/>
              <w:rPr>
                <w:rFonts w:hint="eastAsia" w:ascii="宋体" w:hAnsi="宋体" w:cs="宋体" w:eastAsiaTheme="minorEastAsia"/>
                <w:sz w:val="24"/>
                <w:highlight w:val="none"/>
                <w:lang w:val="en-US" w:eastAsia="zh-CN"/>
              </w:rPr>
            </w:pPr>
            <w:r>
              <w:rPr>
                <w:rFonts w:hint="eastAsia" w:ascii="宋体" w:hAnsi="宋体" w:cs="宋体"/>
                <w:sz w:val="24"/>
                <w:highlight w:val="none"/>
              </w:rPr>
              <w:t>质量</w:t>
            </w:r>
            <w:r>
              <w:rPr>
                <w:rFonts w:hint="eastAsia" w:ascii="宋体" w:hAnsi="宋体" w:cs="宋体"/>
                <w:sz w:val="24"/>
                <w:highlight w:val="none"/>
                <w:lang w:val="en-US" w:eastAsia="zh-CN"/>
              </w:rPr>
              <w:t>要求</w:t>
            </w:r>
          </w:p>
        </w:tc>
        <w:tc>
          <w:tcPr>
            <w:tcW w:w="6345" w:type="dxa"/>
            <w:gridSpan w:val="6"/>
            <w:tcBorders>
              <w:bottom w:val="single" w:color="auto" w:sz="4" w:space="0"/>
            </w:tcBorders>
          </w:tcPr>
          <w:p w14:paraId="204DA135">
            <w:pPr>
              <w:rPr>
                <w:rFonts w:ascii="宋体" w:hAnsi="宋体" w:cs="宋体"/>
                <w:sz w:val="24"/>
                <w:highlight w:val="none"/>
              </w:rPr>
            </w:pPr>
          </w:p>
        </w:tc>
      </w:tr>
      <w:tr w14:paraId="6251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4" w:hRule="atLeast"/>
        </w:trPr>
        <w:tc>
          <w:tcPr>
            <w:tcW w:w="2268" w:type="dxa"/>
            <w:tcBorders>
              <w:bottom w:val="single" w:color="auto" w:sz="4" w:space="0"/>
            </w:tcBorders>
            <w:vAlign w:val="center"/>
          </w:tcPr>
          <w:p w14:paraId="577B01A6">
            <w:pPr>
              <w:jc w:val="center"/>
              <w:rPr>
                <w:rFonts w:ascii="宋体" w:hAnsi="宋体" w:cs="宋体"/>
                <w:sz w:val="24"/>
                <w:highlight w:val="none"/>
              </w:rPr>
            </w:pPr>
            <w:r>
              <w:rPr>
                <w:rFonts w:hint="eastAsia" w:ascii="宋体" w:hAnsi="宋体"/>
                <w:sz w:val="24"/>
                <w:highlight w:val="none"/>
              </w:rPr>
              <w:t>项目负责人</w:t>
            </w:r>
          </w:p>
        </w:tc>
        <w:tc>
          <w:tcPr>
            <w:tcW w:w="759" w:type="dxa"/>
            <w:tcBorders>
              <w:bottom w:val="single" w:color="auto" w:sz="4" w:space="0"/>
            </w:tcBorders>
            <w:vAlign w:val="center"/>
          </w:tcPr>
          <w:p w14:paraId="070BCF6F">
            <w:pPr>
              <w:jc w:val="center"/>
              <w:rPr>
                <w:rFonts w:ascii="宋体" w:hAnsi="宋体" w:cs="宋体"/>
                <w:sz w:val="24"/>
                <w:highlight w:val="none"/>
              </w:rPr>
            </w:pPr>
            <w:r>
              <w:rPr>
                <w:rFonts w:hint="eastAsia" w:ascii="宋体" w:hAnsi="宋体" w:cs="宋体"/>
                <w:sz w:val="24"/>
                <w:highlight w:val="none"/>
              </w:rPr>
              <w:t>姓名</w:t>
            </w:r>
          </w:p>
        </w:tc>
        <w:tc>
          <w:tcPr>
            <w:tcW w:w="1050" w:type="dxa"/>
            <w:tcBorders>
              <w:bottom w:val="single" w:color="auto" w:sz="4" w:space="0"/>
            </w:tcBorders>
            <w:vAlign w:val="center"/>
          </w:tcPr>
          <w:p w14:paraId="4F8EB462">
            <w:pPr>
              <w:jc w:val="center"/>
              <w:rPr>
                <w:rFonts w:ascii="宋体" w:hAnsi="宋体" w:cs="宋体"/>
                <w:sz w:val="24"/>
                <w:highlight w:val="none"/>
              </w:rPr>
            </w:pPr>
          </w:p>
        </w:tc>
        <w:tc>
          <w:tcPr>
            <w:tcW w:w="1134" w:type="dxa"/>
            <w:tcBorders>
              <w:bottom w:val="single" w:color="auto" w:sz="4" w:space="0"/>
            </w:tcBorders>
            <w:vAlign w:val="center"/>
          </w:tcPr>
          <w:p w14:paraId="191BEA96">
            <w:pPr>
              <w:jc w:val="center"/>
              <w:rPr>
                <w:rFonts w:ascii="宋体" w:hAnsi="宋体" w:cs="宋体"/>
                <w:sz w:val="24"/>
                <w:highlight w:val="none"/>
              </w:rPr>
            </w:pPr>
            <w:r>
              <w:rPr>
                <w:rFonts w:hint="eastAsia" w:ascii="宋体" w:hAnsi="宋体" w:cs="宋体"/>
                <w:sz w:val="24"/>
                <w:highlight w:val="none"/>
              </w:rPr>
              <w:t>专业</w:t>
            </w:r>
          </w:p>
        </w:tc>
        <w:tc>
          <w:tcPr>
            <w:tcW w:w="993" w:type="dxa"/>
            <w:tcBorders>
              <w:bottom w:val="single" w:color="auto" w:sz="4" w:space="0"/>
            </w:tcBorders>
            <w:vAlign w:val="center"/>
          </w:tcPr>
          <w:p w14:paraId="71051769">
            <w:pPr>
              <w:jc w:val="center"/>
              <w:rPr>
                <w:rFonts w:ascii="宋体" w:hAnsi="宋体" w:cs="宋体"/>
                <w:sz w:val="24"/>
                <w:highlight w:val="none"/>
              </w:rPr>
            </w:pPr>
          </w:p>
        </w:tc>
        <w:tc>
          <w:tcPr>
            <w:tcW w:w="1275" w:type="dxa"/>
            <w:tcBorders>
              <w:bottom w:val="single" w:color="auto" w:sz="4" w:space="0"/>
            </w:tcBorders>
            <w:vAlign w:val="center"/>
          </w:tcPr>
          <w:p w14:paraId="781138C2">
            <w:pPr>
              <w:jc w:val="center"/>
              <w:rPr>
                <w:rFonts w:ascii="宋体" w:hAnsi="宋体" w:cs="宋体"/>
                <w:sz w:val="24"/>
                <w:highlight w:val="none"/>
              </w:rPr>
            </w:pPr>
            <w:r>
              <w:rPr>
                <w:rFonts w:hint="eastAsia" w:ascii="宋体" w:hAnsi="宋体"/>
                <w:sz w:val="24"/>
                <w:highlight w:val="none"/>
              </w:rPr>
              <w:t>职称证书及编号</w:t>
            </w:r>
          </w:p>
        </w:tc>
        <w:tc>
          <w:tcPr>
            <w:tcW w:w="1134" w:type="dxa"/>
            <w:tcBorders>
              <w:bottom w:val="single" w:color="auto" w:sz="4" w:space="0"/>
            </w:tcBorders>
          </w:tcPr>
          <w:p w14:paraId="1E95AD52">
            <w:pPr>
              <w:rPr>
                <w:rFonts w:ascii="宋体" w:hAnsi="宋体" w:cs="宋体"/>
                <w:sz w:val="24"/>
                <w:highlight w:val="none"/>
              </w:rPr>
            </w:pPr>
          </w:p>
        </w:tc>
      </w:tr>
      <w:tr w14:paraId="55C1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trPr>
        <w:tc>
          <w:tcPr>
            <w:tcW w:w="2268" w:type="dxa"/>
            <w:tcBorders>
              <w:bottom w:val="single" w:color="auto" w:sz="4" w:space="0"/>
            </w:tcBorders>
            <w:vAlign w:val="center"/>
          </w:tcPr>
          <w:p w14:paraId="049350E7">
            <w:pPr>
              <w:jc w:val="center"/>
              <w:rPr>
                <w:rFonts w:ascii="宋体" w:hAnsi="宋体" w:cs="宋体"/>
                <w:sz w:val="24"/>
                <w:highlight w:val="none"/>
              </w:rPr>
            </w:pPr>
            <w:r>
              <w:rPr>
                <w:rFonts w:hint="eastAsia" w:ascii="宋体" w:hAnsi="宋体" w:cs="宋体"/>
                <w:sz w:val="24"/>
                <w:highlight w:val="none"/>
              </w:rPr>
              <w:t>磋商有效期</w:t>
            </w:r>
          </w:p>
        </w:tc>
        <w:tc>
          <w:tcPr>
            <w:tcW w:w="6345" w:type="dxa"/>
            <w:gridSpan w:val="6"/>
            <w:tcBorders>
              <w:bottom w:val="single" w:color="auto" w:sz="4" w:space="0"/>
            </w:tcBorders>
          </w:tcPr>
          <w:p w14:paraId="70C9A53B">
            <w:pPr>
              <w:rPr>
                <w:rFonts w:ascii="宋体" w:hAnsi="宋体" w:cs="宋体"/>
                <w:sz w:val="24"/>
                <w:highlight w:val="none"/>
              </w:rPr>
            </w:pPr>
          </w:p>
        </w:tc>
      </w:tr>
      <w:tr w14:paraId="1102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2268" w:type="dxa"/>
            <w:tcBorders>
              <w:bottom w:val="single" w:color="auto" w:sz="4" w:space="0"/>
            </w:tcBorders>
            <w:vAlign w:val="center"/>
          </w:tcPr>
          <w:p w14:paraId="48D4C190">
            <w:pPr>
              <w:jc w:val="center"/>
              <w:rPr>
                <w:rFonts w:ascii="宋体" w:hAnsi="宋体" w:cs="宋体"/>
                <w:sz w:val="24"/>
                <w:highlight w:val="none"/>
              </w:rPr>
            </w:pPr>
            <w:r>
              <w:rPr>
                <w:rFonts w:hint="eastAsia" w:ascii="宋体" w:hAnsi="宋体" w:cs="宋体"/>
                <w:sz w:val="24"/>
                <w:highlight w:val="none"/>
              </w:rPr>
              <w:t>备注</w:t>
            </w:r>
          </w:p>
        </w:tc>
        <w:tc>
          <w:tcPr>
            <w:tcW w:w="6345" w:type="dxa"/>
            <w:gridSpan w:val="6"/>
            <w:tcBorders>
              <w:bottom w:val="single" w:color="auto" w:sz="4" w:space="0"/>
            </w:tcBorders>
          </w:tcPr>
          <w:p w14:paraId="73591D2E">
            <w:pPr>
              <w:rPr>
                <w:rFonts w:ascii="宋体" w:hAnsi="宋体" w:cs="宋体"/>
                <w:sz w:val="24"/>
                <w:highlight w:val="none"/>
              </w:rPr>
            </w:pPr>
          </w:p>
        </w:tc>
      </w:tr>
    </w:tbl>
    <w:p w14:paraId="0F970D65">
      <w:pPr>
        <w:pStyle w:val="10"/>
        <w:widowControl/>
        <w:spacing w:line="360" w:lineRule="auto"/>
        <w:ind w:firstLine="0"/>
        <w:rPr>
          <w:rFonts w:ascii="Calibri" w:hAnsi="Calibri"/>
          <w:sz w:val="24"/>
          <w:highlight w:val="none"/>
        </w:rPr>
      </w:pPr>
    </w:p>
    <w:p w14:paraId="139D9D85">
      <w:pPr>
        <w:spacing w:line="360" w:lineRule="auto"/>
        <w:jc w:val="center"/>
        <w:rPr>
          <w:rFonts w:ascii="宋体" w:hAnsi="宋体"/>
          <w:b/>
          <w:sz w:val="24"/>
          <w:highlight w:val="none"/>
        </w:rPr>
      </w:pPr>
    </w:p>
    <w:p w14:paraId="15A1999C">
      <w:pPr>
        <w:spacing w:line="360" w:lineRule="auto"/>
        <w:jc w:val="center"/>
        <w:rPr>
          <w:rFonts w:ascii="宋体" w:hAnsi="宋体"/>
          <w:b/>
          <w:sz w:val="24"/>
          <w:highlight w:val="none"/>
        </w:rPr>
      </w:pPr>
    </w:p>
    <w:p w14:paraId="46E3A830">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2142F9A2">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7AE45A64">
      <w:pPr>
        <w:spacing w:line="360" w:lineRule="auto"/>
        <w:ind w:left="-7" w:leftChars="-95" w:right="452" w:hanging="192" w:hangingChars="67"/>
        <w:jc w:val="center"/>
        <w:rPr>
          <w:rFonts w:ascii="宋体" w:hAnsi="宋体"/>
          <w:bCs/>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59FDD303">
      <w:pPr>
        <w:spacing w:line="360" w:lineRule="auto"/>
        <w:ind w:firstLine="2432" w:firstLineChars="950"/>
        <w:rPr>
          <w:rFonts w:ascii="宋体" w:hAnsi="宋体" w:cs="宋体"/>
          <w:spacing w:val="8"/>
          <w:sz w:val="24"/>
          <w:highlight w:val="none"/>
        </w:rPr>
      </w:pPr>
    </w:p>
    <w:p w14:paraId="644484D9">
      <w:pPr>
        <w:topLinePunct/>
        <w:spacing w:line="360" w:lineRule="auto"/>
        <w:ind w:firstLine="480"/>
        <w:rPr>
          <w:rFonts w:ascii="宋体" w:hAnsi="宋体"/>
          <w:bCs/>
          <w:sz w:val="24"/>
          <w:highlight w:val="none"/>
        </w:rPr>
      </w:pPr>
    </w:p>
    <w:p w14:paraId="20583086">
      <w:pPr>
        <w:spacing w:line="480" w:lineRule="auto"/>
        <w:ind w:left="-38" w:leftChars="-95" w:right="452" w:hanging="161" w:hangingChars="67"/>
        <w:jc w:val="center"/>
        <w:rPr>
          <w:rFonts w:ascii="宋体" w:hAnsi="宋体"/>
          <w:b/>
          <w:sz w:val="24"/>
          <w:highlight w:val="none"/>
        </w:rPr>
      </w:pPr>
    </w:p>
    <w:p w14:paraId="72E46702">
      <w:pPr>
        <w:pStyle w:val="9"/>
        <w:spacing w:line="240" w:lineRule="exact"/>
        <w:jc w:val="center"/>
        <w:rPr>
          <w:rFonts w:ascii="宋体" w:hAnsi="宋体" w:cs="宋体"/>
          <w:sz w:val="24"/>
          <w:highlight w:val="none"/>
        </w:rPr>
      </w:pPr>
      <w:r>
        <w:rPr>
          <w:rFonts w:ascii="宋体" w:hAnsi="宋体"/>
          <w:b w:val="0"/>
          <w:sz w:val="24"/>
          <w:highlight w:val="none"/>
        </w:rPr>
        <w:br w:type="page"/>
      </w:r>
      <w:bookmarkStart w:id="225" w:name="_Toc25680"/>
      <w:bookmarkStart w:id="226" w:name="_Toc43652643"/>
      <w:bookmarkStart w:id="227" w:name="_Toc196238533"/>
      <w:r>
        <w:rPr>
          <w:rFonts w:hint="eastAsia" w:ascii="宋体" w:hAnsi="宋体" w:eastAsia="宋体" w:cs="宋体-PUA"/>
          <w:sz w:val="24"/>
          <w:szCs w:val="24"/>
          <w:highlight w:val="none"/>
        </w:rPr>
        <w:t>二、</w:t>
      </w:r>
      <w:bookmarkEnd w:id="225"/>
      <w:bookmarkEnd w:id="226"/>
      <w:bookmarkStart w:id="228" w:name="_Toc76558476"/>
      <w:bookmarkStart w:id="229" w:name="_Toc164757241"/>
      <w:bookmarkStart w:id="230" w:name="_Toc76460604"/>
      <w:r>
        <w:rPr>
          <w:rFonts w:hint="eastAsia" w:ascii="宋体" w:hAnsi="宋体" w:eastAsia="宋体" w:cs="宋体-PUA"/>
          <w:sz w:val="24"/>
          <w:szCs w:val="24"/>
          <w:highlight w:val="none"/>
        </w:rPr>
        <w:t>法定代表人身份证明及授权委托书</w:t>
      </w:r>
      <w:bookmarkEnd w:id="227"/>
      <w:bookmarkEnd w:id="228"/>
      <w:bookmarkEnd w:id="229"/>
      <w:bookmarkEnd w:id="230"/>
    </w:p>
    <w:p w14:paraId="5D9DE1BA">
      <w:pPr>
        <w:tabs>
          <w:tab w:val="left" w:pos="1080"/>
        </w:tabs>
        <w:spacing w:line="360" w:lineRule="auto"/>
        <w:jc w:val="center"/>
        <w:rPr>
          <w:rFonts w:ascii="宋体" w:hAnsi="宋体" w:cs="宋体"/>
          <w:b/>
          <w:sz w:val="24"/>
          <w:highlight w:val="none"/>
        </w:rPr>
      </w:pPr>
      <w:r>
        <w:rPr>
          <w:rFonts w:hint="eastAsia" w:ascii="宋体" w:hAnsi="宋体" w:cs="宋体"/>
          <w:b/>
          <w:sz w:val="24"/>
          <w:highlight w:val="none"/>
        </w:rPr>
        <w:t>法定代表人身份证明</w:t>
      </w:r>
    </w:p>
    <w:p w14:paraId="63F74B04">
      <w:pPr>
        <w:spacing w:line="360" w:lineRule="auto"/>
        <w:rPr>
          <w:rFonts w:ascii="宋体" w:hAnsi="宋体" w:cs="宋体"/>
          <w:sz w:val="24"/>
          <w:highlight w:val="none"/>
        </w:rPr>
      </w:pPr>
    </w:p>
    <w:p w14:paraId="570D387D">
      <w:pPr>
        <w:spacing w:line="360" w:lineRule="auto"/>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3666B80">
      <w:pPr>
        <w:spacing w:line="360" w:lineRule="auto"/>
        <w:rPr>
          <w:rFonts w:ascii="宋体" w:hAnsi="宋体" w:cs="宋体"/>
          <w:sz w:val="24"/>
          <w:highlight w:val="non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194C67C0">
      <w:pPr>
        <w:spacing w:line="360" w:lineRule="auto"/>
        <w:rPr>
          <w:rFonts w:ascii="宋体" w:hAnsi="宋体" w:cs="宋体"/>
          <w:sz w:val="24"/>
          <w:highlight w:val="none"/>
        </w:rPr>
      </w:pPr>
      <w:r>
        <w:rPr>
          <w:rFonts w:hint="eastAsia" w:ascii="宋体" w:hAnsi="宋体" w:cs="宋体"/>
          <w:sz w:val="24"/>
          <w:highlight w:val="none"/>
        </w:rPr>
        <w:t>地址：</w:t>
      </w:r>
      <w:r>
        <w:rPr>
          <w:rFonts w:hint="eastAsia" w:ascii="宋体" w:hAnsi="宋体" w:cs="宋体"/>
          <w:sz w:val="24"/>
          <w:highlight w:val="none"/>
          <w:u w:val="single"/>
        </w:rPr>
        <w:t xml:space="preserve">                                   </w:t>
      </w:r>
    </w:p>
    <w:p w14:paraId="50C0D778">
      <w:pPr>
        <w:spacing w:line="360" w:lineRule="auto"/>
        <w:rPr>
          <w:rFonts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0CD6809D">
      <w:pPr>
        <w:spacing w:line="360" w:lineRule="auto"/>
        <w:rPr>
          <w:rFonts w:ascii="宋体" w:hAnsi="宋体" w:cs="宋体"/>
          <w:sz w:val="24"/>
          <w:highlight w:val="none"/>
        </w:rPr>
      </w:pPr>
      <w:r>
        <w:rPr>
          <w:rFonts w:hint="eastAsia" w:ascii="宋体" w:hAnsi="宋体" w:cs="宋体"/>
          <w:sz w:val="24"/>
          <w:highlight w:val="none"/>
        </w:rPr>
        <w:t>经营期限：</w:t>
      </w:r>
      <w:r>
        <w:rPr>
          <w:rFonts w:hint="eastAsia" w:ascii="宋体" w:hAnsi="宋体" w:cs="宋体"/>
          <w:sz w:val="24"/>
          <w:highlight w:val="none"/>
          <w:u w:val="single"/>
        </w:rPr>
        <w:t xml:space="preserve">                               </w:t>
      </w:r>
    </w:p>
    <w:p w14:paraId="5F1D0472">
      <w:pPr>
        <w:spacing w:line="360" w:lineRule="auto"/>
        <w:rPr>
          <w:rFonts w:ascii="宋体" w:hAnsi="宋体" w:cs="宋体"/>
          <w:sz w:val="24"/>
          <w:highlight w:val="none"/>
        </w:rPr>
      </w:pPr>
      <w:r>
        <w:rPr>
          <w:rFonts w:hint="eastAsia" w:ascii="宋体" w:hAnsi="宋体" w:cs="宋体"/>
          <w:sz w:val="24"/>
          <w:highlight w:val="none"/>
        </w:rPr>
        <w:t>姓名：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职务：</w:t>
      </w:r>
      <w:r>
        <w:rPr>
          <w:rFonts w:hint="eastAsia" w:ascii="宋体" w:hAnsi="宋体" w:cs="宋体"/>
          <w:sz w:val="24"/>
          <w:highlight w:val="none"/>
          <w:u w:val="single"/>
        </w:rPr>
        <w:t xml:space="preserve">        </w:t>
      </w:r>
    </w:p>
    <w:p w14:paraId="44F5906D">
      <w:pPr>
        <w:spacing w:line="360" w:lineRule="auto"/>
        <w:rPr>
          <w:rFonts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ascii="宋体" w:hAnsi="宋体" w:cs="宋体"/>
          <w:sz w:val="24"/>
          <w:highlight w:val="none"/>
        </w:rPr>
        <w:t xml:space="preserve"> （供应商名称）的法定代表人。</w:t>
      </w:r>
    </w:p>
    <w:p w14:paraId="6464705F">
      <w:pPr>
        <w:spacing w:line="360" w:lineRule="auto"/>
        <w:ind w:firstLine="480" w:firstLineChars="200"/>
        <w:rPr>
          <w:rFonts w:ascii="宋体" w:hAnsi="宋体" w:cs="宋体"/>
          <w:sz w:val="24"/>
          <w:highlight w:val="none"/>
        </w:rPr>
      </w:pPr>
      <w:r>
        <w:rPr>
          <w:rFonts w:hint="eastAsia" w:ascii="宋体" w:hAnsi="宋体" w:cs="宋体"/>
          <w:sz w:val="24"/>
          <w:highlight w:val="none"/>
        </w:rPr>
        <w:t>特此证明。</w:t>
      </w:r>
    </w:p>
    <w:p w14:paraId="06EB91BF">
      <w:pPr>
        <w:spacing w:line="440" w:lineRule="exact"/>
        <w:rPr>
          <w:rFonts w:ascii="宋体" w:hAnsi="宋体" w:cs="宋体"/>
          <w:sz w:val="24"/>
          <w:highlight w:val="none"/>
        </w:rPr>
      </w:pPr>
    </w:p>
    <w:p w14:paraId="042EE988">
      <w:pPr>
        <w:spacing w:line="440" w:lineRule="exact"/>
        <w:rPr>
          <w:rFonts w:ascii="宋体" w:hAnsi="宋体" w:cs="宋体"/>
          <w:sz w:val="24"/>
          <w:highlight w:val="none"/>
        </w:rPr>
      </w:pPr>
    </w:p>
    <w:p w14:paraId="2AA8AF3F">
      <w:pPr>
        <w:spacing w:line="480" w:lineRule="auto"/>
        <w:rPr>
          <w:rFonts w:ascii="宋体" w:hAnsi="宋体" w:cs="宋体"/>
          <w:sz w:val="24"/>
          <w:highlight w:val="none"/>
        </w:rPr>
      </w:pPr>
      <w:r>
        <w:rPr>
          <w:rFonts w:hint="eastAsia" w:ascii="宋体" w:hAnsi="宋体" w:cs="宋体"/>
          <w:sz w:val="24"/>
          <w:highlight w:val="none"/>
        </w:rPr>
        <w:t xml:space="preserve">                    供应商：</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lang w:val="zh-CN" w:bidi="zh-CN"/>
        </w:rPr>
        <w:t>盖章</w:t>
      </w:r>
      <w:r>
        <w:rPr>
          <w:rFonts w:hint="eastAsia" w:ascii="宋体" w:hAnsi="宋体" w:cs="宋体"/>
          <w:sz w:val="24"/>
          <w:highlight w:val="none"/>
        </w:rPr>
        <w:t>）</w:t>
      </w:r>
    </w:p>
    <w:p w14:paraId="6A5FB282">
      <w:pPr>
        <w:spacing w:line="48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 xml:space="preserve">日   </w:t>
      </w:r>
    </w:p>
    <w:p w14:paraId="5F8F5DE3">
      <w:pPr>
        <w:spacing w:line="480" w:lineRule="auto"/>
        <w:rPr>
          <w:rFonts w:ascii="宋体" w:hAnsi="宋体"/>
          <w:sz w:val="24"/>
          <w:highlight w:val="none"/>
        </w:rPr>
      </w:pPr>
    </w:p>
    <w:p w14:paraId="22C281E0">
      <w:pPr>
        <w:spacing w:line="360" w:lineRule="auto"/>
        <w:rPr>
          <w:rFonts w:ascii="宋体" w:hAnsi="宋体"/>
          <w:sz w:val="24"/>
          <w:highlight w:val="none"/>
        </w:rPr>
      </w:pPr>
    </w:p>
    <w:p w14:paraId="1A0CA753">
      <w:pPr>
        <w:spacing w:line="440" w:lineRule="exact"/>
        <w:ind w:firstLine="482"/>
        <w:rPr>
          <w:rFonts w:ascii="宋体" w:hAnsi="宋体" w:cs="宋体"/>
          <w:sz w:val="24"/>
          <w:highlight w:val="none"/>
        </w:rPr>
      </w:pPr>
      <w:r>
        <w:rPr>
          <w:rFonts w:hint="eastAsia" w:ascii="宋体" w:hAnsi="宋体" w:cs="宋体"/>
          <w:sz w:val="24"/>
          <w:highlight w:val="none"/>
        </w:rPr>
        <w:t>后附：法定代表人的身份证原件正反面扫描件。</w:t>
      </w:r>
    </w:p>
    <w:p w14:paraId="7FF0B6F7">
      <w:pPr>
        <w:spacing w:line="360" w:lineRule="auto"/>
        <w:rPr>
          <w:rFonts w:ascii="Calibri" w:hAnsi="Calibri"/>
          <w:b/>
          <w:bCs/>
          <w:sz w:val="28"/>
          <w:szCs w:val="28"/>
          <w:highlight w:val="none"/>
        </w:rPr>
      </w:pPr>
    </w:p>
    <w:p w14:paraId="120EC9CC">
      <w:pPr>
        <w:tabs>
          <w:tab w:val="left" w:pos="1080"/>
        </w:tabs>
        <w:spacing w:line="360" w:lineRule="auto"/>
        <w:jc w:val="center"/>
        <w:rPr>
          <w:rFonts w:ascii="宋体" w:hAnsi="宋体" w:cs="宋体"/>
          <w:b/>
          <w:sz w:val="24"/>
          <w:highlight w:val="none"/>
        </w:rPr>
      </w:pPr>
      <w:r>
        <w:rPr>
          <w:rFonts w:ascii="Calibri" w:hAnsi="Calibri"/>
          <w:sz w:val="28"/>
          <w:szCs w:val="28"/>
          <w:highlight w:val="none"/>
        </w:rPr>
        <w:br w:type="page"/>
      </w:r>
      <w:bookmarkStart w:id="231" w:name="_Toc43652644"/>
      <w:bookmarkStart w:id="232" w:name="_Toc25249224"/>
      <w:r>
        <w:rPr>
          <w:rFonts w:hint="eastAsia" w:ascii="宋体" w:hAnsi="宋体" w:cs="宋体"/>
          <w:b/>
          <w:sz w:val="24"/>
          <w:highlight w:val="none"/>
        </w:rPr>
        <w:t xml:space="preserve">  授权委托书</w:t>
      </w:r>
    </w:p>
    <w:p w14:paraId="3929482E">
      <w:pPr>
        <w:spacing w:line="360" w:lineRule="auto"/>
        <w:ind w:firstLine="480" w:firstLineChars="200"/>
        <w:rPr>
          <w:rFonts w:ascii="宋体" w:hAnsi="宋体" w:cs="宋体"/>
          <w:sz w:val="24"/>
          <w:highlight w:val="none"/>
        </w:rPr>
      </w:pPr>
    </w:p>
    <w:p w14:paraId="376193D6">
      <w:pPr>
        <w:spacing w:line="360" w:lineRule="auto"/>
        <w:ind w:firstLine="480" w:firstLineChars="200"/>
        <w:rPr>
          <w:rFonts w:ascii="宋体" w:hAnsi="宋体" w:cs="宋体"/>
          <w:sz w:val="24"/>
          <w:highlight w:val="none"/>
        </w:rPr>
      </w:pPr>
      <w:r>
        <w:rPr>
          <w:rFonts w:hint="eastAsia" w:ascii="宋体" w:hAnsi="宋体" w:cs="宋体"/>
          <w:sz w:val="24"/>
          <w:highlight w:val="none"/>
        </w:rPr>
        <w:t>本人</w:t>
      </w:r>
      <w:r>
        <w:rPr>
          <w:rFonts w:hint="eastAsia" w:ascii="宋体" w:hAnsi="宋体" w:cs="宋体"/>
          <w:sz w:val="24"/>
          <w:highlight w:val="none"/>
          <w:u w:val="single"/>
        </w:rPr>
        <w:t xml:space="preserve">        </w:t>
      </w:r>
      <w:r>
        <w:rPr>
          <w:rFonts w:hint="eastAsia" w:ascii="宋体" w:hAnsi="宋体" w:cs="宋体"/>
          <w:sz w:val="24"/>
          <w:highlight w:val="none"/>
        </w:rPr>
        <w:t>（姓名）系</w:t>
      </w:r>
      <w:r>
        <w:rPr>
          <w:rFonts w:hint="eastAsia" w:ascii="宋体" w:hAnsi="宋体" w:cs="宋体"/>
          <w:sz w:val="24"/>
          <w:highlight w:val="none"/>
          <w:u w:val="single"/>
        </w:rPr>
        <w:t xml:space="preserve">           </w:t>
      </w:r>
      <w:r>
        <w:rPr>
          <w:rFonts w:hint="eastAsia" w:ascii="宋体" w:hAnsi="宋体" w:cs="宋体"/>
          <w:sz w:val="24"/>
          <w:highlight w:val="none"/>
        </w:rPr>
        <w:t>（磋商供应商名称）的法定代表人，现委托</w:t>
      </w:r>
      <w:r>
        <w:rPr>
          <w:rFonts w:hint="eastAsia" w:ascii="宋体" w:hAnsi="宋体" w:cs="宋体"/>
          <w:sz w:val="24"/>
          <w:highlight w:val="none"/>
          <w:u w:val="single"/>
        </w:rPr>
        <w:t xml:space="preserve">       </w:t>
      </w:r>
      <w:r>
        <w:rPr>
          <w:rFonts w:hint="eastAsia" w:ascii="宋体" w:hAnsi="宋体" w:cs="宋体"/>
          <w:sz w:val="24"/>
          <w:highlight w:val="none"/>
        </w:rPr>
        <w:t>（姓名）为我方代理人。代理人根据授权，以我方名义签署、澄清、说明、补正、递交、撤回、修改</w:t>
      </w:r>
      <w:r>
        <w:rPr>
          <w:rFonts w:hint="eastAsia" w:ascii="宋体" w:hAnsi="宋体" w:cs="宋体"/>
          <w:sz w:val="24"/>
          <w:highlight w:val="none"/>
          <w:u w:val="single"/>
        </w:rPr>
        <w:t xml:space="preserve">                </w:t>
      </w:r>
      <w:r>
        <w:rPr>
          <w:rFonts w:hint="eastAsia" w:ascii="宋体" w:hAnsi="宋体" w:cs="宋体"/>
          <w:sz w:val="24"/>
          <w:highlight w:val="none"/>
        </w:rPr>
        <w:t>（项目名称）磋商响应文件、签订合同和处理有关事宜，其法律后果由我方承担。</w:t>
      </w:r>
    </w:p>
    <w:p w14:paraId="3D7FA477">
      <w:pPr>
        <w:spacing w:line="360" w:lineRule="auto"/>
        <w:ind w:firstLine="480" w:firstLineChars="200"/>
        <w:rPr>
          <w:rFonts w:ascii="宋体" w:hAnsi="宋体" w:cs="宋体"/>
          <w:sz w:val="24"/>
          <w:highlight w:val="none"/>
        </w:rPr>
      </w:pPr>
      <w:r>
        <w:rPr>
          <w:rFonts w:hint="eastAsia" w:ascii="宋体" w:hAnsi="宋体" w:cs="宋体"/>
          <w:sz w:val="24"/>
          <w:highlight w:val="none"/>
        </w:rPr>
        <w:t>代理人无转委托权。</w:t>
      </w:r>
    </w:p>
    <w:p w14:paraId="1C685DB8">
      <w:pPr>
        <w:wordWrap w:val="0"/>
        <w:spacing w:line="360" w:lineRule="auto"/>
        <w:ind w:firstLine="464" w:firstLineChars="200"/>
        <w:rPr>
          <w:rFonts w:ascii="宋体" w:hAnsi="宋体" w:cs="宋体"/>
          <w:sz w:val="24"/>
          <w:highlight w:val="none"/>
        </w:rPr>
      </w:pPr>
      <w:r>
        <w:rPr>
          <w:rFonts w:hint="eastAsia" w:ascii="宋体" w:hAnsi="宋体" w:cs="宋体"/>
          <w:spacing w:val="-4"/>
          <w:sz w:val="24"/>
          <w:highlight w:val="none"/>
          <w:lang w:val="zh-CN" w:bidi="zh-CN"/>
        </w:rPr>
        <w:t>附：</w:t>
      </w:r>
      <w:r>
        <w:rPr>
          <w:rFonts w:hint="eastAsia" w:ascii="宋体" w:hAnsi="宋体" w:cs="宋体"/>
          <w:sz w:val="24"/>
          <w:highlight w:val="none"/>
          <w:lang w:val="zh-CN" w:bidi="zh-CN"/>
        </w:rPr>
        <w:t>被授权人的身份证扫描件</w:t>
      </w:r>
    </w:p>
    <w:p w14:paraId="7C104559">
      <w:pPr>
        <w:spacing w:line="360" w:lineRule="auto"/>
        <w:ind w:firstLine="480" w:firstLineChars="200"/>
        <w:rPr>
          <w:rFonts w:ascii="宋体" w:hAnsi="宋体" w:cs="宋体"/>
          <w:sz w:val="24"/>
          <w:highlight w:val="none"/>
        </w:rPr>
      </w:pPr>
    </w:p>
    <w:p w14:paraId="4A705C0A">
      <w:pPr>
        <w:spacing w:line="360" w:lineRule="auto"/>
        <w:ind w:firstLine="480" w:firstLineChars="200"/>
        <w:rPr>
          <w:rFonts w:ascii="宋体" w:hAnsi="宋体" w:cs="宋体"/>
          <w:sz w:val="24"/>
          <w:highlight w:val="none"/>
        </w:rPr>
      </w:pPr>
    </w:p>
    <w:p w14:paraId="03394990">
      <w:pPr>
        <w:wordWrap w:val="0"/>
        <w:autoSpaceDE w:val="0"/>
        <w:autoSpaceDN w:val="0"/>
        <w:spacing w:line="480" w:lineRule="auto"/>
        <w:rPr>
          <w:rFonts w:ascii="宋体" w:hAnsi="宋体" w:cs="宋体"/>
          <w:sz w:val="24"/>
          <w:highlight w:val="none"/>
          <w:lang w:val="zh-CN" w:bidi="zh-CN"/>
        </w:rPr>
      </w:pPr>
      <w:r>
        <w:rPr>
          <w:rFonts w:hint="eastAsia" w:ascii="宋体" w:hAnsi="宋体" w:cs="宋体"/>
          <w:sz w:val="24"/>
          <w:highlight w:val="none"/>
          <w:lang w:val="zh-CN" w:bidi="zh-CN"/>
        </w:rPr>
        <w:t>磋商供应商：</w:t>
      </w:r>
      <w:r>
        <w:rPr>
          <w:rFonts w:hint="eastAsia" w:ascii="宋体" w:hAnsi="宋体" w:cs="宋体"/>
          <w:sz w:val="24"/>
          <w:highlight w:val="none"/>
          <w:u w:val="single"/>
          <w:lang w:val="zh-CN" w:bidi="zh-CN"/>
        </w:rPr>
        <w:t xml:space="preserve">                   </w:t>
      </w:r>
      <w:r>
        <w:rPr>
          <w:rFonts w:hint="eastAsia" w:ascii="宋体" w:hAnsi="宋体" w:cs="宋体"/>
          <w:sz w:val="24"/>
          <w:highlight w:val="none"/>
          <w:lang w:val="zh-CN" w:bidi="zh-CN"/>
        </w:rPr>
        <w:t>（单位电子签章）</w:t>
      </w:r>
    </w:p>
    <w:p w14:paraId="08D72B20">
      <w:pPr>
        <w:spacing w:line="480" w:lineRule="auto"/>
        <w:rPr>
          <w:rFonts w:ascii="宋体" w:hAnsi="宋体"/>
          <w:sz w:val="24"/>
          <w:highlight w:val="none"/>
        </w:rPr>
      </w:pPr>
      <w:r>
        <w:rPr>
          <w:rFonts w:hint="eastAsia" w:ascii="宋体" w:hAnsi="宋体" w:cs="宋体"/>
          <w:sz w:val="24"/>
          <w:highlight w:val="none"/>
          <w:lang w:val="zh-CN" w:bidi="zh-CN"/>
        </w:rPr>
        <w:t>法定代表人：</w:t>
      </w:r>
      <w:r>
        <w:rPr>
          <w:rFonts w:hint="eastAsia" w:ascii="宋体" w:hAnsi="宋体" w:cs="宋体"/>
          <w:sz w:val="24"/>
          <w:highlight w:val="none"/>
          <w:u w:val="single"/>
          <w:lang w:val="zh-CN" w:bidi="zh-CN"/>
        </w:rPr>
        <w:t xml:space="preserve">               </w:t>
      </w:r>
      <w:r>
        <w:rPr>
          <w:rFonts w:hint="eastAsia" w:ascii="宋体" w:hAnsi="宋体" w:cs="宋体"/>
          <w:sz w:val="24"/>
          <w:highlight w:val="none"/>
          <w:lang w:val="zh-CN" w:bidi="zh-CN"/>
        </w:rPr>
        <w:t>（法人电子签章）</w:t>
      </w:r>
    </w:p>
    <w:p w14:paraId="7266F0DA">
      <w:pPr>
        <w:wordWrap w:val="0"/>
        <w:autoSpaceDE w:val="0"/>
        <w:autoSpaceDN w:val="0"/>
        <w:spacing w:line="480" w:lineRule="auto"/>
        <w:rPr>
          <w:rFonts w:ascii="宋体" w:hAnsi="宋体" w:cs="宋体"/>
          <w:sz w:val="24"/>
          <w:highlight w:val="none"/>
          <w:lang w:val="zh-CN" w:bidi="zh-CN"/>
        </w:rPr>
      </w:pPr>
      <w:r>
        <w:rPr>
          <w:rFonts w:hint="eastAsia" w:ascii="宋体" w:hAnsi="宋体" w:cs="宋体"/>
          <w:sz w:val="24"/>
          <w:highlight w:val="none"/>
          <w:lang w:val="zh-CN" w:bidi="zh-CN"/>
        </w:rPr>
        <w:t>法定代表人身份证号码：</w:t>
      </w:r>
      <w:r>
        <w:rPr>
          <w:rFonts w:hint="eastAsia" w:ascii="宋体" w:hAnsi="宋体" w:cs="宋体"/>
          <w:sz w:val="24"/>
          <w:highlight w:val="none"/>
          <w:u w:val="single"/>
          <w:lang w:val="zh-CN" w:bidi="zh-CN"/>
        </w:rPr>
        <w:t xml:space="preserve">                      </w:t>
      </w:r>
    </w:p>
    <w:p w14:paraId="034B494E">
      <w:pPr>
        <w:autoSpaceDE w:val="0"/>
        <w:autoSpaceDN w:val="0"/>
        <w:adjustRightInd w:val="0"/>
        <w:spacing w:line="480" w:lineRule="auto"/>
        <w:rPr>
          <w:rFonts w:ascii="宋体" w:hAnsi="宋体" w:cs="仿宋_GB2312"/>
          <w:sz w:val="24"/>
          <w:highlight w:val="none"/>
        </w:rPr>
      </w:pPr>
      <w:r>
        <w:rPr>
          <w:rFonts w:hint="eastAsia" w:ascii="宋体" w:hAnsi="宋体" w:cs="仿宋_GB2312"/>
          <w:sz w:val="24"/>
          <w:highlight w:val="none"/>
        </w:rPr>
        <w:t>委托代理人：</w:t>
      </w:r>
      <w:r>
        <w:rPr>
          <w:rFonts w:hint="eastAsia" w:ascii="宋体" w:hAnsi="宋体" w:cs="仿宋_GB2312"/>
          <w:sz w:val="24"/>
          <w:highlight w:val="none"/>
          <w:u w:val="single"/>
        </w:rPr>
        <w:t xml:space="preserve">                        </w:t>
      </w:r>
      <w:r>
        <w:rPr>
          <w:rFonts w:ascii="宋体" w:hAnsi="宋体" w:cs="仿宋_GB2312"/>
          <w:sz w:val="24"/>
          <w:highlight w:val="none"/>
        </w:rPr>
        <w:t xml:space="preserve"> </w:t>
      </w:r>
      <w:r>
        <w:rPr>
          <w:rFonts w:hint="eastAsia" w:ascii="宋体" w:hAnsi="宋体" w:cs="仿宋_GB2312"/>
          <w:sz w:val="24"/>
          <w:highlight w:val="none"/>
        </w:rPr>
        <w:t>（签字）</w:t>
      </w:r>
    </w:p>
    <w:p w14:paraId="1340A822">
      <w:pPr>
        <w:wordWrap w:val="0"/>
        <w:autoSpaceDE w:val="0"/>
        <w:autoSpaceDN w:val="0"/>
        <w:spacing w:line="480" w:lineRule="auto"/>
        <w:rPr>
          <w:rFonts w:ascii="宋体" w:hAnsi="宋体"/>
          <w:sz w:val="24"/>
          <w:highlight w:val="none"/>
        </w:rPr>
      </w:pPr>
      <w:r>
        <w:rPr>
          <w:rFonts w:hint="eastAsia" w:ascii="宋体" w:hAnsi="宋体" w:cs="宋体"/>
          <w:sz w:val="24"/>
          <w:highlight w:val="none"/>
          <w:lang w:val="zh-CN" w:bidi="zh-CN"/>
        </w:rPr>
        <w:t>委托人身份证号码：</w:t>
      </w:r>
      <w:r>
        <w:rPr>
          <w:rFonts w:hint="eastAsia" w:ascii="宋体" w:hAnsi="宋体"/>
          <w:sz w:val="24"/>
          <w:highlight w:val="none"/>
          <w:u w:val="single"/>
        </w:rPr>
        <w:t xml:space="preserve">                          </w:t>
      </w:r>
    </w:p>
    <w:p w14:paraId="51CBF0B2">
      <w:pPr>
        <w:spacing w:line="48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u w:val="single"/>
        </w:rPr>
        <w:t xml:space="preserve">       </w:t>
      </w:r>
      <w:r>
        <w:rPr>
          <w:rFonts w:ascii="宋体" w:hAnsi="宋体"/>
          <w:sz w:val="24"/>
          <w:highlight w:val="none"/>
        </w:rPr>
        <w:t>年</w:t>
      </w:r>
      <w:r>
        <w:rPr>
          <w:rFonts w:ascii="宋体" w:hAnsi="宋体"/>
          <w:sz w:val="24"/>
          <w:highlight w:val="none"/>
          <w:u w:val="single"/>
        </w:rPr>
        <w:t xml:space="preserve">       </w:t>
      </w:r>
      <w:r>
        <w:rPr>
          <w:rFonts w:ascii="宋体" w:hAnsi="宋体"/>
          <w:sz w:val="24"/>
          <w:highlight w:val="none"/>
        </w:rPr>
        <w:t>月</w:t>
      </w:r>
      <w:r>
        <w:rPr>
          <w:rFonts w:ascii="宋体" w:hAnsi="宋体"/>
          <w:sz w:val="24"/>
          <w:highlight w:val="none"/>
          <w:u w:val="single"/>
        </w:rPr>
        <w:t xml:space="preserve">       </w:t>
      </w:r>
      <w:r>
        <w:rPr>
          <w:rFonts w:ascii="宋体" w:hAnsi="宋体"/>
          <w:sz w:val="24"/>
          <w:highlight w:val="none"/>
        </w:rPr>
        <w:t>日</w:t>
      </w:r>
    </w:p>
    <w:p w14:paraId="4BCE904F">
      <w:pPr>
        <w:spacing w:line="480" w:lineRule="auto"/>
        <w:ind w:right="560" w:firstLine="480" w:firstLineChars="200"/>
        <w:jc w:val="center"/>
        <w:rPr>
          <w:rFonts w:ascii="宋体" w:hAnsi="宋体" w:cs="宋体"/>
          <w:sz w:val="24"/>
          <w:highlight w:val="none"/>
        </w:rPr>
      </w:pPr>
    </w:p>
    <w:p w14:paraId="1B1B3303">
      <w:pPr>
        <w:autoSpaceDE w:val="0"/>
        <w:autoSpaceDN w:val="0"/>
        <w:adjustRightInd w:val="0"/>
        <w:spacing w:line="360" w:lineRule="auto"/>
        <w:rPr>
          <w:rFonts w:ascii="宋体" w:hAnsi="宋体" w:cs="仿宋_GB2312"/>
          <w:sz w:val="24"/>
          <w:highlight w:val="none"/>
        </w:rPr>
      </w:pPr>
      <w:r>
        <w:rPr>
          <w:rFonts w:hint="eastAsia" w:ascii="宋体" w:hAnsi="宋体" w:cs="仿宋_GB2312"/>
          <w:sz w:val="24"/>
          <w:highlight w:val="none"/>
        </w:rPr>
        <w:t>注：如磋商响应文件中授权委托书委托代理人无法手写签字，可以以印刷体代替（印刷体为电脑打出的字体）。</w:t>
      </w:r>
    </w:p>
    <w:p w14:paraId="292687F6">
      <w:pPr>
        <w:spacing w:line="360" w:lineRule="auto"/>
        <w:rPr>
          <w:rFonts w:ascii="宋体" w:hAnsi="宋体" w:cs="宋体"/>
          <w:sz w:val="24"/>
          <w:highlight w:val="none"/>
        </w:rPr>
      </w:pPr>
    </w:p>
    <w:p w14:paraId="2DE6183D">
      <w:pPr>
        <w:pStyle w:val="9"/>
        <w:spacing w:line="240" w:lineRule="exact"/>
        <w:jc w:val="center"/>
        <w:rPr>
          <w:rFonts w:ascii="宋体" w:hAnsi="宋体" w:eastAsia="宋体" w:cs="宋体-PUA"/>
          <w:sz w:val="24"/>
          <w:szCs w:val="24"/>
          <w:highlight w:val="none"/>
        </w:rPr>
      </w:pPr>
      <w:r>
        <w:rPr>
          <w:rFonts w:ascii="Calibri" w:hAnsi="Calibri"/>
          <w:sz w:val="28"/>
          <w:szCs w:val="28"/>
          <w:highlight w:val="none"/>
        </w:rPr>
        <w:br w:type="page"/>
      </w:r>
      <w:bookmarkStart w:id="233" w:name="_Toc196238534"/>
      <w:r>
        <w:rPr>
          <w:rFonts w:hint="eastAsia" w:ascii="宋体" w:hAnsi="宋体" w:eastAsia="宋体" w:cs="宋体-PUA"/>
          <w:sz w:val="24"/>
          <w:szCs w:val="24"/>
          <w:highlight w:val="none"/>
        </w:rPr>
        <w:t>三、磋商报价承诺函</w:t>
      </w:r>
      <w:bookmarkEnd w:id="231"/>
      <w:bookmarkEnd w:id="232"/>
      <w:bookmarkEnd w:id="233"/>
    </w:p>
    <w:p w14:paraId="6DE446BE">
      <w:pPr>
        <w:tabs>
          <w:tab w:val="left" w:pos="6300"/>
        </w:tabs>
        <w:snapToGrid w:val="0"/>
        <w:spacing w:line="360" w:lineRule="auto"/>
        <w:ind w:firstLine="480"/>
        <w:rPr>
          <w:rFonts w:ascii="宋体" w:hAnsi="宋体"/>
          <w:sz w:val="24"/>
          <w:highlight w:val="none"/>
        </w:rPr>
      </w:pPr>
    </w:p>
    <w:p w14:paraId="7DD0A1AA">
      <w:pPr>
        <w:tabs>
          <w:tab w:val="left" w:pos="6300"/>
        </w:tabs>
        <w:snapToGrid w:val="0"/>
        <w:spacing w:line="360" w:lineRule="auto"/>
        <w:ind w:firstLine="480"/>
        <w:rPr>
          <w:rFonts w:ascii="宋体" w:hAnsi="宋体"/>
          <w:sz w:val="24"/>
          <w:highlight w:val="none"/>
        </w:rPr>
      </w:pPr>
      <w:r>
        <w:rPr>
          <w:rFonts w:hint="eastAsia" w:ascii="宋体" w:hAnsi="宋体"/>
          <w:sz w:val="24"/>
          <w:highlight w:val="none"/>
        </w:rPr>
        <w:t>本公司郑重承诺：</w:t>
      </w:r>
    </w:p>
    <w:p w14:paraId="0094FE96">
      <w:pPr>
        <w:tabs>
          <w:tab w:val="left" w:pos="6300"/>
        </w:tabs>
        <w:snapToGrid w:val="0"/>
        <w:spacing w:line="360" w:lineRule="auto"/>
        <w:ind w:firstLine="600" w:firstLineChars="250"/>
        <w:rPr>
          <w:rFonts w:ascii="宋体" w:hAnsi="宋体"/>
          <w:sz w:val="24"/>
          <w:highlight w:val="none"/>
        </w:rPr>
      </w:pPr>
      <w:r>
        <w:rPr>
          <w:rFonts w:hint="eastAsia" w:ascii="宋体" w:hAnsi="宋体"/>
          <w:sz w:val="24"/>
          <w:highlight w:val="none"/>
        </w:rPr>
        <w:t>将遵循公开、公平、公正和诚实守信的原则，参加本项目的磋商报价。在此作如下承诺：</w:t>
      </w:r>
    </w:p>
    <w:p w14:paraId="5A724C1C">
      <w:pPr>
        <w:spacing w:line="360" w:lineRule="auto"/>
        <w:ind w:firstLine="120" w:firstLineChars="50"/>
        <w:rPr>
          <w:rFonts w:ascii="宋体" w:hAnsi="宋体"/>
          <w:sz w:val="24"/>
          <w:highlight w:val="none"/>
        </w:rPr>
      </w:pPr>
      <w:r>
        <w:rPr>
          <w:rFonts w:hint="eastAsia" w:ascii="宋体" w:hAnsi="宋体"/>
          <w:sz w:val="24"/>
          <w:highlight w:val="none"/>
        </w:rPr>
        <w:t>l、完全理解和接受竞争性磋商文件的一切规定和要求。</w:t>
      </w:r>
    </w:p>
    <w:p w14:paraId="24ACF6F5">
      <w:pPr>
        <w:spacing w:line="360" w:lineRule="auto"/>
        <w:ind w:firstLine="120" w:firstLineChars="50"/>
        <w:rPr>
          <w:rFonts w:ascii="宋体" w:hAnsi="宋体"/>
          <w:sz w:val="24"/>
          <w:highlight w:val="none"/>
        </w:rPr>
      </w:pPr>
      <w:r>
        <w:rPr>
          <w:rFonts w:hint="eastAsia" w:ascii="宋体" w:hAnsi="宋体"/>
          <w:sz w:val="24"/>
          <w:highlight w:val="none"/>
        </w:rPr>
        <w:t>2、不提供有违真实的服务。</w:t>
      </w:r>
    </w:p>
    <w:p w14:paraId="08128233">
      <w:pPr>
        <w:spacing w:line="360" w:lineRule="auto"/>
        <w:ind w:firstLine="120" w:firstLineChars="50"/>
        <w:rPr>
          <w:rFonts w:ascii="宋体" w:hAnsi="宋体"/>
          <w:sz w:val="24"/>
          <w:highlight w:val="none"/>
        </w:rPr>
      </w:pPr>
      <w:r>
        <w:rPr>
          <w:rFonts w:hint="eastAsia" w:ascii="宋体" w:hAnsi="宋体"/>
          <w:sz w:val="24"/>
          <w:highlight w:val="none"/>
        </w:rPr>
        <w:t>3、不在报价中哄抬价格或恶意压价。</w:t>
      </w:r>
    </w:p>
    <w:p w14:paraId="00C6A03F">
      <w:pPr>
        <w:spacing w:line="360" w:lineRule="auto"/>
        <w:ind w:firstLine="120" w:firstLineChars="50"/>
        <w:rPr>
          <w:rFonts w:ascii="宋体" w:hAnsi="宋体"/>
          <w:sz w:val="24"/>
          <w:highlight w:val="none"/>
        </w:rPr>
      </w:pPr>
      <w:r>
        <w:rPr>
          <w:rFonts w:hint="eastAsia" w:ascii="宋体" w:hAnsi="宋体"/>
          <w:sz w:val="24"/>
          <w:highlight w:val="none"/>
        </w:rPr>
        <w:t>4、不以非法手段骗取或谋取成交。</w:t>
      </w:r>
    </w:p>
    <w:p w14:paraId="24E6D3EE">
      <w:pPr>
        <w:spacing w:line="360" w:lineRule="auto"/>
        <w:ind w:firstLine="120" w:firstLineChars="50"/>
        <w:rPr>
          <w:rFonts w:ascii="宋体" w:hAnsi="宋体"/>
          <w:sz w:val="24"/>
          <w:highlight w:val="none"/>
        </w:rPr>
      </w:pPr>
      <w:r>
        <w:rPr>
          <w:rFonts w:hint="eastAsia" w:ascii="宋体" w:hAnsi="宋体"/>
          <w:sz w:val="24"/>
          <w:highlight w:val="none"/>
        </w:rPr>
        <w:t>5、若成交，我方将按照竞争性磋商文件的具体规定与采购人签订合同，并且严格履行合同义务。如果在合同执行过程中，发现问题，我方一定尽快处理，并承担相应的经济责任。</w:t>
      </w:r>
    </w:p>
    <w:p w14:paraId="5B90DD9F">
      <w:pPr>
        <w:snapToGrid w:val="0"/>
        <w:spacing w:line="408" w:lineRule="auto"/>
        <w:ind w:right="34"/>
        <w:rPr>
          <w:rFonts w:ascii="宋体" w:hAnsi="宋体"/>
          <w:sz w:val="24"/>
          <w:highlight w:val="none"/>
        </w:rPr>
      </w:pPr>
      <w:r>
        <w:rPr>
          <w:rFonts w:hint="eastAsia" w:ascii="宋体" w:hAnsi="宋体"/>
          <w:sz w:val="24"/>
          <w:highlight w:val="none"/>
        </w:rPr>
        <w:t>6、在整个招标过程中，我方若有违规行为，</w:t>
      </w:r>
      <w:r>
        <w:rPr>
          <w:rFonts w:hint="eastAsia" w:cs="宋体" w:asciiTheme="minorEastAsia" w:hAnsiTheme="minorEastAsia" w:eastAsiaTheme="minorEastAsia"/>
          <w:spacing w:val="-2"/>
          <w:kern w:val="0"/>
          <w:sz w:val="24"/>
          <w:highlight w:val="none"/>
        </w:rPr>
        <w:t>并造成采购人经济损失，我单位向采购</w:t>
      </w:r>
      <w:r>
        <w:rPr>
          <w:rFonts w:hint="eastAsia" w:cs="宋体" w:asciiTheme="minorEastAsia" w:hAnsiTheme="minorEastAsia" w:eastAsiaTheme="minorEastAsia"/>
          <w:kern w:val="0"/>
          <w:sz w:val="24"/>
          <w:highlight w:val="none"/>
        </w:rPr>
        <w:t>人缴纳不低于中标价</w:t>
      </w:r>
      <w:r>
        <w:rPr>
          <w:rFonts w:asciiTheme="minorEastAsia" w:hAnsiTheme="minorEastAsia" w:eastAsiaTheme="minorEastAsia"/>
          <w:spacing w:val="-75"/>
          <w:kern w:val="0"/>
          <w:sz w:val="24"/>
          <w:highlight w:val="none"/>
        </w:rPr>
        <w:t xml:space="preserve"> </w:t>
      </w:r>
      <w:r>
        <w:rPr>
          <w:rFonts w:cs="宋体" w:asciiTheme="minorEastAsia" w:hAnsiTheme="minorEastAsia" w:eastAsiaTheme="minorEastAsia"/>
          <w:kern w:val="0"/>
          <w:sz w:val="24"/>
          <w:highlight w:val="none"/>
        </w:rPr>
        <w:t>2%</w:t>
      </w:r>
      <w:r>
        <w:rPr>
          <w:rFonts w:hint="eastAsia" w:cs="宋体" w:asciiTheme="minorEastAsia" w:hAnsiTheme="minorEastAsia" w:eastAsiaTheme="minorEastAsia"/>
          <w:kern w:val="0"/>
          <w:sz w:val="24"/>
          <w:highlight w:val="none"/>
        </w:rPr>
        <w:t>的经济补偿，自觉承担违约责任。</w:t>
      </w:r>
    </w:p>
    <w:p w14:paraId="4F5FB5A4">
      <w:pPr>
        <w:spacing w:line="360" w:lineRule="auto"/>
        <w:ind w:firstLine="120" w:firstLineChars="50"/>
        <w:rPr>
          <w:rFonts w:ascii="宋体" w:hAnsi="宋体"/>
          <w:sz w:val="24"/>
          <w:highlight w:val="none"/>
        </w:rPr>
      </w:pPr>
      <w:r>
        <w:rPr>
          <w:rFonts w:hint="eastAsia" w:ascii="宋体" w:hAnsi="宋体"/>
          <w:sz w:val="24"/>
          <w:highlight w:val="none"/>
        </w:rPr>
        <w:t>7、若成交，本承诺函将成为合同不可分割的组成部分，与合同具有同等法律效力。</w:t>
      </w:r>
    </w:p>
    <w:p w14:paraId="701D1D24">
      <w:pPr>
        <w:topLinePunct/>
        <w:spacing w:line="360" w:lineRule="auto"/>
        <w:ind w:firstLine="480"/>
        <w:rPr>
          <w:rFonts w:ascii="宋体" w:hAnsi="宋体"/>
          <w:bCs/>
          <w:sz w:val="24"/>
          <w:highlight w:val="none"/>
        </w:rPr>
      </w:pPr>
    </w:p>
    <w:p w14:paraId="7FF0F621">
      <w:pPr>
        <w:topLinePunct/>
        <w:spacing w:line="360" w:lineRule="auto"/>
        <w:ind w:firstLine="480"/>
        <w:rPr>
          <w:rFonts w:ascii="宋体" w:hAnsi="宋体"/>
          <w:bCs/>
          <w:sz w:val="24"/>
          <w:highlight w:val="none"/>
        </w:rPr>
      </w:pPr>
    </w:p>
    <w:p w14:paraId="3680CCAA">
      <w:pPr>
        <w:topLinePunct/>
        <w:spacing w:line="360" w:lineRule="auto"/>
        <w:ind w:firstLine="480"/>
        <w:rPr>
          <w:rFonts w:ascii="宋体" w:hAnsi="宋体"/>
          <w:bCs/>
          <w:sz w:val="24"/>
          <w:highlight w:val="none"/>
        </w:rPr>
      </w:pPr>
    </w:p>
    <w:p w14:paraId="731D1829">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56B74E15">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24AF2EDA">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57405745">
      <w:pPr>
        <w:topLinePunct/>
        <w:spacing w:line="360" w:lineRule="auto"/>
        <w:ind w:firstLine="480"/>
        <w:rPr>
          <w:rFonts w:ascii="宋体" w:hAnsi="宋体"/>
          <w:bCs/>
          <w:sz w:val="24"/>
          <w:highlight w:val="none"/>
        </w:rPr>
      </w:pPr>
    </w:p>
    <w:p w14:paraId="06579A27">
      <w:pPr>
        <w:topLinePunct/>
        <w:spacing w:line="360" w:lineRule="auto"/>
        <w:ind w:firstLine="480"/>
        <w:rPr>
          <w:rFonts w:ascii="宋体" w:hAnsi="宋体"/>
          <w:bCs/>
          <w:sz w:val="24"/>
          <w:highlight w:val="none"/>
        </w:rPr>
      </w:pPr>
    </w:p>
    <w:p w14:paraId="7AEEB442">
      <w:pPr>
        <w:topLinePunct/>
        <w:spacing w:line="360" w:lineRule="auto"/>
        <w:ind w:firstLine="480"/>
        <w:rPr>
          <w:rFonts w:ascii="宋体" w:hAnsi="宋体"/>
          <w:bCs/>
          <w:sz w:val="24"/>
          <w:highlight w:val="none"/>
        </w:rPr>
      </w:pPr>
    </w:p>
    <w:p w14:paraId="792C4695">
      <w:pPr>
        <w:spacing w:line="480" w:lineRule="auto"/>
        <w:ind w:left="-28" w:leftChars="-95" w:right="452" w:hanging="171" w:hangingChars="67"/>
        <w:jc w:val="center"/>
        <w:rPr>
          <w:rFonts w:ascii="宋体" w:hAnsi="宋体" w:cs="宋体"/>
          <w:spacing w:val="8"/>
          <w:sz w:val="24"/>
          <w:highlight w:val="none"/>
        </w:rPr>
      </w:pPr>
      <w:r>
        <w:rPr>
          <w:rFonts w:hint="eastAsia" w:ascii="宋体" w:hAnsi="宋体" w:cs="宋体"/>
          <w:spacing w:val="8"/>
          <w:sz w:val="24"/>
          <w:highlight w:val="none"/>
        </w:rPr>
        <w:t xml:space="preserve">                   </w:t>
      </w:r>
    </w:p>
    <w:p w14:paraId="78EDEB27">
      <w:pPr>
        <w:spacing w:line="480" w:lineRule="auto"/>
        <w:ind w:left="-28" w:leftChars="-95" w:right="452" w:hanging="171" w:hangingChars="67"/>
        <w:jc w:val="center"/>
        <w:rPr>
          <w:rFonts w:ascii="宋体" w:hAnsi="宋体" w:cs="宋体"/>
          <w:spacing w:val="8"/>
          <w:sz w:val="24"/>
          <w:highlight w:val="none"/>
        </w:rPr>
      </w:pPr>
    </w:p>
    <w:p w14:paraId="4036FC7C">
      <w:pPr>
        <w:wordWrap w:val="0"/>
        <w:spacing w:line="360" w:lineRule="auto"/>
        <w:ind w:left="-28" w:leftChars="-95" w:right="113" w:hanging="171" w:hangingChars="67"/>
        <w:jc w:val="center"/>
        <w:rPr>
          <w:rFonts w:ascii="宋体" w:hAnsi="宋体" w:cs="宋体"/>
          <w:spacing w:val="8"/>
          <w:sz w:val="24"/>
          <w:highlight w:val="none"/>
        </w:rPr>
        <w:sectPr>
          <w:pgSz w:w="11906" w:h="16838"/>
          <w:pgMar w:top="1440" w:right="1797" w:bottom="1440" w:left="1797" w:header="851" w:footer="992" w:gutter="0"/>
          <w:cols w:space="720" w:num="1"/>
          <w:docGrid w:linePitch="312" w:charSpace="0"/>
        </w:sectPr>
      </w:pPr>
    </w:p>
    <w:p w14:paraId="769CF959">
      <w:pPr>
        <w:pStyle w:val="9"/>
        <w:spacing w:line="240" w:lineRule="auto"/>
        <w:jc w:val="center"/>
        <w:rPr>
          <w:rFonts w:hint="default" w:ascii="宋体" w:hAnsi="宋体" w:eastAsia="宋体" w:cs="宋体-PUA"/>
          <w:sz w:val="24"/>
          <w:szCs w:val="24"/>
          <w:highlight w:val="none"/>
          <w:lang w:val="en-US"/>
        </w:rPr>
      </w:pPr>
      <w:r>
        <w:rPr>
          <w:rFonts w:hint="eastAsia" w:ascii="宋体" w:hAnsi="宋体" w:eastAsia="宋体" w:cs="宋体-PUA"/>
          <w:sz w:val="24"/>
          <w:szCs w:val="24"/>
          <w:highlight w:val="none"/>
          <w:lang w:val="en-US" w:eastAsia="zh-CN"/>
        </w:rPr>
        <w:t>四、近年财务状况表</w:t>
      </w:r>
    </w:p>
    <w:p w14:paraId="10E7FADE">
      <w:pPr>
        <w:wordWrap w:val="0"/>
        <w:spacing w:line="360" w:lineRule="auto"/>
        <w:ind w:left="-28" w:leftChars="-95" w:right="113" w:hanging="171" w:hangingChars="67"/>
        <w:jc w:val="left"/>
        <w:rPr>
          <w:rFonts w:hint="eastAsia" w:ascii="宋体" w:hAnsi="宋体" w:cs="宋体"/>
          <w:spacing w:val="8"/>
          <w:sz w:val="24"/>
          <w:highlight w:val="none"/>
        </w:rPr>
      </w:pPr>
    </w:p>
    <w:p w14:paraId="19A37127">
      <w:pPr>
        <w:wordWrap w:val="0"/>
        <w:spacing w:line="360" w:lineRule="auto"/>
        <w:ind w:left="40" w:leftChars="19" w:right="113" w:firstLine="335" w:firstLineChars="131"/>
        <w:jc w:val="left"/>
        <w:rPr>
          <w:rFonts w:ascii="宋体" w:hAnsi="宋体" w:cs="宋体"/>
          <w:spacing w:val="8"/>
          <w:sz w:val="24"/>
          <w:highlight w:val="none"/>
        </w:rPr>
        <w:sectPr>
          <w:pgSz w:w="11906" w:h="16838"/>
          <w:pgMar w:top="1440" w:right="1797" w:bottom="1440" w:left="1797" w:header="851" w:footer="992" w:gutter="0"/>
          <w:cols w:space="720" w:num="1"/>
          <w:docGrid w:linePitch="312" w:charSpace="0"/>
        </w:sectPr>
      </w:pPr>
      <w:r>
        <w:rPr>
          <w:rFonts w:hint="eastAsia" w:ascii="宋体" w:hAnsi="宋体" w:cs="宋体"/>
          <w:spacing w:val="8"/>
          <w:sz w:val="24"/>
          <w:highlight w:val="none"/>
        </w:rPr>
        <w:t>202</w:t>
      </w:r>
      <w:r>
        <w:rPr>
          <w:rFonts w:hint="eastAsia" w:ascii="宋体" w:hAnsi="宋体" w:cs="宋体"/>
          <w:spacing w:val="8"/>
          <w:sz w:val="24"/>
          <w:highlight w:val="none"/>
          <w:lang w:val="en-US" w:eastAsia="zh-CN"/>
        </w:rPr>
        <w:t>3</w:t>
      </w:r>
      <w:r>
        <w:rPr>
          <w:rFonts w:hint="eastAsia" w:ascii="宋体" w:hAnsi="宋体" w:cs="宋体"/>
          <w:spacing w:val="8"/>
          <w:sz w:val="24"/>
          <w:highlight w:val="none"/>
        </w:rPr>
        <w:t>、202</w:t>
      </w:r>
      <w:r>
        <w:rPr>
          <w:rFonts w:hint="eastAsia" w:ascii="宋体" w:hAnsi="宋体" w:cs="宋体"/>
          <w:spacing w:val="8"/>
          <w:sz w:val="24"/>
          <w:highlight w:val="none"/>
          <w:lang w:val="en-US" w:eastAsia="zh-CN"/>
        </w:rPr>
        <w:t>4</w:t>
      </w:r>
      <w:r>
        <w:rPr>
          <w:rFonts w:hint="eastAsia" w:ascii="宋体" w:hAnsi="宋体" w:cs="宋体"/>
          <w:spacing w:val="8"/>
          <w:sz w:val="24"/>
          <w:highlight w:val="none"/>
        </w:rPr>
        <w:t>、202</w:t>
      </w:r>
      <w:r>
        <w:rPr>
          <w:rFonts w:hint="eastAsia" w:ascii="宋体" w:hAnsi="宋体" w:cs="宋体"/>
          <w:spacing w:val="8"/>
          <w:sz w:val="24"/>
          <w:highlight w:val="none"/>
          <w:lang w:val="en-US" w:eastAsia="zh-CN"/>
        </w:rPr>
        <w:t>5</w:t>
      </w:r>
      <w:r>
        <w:rPr>
          <w:rFonts w:hint="eastAsia" w:ascii="宋体" w:hAnsi="宋体" w:cs="宋体"/>
          <w:spacing w:val="8"/>
          <w:sz w:val="24"/>
          <w:highlight w:val="none"/>
        </w:rPr>
        <w:t>年度（新办企业以企业注册成立之日起提供），应附经会计师事务所或审计机构审计的审计报告，包括资产负债表、现金流量表、利润表和财务情况说明书的原件扫描件。</w:t>
      </w:r>
    </w:p>
    <w:p w14:paraId="48D0CCB2">
      <w:pPr>
        <w:pStyle w:val="9"/>
        <w:spacing w:line="240" w:lineRule="auto"/>
        <w:jc w:val="center"/>
        <w:rPr>
          <w:rFonts w:ascii="宋体" w:hAnsi="宋体" w:eastAsia="宋体" w:cs="宋体-PUA"/>
          <w:sz w:val="24"/>
          <w:szCs w:val="24"/>
          <w:highlight w:val="none"/>
        </w:rPr>
      </w:pPr>
      <w:bookmarkStart w:id="234" w:name="_Toc465"/>
      <w:bookmarkStart w:id="235" w:name="_Toc48158331"/>
      <w:bookmarkStart w:id="236" w:name="_Toc508198372"/>
      <w:bookmarkStart w:id="237" w:name="_Toc196238536"/>
      <w:bookmarkStart w:id="238" w:name="_Toc43652646"/>
      <w:bookmarkStart w:id="239" w:name="_Toc3714"/>
      <w:bookmarkStart w:id="240" w:name="_Toc152045807"/>
      <w:bookmarkStart w:id="241" w:name="_Toc179632827"/>
      <w:bookmarkStart w:id="242" w:name="_Toc296602617"/>
      <w:bookmarkStart w:id="243" w:name="_Toc246997115"/>
      <w:bookmarkStart w:id="244" w:name="_Toc247085890"/>
      <w:bookmarkStart w:id="245" w:name="_Toc246996372"/>
      <w:bookmarkStart w:id="246" w:name="_Toc144974875"/>
      <w:bookmarkStart w:id="247" w:name="_Toc152042596"/>
      <w:r>
        <w:rPr>
          <w:rFonts w:hint="eastAsia" w:ascii="宋体" w:hAnsi="宋体" w:eastAsia="宋体" w:cs="宋体-PUA"/>
          <w:sz w:val="24"/>
          <w:szCs w:val="24"/>
          <w:highlight w:val="none"/>
          <w:lang w:val="en-US" w:eastAsia="zh-CN"/>
        </w:rPr>
        <w:t>五</w:t>
      </w:r>
      <w:r>
        <w:rPr>
          <w:rFonts w:hint="eastAsia" w:ascii="宋体" w:hAnsi="宋体" w:eastAsia="宋体" w:cs="宋体-PUA"/>
          <w:sz w:val="24"/>
          <w:szCs w:val="24"/>
          <w:highlight w:val="none"/>
        </w:rPr>
        <w:t>、</w:t>
      </w:r>
      <w:bookmarkEnd w:id="234"/>
      <w:bookmarkEnd w:id="235"/>
      <w:bookmarkEnd w:id="236"/>
      <w:r>
        <w:rPr>
          <w:rFonts w:hint="eastAsia" w:ascii="宋体" w:hAnsi="宋体"/>
          <w:sz w:val="28"/>
          <w:szCs w:val="28"/>
          <w:highlight w:val="none"/>
        </w:rPr>
        <w:t>服务方案</w:t>
      </w:r>
      <w:bookmarkEnd w:id="237"/>
    </w:p>
    <w:p w14:paraId="4AC729D7">
      <w:pPr>
        <w:spacing w:line="360" w:lineRule="auto"/>
        <w:ind w:firstLine="120" w:firstLineChars="50"/>
        <w:jc w:val="center"/>
        <w:rPr>
          <w:rFonts w:ascii="宋体" w:hAnsi="宋体" w:cs="宋体"/>
          <w:bCs/>
          <w:sz w:val="24"/>
          <w:highlight w:val="none"/>
        </w:rPr>
      </w:pPr>
    </w:p>
    <w:p w14:paraId="3120F12D">
      <w:pPr>
        <w:spacing w:line="360" w:lineRule="auto"/>
        <w:ind w:firstLine="120" w:firstLineChars="50"/>
        <w:jc w:val="center"/>
        <w:rPr>
          <w:rFonts w:ascii="Calibri" w:hAnsi="Calibri"/>
          <w:sz w:val="24"/>
          <w:highlight w:val="none"/>
        </w:rPr>
      </w:pPr>
      <w:r>
        <w:rPr>
          <w:rFonts w:hint="eastAsia" w:ascii="宋体" w:hAnsi="宋体" w:cs="宋体"/>
          <w:bCs/>
          <w:sz w:val="24"/>
          <w:highlight w:val="none"/>
        </w:rPr>
        <w:t>格式自拟</w:t>
      </w:r>
    </w:p>
    <w:p w14:paraId="798F96A9">
      <w:pPr>
        <w:spacing w:line="360" w:lineRule="auto"/>
        <w:ind w:firstLine="120" w:firstLineChars="50"/>
        <w:rPr>
          <w:rFonts w:ascii="Calibri" w:hAnsi="Calibri"/>
          <w:sz w:val="24"/>
          <w:highlight w:val="none"/>
        </w:rPr>
      </w:pPr>
    </w:p>
    <w:p w14:paraId="32B971B8">
      <w:pPr>
        <w:spacing w:line="360" w:lineRule="auto"/>
        <w:ind w:firstLine="120" w:firstLineChars="50"/>
        <w:rPr>
          <w:rFonts w:ascii="Calibri" w:hAnsi="Calibri"/>
          <w:sz w:val="24"/>
          <w:highlight w:val="none"/>
        </w:rPr>
      </w:pPr>
    </w:p>
    <w:p w14:paraId="1B8906B0">
      <w:pPr>
        <w:spacing w:line="360" w:lineRule="auto"/>
        <w:ind w:firstLine="120" w:firstLineChars="50"/>
        <w:rPr>
          <w:rFonts w:ascii="Calibri" w:hAnsi="Calibri"/>
          <w:sz w:val="24"/>
          <w:highlight w:val="none"/>
        </w:rPr>
      </w:pPr>
    </w:p>
    <w:p w14:paraId="2972A031">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56DFC66B">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65A260AE">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030C7BC7">
      <w:pPr>
        <w:pStyle w:val="9"/>
        <w:spacing w:line="240" w:lineRule="exact"/>
        <w:jc w:val="center"/>
        <w:rPr>
          <w:rFonts w:ascii="宋体" w:hAnsi="宋体" w:cs="Arial"/>
          <w:b w:val="0"/>
          <w:sz w:val="24"/>
          <w:highlight w:val="none"/>
        </w:rPr>
      </w:pPr>
      <w:r>
        <w:rPr>
          <w:rFonts w:ascii="宋体" w:hAnsi="宋体" w:eastAsia="宋体" w:cs="宋体-PUA"/>
          <w:sz w:val="24"/>
          <w:szCs w:val="24"/>
          <w:highlight w:val="none"/>
        </w:rPr>
        <w:br w:type="page"/>
      </w:r>
      <w:bookmarkEnd w:id="238"/>
      <w:bookmarkStart w:id="248" w:name="_Toc196238537"/>
      <w:bookmarkStart w:id="249" w:name="_Toc48158332"/>
      <w:r>
        <w:rPr>
          <w:rFonts w:hint="eastAsia" w:ascii="宋体" w:hAnsi="宋体" w:eastAsia="宋体" w:cs="宋体-PUA"/>
          <w:sz w:val="24"/>
          <w:szCs w:val="24"/>
          <w:highlight w:val="none"/>
          <w:lang w:val="en-US" w:eastAsia="zh-CN"/>
        </w:rPr>
        <w:t>六</w:t>
      </w:r>
      <w:r>
        <w:rPr>
          <w:rFonts w:hint="eastAsia" w:ascii="宋体" w:hAnsi="宋体" w:eastAsia="宋体" w:cs="宋体-PUA"/>
          <w:sz w:val="24"/>
          <w:szCs w:val="24"/>
          <w:highlight w:val="none"/>
        </w:rPr>
        <w:t>、项目管理机构</w:t>
      </w:r>
      <w:bookmarkEnd w:id="248"/>
    </w:p>
    <w:p w14:paraId="0D85D23B">
      <w:pPr>
        <w:jc w:val="left"/>
        <w:rPr>
          <w:b/>
          <w:sz w:val="24"/>
          <w:highlight w:val="none"/>
        </w:rPr>
      </w:pPr>
      <w:bookmarkStart w:id="250" w:name="_Toc2561"/>
      <w:bookmarkStart w:id="251" w:name="_Toc16871"/>
      <w:bookmarkStart w:id="252" w:name="_Toc463691054"/>
      <w:bookmarkStart w:id="253" w:name="_Toc6000"/>
      <w:bookmarkStart w:id="254" w:name="_Toc7777"/>
      <w:bookmarkStart w:id="255" w:name="_Toc489602202"/>
      <w:bookmarkStart w:id="256" w:name="_Toc18351"/>
      <w:r>
        <w:rPr>
          <w:rFonts w:hint="eastAsia"/>
          <w:b/>
          <w:sz w:val="24"/>
          <w:highlight w:val="none"/>
        </w:rPr>
        <w:t>（一）</w:t>
      </w:r>
      <w:bookmarkEnd w:id="250"/>
      <w:bookmarkEnd w:id="251"/>
      <w:bookmarkEnd w:id="252"/>
      <w:bookmarkEnd w:id="253"/>
      <w:bookmarkEnd w:id="254"/>
      <w:bookmarkEnd w:id="255"/>
      <w:bookmarkEnd w:id="256"/>
      <w:r>
        <w:rPr>
          <w:rFonts w:hint="eastAsia" w:ascii="宋体" w:hAnsi="宋体" w:cs="微软雅黑"/>
          <w:b/>
          <w:spacing w:val="-3"/>
          <w:kern w:val="0"/>
          <w:sz w:val="24"/>
          <w:highlight w:val="none"/>
        </w:rPr>
        <w:t>拟</w:t>
      </w:r>
      <w:r>
        <w:rPr>
          <w:rFonts w:hint="eastAsia" w:ascii="宋体" w:hAnsi="宋体" w:cs="微软雅黑"/>
          <w:b/>
          <w:kern w:val="0"/>
          <w:sz w:val="24"/>
          <w:highlight w:val="none"/>
        </w:rPr>
        <w:t>委任</w:t>
      </w:r>
      <w:r>
        <w:rPr>
          <w:rFonts w:hint="eastAsia" w:ascii="宋体" w:hAnsi="宋体" w:cs="微软雅黑"/>
          <w:b/>
          <w:spacing w:val="-3"/>
          <w:kern w:val="0"/>
          <w:sz w:val="24"/>
          <w:highlight w:val="none"/>
        </w:rPr>
        <w:t>的主</w:t>
      </w:r>
      <w:r>
        <w:rPr>
          <w:rFonts w:hint="eastAsia" w:ascii="宋体" w:hAnsi="宋体" w:cs="微软雅黑"/>
          <w:b/>
          <w:kern w:val="0"/>
          <w:sz w:val="24"/>
          <w:highlight w:val="none"/>
        </w:rPr>
        <w:t>要人员</w:t>
      </w:r>
      <w:r>
        <w:rPr>
          <w:rFonts w:hint="eastAsia" w:ascii="宋体" w:hAnsi="宋体" w:cs="微软雅黑"/>
          <w:b/>
          <w:spacing w:val="-3"/>
          <w:kern w:val="0"/>
          <w:sz w:val="24"/>
          <w:highlight w:val="none"/>
        </w:rPr>
        <w:t>汇</w:t>
      </w:r>
      <w:r>
        <w:rPr>
          <w:rFonts w:hint="eastAsia" w:ascii="宋体" w:hAnsi="宋体" w:cs="微软雅黑"/>
          <w:b/>
          <w:kern w:val="0"/>
          <w:sz w:val="24"/>
          <w:highlight w:val="none"/>
        </w:rPr>
        <w:t>总表</w:t>
      </w:r>
    </w:p>
    <w:p w14:paraId="61FDC8A5">
      <w:pPr>
        <w:rPr>
          <w:rFonts w:ascii="宋体" w:hAnsi="宋体"/>
          <w:sz w:val="24"/>
          <w:highlight w:val="none"/>
        </w:rPr>
      </w:pPr>
    </w:p>
    <w:tbl>
      <w:tblPr>
        <w:tblStyle w:val="15"/>
        <w:tblW w:w="0" w:type="auto"/>
        <w:tblInd w:w="289" w:type="dxa"/>
        <w:tblLayout w:type="fixed"/>
        <w:tblCellMar>
          <w:top w:w="0" w:type="dxa"/>
          <w:left w:w="0" w:type="dxa"/>
          <w:bottom w:w="0" w:type="dxa"/>
          <w:right w:w="0" w:type="dxa"/>
        </w:tblCellMar>
      </w:tblPr>
      <w:tblGrid>
        <w:gridCol w:w="709"/>
        <w:gridCol w:w="1417"/>
        <w:gridCol w:w="851"/>
        <w:gridCol w:w="992"/>
        <w:gridCol w:w="850"/>
        <w:gridCol w:w="1134"/>
        <w:gridCol w:w="709"/>
        <w:gridCol w:w="851"/>
        <w:gridCol w:w="831"/>
      </w:tblGrid>
      <w:tr w14:paraId="41EC966E">
        <w:tblPrEx>
          <w:tblCellMar>
            <w:top w:w="0" w:type="dxa"/>
            <w:left w:w="0" w:type="dxa"/>
            <w:bottom w:w="0" w:type="dxa"/>
            <w:right w:w="0" w:type="dxa"/>
          </w:tblCellMar>
        </w:tblPrEx>
        <w:trPr>
          <w:trHeight w:val="449" w:hRule="atLeast"/>
        </w:trPr>
        <w:tc>
          <w:tcPr>
            <w:tcW w:w="709" w:type="dxa"/>
            <w:vMerge w:val="restart"/>
            <w:tcBorders>
              <w:top w:val="single" w:color="000000" w:sz="4" w:space="0"/>
              <w:left w:val="single" w:color="000000" w:sz="4" w:space="0"/>
              <w:bottom w:val="single" w:color="000000" w:sz="4" w:space="0"/>
              <w:right w:val="single" w:color="000000" w:sz="4" w:space="0"/>
            </w:tcBorders>
            <w:vAlign w:val="center"/>
          </w:tcPr>
          <w:p w14:paraId="5E2C773E">
            <w:pPr>
              <w:autoSpaceDE w:val="0"/>
              <w:autoSpaceDN w:val="0"/>
              <w:adjustRightInd w:val="0"/>
              <w:spacing w:before="12" w:line="260" w:lineRule="exact"/>
              <w:rPr>
                <w:rFonts w:ascii="宋体" w:hAnsi="宋体"/>
                <w:kern w:val="0"/>
                <w:sz w:val="24"/>
                <w:highlight w:val="none"/>
              </w:rPr>
            </w:pPr>
          </w:p>
          <w:p w14:paraId="17C35BC3">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序号</w:t>
            </w:r>
          </w:p>
        </w:tc>
        <w:tc>
          <w:tcPr>
            <w:tcW w:w="1417" w:type="dxa"/>
            <w:vMerge w:val="restart"/>
            <w:tcBorders>
              <w:top w:val="single" w:color="000000" w:sz="4" w:space="0"/>
              <w:left w:val="nil"/>
              <w:bottom w:val="single" w:color="000000" w:sz="4" w:space="0"/>
              <w:right w:val="single" w:color="000000" w:sz="4" w:space="0"/>
            </w:tcBorders>
            <w:vAlign w:val="center"/>
          </w:tcPr>
          <w:p w14:paraId="7151F2F6">
            <w:pPr>
              <w:autoSpaceDE w:val="0"/>
              <w:autoSpaceDN w:val="0"/>
              <w:adjustRightInd w:val="0"/>
              <w:spacing w:before="12" w:line="260" w:lineRule="exact"/>
              <w:rPr>
                <w:rFonts w:ascii="宋体" w:hAnsi="宋体"/>
                <w:kern w:val="0"/>
                <w:sz w:val="24"/>
                <w:highlight w:val="none"/>
              </w:rPr>
            </w:pPr>
          </w:p>
          <w:p w14:paraId="494F6598">
            <w:pPr>
              <w:autoSpaceDE w:val="0"/>
              <w:autoSpaceDN w:val="0"/>
              <w:adjustRightInd w:val="0"/>
              <w:ind w:left="105" w:right="-20"/>
              <w:rPr>
                <w:rFonts w:ascii="宋体" w:hAnsi="宋体" w:cs="微软雅黑"/>
                <w:spacing w:val="-2"/>
                <w:kern w:val="0"/>
                <w:sz w:val="24"/>
                <w:highlight w:val="none"/>
              </w:rPr>
            </w:pPr>
            <w:r>
              <w:rPr>
                <w:rFonts w:hint="eastAsia" w:ascii="宋体" w:hAnsi="宋体" w:cs="微软雅黑"/>
                <w:kern w:val="0"/>
                <w:sz w:val="24"/>
                <w:highlight w:val="none"/>
              </w:rPr>
              <w:t>本项</w:t>
            </w:r>
            <w:r>
              <w:rPr>
                <w:rFonts w:hint="eastAsia" w:ascii="宋体" w:hAnsi="宋体" w:cs="微软雅黑"/>
                <w:spacing w:val="-2"/>
                <w:kern w:val="0"/>
                <w:sz w:val="24"/>
                <w:highlight w:val="none"/>
              </w:rPr>
              <w:t>目</w:t>
            </w:r>
            <w:r>
              <w:rPr>
                <w:rFonts w:hint="eastAsia" w:ascii="宋体" w:hAnsi="宋体" w:cs="微软雅黑"/>
                <w:kern w:val="0"/>
                <w:sz w:val="24"/>
                <w:highlight w:val="none"/>
              </w:rPr>
              <w:t>任职</w:t>
            </w:r>
          </w:p>
        </w:tc>
        <w:tc>
          <w:tcPr>
            <w:tcW w:w="851" w:type="dxa"/>
            <w:vMerge w:val="restart"/>
            <w:tcBorders>
              <w:top w:val="single" w:color="000000" w:sz="4" w:space="0"/>
              <w:left w:val="nil"/>
              <w:bottom w:val="single" w:color="000000" w:sz="4" w:space="0"/>
              <w:right w:val="single" w:color="000000" w:sz="4" w:space="0"/>
            </w:tcBorders>
            <w:vAlign w:val="center"/>
          </w:tcPr>
          <w:p w14:paraId="1EBD01BA">
            <w:pPr>
              <w:autoSpaceDE w:val="0"/>
              <w:autoSpaceDN w:val="0"/>
              <w:adjustRightInd w:val="0"/>
              <w:spacing w:before="12" w:line="260" w:lineRule="exact"/>
              <w:rPr>
                <w:rFonts w:ascii="宋体" w:hAnsi="宋体"/>
                <w:kern w:val="0"/>
                <w:sz w:val="24"/>
                <w:highlight w:val="none"/>
              </w:rPr>
            </w:pPr>
          </w:p>
          <w:p w14:paraId="335C7FE5">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姓名</w:t>
            </w:r>
          </w:p>
        </w:tc>
        <w:tc>
          <w:tcPr>
            <w:tcW w:w="992" w:type="dxa"/>
            <w:vMerge w:val="restart"/>
            <w:tcBorders>
              <w:top w:val="single" w:color="000000" w:sz="4" w:space="0"/>
              <w:left w:val="nil"/>
              <w:bottom w:val="single" w:color="000000" w:sz="4" w:space="0"/>
              <w:right w:val="single" w:color="000000" w:sz="4" w:space="0"/>
            </w:tcBorders>
            <w:vAlign w:val="center"/>
          </w:tcPr>
          <w:p w14:paraId="168A68DD">
            <w:pPr>
              <w:autoSpaceDE w:val="0"/>
              <w:autoSpaceDN w:val="0"/>
              <w:adjustRightInd w:val="0"/>
              <w:spacing w:before="4" w:line="440" w:lineRule="exact"/>
              <w:ind w:left="189" w:right="120"/>
              <w:rPr>
                <w:rFonts w:ascii="宋体" w:hAnsi="宋体"/>
                <w:kern w:val="0"/>
                <w:sz w:val="24"/>
                <w:highlight w:val="none"/>
              </w:rPr>
            </w:pPr>
            <w:r>
              <w:rPr>
                <w:rFonts w:hint="eastAsia" w:ascii="宋体" w:hAnsi="宋体" w:cs="微软雅黑"/>
                <w:kern w:val="0"/>
                <w:sz w:val="24"/>
                <w:highlight w:val="none"/>
              </w:rPr>
              <w:t>职 称</w:t>
            </w:r>
          </w:p>
        </w:tc>
        <w:tc>
          <w:tcPr>
            <w:tcW w:w="850" w:type="dxa"/>
            <w:vMerge w:val="restart"/>
            <w:tcBorders>
              <w:top w:val="single" w:color="000000" w:sz="4" w:space="0"/>
              <w:left w:val="nil"/>
              <w:bottom w:val="single" w:color="000000" w:sz="4" w:space="0"/>
              <w:right w:val="single" w:color="000000" w:sz="4" w:space="0"/>
            </w:tcBorders>
            <w:vAlign w:val="center"/>
          </w:tcPr>
          <w:p w14:paraId="41E33C45">
            <w:pPr>
              <w:autoSpaceDE w:val="0"/>
              <w:autoSpaceDN w:val="0"/>
              <w:adjustRightInd w:val="0"/>
              <w:spacing w:before="4" w:line="440" w:lineRule="exact"/>
              <w:ind w:left="131" w:right="60"/>
              <w:rPr>
                <w:rFonts w:ascii="宋体" w:hAnsi="宋体"/>
                <w:kern w:val="0"/>
                <w:sz w:val="24"/>
                <w:highlight w:val="none"/>
              </w:rPr>
            </w:pPr>
            <w:r>
              <w:rPr>
                <w:rFonts w:hint="eastAsia" w:ascii="宋体" w:hAnsi="宋体" w:cs="微软雅黑"/>
                <w:kern w:val="0"/>
                <w:sz w:val="24"/>
                <w:highlight w:val="none"/>
              </w:rPr>
              <w:t>专 业</w:t>
            </w:r>
          </w:p>
        </w:tc>
        <w:tc>
          <w:tcPr>
            <w:tcW w:w="2694" w:type="dxa"/>
            <w:gridSpan w:val="3"/>
            <w:tcBorders>
              <w:top w:val="single" w:color="000000" w:sz="4" w:space="0"/>
              <w:left w:val="nil"/>
              <w:bottom w:val="single" w:color="000000" w:sz="4" w:space="0"/>
              <w:right w:val="single" w:color="000000" w:sz="4" w:space="0"/>
            </w:tcBorders>
          </w:tcPr>
          <w:p w14:paraId="05E2F7E2">
            <w:pPr>
              <w:autoSpaceDE w:val="0"/>
              <w:autoSpaceDN w:val="0"/>
              <w:adjustRightInd w:val="0"/>
              <w:spacing w:before="48"/>
              <w:ind w:left="405" w:right="-20"/>
              <w:jc w:val="left"/>
              <w:rPr>
                <w:rFonts w:ascii="宋体" w:hAnsi="宋体"/>
                <w:kern w:val="0"/>
                <w:sz w:val="24"/>
                <w:highlight w:val="none"/>
              </w:rPr>
            </w:pPr>
            <w:r>
              <w:rPr>
                <w:rFonts w:hint="eastAsia" w:ascii="宋体" w:hAnsi="宋体" w:cs="微软雅黑"/>
                <w:kern w:val="0"/>
                <w:sz w:val="24"/>
                <w:highlight w:val="none"/>
              </w:rPr>
              <w:t>执业</w:t>
            </w:r>
            <w:r>
              <w:rPr>
                <w:rFonts w:hint="eastAsia" w:ascii="宋体" w:hAnsi="宋体" w:cs="微软雅黑"/>
                <w:spacing w:val="-2"/>
                <w:kern w:val="0"/>
                <w:sz w:val="24"/>
                <w:highlight w:val="none"/>
              </w:rPr>
              <w:t>或</w:t>
            </w:r>
            <w:r>
              <w:rPr>
                <w:rFonts w:hint="eastAsia" w:ascii="宋体" w:hAnsi="宋体" w:cs="微软雅黑"/>
                <w:kern w:val="0"/>
                <w:sz w:val="24"/>
                <w:highlight w:val="none"/>
              </w:rPr>
              <w:t>职</w:t>
            </w:r>
            <w:r>
              <w:rPr>
                <w:rFonts w:hint="eastAsia" w:ascii="宋体" w:hAnsi="宋体" w:cs="微软雅黑"/>
                <w:spacing w:val="-2"/>
                <w:kern w:val="0"/>
                <w:sz w:val="24"/>
                <w:highlight w:val="none"/>
              </w:rPr>
              <w:t>业</w:t>
            </w:r>
            <w:r>
              <w:rPr>
                <w:rFonts w:hint="eastAsia" w:ascii="宋体" w:hAnsi="宋体" w:cs="微软雅黑"/>
                <w:kern w:val="0"/>
                <w:sz w:val="24"/>
                <w:highlight w:val="none"/>
              </w:rPr>
              <w:t>资</w:t>
            </w:r>
            <w:r>
              <w:rPr>
                <w:rFonts w:hint="eastAsia" w:ascii="宋体" w:hAnsi="宋体" w:cs="微软雅黑"/>
                <w:spacing w:val="-2"/>
                <w:kern w:val="0"/>
                <w:sz w:val="24"/>
                <w:highlight w:val="none"/>
              </w:rPr>
              <w:t>格</w:t>
            </w:r>
            <w:r>
              <w:rPr>
                <w:rFonts w:hint="eastAsia" w:ascii="宋体" w:hAnsi="宋体" w:cs="微软雅黑"/>
                <w:kern w:val="0"/>
                <w:sz w:val="24"/>
                <w:highlight w:val="none"/>
              </w:rPr>
              <w:t>证明</w:t>
            </w:r>
          </w:p>
        </w:tc>
        <w:tc>
          <w:tcPr>
            <w:tcW w:w="831" w:type="dxa"/>
            <w:vMerge w:val="restart"/>
            <w:tcBorders>
              <w:top w:val="single" w:color="000000" w:sz="4" w:space="0"/>
              <w:left w:val="nil"/>
              <w:right w:val="single" w:color="000000" w:sz="4" w:space="0"/>
            </w:tcBorders>
            <w:vAlign w:val="center"/>
          </w:tcPr>
          <w:p w14:paraId="42F84E66">
            <w:pPr>
              <w:autoSpaceDE w:val="0"/>
              <w:autoSpaceDN w:val="0"/>
              <w:adjustRightInd w:val="0"/>
              <w:spacing w:before="48"/>
              <w:ind w:right="-20"/>
              <w:jc w:val="center"/>
              <w:rPr>
                <w:rFonts w:ascii="宋体" w:hAnsi="宋体"/>
                <w:kern w:val="0"/>
                <w:sz w:val="24"/>
                <w:highlight w:val="none"/>
              </w:rPr>
            </w:pPr>
            <w:r>
              <w:rPr>
                <w:rFonts w:hint="eastAsia" w:ascii="宋体" w:hAnsi="宋体" w:cs="微软雅黑"/>
                <w:kern w:val="0"/>
                <w:sz w:val="24"/>
                <w:highlight w:val="none"/>
              </w:rPr>
              <w:t>备注</w:t>
            </w:r>
          </w:p>
        </w:tc>
      </w:tr>
      <w:tr w14:paraId="71F7814C">
        <w:tblPrEx>
          <w:tblCellMar>
            <w:top w:w="0" w:type="dxa"/>
            <w:left w:w="0" w:type="dxa"/>
            <w:bottom w:w="0" w:type="dxa"/>
            <w:right w:w="0" w:type="dxa"/>
          </w:tblCellMar>
        </w:tblPrEx>
        <w:trPr>
          <w:trHeight w:val="451" w:hRule="atLeast"/>
        </w:trPr>
        <w:tc>
          <w:tcPr>
            <w:tcW w:w="709" w:type="dxa"/>
            <w:vMerge w:val="continue"/>
            <w:tcBorders>
              <w:top w:val="single" w:color="000000" w:sz="4" w:space="0"/>
              <w:left w:val="single" w:color="000000" w:sz="4" w:space="0"/>
              <w:bottom w:val="single" w:color="000000" w:sz="4" w:space="0"/>
              <w:right w:val="single" w:color="000000" w:sz="4" w:space="0"/>
            </w:tcBorders>
            <w:vAlign w:val="center"/>
          </w:tcPr>
          <w:p w14:paraId="6EC67630">
            <w:pPr>
              <w:widowControl/>
              <w:jc w:val="left"/>
              <w:rPr>
                <w:rFonts w:ascii="宋体" w:hAnsi="宋体"/>
                <w:kern w:val="0"/>
                <w:sz w:val="24"/>
                <w:highlight w:val="none"/>
              </w:rPr>
            </w:pPr>
          </w:p>
        </w:tc>
        <w:tc>
          <w:tcPr>
            <w:tcW w:w="1417" w:type="dxa"/>
            <w:vMerge w:val="continue"/>
            <w:tcBorders>
              <w:top w:val="single" w:color="000000" w:sz="4" w:space="0"/>
              <w:left w:val="nil"/>
              <w:bottom w:val="single" w:color="000000" w:sz="4" w:space="0"/>
              <w:right w:val="single" w:color="000000" w:sz="4" w:space="0"/>
            </w:tcBorders>
            <w:vAlign w:val="center"/>
          </w:tcPr>
          <w:p w14:paraId="64FEE1DD">
            <w:pPr>
              <w:widowControl/>
              <w:jc w:val="left"/>
              <w:rPr>
                <w:rFonts w:ascii="宋体" w:hAnsi="宋体" w:cs="微软雅黑"/>
                <w:spacing w:val="-2"/>
                <w:kern w:val="0"/>
                <w:sz w:val="24"/>
                <w:highlight w:val="none"/>
              </w:rPr>
            </w:pPr>
          </w:p>
        </w:tc>
        <w:tc>
          <w:tcPr>
            <w:tcW w:w="851" w:type="dxa"/>
            <w:vMerge w:val="continue"/>
            <w:tcBorders>
              <w:top w:val="single" w:color="000000" w:sz="4" w:space="0"/>
              <w:left w:val="nil"/>
              <w:bottom w:val="single" w:color="000000" w:sz="4" w:space="0"/>
              <w:right w:val="single" w:color="000000" w:sz="4" w:space="0"/>
            </w:tcBorders>
            <w:vAlign w:val="center"/>
          </w:tcPr>
          <w:p w14:paraId="6A22336C">
            <w:pPr>
              <w:widowControl/>
              <w:jc w:val="left"/>
              <w:rPr>
                <w:rFonts w:ascii="宋体" w:hAnsi="宋体"/>
                <w:kern w:val="0"/>
                <w:sz w:val="24"/>
                <w:highlight w:val="none"/>
              </w:rPr>
            </w:pPr>
          </w:p>
        </w:tc>
        <w:tc>
          <w:tcPr>
            <w:tcW w:w="992" w:type="dxa"/>
            <w:vMerge w:val="continue"/>
            <w:tcBorders>
              <w:top w:val="single" w:color="000000" w:sz="4" w:space="0"/>
              <w:left w:val="nil"/>
              <w:bottom w:val="single" w:color="000000" w:sz="4" w:space="0"/>
              <w:right w:val="single" w:color="000000" w:sz="4" w:space="0"/>
            </w:tcBorders>
            <w:vAlign w:val="center"/>
          </w:tcPr>
          <w:p w14:paraId="27CDA85C">
            <w:pPr>
              <w:widowControl/>
              <w:jc w:val="left"/>
              <w:rPr>
                <w:rFonts w:ascii="宋体" w:hAnsi="宋体"/>
                <w:kern w:val="0"/>
                <w:sz w:val="24"/>
                <w:highlight w:val="none"/>
              </w:rPr>
            </w:pPr>
          </w:p>
        </w:tc>
        <w:tc>
          <w:tcPr>
            <w:tcW w:w="850" w:type="dxa"/>
            <w:vMerge w:val="continue"/>
            <w:tcBorders>
              <w:top w:val="single" w:color="000000" w:sz="4" w:space="0"/>
              <w:left w:val="nil"/>
              <w:bottom w:val="single" w:color="000000" w:sz="4" w:space="0"/>
              <w:right w:val="single" w:color="000000" w:sz="4" w:space="0"/>
            </w:tcBorders>
            <w:vAlign w:val="center"/>
          </w:tcPr>
          <w:p w14:paraId="2CA1C8CB">
            <w:pPr>
              <w:widowControl/>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509D564E">
            <w:pPr>
              <w:autoSpaceDE w:val="0"/>
              <w:autoSpaceDN w:val="0"/>
              <w:adjustRightInd w:val="0"/>
              <w:spacing w:before="48"/>
              <w:ind w:left="141" w:right="-20"/>
              <w:jc w:val="left"/>
              <w:rPr>
                <w:rFonts w:ascii="宋体" w:hAnsi="宋体"/>
                <w:kern w:val="0"/>
                <w:sz w:val="24"/>
                <w:highlight w:val="none"/>
              </w:rPr>
            </w:pPr>
            <w:r>
              <w:rPr>
                <w:rFonts w:hint="eastAsia" w:ascii="宋体" w:hAnsi="宋体" w:cs="微软雅黑"/>
                <w:kern w:val="0"/>
                <w:sz w:val="24"/>
                <w:highlight w:val="none"/>
              </w:rPr>
              <w:t>证书</w:t>
            </w:r>
            <w:r>
              <w:rPr>
                <w:rFonts w:hint="eastAsia" w:ascii="宋体" w:hAnsi="宋体" w:cs="微软雅黑"/>
                <w:spacing w:val="-2"/>
                <w:kern w:val="0"/>
                <w:sz w:val="24"/>
                <w:highlight w:val="none"/>
              </w:rPr>
              <w:t>名</w:t>
            </w:r>
            <w:r>
              <w:rPr>
                <w:rFonts w:hint="eastAsia" w:ascii="宋体" w:hAnsi="宋体" w:cs="微软雅黑"/>
                <w:kern w:val="0"/>
                <w:sz w:val="24"/>
                <w:highlight w:val="none"/>
              </w:rPr>
              <w:t>称</w:t>
            </w:r>
          </w:p>
        </w:tc>
        <w:tc>
          <w:tcPr>
            <w:tcW w:w="709" w:type="dxa"/>
            <w:tcBorders>
              <w:top w:val="single" w:color="000000" w:sz="4" w:space="0"/>
              <w:left w:val="nil"/>
              <w:bottom w:val="single" w:color="000000" w:sz="4" w:space="0"/>
              <w:right w:val="single" w:color="000000" w:sz="4" w:space="0"/>
            </w:tcBorders>
          </w:tcPr>
          <w:p w14:paraId="16B50DEA">
            <w:pPr>
              <w:autoSpaceDE w:val="0"/>
              <w:autoSpaceDN w:val="0"/>
              <w:adjustRightInd w:val="0"/>
              <w:spacing w:before="48"/>
              <w:ind w:left="138" w:right="-20"/>
              <w:jc w:val="left"/>
              <w:rPr>
                <w:rFonts w:ascii="宋体" w:hAnsi="宋体"/>
                <w:kern w:val="0"/>
                <w:sz w:val="24"/>
                <w:highlight w:val="none"/>
              </w:rPr>
            </w:pPr>
            <w:r>
              <w:rPr>
                <w:rFonts w:hint="eastAsia" w:ascii="宋体" w:hAnsi="宋体" w:cs="微软雅黑"/>
                <w:kern w:val="0"/>
                <w:sz w:val="24"/>
                <w:highlight w:val="none"/>
              </w:rPr>
              <w:t>级别</w:t>
            </w:r>
          </w:p>
        </w:tc>
        <w:tc>
          <w:tcPr>
            <w:tcW w:w="851" w:type="dxa"/>
            <w:tcBorders>
              <w:top w:val="single" w:color="000000" w:sz="4" w:space="0"/>
              <w:left w:val="nil"/>
              <w:bottom w:val="single" w:color="000000" w:sz="4" w:space="0"/>
              <w:right w:val="single" w:color="000000" w:sz="4" w:space="0"/>
            </w:tcBorders>
          </w:tcPr>
          <w:p w14:paraId="7C3990BE">
            <w:pPr>
              <w:autoSpaceDE w:val="0"/>
              <w:autoSpaceDN w:val="0"/>
              <w:adjustRightInd w:val="0"/>
              <w:spacing w:before="48"/>
              <w:ind w:left="220" w:right="-20"/>
              <w:jc w:val="left"/>
              <w:rPr>
                <w:rFonts w:ascii="宋体" w:hAnsi="宋体"/>
                <w:kern w:val="0"/>
                <w:sz w:val="24"/>
                <w:highlight w:val="none"/>
              </w:rPr>
            </w:pPr>
            <w:r>
              <w:rPr>
                <w:rFonts w:hint="eastAsia" w:ascii="宋体" w:hAnsi="宋体" w:cs="微软雅黑"/>
                <w:kern w:val="0"/>
                <w:sz w:val="24"/>
                <w:highlight w:val="none"/>
              </w:rPr>
              <w:t>证号</w:t>
            </w:r>
          </w:p>
        </w:tc>
        <w:tc>
          <w:tcPr>
            <w:tcW w:w="831" w:type="dxa"/>
            <w:vMerge w:val="continue"/>
            <w:tcBorders>
              <w:left w:val="nil"/>
              <w:bottom w:val="single" w:color="000000" w:sz="4" w:space="0"/>
              <w:right w:val="single" w:color="000000" w:sz="4" w:space="0"/>
            </w:tcBorders>
          </w:tcPr>
          <w:p w14:paraId="11D94A22">
            <w:pPr>
              <w:autoSpaceDE w:val="0"/>
              <w:autoSpaceDN w:val="0"/>
              <w:adjustRightInd w:val="0"/>
              <w:jc w:val="left"/>
              <w:rPr>
                <w:rFonts w:ascii="宋体" w:hAnsi="宋体"/>
                <w:kern w:val="0"/>
                <w:sz w:val="24"/>
                <w:highlight w:val="none"/>
              </w:rPr>
            </w:pPr>
          </w:p>
        </w:tc>
      </w:tr>
      <w:tr w14:paraId="5BCB25F6">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787471E8">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47254EFE">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7F0ABA7A">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49F1F85B">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7371813C">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479E4FD9">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7EE787ED">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1DCAEF3C">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154C3F83">
            <w:pPr>
              <w:autoSpaceDE w:val="0"/>
              <w:autoSpaceDN w:val="0"/>
              <w:adjustRightInd w:val="0"/>
              <w:jc w:val="left"/>
              <w:rPr>
                <w:rFonts w:ascii="宋体" w:hAnsi="宋体"/>
                <w:kern w:val="0"/>
                <w:sz w:val="24"/>
                <w:highlight w:val="none"/>
              </w:rPr>
            </w:pPr>
          </w:p>
        </w:tc>
      </w:tr>
      <w:tr w14:paraId="11BD6DA5">
        <w:tblPrEx>
          <w:tblCellMar>
            <w:top w:w="0" w:type="dxa"/>
            <w:left w:w="0" w:type="dxa"/>
            <w:bottom w:w="0" w:type="dxa"/>
            <w:right w:w="0" w:type="dxa"/>
          </w:tblCellMar>
        </w:tblPrEx>
        <w:trPr>
          <w:trHeight w:val="452" w:hRule="atLeast"/>
        </w:trPr>
        <w:tc>
          <w:tcPr>
            <w:tcW w:w="709" w:type="dxa"/>
            <w:tcBorders>
              <w:top w:val="single" w:color="000000" w:sz="4" w:space="0"/>
              <w:left w:val="single" w:color="000000" w:sz="4" w:space="0"/>
              <w:bottom w:val="single" w:color="000000" w:sz="4" w:space="0"/>
              <w:right w:val="single" w:color="000000" w:sz="4" w:space="0"/>
            </w:tcBorders>
          </w:tcPr>
          <w:p w14:paraId="7CBC5169">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20F7782C">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4CC1D0D0">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30C01935">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17A56EB7">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2251A2A8">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1FE47088">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5C6E838">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26188099">
            <w:pPr>
              <w:autoSpaceDE w:val="0"/>
              <w:autoSpaceDN w:val="0"/>
              <w:adjustRightInd w:val="0"/>
              <w:jc w:val="left"/>
              <w:rPr>
                <w:rFonts w:ascii="宋体" w:hAnsi="宋体"/>
                <w:kern w:val="0"/>
                <w:sz w:val="24"/>
                <w:highlight w:val="none"/>
              </w:rPr>
            </w:pPr>
          </w:p>
        </w:tc>
      </w:tr>
      <w:tr w14:paraId="46E25F17">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666AFE26">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501BE822">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C8E1F58">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5EA37FD6">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009959F6">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3679EF86">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653B3CEC">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489D08D">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61C3A63A">
            <w:pPr>
              <w:autoSpaceDE w:val="0"/>
              <w:autoSpaceDN w:val="0"/>
              <w:adjustRightInd w:val="0"/>
              <w:jc w:val="left"/>
              <w:rPr>
                <w:rFonts w:ascii="宋体" w:hAnsi="宋体"/>
                <w:kern w:val="0"/>
                <w:sz w:val="24"/>
                <w:highlight w:val="none"/>
              </w:rPr>
            </w:pPr>
          </w:p>
        </w:tc>
      </w:tr>
      <w:tr w14:paraId="5650FDF0">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6A5DA61A">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2DE19C05">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28F1F4F">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0CB467B5">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069C2F93">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22D69080">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4C32CEFC">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792C072A">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514B6BE7">
            <w:pPr>
              <w:autoSpaceDE w:val="0"/>
              <w:autoSpaceDN w:val="0"/>
              <w:adjustRightInd w:val="0"/>
              <w:jc w:val="left"/>
              <w:rPr>
                <w:rFonts w:ascii="宋体" w:hAnsi="宋体"/>
                <w:kern w:val="0"/>
                <w:sz w:val="24"/>
                <w:highlight w:val="none"/>
              </w:rPr>
            </w:pPr>
          </w:p>
        </w:tc>
      </w:tr>
      <w:tr w14:paraId="268326EF">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4E505A06">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533BEBDE">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028A08F">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3EFE0734">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00A755B2">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72F9A736">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51C23D5B">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573C7056">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609744DC">
            <w:pPr>
              <w:autoSpaceDE w:val="0"/>
              <w:autoSpaceDN w:val="0"/>
              <w:adjustRightInd w:val="0"/>
              <w:jc w:val="left"/>
              <w:rPr>
                <w:rFonts w:ascii="宋体" w:hAnsi="宋体"/>
                <w:kern w:val="0"/>
                <w:sz w:val="24"/>
                <w:highlight w:val="none"/>
              </w:rPr>
            </w:pPr>
          </w:p>
        </w:tc>
      </w:tr>
      <w:tr w14:paraId="43197101">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4D674ED5">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65BAD82C">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C0E172D">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46C988DE">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4DA25756">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3388D4DE">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578903ED">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D0A7268">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2A0A10A7">
            <w:pPr>
              <w:autoSpaceDE w:val="0"/>
              <w:autoSpaceDN w:val="0"/>
              <w:adjustRightInd w:val="0"/>
              <w:jc w:val="left"/>
              <w:rPr>
                <w:rFonts w:ascii="宋体" w:hAnsi="宋体"/>
                <w:kern w:val="0"/>
                <w:sz w:val="24"/>
                <w:highlight w:val="none"/>
              </w:rPr>
            </w:pPr>
          </w:p>
        </w:tc>
      </w:tr>
      <w:tr w14:paraId="4C182F19">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3199ACC3">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5DB4A7C1">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897FF91">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17BE290A">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70A9B00F">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2AA079BA">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692F5115">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13F7B228">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250F2665">
            <w:pPr>
              <w:autoSpaceDE w:val="0"/>
              <w:autoSpaceDN w:val="0"/>
              <w:adjustRightInd w:val="0"/>
              <w:jc w:val="left"/>
              <w:rPr>
                <w:rFonts w:ascii="宋体" w:hAnsi="宋体"/>
                <w:kern w:val="0"/>
                <w:sz w:val="24"/>
                <w:highlight w:val="none"/>
              </w:rPr>
            </w:pPr>
          </w:p>
        </w:tc>
      </w:tr>
      <w:tr w14:paraId="1F126BFC">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44908DA4">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175A79AE">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2A0E939">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732280BE">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3E99D3A7">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49CFF16B">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1AF92A0C">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3D213E07">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52AEB7B1">
            <w:pPr>
              <w:autoSpaceDE w:val="0"/>
              <w:autoSpaceDN w:val="0"/>
              <w:adjustRightInd w:val="0"/>
              <w:jc w:val="left"/>
              <w:rPr>
                <w:rFonts w:ascii="宋体" w:hAnsi="宋体"/>
                <w:kern w:val="0"/>
                <w:sz w:val="24"/>
                <w:highlight w:val="none"/>
              </w:rPr>
            </w:pPr>
          </w:p>
        </w:tc>
      </w:tr>
      <w:tr w14:paraId="3FE9D5A1">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307EB7F7">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6063DA7D">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426CAF4D">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06630C9B">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07C484F3">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761F038E">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5B0CF2D7">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3F2EF88">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7B45A3C5">
            <w:pPr>
              <w:autoSpaceDE w:val="0"/>
              <w:autoSpaceDN w:val="0"/>
              <w:adjustRightInd w:val="0"/>
              <w:jc w:val="left"/>
              <w:rPr>
                <w:rFonts w:ascii="宋体" w:hAnsi="宋体"/>
                <w:kern w:val="0"/>
                <w:sz w:val="24"/>
                <w:highlight w:val="none"/>
              </w:rPr>
            </w:pPr>
          </w:p>
        </w:tc>
      </w:tr>
      <w:tr w14:paraId="64C674A8">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3DCBA5DA">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032972B2">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0D1FA51">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0AE15F48">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6FC474CC">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216F0122">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0079C4C5">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14EFF352">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651DD54D">
            <w:pPr>
              <w:autoSpaceDE w:val="0"/>
              <w:autoSpaceDN w:val="0"/>
              <w:adjustRightInd w:val="0"/>
              <w:jc w:val="left"/>
              <w:rPr>
                <w:rFonts w:ascii="宋体" w:hAnsi="宋体"/>
                <w:kern w:val="0"/>
                <w:sz w:val="24"/>
                <w:highlight w:val="none"/>
              </w:rPr>
            </w:pPr>
          </w:p>
        </w:tc>
      </w:tr>
      <w:tr w14:paraId="588B5E4E">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472716AF">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403D4C63">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17F26BC">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11D87699">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3293F496">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3F7969BB">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04EF0760">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1896FC16">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2F752520">
            <w:pPr>
              <w:autoSpaceDE w:val="0"/>
              <w:autoSpaceDN w:val="0"/>
              <w:adjustRightInd w:val="0"/>
              <w:jc w:val="left"/>
              <w:rPr>
                <w:rFonts w:ascii="宋体" w:hAnsi="宋体"/>
                <w:kern w:val="0"/>
                <w:sz w:val="24"/>
                <w:highlight w:val="none"/>
              </w:rPr>
            </w:pPr>
          </w:p>
        </w:tc>
      </w:tr>
      <w:tr w14:paraId="3764E82A">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1031642E">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007ED85F">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23A1D4F5">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484F2F0F">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0BDFB05D">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6F5B951E">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0A215493">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F710CE2">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3904716D">
            <w:pPr>
              <w:autoSpaceDE w:val="0"/>
              <w:autoSpaceDN w:val="0"/>
              <w:adjustRightInd w:val="0"/>
              <w:jc w:val="left"/>
              <w:rPr>
                <w:rFonts w:ascii="宋体" w:hAnsi="宋体"/>
                <w:kern w:val="0"/>
                <w:sz w:val="24"/>
                <w:highlight w:val="none"/>
              </w:rPr>
            </w:pPr>
          </w:p>
        </w:tc>
      </w:tr>
      <w:tr w14:paraId="2B8A67DE">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46683EAE">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76B540FF">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1B3AB8B">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63C6950D">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176044C6">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31311FE9">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54F9C2FC">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E444F12">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0DEB2CF0">
            <w:pPr>
              <w:autoSpaceDE w:val="0"/>
              <w:autoSpaceDN w:val="0"/>
              <w:adjustRightInd w:val="0"/>
              <w:jc w:val="left"/>
              <w:rPr>
                <w:rFonts w:ascii="宋体" w:hAnsi="宋体"/>
                <w:kern w:val="0"/>
                <w:sz w:val="24"/>
                <w:highlight w:val="none"/>
              </w:rPr>
            </w:pPr>
          </w:p>
        </w:tc>
      </w:tr>
      <w:tr w14:paraId="64425B8A">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47889B3C">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6A0D18C2">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292214BC">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0BDFE432">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249DB0C4">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38D94586">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4A2B6D69">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0A4B876">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2EFD2917">
            <w:pPr>
              <w:autoSpaceDE w:val="0"/>
              <w:autoSpaceDN w:val="0"/>
              <w:adjustRightInd w:val="0"/>
              <w:jc w:val="left"/>
              <w:rPr>
                <w:rFonts w:ascii="宋体" w:hAnsi="宋体"/>
                <w:kern w:val="0"/>
                <w:sz w:val="24"/>
                <w:highlight w:val="none"/>
              </w:rPr>
            </w:pPr>
          </w:p>
        </w:tc>
      </w:tr>
      <w:tr w14:paraId="7421826D">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003BA7C2">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0435C0F9">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835860E">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2777A382">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416301C3">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01CA3926">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55F07032">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BAD6DF7">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047A158E">
            <w:pPr>
              <w:autoSpaceDE w:val="0"/>
              <w:autoSpaceDN w:val="0"/>
              <w:adjustRightInd w:val="0"/>
              <w:jc w:val="left"/>
              <w:rPr>
                <w:rFonts w:ascii="宋体" w:hAnsi="宋体"/>
                <w:kern w:val="0"/>
                <w:sz w:val="24"/>
                <w:highlight w:val="none"/>
              </w:rPr>
            </w:pPr>
          </w:p>
        </w:tc>
      </w:tr>
      <w:tr w14:paraId="40BDDF0B">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314927D3">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1069B526">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6864AE6D">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5DDD34F7">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4D5CDB01">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6C9D98DF">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58DA2966">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06B7B6BA">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64D9D06F">
            <w:pPr>
              <w:autoSpaceDE w:val="0"/>
              <w:autoSpaceDN w:val="0"/>
              <w:adjustRightInd w:val="0"/>
              <w:jc w:val="left"/>
              <w:rPr>
                <w:rFonts w:ascii="宋体" w:hAnsi="宋体"/>
                <w:kern w:val="0"/>
                <w:sz w:val="24"/>
                <w:highlight w:val="none"/>
              </w:rPr>
            </w:pPr>
          </w:p>
        </w:tc>
      </w:tr>
      <w:tr w14:paraId="45C6435D">
        <w:tblPrEx>
          <w:tblCellMar>
            <w:top w:w="0" w:type="dxa"/>
            <w:left w:w="0" w:type="dxa"/>
            <w:bottom w:w="0" w:type="dxa"/>
            <w:right w:w="0" w:type="dxa"/>
          </w:tblCellMar>
        </w:tblPrEx>
        <w:trPr>
          <w:trHeight w:val="451" w:hRule="atLeast"/>
        </w:trPr>
        <w:tc>
          <w:tcPr>
            <w:tcW w:w="709" w:type="dxa"/>
            <w:tcBorders>
              <w:top w:val="single" w:color="000000" w:sz="4" w:space="0"/>
              <w:left w:val="single" w:color="000000" w:sz="4" w:space="0"/>
              <w:bottom w:val="single" w:color="000000" w:sz="4" w:space="0"/>
              <w:right w:val="single" w:color="000000" w:sz="4" w:space="0"/>
            </w:tcBorders>
          </w:tcPr>
          <w:p w14:paraId="2F16C879">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627A0527">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38A48EDE">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303DC0BF">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7CC6B1AE">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0DB372C7">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10934ACD">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4E455899">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11ACC6F5">
            <w:pPr>
              <w:autoSpaceDE w:val="0"/>
              <w:autoSpaceDN w:val="0"/>
              <w:adjustRightInd w:val="0"/>
              <w:jc w:val="left"/>
              <w:rPr>
                <w:rFonts w:ascii="宋体" w:hAnsi="宋体"/>
                <w:kern w:val="0"/>
                <w:sz w:val="24"/>
                <w:highlight w:val="none"/>
              </w:rPr>
            </w:pPr>
          </w:p>
        </w:tc>
      </w:tr>
      <w:tr w14:paraId="55DE9D87">
        <w:tblPrEx>
          <w:tblCellMar>
            <w:top w:w="0" w:type="dxa"/>
            <w:left w:w="0" w:type="dxa"/>
            <w:bottom w:w="0" w:type="dxa"/>
            <w:right w:w="0" w:type="dxa"/>
          </w:tblCellMar>
        </w:tblPrEx>
        <w:trPr>
          <w:trHeight w:val="449" w:hRule="atLeast"/>
        </w:trPr>
        <w:tc>
          <w:tcPr>
            <w:tcW w:w="709" w:type="dxa"/>
            <w:tcBorders>
              <w:top w:val="single" w:color="000000" w:sz="4" w:space="0"/>
              <w:left w:val="single" w:color="000000" w:sz="4" w:space="0"/>
              <w:bottom w:val="single" w:color="000000" w:sz="4" w:space="0"/>
              <w:right w:val="single" w:color="000000" w:sz="4" w:space="0"/>
            </w:tcBorders>
          </w:tcPr>
          <w:p w14:paraId="53A8277E">
            <w:pPr>
              <w:autoSpaceDE w:val="0"/>
              <w:autoSpaceDN w:val="0"/>
              <w:adjustRightInd w:val="0"/>
              <w:jc w:val="left"/>
              <w:rPr>
                <w:rFonts w:ascii="宋体" w:hAnsi="宋体"/>
                <w:kern w:val="0"/>
                <w:sz w:val="24"/>
                <w:highlight w:val="none"/>
              </w:rPr>
            </w:pPr>
          </w:p>
        </w:tc>
        <w:tc>
          <w:tcPr>
            <w:tcW w:w="1417" w:type="dxa"/>
            <w:tcBorders>
              <w:top w:val="single" w:color="000000" w:sz="4" w:space="0"/>
              <w:left w:val="nil"/>
              <w:bottom w:val="single" w:color="000000" w:sz="4" w:space="0"/>
              <w:right w:val="single" w:color="000000" w:sz="4" w:space="0"/>
            </w:tcBorders>
          </w:tcPr>
          <w:p w14:paraId="1A185837">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588216B1">
            <w:pPr>
              <w:autoSpaceDE w:val="0"/>
              <w:autoSpaceDN w:val="0"/>
              <w:adjustRightInd w:val="0"/>
              <w:jc w:val="left"/>
              <w:rPr>
                <w:rFonts w:ascii="宋体" w:hAnsi="宋体"/>
                <w:kern w:val="0"/>
                <w:sz w:val="24"/>
                <w:highlight w:val="none"/>
              </w:rPr>
            </w:pPr>
          </w:p>
        </w:tc>
        <w:tc>
          <w:tcPr>
            <w:tcW w:w="992" w:type="dxa"/>
            <w:tcBorders>
              <w:top w:val="single" w:color="000000" w:sz="4" w:space="0"/>
              <w:left w:val="nil"/>
              <w:bottom w:val="single" w:color="000000" w:sz="4" w:space="0"/>
              <w:right w:val="single" w:color="000000" w:sz="4" w:space="0"/>
            </w:tcBorders>
          </w:tcPr>
          <w:p w14:paraId="7F240EB4">
            <w:pPr>
              <w:autoSpaceDE w:val="0"/>
              <w:autoSpaceDN w:val="0"/>
              <w:adjustRightInd w:val="0"/>
              <w:jc w:val="left"/>
              <w:rPr>
                <w:rFonts w:ascii="宋体" w:hAnsi="宋体"/>
                <w:kern w:val="0"/>
                <w:sz w:val="24"/>
                <w:highlight w:val="none"/>
              </w:rPr>
            </w:pPr>
          </w:p>
        </w:tc>
        <w:tc>
          <w:tcPr>
            <w:tcW w:w="850" w:type="dxa"/>
            <w:tcBorders>
              <w:top w:val="single" w:color="000000" w:sz="4" w:space="0"/>
              <w:left w:val="nil"/>
              <w:bottom w:val="single" w:color="000000" w:sz="4" w:space="0"/>
              <w:right w:val="single" w:color="000000" w:sz="4" w:space="0"/>
            </w:tcBorders>
          </w:tcPr>
          <w:p w14:paraId="38A21D80">
            <w:pPr>
              <w:autoSpaceDE w:val="0"/>
              <w:autoSpaceDN w:val="0"/>
              <w:adjustRightInd w:val="0"/>
              <w:jc w:val="left"/>
              <w:rPr>
                <w:rFonts w:ascii="宋体" w:hAnsi="宋体"/>
                <w:kern w:val="0"/>
                <w:sz w:val="24"/>
                <w:highlight w:val="none"/>
              </w:rPr>
            </w:pPr>
          </w:p>
        </w:tc>
        <w:tc>
          <w:tcPr>
            <w:tcW w:w="1134" w:type="dxa"/>
            <w:tcBorders>
              <w:top w:val="single" w:color="000000" w:sz="4" w:space="0"/>
              <w:left w:val="nil"/>
              <w:bottom w:val="single" w:color="000000" w:sz="4" w:space="0"/>
              <w:right w:val="single" w:color="000000" w:sz="4" w:space="0"/>
            </w:tcBorders>
          </w:tcPr>
          <w:p w14:paraId="480EA09A">
            <w:pPr>
              <w:autoSpaceDE w:val="0"/>
              <w:autoSpaceDN w:val="0"/>
              <w:adjustRightInd w:val="0"/>
              <w:jc w:val="left"/>
              <w:rPr>
                <w:rFonts w:ascii="宋体" w:hAnsi="宋体"/>
                <w:kern w:val="0"/>
                <w:sz w:val="24"/>
                <w:highlight w:val="none"/>
              </w:rPr>
            </w:pPr>
          </w:p>
        </w:tc>
        <w:tc>
          <w:tcPr>
            <w:tcW w:w="709" w:type="dxa"/>
            <w:tcBorders>
              <w:top w:val="single" w:color="000000" w:sz="4" w:space="0"/>
              <w:left w:val="nil"/>
              <w:bottom w:val="single" w:color="000000" w:sz="4" w:space="0"/>
              <w:right w:val="single" w:color="000000" w:sz="4" w:space="0"/>
            </w:tcBorders>
          </w:tcPr>
          <w:p w14:paraId="18E33698">
            <w:pPr>
              <w:autoSpaceDE w:val="0"/>
              <w:autoSpaceDN w:val="0"/>
              <w:adjustRightInd w:val="0"/>
              <w:jc w:val="left"/>
              <w:rPr>
                <w:rFonts w:ascii="宋体" w:hAnsi="宋体"/>
                <w:kern w:val="0"/>
                <w:sz w:val="24"/>
                <w:highlight w:val="none"/>
              </w:rPr>
            </w:pPr>
          </w:p>
        </w:tc>
        <w:tc>
          <w:tcPr>
            <w:tcW w:w="851" w:type="dxa"/>
            <w:tcBorders>
              <w:top w:val="single" w:color="000000" w:sz="4" w:space="0"/>
              <w:left w:val="nil"/>
              <w:bottom w:val="single" w:color="000000" w:sz="4" w:space="0"/>
              <w:right w:val="single" w:color="000000" w:sz="4" w:space="0"/>
            </w:tcBorders>
          </w:tcPr>
          <w:p w14:paraId="1C199C9A">
            <w:pPr>
              <w:autoSpaceDE w:val="0"/>
              <w:autoSpaceDN w:val="0"/>
              <w:adjustRightInd w:val="0"/>
              <w:jc w:val="left"/>
              <w:rPr>
                <w:rFonts w:ascii="宋体" w:hAnsi="宋体"/>
                <w:kern w:val="0"/>
                <w:sz w:val="24"/>
                <w:highlight w:val="none"/>
              </w:rPr>
            </w:pPr>
          </w:p>
        </w:tc>
        <w:tc>
          <w:tcPr>
            <w:tcW w:w="831" w:type="dxa"/>
            <w:tcBorders>
              <w:top w:val="single" w:color="000000" w:sz="4" w:space="0"/>
              <w:left w:val="nil"/>
              <w:bottom w:val="single" w:color="000000" w:sz="4" w:space="0"/>
              <w:right w:val="single" w:color="000000" w:sz="4" w:space="0"/>
            </w:tcBorders>
          </w:tcPr>
          <w:p w14:paraId="4AAD17FE">
            <w:pPr>
              <w:autoSpaceDE w:val="0"/>
              <w:autoSpaceDN w:val="0"/>
              <w:adjustRightInd w:val="0"/>
              <w:jc w:val="left"/>
              <w:rPr>
                <w:rFonts w:ascii="宋体" w:hAnsi="宋体"/>
                <w:kern w:val="0"/>
                <w:sz w:val="24"/>
                <w:highlight w:val="none"/>
              </w:rPr>
            </w:pPr>
          </w:p>
        </w:tc>
      </w:tr>
    </w:tbl>
    <w:p w14:paraId="00DE9FAD">
      <w:pPr>
        <w:spacing w:line="360" w:lineRule="auto"/>
        <w:rPr>
          <w:rFonts w:ascii="宋体" w:hAnsi="宋体"/>
          <w:b/>
          <w:sz w:val="24"/>
          <w:highlight w:val="none"/>
        </w:rPr>
      </w:pPr>
    </w:p>
    <w:p w14:paraId="5D48CD22">
      <w:pPr>
        <w:spacing w:line="360" w:lineRule="auto"/>
        <w:ind w:firstLine="2880" w:firstLineChars="1000"/>
        <w:rPr>
          <w:rFonts w:ascii="宋体" w:hAnsi="宋体"/>
          <w:spacing w:val="24"/>
          <w:sz w:val="24"/>
          <w:highlight w:val="none"/>
        </w:rPr>
      </w:pPr>
    </w:p>
    <w:p w14:paraId="08570AAA">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4D0EA827">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4AC9B48F">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545B8311">
      <w:pPr>
        <w:widowControl/>
        <w:jc w:val="left"/>
        <w:rPr>
          <w:rFonts w:ascii="宋体" w:hAnsi="宋体"/>
          <w:b/>
          <w:sz w:val="24"/>
          <w:highlight w:val="none"/>
        </w:rPr>
      </w:pPr>
    </w:p>
    <w:p w14:paraId="007D77E4">
      <w:pPr>
        <w:spacing w:line="360" w:lineRule="auto"/>
        <w:rPr>
          <w:rFonts w:ascii="宋体" w:hAnsi="宋体"/>
          <w:b/>
          <w:sz w:val="24"/>
          <w:highlight w:val="none"/>
        </w:rPr>
      </w:pPr>
    </w:p>
    <w:p w14:paraId="79622274">
      <w:pPr>
        <w:spacing w:line="360" w:lineRule="auto"/>
        <w:rPr>
          <w:rFonts w:ascii="宋体" w:hAnsi="宋体"/>
          <w:b/>
          <w:sz w:val="24"/>
          <w:highlight w:val="none"/>
        </w:rPr>
      </w:pPr>
      <w:r>
        <w:rPr>
          <w:rFonts w:hint="eastAsia" w:ascii="宋体" w:hAnsi="宋体"/>
          <w:b/>
          <w:sz w:val="24"/>
          <w:highlight w:val="none"/>
        </w:rPr>
        <w:t>2、</w:t>
      </w:r>
      <w:r>
        <w:rPr>
          <w:rFonts w:ascii="宋体" w:hAnsi="宋体"/>
          <w:b/>
          <w:sz w:val="24"/>
          <w:highlight w:val="none"/>
        </w:rPr>
        <w:t>主要人员简历表</w:t>
      </w:r>
    </w:p>
    <w:p w14:paraId="73ECC4BC">
      <w:pPr>
        <w:spacing w:line="420" w:lineRule="exact"/>
        <w:ind w:firstLine="360" w:firstLineChars="150"/>
        <w:rPr>
          <w:rFonts w:ascii="宋体" w:hAnsi="宋体" w:cs="宋体"/>
          <w:sz w:val="24"/>
          <w:highlight w:val="none"/>
        </w:rPr>
      </w:pPr>
      <w:r>
        <w:rPr>
          <w:rFonts w:hint="eastAsia" w:ascii="宋体" w:hAnsi="宋体" w:cs="宋体"/>
          <w:sz w:val="24"/>
          <w:highlight w:val="none"/>
        </w:rPr>
        <w:t>“主要人员简历表”中的项目负责人附身份证、职称证、学历证、劳动合同及养老保险缴费证明等扫描件，参加过的项目业绩附合同协议书的扫描件；其他人员附身份证、职称证、</w:t>
      </w:r>
      <w:r>
        <w:rPr>
          <w:rFonts w:ascii="宋体" w:hAnsi="宋体" w:cs="宋体"/>
          <w:sz w:val="24"/>
          <w:highlight w:val="none"/>
        </w:rPr>
        <w:t>有关证书（如有）</w:t>
      </w:r>
      <w:r>
        <w:rPr>
          <w:rFonts w:hint="eastAsia" w:ascii="宋体" w:hAnsi="宋体" w:cs="宋体"/>
          <w:sz w:val="24"/>
          <w:highlight w:val="none"/>
        </w:rPr>
        <w:t>、</w:t>
      </w:r>
      <w:r>
        <w:rPr>
          <w:rFonts w:hint="eastAsia" w:ascii="宋体" w:hAnsi="宋体"/>
          <w:bCs/>
          <w:sz w:val="24"/>
          <w:highlight w:val="none"/>
        </w:rPr>
        <w:t>近半年连续三个月</w:t>
      </w:r>
      <w:r>
        <w:rPr>
          <w:rFonts w:hint="eastAsia" w:ascii="宋体" w:hAnsi="宋体"/>
          <w:sz w:val="24"/>
          <w:highlight w:val="none"/>
        </w:rPr>
        <w:t>社保缴费证明</w:t>
      </w:r>
      <w:r>
        <w:rPr>
          <w:rFonts w:hint="eastAsia" w:ascii="宋体" w:hAnsi="宋体" w:cs="宋体"/>
          <w:sz w:val="24"/>
          <w:highlight w:val="none"/>
        </w:rPr>
        <w:t>等扫描件。</w:t>
      </w:r>
    </w:p>
    <w:p w14:paraId="2B34342C">
      <w:pPr>
        <w:spacing w:line="130" w:lineRule="exact"/>
        <w:rPr>
          <w:highlight w:val="none"/>
        </w:rPr>
      </w:pPr>
    </w:p>
    <w:tbl>
      <w:tblPr>
        <w:tblStyle w:val="15"/>
        <w:tblW w:w="93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5"/>
        <w:gridCol w:w="408"/>
        <w:gridCol w:w="816"/>
        <w:gridCol w:w="1048"/>
        <w:gridCol w:w="1207"/>
        <w:gridCol w:w="801"/>
        <w:gridCol w:w="1428"/>
        <w:gridCol w:w="182"/>
        <w:gridCol w:w="2162"/>
      </w:tblGrid>
      <w:tr w14:paraId="6B058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1345" w:type="dxa"/>
          </w:tcPr>
          <w:p w14:paraId="4BE436BD">
            <w:pPr>
              <w:pStyle w:val="23"/>
              <w:spacing w:before="240" w:line="360" w:lineRule="auto"/>
              <w:ind w:left="382"/>
              <w:rPr>
                <w:sz w:val="24"/>
                <w:szCs w:val="24"/>
                <w:highlight w:val="none"/>
              </w:rPr>
            </w:pPr>
            <w:r>
              <w:rPr>
                <w:spacing w:val="-4"/>
                <w:sz w:val="24"/>
                <w:szCs w:val="24"/>
                <w:highlight w:val="none"/>
              </w:rPr>
              <w:t>姓</w:t>
            </w:r>
            <w:r>
              <w:rPr>
                <w:spacing w:val="47"/>
                <w:sz w:val="24"/>
                <w:szCs w:val="24"/>
                <w:highlight w:val="none"/>
              </w:rPr>
              <w:t xml:space="preserve"> </w:t>
            </w:r>
            <w:r>
              <w:rPr>
                <w:spacing w:val="-4"/>
                <w:sz w:val="24"/>
                <w:szCs w:val="24"/>
                <w:highlight w:val="none"/>
              </w:rPr>
              <w:t>名</w:t>
            </w:r>
          </w:p>
        </w:tc>
        <w:tc>
          <w:tcPr>
            <w:tcW w:w="1224" w:type="dxa"/>
            <w:gridSpan w:val="2"/>
          </w:tcPr>
          <w:p w14:paraId="16246DA2">
            <w:pPr>
              <w:spacing w:line="360" w:lineRule="auto"/>
              <w:rPr>
                <w:rFonts w:ascii="宋体" w:hAnsi="宋体"/>
                <w:sz w:val="24"/>
                <w:highlight w:val="none"/>
              </w:rPr>
            </w:pPr>
          </w:p>
        </w:tc>
        <w:tc>
          <w:tcPr>
            <w:tcW w:w="1048" w:type="dxa"/>
          </w:tcPr>
          <w:p w14:paraId="5FD8EF18">
            <w:pPr>
              <w:pStyle w:val="23"/>
              <w:spacing w:before="240" w:line="360" w:lineRule="auto"/>
              <w:ind w:left="193"/>
              <w:rPr>
                <w:sz w:val="24"/>
                <w:szCs w:val="24"/>
                <w:highlight w:val="none"/>
              </w:rPr>
            </w:pPr>
            <w:r>
              <w:rPr>
                <w:spacing w:val="-4"/>
                <w:sz w:val="24"/>
                <w:szCs w:val="24"/>
                <w:highlight w:val="none"/>
              </w:rPr>
              <w:t>年</w:t>
            </w:r>
            <w:r>
              <w:rPr>
                <w:spacing w:val="4"/>
                <w:sz w:val="24"/>
                <w:szCs w:val="24"/>
                <w:highlight w:val="none"/>
              </w:rPr>
              <w:t xml:space="preserve">  </w:t>
            </w:r>
            <w:r>
              <w:rPr>
                <w:spacing w:val="-4"/>
                <w:sz w:val="24"/>
                <w:szCs w:val="24"/>
                <w:highlight w:val="none"/>
              </w:rPr>
              <w:t>龄</w:t>
            </w:r>
          </w:p>
        </w:tc>
        <w:tc>
          <w:tcPr>
            <w:tcW w:w="1207" w:type="dxa"/>
          </w:tcPr>
          <w:p w14:paraId="04DB542C">
            <w:pPr>
              <w:spacing w:line="360" w:lineRule="auto"/>
              <w:rPr>
                <w:rFonts w:ascii="宋体" w:hAnsi="宋体"/>
                <w:sz w:val="24"/>
                <w:highlight w:val="none"/>
              </w:rPr>
            </w:pPr>
          </w:p>
        </w:tc>
        <w:tc>
          <w:tcPr>
            <w:tcW w:w="2411" w:type="dxa"/>
            <w:gridSpan w:val="3"/>
          </w:tcPr>
          <w:p w14:paraId="7927DE7E">
            <w:pPr>
              <w:pStyle w:val="23"/>
              <w:spacing w:before="240" w:line="360" w:lineRule="auto"/>
              <w:ind w:left="985"/>
              <w:rPr>
                <w:sz w:val="24"/>
                <w:szCs w:val="24"/>
                <w:highlight w:val="none"/>
              </w:rPr>
            </w:pPr>
            <w:r>
              <w:rPr>
                <w:spacing w:val="-3"/>
                <w:sz w:val="24"/>
                <w:szCs w:val="24"/>
                <w:highlight w:val="none"/>
              </w:rPr>
              <w:t>学历</w:t>
            </w:r>
          </w:p>
        </w:tc>
        <w:tc>
          <w:tcPr>
            <w:tcW w:w="2162" w:type="dxa"/>
          </w:tcPr>
          <w:p w14:paraId="3A358BF7">
            <w:pPr>
              <w:spacing w:line="360" w:lineRule="auto"/>
              <w:rPr>
                <w:rFonts w:ascii="宋体" w:hAnsi="宋体"/>
                <w:sz w:val="24"/>
                <w:highlight w:val="none"/>
              </w:rPr>
            </w:pPr>
          </w:p>
        </w:tc>
      </w:tr>
      <w:tr w14:paraId="1DABA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1345" w:type="dxa"/>
          </w:tcPr>
          <w:p w14:paraId="19097BD3">
            <w:pPr>
              <w:pStyle w:val="23"/>
              <w:spacing w:before="238" w:line="360" w:lineRule="auto"/>
              <w:ind w:left="383"/>
              <w:rPr>
                <w:sz w:val="24"/>
                <w:szCs w:val="24"/>
                <w:highlight w:val="none"/>
              </w:rPr>
            </w:pPr>
            <w:r>
              <w:rPr>
                <w:spacing w:val="-4"/>
                <w:sz w:val="24"/>
                <w:szCs w:val="24"/>
                <w:highlight w:val="none"/>
              </w:rPr>
              <w:t>职</w:t>
            </w:r>
            <w:r>
              <w:rPr>
                <w:spacing w:val="43"/>
                <w:sz w:val="24"/>
                <w:szCs w:val="24"/>
                <w:highlight w:val="none"/>
              </w:rPr>
              <w:t xml:space="preserve"> </w:t>
            </w:r>
            <w:r>
              <w:rPr>
                <w:spacing w:val="-4"/>
                <w:sz w:val="24"/>
                <w:szCs w:val="24"/>
                <w:highlight w:val="none"/>
              </w:rPr>
              <w:t>称</w:t>
            </w:r>
          </w:p>
        </w:tc>
        <w:tc>
          <w:tcPr>
            <w:tcW w:w="1224" w:type="dxa"/>
            <w:gridSpan w:val="2"/>
          </w:tcPr>
          <w:p w14:paraId="4D30B8B6">
            <w:pPr>
              <w:spacing w:line="360" w:lineRule="auto"/>
              <w:rPr>
                <w:rFonts w:ascii="宋体" w:hAnsi="宋体"/>
                <w:sz w:val="24"/>
                <w:highlight w:val="none"/>
              </w:rPr>
            </w:pPr>
          </w:p>
        </w:tc>
        <w:tc>
          <w:tcPr>
            <w:tcW w:w="1048" w:type="dxa"/>
          </w:tcPr>
          <w:p w14:paraId="65C59BA8">
            <w:pPr>
              <w:pStyle w:val="23"/>
              <w:spacing w:before="237" w:line="360" w:lineRule="auto"/>
              <w:ind w:left="193"/>
              <w:rPr>
                <w:sz w:val="24"/>
                <w:szCs w:val="24"/>
                <w:highlight w:val="none"/>
              </w:rPr>
            </w:pPr>
            <w:r>
              <w:rPr>
                <w:spacing w:val="-4"/>
                <w:sz w:val="24"/>
                <w:szCs w:val="24"/>
                <w:highlight w:val="none"/>
              </w:rPr>
              <w:t>职</w:t>
            </w:r>
            <w:r>
              <w:rPr>
                <w:spacing w:val="5"/>
                <w:sz w:val="24"/>
                <w:szCs w:val="24"/>
                <w:highlight w:val="none"/>
              </w:rPr>
              <w:t xml:space="preserve">  </w:t>
            </w:r>
            <w:r>
              <w:rPr>
                <w:spacing w:val="-4"/>
                <w:sz w:val="24"/>
                <w:szCs w:val="24"/>
                <w:highlight w:val="none"/>
              </w:rPr>
              <w:t>务</w:t>
            </w:r>
          </w:p>
        </w:tc>
        <w:tc>
          <w:tcPr>
            <w:tcW w:w="1207" w:type="dxa"/>
          </w:tcPr>
          <w:p w14:paraId="49316725">
            <w:pPr>
              <w:spacing w:line="360" w:lineRule="auto"/>
              <w:rPr>
                <w:rFonts w:ascii="宋体" w:hAnsi="宋体"/>
                <w:sz w:val="24"/>
                <w:highlight w:val="none"/>
              </w:rPr>
            </w:pPr>
          </w:p>
        </w:tc>
        <w:tc>
          <w:tcPr>
            <w:tcW w:w="2411" w:type="dxa"/>
            <w:gridSpan w:val="3"/>
          </w:tcPr>
          <w:p w14:paraId="7D35BC77">
            <w:pPr>
              <w:pStyle w:val="23"/>
              <w:spacing w:before="238" w:line="360" w:lineRule="auto"/>
              <w:ind w:left="455"/>
              <w:rPr>
                <w:sz w:val="24"/>
                <w:szCs w:val="24"/>
                <w:highlight w:val="none"/>
              </w:rPr>
            </w:pPr>
            <w:r>
              <w:rPr>
                <w:spacing w:val="-1"/>
                <w:sz w:val="24"/>
                <w:szCs w:val="24"/>
                <w:highlight w:val="none"/>
              </w:rPr>
              <w:t>拟在本合同任职</w:t>
            </w:r>
          </w:p>
        </w:tc>
        <w:tc>
          <w:tcPr>
            <w:tcW w:w="2162" w:type="dxa"/>
          </w:tcPr>
          <w:p w14:paraId="70F6575E">
            <w:pPr>
              <w:spacing w:line="360" w:lineRule="auto"/>
              <w:rPr>
                <w:rFonts w:ascii="宋体" w:hAnsi="宋体"/>
                <w:sz w:val="24"/>
                <w:highlight w:val="none"/>
              </w:rPr>
            </w:pPr>
          </w:p>
        </w:tc>
      </w:tr>
      <w:tr w14:paraId="76A61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345" w:type="dxa"/>
          </w:tcPr>
          <w:p w14:paraId="6CC7C173">
            <w:pPr>
              <w:pStyle w:val="23"/>
              <w:spacing w:before="236" w:line="360" w:lineRule="auto"/>
              <w:ind w:left="247"/>
              <w:rPr>
                <w:sz w:val="24"/>
                <w:szCs w:val="24"/>
                <w:highlight w:val="none"/>
              </w:rPr>
            </w:pPr>
            <w:r>
              <w:rPr>
                <w:spacing w:val="-3"/>
                <w:sz w:val="24"/>
                <w:szCs w:val="24"/>
                <w:highlight w:val="none"/>
              </w:rPr>
              <w:t>毕业学校</w:t>
            </w:r>
          </w:p>
        </w:tc>
        <w:tc>
          <w:tcPr>
            <w:tcW w:w="8052" w:type="dxa"/>
            <w:gridSpan w:val="8"/>
          </w:tcPr>
          <w:p w14:paraId="63ABEDA0">
            <w:pPr>
              <w:pStyle w:val="23"/>
              <w:spacing w:before="236" w:line="360" w:lineRule="auto"/>
              <w:ind w:left="2782"/>
              <w:rPr>
                <w:sz w:val="24"/>
                <w:szCs w:val="24"/>
                <w:highlight w:val="none"/>
              </w:rPr>
            </w:pPr>
            <w:r>
              <w:rPr>
                <w:spacing w:val="-2"/>
                <w:sz w:val="24"/>
                <w:szCs w:val="24"/>
                <w:highlight w:val="none"/>
              </w:rPr>
              <w:t>年毕业于</w:t>
            </w:r>
            <w:r>
              <w:rPr>
                <w:spacing w:val="19"/>
                <w:sz w:val="24"/>
                <w:szCs w:val="24"/>
                <w:highlight w:val="none"/>
              </w:rPr>
              <w:t xml:space="preserve">   </w:t>
            </w:r>
            <w:r>
              <w:rPr>
                <w:spacing w:val="-2"/>
                <w:sz w:val="24"/>
                <w:szCs w:val="24"/>
                <w:highlight w:val="none"/>
              </w:rPr>
              <w:t>学校    专业</w:t>
            </w:r>
          </w:p>
        </w:tc>
      </w:tr>
      <w:tr w14:paraId="7DAD7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9397" w:type="dxa"/>
            <w:gridSpan w:val="9"/>
          </w:tcPr>
          <w:p w14:paraId="45099AE9">
            <w:pPr>
              <w:pStyle w:val="23"/>
              <w:spacing w:before="225" w:line="360" w:lineRule="auto"/>
              <w:ind w:left="4059"/>
              <w:rPr>
                <w:sz w:val="24"/>
                <w:szCs w:val="24"/>
                <w:highlight w:val="none"/>
              </w:rPr>
            </w:pPr>
            <w:r>
              <w:rPr>
                <w:spacing w:val="-2"/>
                <w:sz w:val="24"/>
                <w:szCs w:val="24"/>
                <w:highlight w:val="none"/>
              </w:rPr>
              <w:t>主要工作经历</w:t>
            </w:r>
          </w:p>
        </w:tc>
      </w:tr>
      <w:tr w14:paraId="19806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753" w:type="dxa"/>
            <w:gridSpan w:val="2"/>
          </w:tcPr>
          <w:p w14:paraId="5DC3D251">
            <w:pPr>
              <w:pStyle w:val="23"/>
              <w:spacing w:before="237" w:line="360" w:lineRule="auto"/>
              <w:ind w:left="596"/>
              <w:rPr>
                <w:sz w:val="24"/>
                <w:szCs w:val="24"/>
                <w:highlight w:val="none"/>
              </w:rPr>
            </w:pPr>
            <w:r>
              <w:rPr>
                <w:spacing w:val="-9"/>
                <w:sz w:val="24"/>
                <w:szCs w:val="24"/>
                <w:highlight w:val="none"/>
              </w:rPr>
              <w:t>时</w:t>
            </w:r>
            <w:r>
              <w:rPr>
                <w:spacing w:val="61"/>
                <w:sz w:val="24"/>
                <w:szCs w:val="24"/>
                <w:highlight w:val="none"/>
              </w:rPr>
              <w:t xml:space="preserve"> </w:t>
            </w:r>
            <w:r>
              <w:rPr>
                <w:spacing w:val="-9"/>
                <w:sz w:val="24"/>
                <w:szCs w:val="24"/>
                <w:highlight w:val="none"/>
              </w:rPr>
              <w:t>间</w:t>
            </w:r>
          </w:p>
        </w:tc>
        <w:tc>
          <w:tcPr>
            <w:tcW w:w="3872" w:type="dxa"/>
            <w:gridSpan w:val="4"/>
          </w:tcPr>
          <w:p w14:paraId="0D2977E8">
            <w:pPr>
              <w:pStyle w:val="23"/>
              <w:spacing w:before="237" w:line="360" w:lineRule="auto"/>
              <w:ind w:left="1082"/>
              <w:rPr>
                <w:sz w:val="24"/>
                <w:szCs w:val="24"/>
                <w:highlight w:val="none"/>
              </w:rPr>
            </w:pPr>
            <w:r>
              <w:rPr>
                <w:spacing w:val="-1"/>
                <w:sz w:val="24"/>
                <w:szCs w:val="24"/>
                <w:highlight w:val="none"/>
              </w:rPr>
              <w:t>参加过的类似项目</w:t>
            </w:r>
          </w:p>
        </w:tc>
        <w:tc>
          <w:tcPr>
            <w:tcW w:w="1428" w:type="dxa"/>
          </w:tcPr>
          <w:p w14:paraId="19CE5F78">
            <w:pPr>
              <w:pStyle w:val="23"/>
              <w:spacing w:before="237" w:line="360" w:lineRule="auto"/>
              <w:ind w:left="281"/>
              <w:rPr>
                <w:sz w:val="24"/>
                <w:szCs w:val="24"/>
                <w:highlight w:val="none"/>
              </w:rPr>
            </w:pPr>
            <w:r>
              <w:rPr>
                <w:spacing w:val="-2"/>
                <w:sz w:val="24"/>
                <w:szCs w:val="24"/>
                <w:highlight w:val="none"/>
              </w:rPr>
              <w:t>担任职务</w:t>
            </w:r>
          </w:p>
        </w:tc>
        <w:tc>
          <w:tcPr>
            <w:tcW w:w="2344" w:type="dxa"/>
            <w:gridSpan w:val="2"/>
          </w:tcPr>
          <w:p w14:paraId="7BA485E5">
            <w:pPr>
              <w:pStyle w:val="23"/>
              <w:spacing w:before="238" w:line="360" w:lineRule="auto"/>
              <w:ind w:left="320"/>
              <w:rPr>
                <w:sz w:val="24"/>
                <w:szCs w:val="24"/>
                <w:highlight w:val="none"/>
              </w:rPr>
            </w:pPr>
            <w:r>
              <w:rPr>
                <w:spacing w:val="-1"/>
                <w:sz w:val="24"/>
                <w:szCs w:val="24"/>
                <w:highlight w:val="none"/>
              </w:rPr>
              <w:t>发包人及联系电话</w:t>
            </w:r>
          </w:p>
        </w:tc>
      </w:tr>
      <w:tr w14:paraId="5F18B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1753" w:type="dxa"/>
            <w:gridSpan w:val="2"/>
          </w:tcPr>
          <w:p w14:paraId="07AF48E2">
            <w:pPr>
              <w:spacing w:line="360" w:lineRule="auto"/>
              <w:rPr>
                <w:rFonts w:ascii="宋体" w:hAnsi="宋体"/>
                <w:sz w:val="24"/>
                <w:highlight w:val="none"/>
              </w:rPr>
            </w:pPr>
          </w:p>
        </w:tc>
        <w:tc>
          <w:tcPr>
            <w:tcW w:w="3872" w:type="dxa"/>
            <w:gridSpan w:val="4"/>
          </w:tcPr>
          <w:p w14:paraId="1B228A3D">
            <w:pPr>
              <w:spacing w:line="360" w:lineRule="auto"/>
              <w:rPr>
                <w:rFonts w:ascii="宋体" w:hAnsi="宋体"/>
                <w:sz w:val="24"/>
                <w:highlight w:val="none"/>
              </w:rPr>
            </w:pPr>
          </w:p>
        </w:tc>
        <w:tc>
          <w:tcPr>
            <w:tcW w:w="1428" w:type="dxa"/>
          </w:tcPr>
          <w:p w14:paraId="3BB9D23A">
            <w:pPr>
              <w:spacing w:line="360" w:lineRule="auto"/>
              <w:rPr>
                <w:rFonts w:ascii="宋体" w:hAnsi="宋体"/>
                <w:sz w:val="24"/>
                <w:highlight w:val="none"/>
              </w:rPr>
            </w:pPr>
          </w:p>
        </w:tc>
        <w:tc>
          <w:tcPr>
            <w:tcW w:w="2344" w:type="dxa"/>
            <w:gridSpan w:val="2"/>
          </w:tcPr>
          <w:p w14:paraId="1EB89337">
            <w:pPr>
              <w:spacing w:line="360" w:lineRule="auto"/>
              <w:rPr>
                <w:rFonts w:ascii="宋体" w:hAnsi="宋体"/>
                <w:sz w:val="24"/>
                <w:highlight w:val="none"/>
              </w:rPr>
            </w:pPr>
          </w:p>
        </w:tc>
      </w:tr>
      <w:tr w14:paraId="33832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753" w:type="dxa"/>
            <w:gridSpan w:val="2"/>
          </w:tcPr>
          <w:p w14:paraId="384FA30D">
            <w:pPr>
              <w:spacing w:line="360" w:lineRule="auto"/>
              <w:rPr>
                <w:rFonts w:ascii="宋体" w:hAnsi="宋体"/>
                <w:sz w:val="24"/>
                <w:highlight w:val="none"/>
              </w:rPr>
            </w:pPr>
          </w:p>
        </w:tc>
        <w:tc>
          <w:tcPr>
            <w:tcW w:w="3872" w:type="dxa"/>
            <w:gridSpan w:val="4"/>
          </w:tcPr>
          <w:p w14:paraId="3819977E">
            <w:pPr>
              <w:spacing w:line="360" w:lineRule="auto"/>
              <w:rPr>
                <w:rFonts w:ascii="宋体" w:hAnsi="宋体"/>
                <w:sz w:val="24"/>
                <w:highlight w:val="none"/>
              </w:rPr>
            </w:pPr>
          </w:p>
        </w:tc>
        <w:tc>
          <w:tcPr>
            <w:tcW w:w="1428" w:type="dxa"/>
          </w:tcPr>
          <w:p w14:paraId="6A4F9FEC">
            <w:pPr>
              <w:spacing w:line="360" w:lineRule="auto"/>
              <w:rPr>
                <w:rFonts w:ascii="宋体" w:hAnsi="宋体"/>
                <w:sz w:val="24"/>
                <w:highlight w:val="none"/>
              </w:rPr>
            </w:pPr>
          </w:p>
        </w:tc>
        <w:tc>
          <w:tcPr>
            <w:tcW w:w="2344" w:type="dxa"/>
            <w:gridSpan w:val="2"/>
          </w:tcPr>
          <w:p w14:paraId="119EECE3">
            <w:pPr>
              <w:spacing w:line="360" w:lineRule="auto"/>
              <w:rPr>
                <w:rFonts w:ascii="宋体" w:hAnsi="宋体"/>
                <w:sz w:val="24"/>
                <w:highlight w:val="none"/>
              </w:rPr>
            </w:pPr>
          </w:p>
        </w:tc>
      </w:tr>
      <w:tr w14:paraId="6132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753" w:type="dxa"/>
            <w:gridSpan w:val="2"/>
          </w:tcPr>
          <w:p w14:paraId="5DBA4E62">
            <w:pPr>
              <w:spacing w:line="360" w:lineRule="auto"/>
              <w:rPr>
                <w:rFonts w:ascii="宋体" w:hAnsi="宋体"/>
                <w:sz w:val="24"/>
                <w:highlight w:val="none"/>
              </w:rPr>
            </w:pPr>
          </w:p>
        </w:tc>
        <w:tc>
          <w:tcPr>
            <w:tcW w:w="3872" w:type="dxa"/>
            <w:gridSpan w:val="4"/>
          </w:tcPr>
          <w:p w14:paraId="4271D21D">
            <w:pPr>
              <w:spacing w:line="360" w:lineRule="auto"/>
              <w:rPr>
                <w:rFonts w:ascii="宋体" w:hAnsi="宋体"/>
                <w:sz w:val="24"/>
                <w:highlight w:val="none"/>
              </w:rPr>
            </w:pPr>
          </w:p>
        </w:tc>
        <w:tc>
          <w:tcPr>
            <w:tcW w:w="1428" w:type="dxa"/>
          </w:tcPr>
          <w:p w14:paraId="63899DB6">
            <w:pPr>
              <w:spacing w:line="360" w:lineRule="auto"/>
              <w:rPr>
                <w:rFonts w:ascii="宋体" w:hAnsi="宋体"/>
                <w:sz w:val="24"/>
                <w:highlight w:val="none"/>
              </w:rPr>
            </w:pPr>
          </w:p>
        </w:tc>
        <w:tc>
          <w:tcPr>
            <w:tcW w:w="2344" w:type="dxa"/>
            <w:gridSpan w:val="2"/>
          </w:tcPr>
          <w:p w14:paraId="4730A4D9">
            <w:pPr>
              <w:spacing w:line="360" w:lineRule="auto"/>
              <w:rPr>
                <w:rFonts w:ascii="宋体" w:hAnsi="宋体"/>
                <w:sz w:val="24"/>
                <w:highlight w:val="none"/>
              </w:rPr>
            </w:pPr>
          </w:p>
        </w:tc>
      </w:tr>
      <w:tr w14:paraId="05E17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1753" w:type="dxa"/>
            <w:gridSpan w:val="2"/>
          </w:tcPr>
          <w:p w14:paraId="46AC68BC">
            <w:pPr>
              <w:spacing w:line="360" w:lineRule="auto"/>
              <w:rPr>
                <w:rFonts w:ascii="宋体" w:hAnsi="宋体"/>
                <w:sz w:val="24"/>
                <w:highlight w:val="none"/>
              </w:rPr>
            </w:pPr>
          </w:p>
        </w:tc>
        <w:tc>
          <w:tcPr>
            <w:tcW w:w="3872" w:type="dxa"/>
            <w:gridSpan w:val="4"/>
          </w:tcPr>
          <w:p w14:paraId="6053D9AB">
            <w:pPr>
              <w:spacing w:line="360" w:lineRule="auto"/>
              <w:rPr>
                <w:rFonts w:ascii="宋体" w:hAnsi="宋体"/>
                <w:sz w:val="24"/>
                <w:highlight w:val="none"/>
              </w:rPr>
            </w:pPr>
          </w:p>
        </w:tc>
        <w:tc>
          <w:tcPr>
            <w:tcW w:w="1428" w:type="dxa"/>
          </w:tcPr>
          <w:p w14:paraId="73DCA224">
            <w:pPr>
              <w:spacing w:line="360" w:lineRule="auto"/>
              <w:rPr>
                <w:rFonts w:ascii="宋体" w:hAnsi="宋体"/>
                <w:sz w:val="24"/>
                <w:highlight w:val="none"/>
              </w:rPr>
            </w:pPr>
          </w:p>
        </w:tc>
        <w:tc>
          <w:tcPr>
            <w:tcW w:w="2344" w:type="dxa"/>
            <w:gridSpan w:val="2"/>
          </w:tcPr>
          <w:p w14:paraId="76F1FED3">
            <w:pPr>
              <w:spacing w:line="360" w:lineRule="auto"/>
              <w:rPr>
                <w:rFonts w:ascii="宋体" w:hAnsi="宋体"/>
                <w:sz w:val="24"/>
                <w:highlight w:val="none"/>
              </w:rPr>
            </w:pPr>
          </w:p>
        </w:tc>
      </w:tr>
      <w:tr w14:paraId="6BDC5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1753" w:type="dxa"/>
            <w:gridSpan w:val="2"/>
          </w:tcPr>
          <w:p w14:paraId="6BF3DBD0">
            <w:pPr>
              <w:spacing w:line="360" w:lineRule="auto"/>
              <w:rPr>
                <w:rFonts w:ascii="宋体" w:hAnsi="宋体"/>
                <w:sz w:val="24"/>
                <w:highlight w:val="none"/>
              </w:rPr>
            </w:pPr>
          </w:p>
        </w:tc>
        <w:tc>
          <w:tcPr>
            <w:tcW w:w="3872" w:type="dxa"/>
            <w:gridSpan w:val="4"/>
          </w:tcPr>
          <w:p w14:paraId="6470A752">
            <w:pPr>
              <w:spacing w:line="360" w:lineRule="auto"/>
              <w:rPr>
                <w:rFonts w:ascii="宋体" w:hAnsi="宋体"/>
                <w:sz w:val="24"/>
                <w:highlight w:val="none"/>
              </w:rPr>
            </w:pPr>
          </w:p>
        </w:tc>
        <w:tc>
          <w:tcPr>
            <w:tcW w:w="1428" w:type="dxa"/>
          </w:tcPr>
          <w:p w14:paraId="76EE8CE6">
            <w:pPr>
              <w:spacing w:line="360" w:lineRule="auto"/>
              <w:rPr>
                <w:rFonts w:ascii="宋体" w:hAnsi="宋体"/>
                <w:sz w:val="24"/>
                <w:highlight w:val="none"/>
              </w:rPr>
            </w:pPr>
          </w:p>
        </w:tc>
        <w:tc>
          <w:tcPr>
            <w:tcW w:w="2344" w:type="dxa"/>
            <w:gridSpan w:val="2"/>
          </w:tcPr>
          <w:p w14:paraId="405F9062">
            <w:pPr>
              <w:spacing w:line="360" w:lineRule="auto"/>
              <w:rPr>
                <w:rFonts w:ascii="宋体" w:hAnsi="宋体"/>
                <w:sz w:val="24"/>
                <w:highlight w:val="none"/>
              </w:rPr>
            </w:pPr>
          </w:p>
        </w:tc>
      </w:tr>
      <w:tr w14:paraId="734D2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753" w:type="dxa"/>
            <w:gridSpan w:val="2"/>
          </w:tcPr>
          <w:p w14:paraId="6AFBAFE1">
            <w:pPr>
              <w:spacing w:line="360" w:lineRule="auto"/>
              <w:rPr>
                <w:rFonts w:ascii="宋体" w:hAnsi="宋体"/>
                <w:sz w:val="24"/>
                <w:highlight w:val="none"/>
              </w:rPr>
            </w:pPr>
          </w:p>
        </w:tc>
        <w:tc>
          <w:tcPr>
            <w:tcW w:w="3872" w:type="dxa"/>
            <w:gridSpan w:val="4"/>
          </w:tcPr>
          <w:p w14:paraId="736FCB79">
            <w:pPr>
              <w:spacing w:line="360" w:lineRule="auto"/>
              <w:rPr>
                <w:rFonts w:ascii="宋体" w:hAnsi="宋体"/>
                <w:sz w:val="24"/>
                <w:highlight w:val="none"/>
              </w:rPr>
            </w:pPr>
          </w:p>
        </w:tc>
        <w:tc>
          <w:tcPr>
            <w:tcW w:w="1428" w:type="dxa"/>
          </w:tcPr>
          <w:p w14:paraId="08B8152E">
            <w:pPr>
              <w:spacing w:line="360" w:lineRule="auto"/>
              <w:rPr>
                <w:rFonts w:ascii="宋体" w:hAnsi="宋体"/>
                <w:sz w:val="24"/>
                <w:highlight w:val="none"/>
              </w:rPr>
            </w:pPr>
          </w:p>
        </w:tc>
        <w:tc>
          <w:tcPr>
            <w:tcW w:w="2344" w:type="dxa"/>
            <w:gridSpan w:val="2"/>
          </w:tcPr>
          <w:p w14:paraId="2A8BFA87">
            <w:pPr>
              <w:spacing w:line="360" w:lineRule="auto"/>
              <w:rPr>
                <w:rFonts w:ascii="宋体" w:hAnsi="宋体"/>
                <w:sz w:val="24"/>
                <w:highlight w:val="none"/>
              </w:rPr>
            </w:pPr>
          </w:p>
        </w:tc>
      </w:tr>
      <w:tr w14:paraId="0EAF2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753" w:type="dxa"/>
            <w:gridSpan w:val="2"/>
          </w:tcPr>
          <w:p w14:paraId="683A8127">
            <w:pPr>
              <w:spacing w:line="360" w:lineRule="auto"/>
              <w:rPr>
                <w:rFonts w:ascii="宋体" w:hAnsi="宋体"/>
                <w:sz w:val="24"/>
                <w:highlight w:val="none"/>
              </w:rPr>
            </w:pPr>
          </w:p>
        </w:tc>
        <w:tc>
          <w:tcPr>
            <w:tcW w:w="3872" w:type="dxa"/>
            <w:gridSpan w:val="4"/>
          </w:tcPr>
          <w:p w14:paraId="57CADED4">
            <w:pPr>
              <w:spacing w:line="360" w:lineRule="auto"/>
              <w:rPr>
                <w:rFonts w:ascii="宋体" w:hAnsi="宋体"/>
                <w:sz w:val="24"/>
                <w:highlight w:val="none"/>
              </w:rPr>
            </w:pPr>
          </w:p>
        </w:tc>
        <w:tc>
          <w:tcPr>
            <w:tcW w:w="1428" w:type="dxa"/>
          </w:tcPr>
          <w:p w14:paraId="199BA77F">
            <w:pPr>
              <w:spacing w:line="360" w:lineRule="auto"/>
              <w:rPr>
                <w:rFonts w:ascii="宋体" w:hAnsi="宋体"/>
                <w:sz w:val="24"/>
                <w:highlight w:val="none"/>
              </w:rPr>
            </w:pPr>
          </w:p>
        </w:tc>
        <w:tc>
          <w:tcPr>
            <w:tcW w:w="2344" w:type="dxa"/>
            <w:gridSpan w:val="2"/>
          </w:tcPr>
          <w:p w14:paraId="67F28F63">
            <w:pPr>
              <w:spacing w:line="360" w:lineRule="auto"/>
              <w:rPr>
                <w:rFonts w:ascii="宋体" w:hAnsi="宋体"/>
                <w:sz w:val="24"/>
                <w:highlight w:val="none"/>
              </w:rPr>
            </w:pPr>
          </w:p>
        </w:tc>
      </w:tr>
      <w:tr w14:paraId="66C42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1753" w:type="dxa"/>
            <w:gridSpan w:val="2"/>
          </w:tcPr>
          <w:p w14:paraId="75A5D492">
            <w:pPr>
              <w:spacing w:line="360" w:lineRule="auto"/>
              <w:rPr>
                <w:rFonts w:ascii="宋体" w:hAnsi="宋体"/>
                <w:sz w:val="24"/>
                <w:highlight w:val="none"/>
              </w:rPr>
            </w:pPr>
          </w:p>
        </w:tc>
        <w:tc>
          <w:tcPr>
            <w:tcW w:w="3872" w:type="dxa"/>
            <w:gridSpan w:val="4"/>
          </w:tcPr>
          <w:p w14:paraId="2BAC51CA">
            <w:pPr>
              <w:spacing w:line="360" w:lineRule="auto"/>
              <w:rPr>
                <w:rFonts w:ascii="宋体" w:hAnsi="宋体"/>
                <w:sz w:val="24"/>
                <w:highlight w:val="none"/>
              </w:rPr>
            </w:pPr>
          </w:p>
        </w:tc>
        <w:tc>
          <w:tcPr>
            <w:tcW w:w="1428" w:type="dxa"/>
          </w:tcPr>
          <w:p w14:paraId="4D2FBB47">
            <w:pPr>
              <w:spacing w:line="360" w:lineRule="auto"/>
              <w:rPr>
                <w:rFonts w:ascii="宋体" w:hAnsi="宋体"/>
                <w:sz w:val="24"/>
                <w:highlight w:val="none"/>
              </w:rPr>
            </w:pPr>
          </w:p>
        </w:tc>
        <w:tc>
          <w:tcPr>
            <w:tcW w:w="2344" w:type="dxa"/>
            <w:gridSpan w:val="2"/>
          </w:tcPr>
          <w:p w14:paraId="06413D78">
            <w:pPr>
              <w:spacing w:line="360" w:lineRule="auto"/>
              <w:rPr>
                <w:rFonts w:ascii="宋体" w:hAnsi="宋体"/>
                <w:sz w:val="24"/>
                <w:highlight w:val="none"/>
              </w:rPr>
            </w:pPr>
          </w:p>
        </w:tc>
      </w:tr>
    </w:tbl>
    <w:p w14:paraId="097AB853">
      <w:pPr>
        <w:pStyle w:val="3"/>
        <w:spacing w:line="294" w:lineRule="auto"/>
        <w:rPr>
          <w:highlight w:val="none"/>
        </w:rPr>
      </w:pPr>
    </w:p>
    <w:p w14:paraId="5F9DEA4E">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36841A1C">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0082220B">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5F39C768">
      <w:pPr>
        <w:autoSpaceDE w:val="0"/>
        <w:autoSpaceDN w:val="0"/>
        <w:adjustRightInd w:val="0"/>
        <w:spacing w:line="375" w:lineRule="exact"/>
        <w:ind w:left="100" w:right="-20"/>
        <w:jc w:val="left"/>
        <w:rPr>
          <w:rFonts w:ascii="宋体" w:hAnsi="宋体" w:cs="微软雅黑"/>
          <w:b/>
          <w:kern w:val="0"/>
          <w:sz w:val="24"/>
          <w:highlight w:val="none"/>
        </w:rPr>
      </w:pPr>
      <w:r>
        <w:rPr>
          <w:rFonts w:ascii="宋体" w:hAnsi="宋体" w:cs="宋体-PUA"/>
          <w:sz w:val="24"/>
          <w:highlight w:val="none"/>
        </w:rPr>
        <w:br w:type="page"/>
      </w:r>
      <w:r>
        <w:rPr>
          <w:rFonts w:hint="eastAsia" w:ascii="宋体" w:hAnsi="宋体" w:cs="微软雅黑"/>
          <w:b/>
          <w:kern w:val="0"/>
          <w:position w:val="-4"/>
          <w:sz w:val="24"/>
          <w:highlight w:val="none"/>
        </w:rPr>
        <w:t>3、</w:t>
      </w:r>
      <w:r>
        <w:rPr>
          <w:rFonts w:hint="eastAsia" w:ascii="宋体" w:hAnsi="宋体"/>
          <w:b/>
          <w:sz w:val="24"/>
          <w:highlight w:val="none"/>
        </w:rPr>
        <w:t>202</w:t>
      </w:r>
      <w:r>
        <w:rPr>
          <w:rFonts w:hint="eastAsia" w:ascii="宋体" w:hAnsi="宋体"/>
          <w:b/>
          <w:sz w:val="24"/>
          <w:highlight w:val="none"/>
          <w:lang w:val="en-US" w:eastAsia="zh-CN"/>
        </w:rPr>
        <w:t>3</w:t>
      </w:r>
      <w:r>
        <w:rPr>
          <w:rFonts w:hint="eastAsia" w:ascii="宋体" w:hAnsi="宋体"/>
          <w:b/>
          <w:sz w:val="24"/>
          <w:highlight w:val="none"/>
        </w:rPr>
        <w:t>年1月1日以来，承担过类似勘察（勘测）、设计项目</w:t>
      </w:r>
      <w:r>
        <w:rPr>
          <w:rFonts w:ascii="宋体" w:hAnsi="宋体"/>
          <w:b/>
          <w:sz w:val="24"/>
          <w:highlight w:val="none"/>
        </w:rPr>
        <w:t>情况表</w:t>
      </w:r>
    </w:p>
    <w:p w14:paraId="0A9C5E71">
      <w:pPr>
        <w:autoSpaceDE w:val="0"/>
        <w:autoSpaceDN w:val="0"/>
        <w:adjustRightInd w:val="0"/>
        <w:spacing w:line="200" w:lineRule="exact"/>
        <w:jc w:val="left"/>
        <w:rPr>
          <w:rFonts w:ascii="宋体" w:hAnsi="宋体"/>
          <w:kern w:val="0"/>
          <w:sz w:val="20"/>
          <w:szCs w:val="20"/>
          <w:highlight w:val="none"/>
        </w:rPr>
      </w:pPr>
      <w:r>
        <w:rPr>
          <w:rFonts w:hint="eastAsia" w:ascii="宋体" w:hAnsi="宋体"/>
          <w:kern w:val="0"/>
          <w:sz w:val="20"/>
          <w:szCs w:val="20"/>
          <w:highlight w:val="none"/>
        </w:rPr>
        <w:t xml:space="preserve"> </w:t>
      </w:r>
    </w:p>
    <w:tbl>
      <w:tblPr>
        <w:tblStyle w:val="15"/>
        <w:tblW w:w="0" w:type="auto"/>
        <w:tblInd w:w="147" w:type="dxa"/>
        <w:tblLayout w:type="fixed"/>
        <w:tblCellMar>
          <w:top w:w="0" w:type="dxa"/>
          <w:left w:w="0" w:type="dxa"/>
          <w:bottom w:w="0" w:type="dxa"/>
          <w:right w:w="0" w:type="dxa"/>
        </w:tblCellMar>
      </w:tblPr>
      <w:tblGrid>
        <w:gridCol w:w="2977"/>
        <w:gridCol w:w="5758"/>
      </w:tblGrid>
      <w:tr w14:paraId="66C63A92">
        <w:tblPrEx>
          <w:tblCellMar>
            <w:top w:w="0" w:type="dxa"/>
            <w:left w:w="0" w:type="dxa"/>
            <w:bottom w:w="0" w:type="dxa"/>
            <w:right w:w="0" w:type="dxa"/>
          </w:tblCellMar>
        </w:tblPrEx>
        <w:trPr>
          <w:trHeight w:val="90" w:hRule="atLeast"/>
        </w:trPr>
        <w:tc>
          <w:tcPr>
            <w:tcW w:w="2977" w:type="dxa"/>
            <w:tcBorders>
              <w:top w:val="single" w:color="000000" w:sz="4" w:space="0"/>
              <w:left w:val="single" w:color="000000" w:sz="4" w:space="0"/>
              <w:bottom w:val="single" w:color="000000" w:sz="4" w:space="0"/>
              <w:right w:val="single" w:color="000000" w:sz="4" w:space="0"/>
            </w:tcBorders>
          </w:tcPr>
          <w:p w14:paraId="51E8FC5C">
            <w:pPr>
              <w:autoSpaceDE w:val="0"/>
              <w:autoSpaceDN w:val="0"/>
              <w:adjustRightInd w:val="0"/>
              <w:spacing w:before="4" w:line="160" w:lineRule="exact"/>
              <w:jc w:val="left"/>
              <w:rPr>
                <w:rFonts w:ascii="宋体" w:hAnsi="宋体"/>
                <w:kern w:val="0"/>
                <w:sz w:val="24"/>
                <w:highlight w:val="none"/>
              </w:rPr>
            </w:pPr>
          </w:p>
          <w:p w14:paraId="3A059627">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项目</w:t>
            </w:r>
            <w:r>
              <w:rPr>
                <w:rFonts w:hint="eastAsia" w:ascii="宋体" w:hAnsi="宋体" w:cs="微软雅黑"/>
                <w:spacing w:val="-2"/>
                <w:kern w:val="0"/>
                <w:sz w:val="24"/>
                <w:highlight w:val="none"/>
              </w:rPr>
              <w:t>名</w:t>
            </w:r>
            <w:r>
              <w:rPr>
                <w:rFonts w:hint="eastAsia" w:ascii="宋体" w:hAnsi="宋体" w:cs="微软雅黑"/>
                <w:kern w:val="0"/>
                <w:sz w:val="24"/>
                <w:highlight w:val="none"/>
              </w:rPr>
              <w:t>称</w:t>
            </w:r>
          </w:p>
        </w:tc>
        <w:tc>
          <w:tcPr>
            <w:tcW w:w="5758" w:type="dxa"/>
            <w:tcBorders>
              <w:top w:val="single" w:color="000000" w:sz="4" w:space="0"/>
              <w:left w:val="nil"/>
              <w:bottom w:val="single" w:color="000000" w:sz="4" w:space="0"/>
              <w:right w:val="single" w:color="000000" w:sz="4" w:space="0"/>
            </w:tcBorders>
          </w:tcPr>
          <w:p w14:paraId="75DFD12C">
            <w:pPr>
              <w:autoSpaceDE w:val="0"/>
              <w:autoSpaceDN w:val="0"/>
              <w:adjustRightInd w:val="0"/>
              <w:jc w:val="left"/>
              <w:rPr>
                <w:rFonts w:ascii="宋体" w:hAnsi="宋体"/>
                <w:kern w:val="0"/>
                <w:sz w:val="24"/>
                <w:highlight w:val="none"/>
              </w:rPr>
            </w:pPr>
          </w:p>
        </w:tc>
      </w:tr>
      <w:tr w14:paraId="12A90432">
        <w:tblPrEx>
          <w:tblCellMar>
            <w:top w:w="0" w:type="dxa"/>
            <w:left w:w="0" w:type="dxa"/>
            <w:bottom w:w="0" w:type="dxa"/>
            <w:right w:w="0" w:type="dxa"/>
          </w:tblCellMar>
        </w:tblPrEx>
        <w:trPr>
          <w:trHeight w:val="682" w:hRule="atLeast"/>
        </w:trPr>
        <w:tc>
          <w:tcPr>
            <w:tcW w:w="2977" w:type="dxa"/>
            <w:tcBorders>
              <w:top w:val="single" w:color="000000" w:sz="4" w:space="0"/>
              <w:left w:val="single" w:color="000000" w:sz="4" w:space="0"/>
              <w:bottom w:val="single" w:color="000000" w:sz="4" w:space="0"/>
              <w:right w:val="single" w:color="000000" w:sz="4" w:space="0"/>
            </w:tcBorders>
          </w:tcPr>
          <w:p w14:paraId="602521B2">
            <w:pPr>
              <w:autoSpaceDE w:val="0"/>
              <w:autoSpaceDN w:val="0"/>
              <w:adjustRightInd w:val="0"/>
              <w:spacing w:before="4" w:line="160" w:lineRule="exact"/>
              <w:jc w:val="left"/>
              <w:rPr>
                <w:rFonts w:ascii="宋体" w:hAnsi="宋体"/>
                <w:kern w:val="0"/>
                <w:sz w:val="24"/>
                <w:highlight w:val="none"/>
              </w:rPr>
            </w:pPr>
          </w:p>
          <w:p w14:paraId="44F097E7">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项目</w:t>
            </w:r>
            <w:r>
              <w:rPr>
                <w:rFonts w:hint="eastAsia" w:ascii="宋体" w:hAnsi="宋体" w:cs="微软雅黑"/>
                <w:spacing w:val="-2"/>
                <w:kern w:val="0"/>
                <w:sz w:val="24"/>
                <w:highlight w:val="none"/>
              </w:rPr>
              <w:t>所</w:t>
            </w:r>
            <w:r>
              <w:rPr>
                <w:rFonts w:hint="eastAsia" w:ascii="宋体" w:hAnsi="宋体" w:cs="微软雅黑"/>
                <w:kern w:val="0"/>
                <w:sz w:val="24"/>
                <w:highlight w:val="none"/>
              </w:rPr>
              <w:t>在地</w:t>
            </w:r>
          </w:p>
        </w:tc>
        <w:tc>
          <w:tcPr>
            <w:tcW w:w="5758" w:type="dxa"/>
            <w:tcBorders>
              <w:top w:val="single" w:color="000000" w:sz="4" w:space="0"/>
              <w:left w:val="nil"/>
              <w:bottom w:val="single" w:color="000000" w:sz="4" w:space="0"/>
              <w:right w:val="single" w:color="000000" w:sz="4" w:space="0"/>
            </w:tcBorders>
          </w:tcPr>
          <w:p w14:paraId="5F4467F0">
            <w:pPr>
              <w:autoSpaceDE w:val="0"/>
              <w:autoSpaceDN w:val="0"/>
              <w:adjustRightInd w:val="0"/>
              <w:jc w:val="left"/>
              <w:rPr>
                <w:rFonts w:ascii="宋体" w:hAnsi="宋体"/>
                <w:kern w:val="0"/>
                <w:sz w:val="24"/>
                <w:highlight w:val="none"/>
              </w:rPr>
            </w:pPr>
          </w:p>
        </w:tc>
      </w:tr>
      <w:tr w14:paraId="00C76971">
        <w:tblPrEx>
          <w:tblCellMar>
            <w:top w:w="0" w:type="dxa"/>
            <w:left w:w="0" w:type="dxa"/>
            <w:bottom w:w="0" w:type="dxa"/>
            <w:right w:w="0" w:type="dxa"/>
          </w:tblCellMar>
        </w:tblPrEx>
        <w:trPr>
          <w:trHeight w:val="679" w:hRule="atLeast"/>
        </w:trPr>
        <w:tc>
          <w:tcPr>
            <w:tcW w:w="2977" w:type="dxa"/>
            <w:tcBorders>
              <w:top w:val="single" w:color="000000" w:sz="4" w:space="0"/>
              <w:left w:val="single" w:color="000000" w:sz="4" w:space="0"/>
              <w:bottom w:val="single" w:color="000000" w:sz="4" w:space="0"/>
              <w:right w:val="single" w:color="000000" w:sz="4" w:space="0"/>
            </w:tcBorders>
          </w:tcPr>
          <w:p w14:paraId="25F753C7">
            <w:pPr>
              <w:autoSpaceDE w:val="0"/>
              <w:autoSpaceDN w:val="0"/>
              <w:adjustRightInd w:val="0"/>
              <w:spacing w:before="4" w:line="160" w:lineRule="exact"/>
              <w:jc w:val="left"/>
              <w:rPr>
                <w:rFonts w:ascii="宋体" w:hAnsi="宋体"/>
                <w:kern w:val="0"/>
                <w:sz w:val="24"/>
                <w:highlight w:val="none"/>
              </w:rPr>
            </w:pPr>
          </w:p>
          <w:p w14:paraId="22A89599">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发包</w:t>
            </w:r>
            <w:r>
              <w:rPr>
                <w:rFonts w:hint="eastAsia" w:ascii="宋体" w:hAnsi="宋体" w:cs="微软雅黑"/>
                <w:spacing w:val="-2"/>
                <w:kern w:val="0"/>
                <w:sz w:val="24"/>
                <w:highlight w:val="none"/>
              </w:rPr>
              <w:t>人</w:t>
            </w:r>
            <w:r>
              <w:rPr>
                <w:rFonts w:hint="eastAsia" w:ascii="宋体" w:hAnsi="宋体" w:cs="微软雅黑"/>
                <w:kern w:val="0"/>
                <w:sz w:val="24"/>
                <w:highlight w:val="none"/>
              </w:rPr>
              <w:t>名称</w:t>
            </w:r>
          </w:p>
        </w:tc>
        <w:tc>
          <w:tcPr>
            <w:tcW w:w="5758" w:type="dxa"/>
            <w:tcBorders>
              <w:top w:val="single" w:color="000000" w:sz="4" w:space="0"/>
              <w:left w:val="nil"/>
              <w:bottom w:val="single" w:color="000000" w:sz="4" w:space="0"/>
              <w:right w:val="single" w:color="000000" w:sz="4" w:space="0"/>
            </w:tcBorders>
          </w:tcPr>
          <w:p w14:paraId="5CBBAA05">
            <w:pPr>
              <w:autoSpaceDE w:val="0"/>
              <w:autoSpaceDN w:val="0"/>
              <w:adjustRightInd w:val="0"/>
              <w:jc w:val="left"/>
              <w:rPr>
                <w:rFonts w:ascii="宋体" w:hAnsi="宋体"/>
                <w:kern w:val="0"/>
                <w:sz w:val="24"/>
                <w:highlight w:val="none"/>
              </w:rPr>
            </w:pPr>
          </w:p>
        </w:tc>
      </w:tr>
      <w:tr w14:paraId="771C0E6B">
        <w:tblPrEx>
          <w:tblCellMar>
            <w:top w:w="0" w:type="dxa"/>
            <w:left w:w="0" w:type="dxa"/>
            <w:bottom w:w="0" w:type="dxa"/>
            <w:right w:w="0" w:type="dxa"/>
          </w:tblCellMar>
        </w:tblPrEx>
        <w:trPr>
          <w:trHeight w:val="680" w:hRule="atLeast"/>
        </w:trPr>
        <w:tc>
          <w:tcPr>
            <w:tcW w:w="2977" w:type="dxa"/>
            <w:tcBorders>
              <w:top w:val="single" w:color="000000" w:sz="4" w:space="0"/>
              <w:left w:val="single" w:color="000000" w:sz="4" w:space="0"/>
              <w:bottom w:val="single" w:color="000000" w:sz="4" w:space="0"/>
              <w:right w:val="single" w:color="000000" w:sz="4" w:space="0"/>
            </w:tcBorders>
          </w:tcPr>
          <w:p w14:paraId="7FEE264A">
            <w:pPr>
              <w:autoSpaceDE w:val="0"/>
              <w:autoSpaceDN w:val="0"/>
              <w:adjustRightInd w:val="0"/>
              <w:spacing w:before="4" w:line="160" w:lineRule="exact"/>
              <w:jc w:val="left"/>
              <w:rPr>
                <w:rFonts w:ascii="宋体" w:hAnsi="宋体"/>
                <w:kern w:val="0"/>
                <w:sz w:val="24"/>
                <w:highlight w:val="none"/>
              </w:rPr>
            </w:pPr>
          </w:p>
          <w:p w14:paraId="07CAA7D4">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发包</w:t>
            </w:r>
            <w:r>
              <w:rPr>
                <w:rFonts w:hint="eastAsia" w:ascii="宋体" w:hAnsi="宋体" w:cs="微软雅黑"/>
                <w:spacing w:val="-2"/>
                <w:kern w:val="0"/>
                <w:sz w:val="24"/>
                <w:highlight w:val="none"/>
              </w:rPr>
              <w:t>人</w:t>
            </w:r>
            <w:r>
              <w:rPr>
                <w:rFonts w:hint="eastAsia" w:ascii="宋体" w:hAnsi="宋体" w:cs="微软雅黑"/>
                <w:kern w:val="0"/>
                <w:sz w:val="24"/>
                <w:highlight w:val="none"/>
              </w:rPr>
              <w:t>地址</w:t>
            </w:r>
          </w:p>
        </w:tc>
        <w:tc>
          <w:tcPr>
            <w:tcW w:w="5758" w:type="dxa"/>
            <w:tcBorders>
              <w:top w:val="single" w:color="000000" w:sz="4" w:space="0"/>
              <w:left w:val="nil"/>
              <w:bottom w:val="single" w:color="000000" w:sz="4" w:space="0"/>
              <w:right w:val="single" w:color="000000" w:sz="4" w:space="0"/>
            </w:tcBorders>
          </w:tcPr>
          <w:p w14:paraId="30A6229F">
            <w:pPr>
              <w:autoSpaceDE w:val="0"/>
              <w:autoSpaceDN w:val="0"/>
              <w:adjustRightInd w:val="0"/>
              <w:jc w:val="left"/>
              <w:rPr>
                <w:rFonts w:ascii="宋体" w:hAnsi="宋体"/>
                <w:kern w:val="0"/>
                <w:sz w:val="24"/>
                <w:highlight w:val="none"/>
              </w:rPr>
            </w:pPr>
          </w:p>
        </w:tc>
      </w:tr>
      <w:tr w14:paraId="3DC93467">
        <w:tblPrEx>
          <w:tblCellMar>
            <w:top w:w="0" w:type="dxa"/>
            <w:left w:w="0" w:type="dxa"/>
            <w:bottom w:w="0" w:type="dxa"/>
            <w:right w:w="0" w:type="dxa"/>
          </w:tblCellMar>
        </w:tblPrEx>
        <w:trPr>
          <w:trHeight w:val="682" w:hRule="atLeast"/>
        </w:trPr>
        <w:tc>
          <w:tcPr>
            <w:tcW w:w="2977" w:type="dxa"/>
            <w:tcBorders>
              <w:top w:val="single" w:color="000000" w:sz="4" w:space="0"/>
              <w:left w:val="single" w:color="000000" w:sz="4" w:space="0"/>
              <w:bottom w:val="single" w:color="000000" w:sz="4" w:space="0"/>
              <w:right w:val="single" w:color="000000" w:sz="4" w:space="0"/>
            </w:tcBorders>
          </w:tcPr>
          <w:p w14:paraId="1A4F0BD3">
            <w:pPr>
              <w:autoSpaceDE w:val="0"/>
              <w:autoSpaceDN w:val="0"/>
              <w:adjustRightInd w:val="0"/>
              <w:spacing w:before="4" w:line="160" w:lineRule="exact"/>
              <w:jc w:val="left"/>
              <w:rPr>
                <w:rFonts w:ascii="宋体" w:hAnsi="宋体"/>
                <w:kern w:val="0"/>
                <w:sz w:val="24"/>
                <w:highlight w:val="none"/>
              </w:rPr>
            </w:pPr>
          </w:p>
          <w:p w14:paraId="2CF38179">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发包</w:t>
            </w:r>
            <w:r>
              <w:rPr>
                <w:rFonts w:hint="eastAsia" w:ascii="宋体" w:hAnsi="宋体" w:cs="微软雅黑"/>
                <w:spacing w:val="-2"/>
                <w:kern w:val="0"/>
                <w:sz w:val="24"/>
                <w:highlight w:val="none"/>
              </w:rPr>
              <w:t>人</w:t>
            </w:r>
            <w:r>
              <w:rPr>
                <w:rFonts w:hint="eastAsia" w:ascii="宋体" w:hAnsi="宋体" w:cs="微软雅黑"/>
                <w:kern w:val="0"/>
                <w:sz w:val="24"/>
                <w:highlight w:val="none"/>
              </w:rPr>
              <w:t>电话</w:t>
            </w:r>
          </w:p>
        </w:tc>
        <w:tc>
          <w:tcPr>
            <w:tcW w:w="5758" w:type="dxa"/>
            <w:tcBorders>
              <w:top w:val="single" w:color="000000" w:sz="4" w:space="0"/>
              <w:left w:val="nil"/>
              <w:bottom w:val="single" w:color="000000" w:sz="4" w:space="0"/>
              <w:right w:val="single" w:color="000000" w:sz="4" w:space="0"/>
            </w:tcBorders>
          </w:tcPr>
          <w:p w14:paraId="7FB77BC0">
            <w:pPr>
              <w:autoSpaceDE w:val="0"/>
              <w:autoSpaceDN w:val="0"/>
              <w:adjustRightInd w:val="0"/>
              <w:jc w:val="left"/>
              <w:rPr>
                <w:rFonts w:ascii="宋体" w:hAnsi="宋体"/>
                <w:kern w:val="0"/>
                <w:sz w:val="24"/>
                <w:highlight w:val="none"/>
              </w:rPr>
            </w:pPr>
          </w:p>
        </w:tc>
      </w:tr>
      <w:tr w14:paraId="264F05C9">
        <w:tblPrEx>
          <w:tblCellMar>
            <w:top w:w="0" w:type="dxa"/>
            <w:left w:w="0" w:type="dxa"/>
            <w:bottom w:w="0" w:type="dxa"/>
            <w:right w:w="0" w:type="dxa"/>
          </w:tblCellMar>
        </w:tblPrEx>
        <w:trPr>
          <w:trHeight w:val="679" w:hRule="atLeast"/>
        </w:trPr>
        <w:tc>
          <w:tcPr>
            <w:tcW w:w="2977" w:type="dxa"/>
            <w:tcBorders>
              <w:top w:val="single" w:color="000000" w:sz="4" w:space="0"/>
              <w:left w:val="single" w:color="000000" w:sz="4" w:space="0"/>
              <w:bottom w:val="single" w:color="000000" w:sz="4" w:space="0"/>
              <w:right w:val="single" w:color="000000" w:sz="4" w:space="0"/>
            </w:tcBorders>
          </w:tcPr>
          <w:p w14:paraId="79C8B343">
            <w:pPr>
              <w:autoSpaceDE w:val="0"/>
              <w:autoSpaceDN w:val="0"/>
              <w:adjustRightInd w:val="0"/>
              <w:spacing w:before="4" w:line="160" w:lineRule="exact"/>
              <w:jc w:val="left"/>
              <w:rPr>
                <w:rFonts w:ascii="宋体" w:hAnsi="宋体"/>
                <w:kern w:val="0"/>
                <w:sz w:val="24"/>
                <w:highlight w:val="none"/>
              </w:rPr>
            </w:pPr>
          </w:p>
          <w:p w14:paraId="777CBFD7">
            <w:pPr>
              <w:autoSpaceDE w:val="0"/>
              <w:autoSpaceDN w:val="0"/>
              <w:adjustRightInd w:val="0"/>
              <w:ind w:right="-20"/>
              <w:jc w:val="center"/>
              <w:rPr>
                <w:rFonts w:ascii="宋体" w:hAnsi="宋体"/>
                <w:kern w:val="0"/>
                <w:sz w:val="24"/>
                <w:highlight w:val="none"/>
              </w:rPr>
            </w:pPr>
            <w:r>
              <w:rPr>
                <w:rFonts w:hint="eastAsia" w:ascii="宋体" w:hAnsi="宋体" w:cs="微软雅黑"/>
                <w:kern w:val="0"/>
                <w:sz w:val="24"/>
                <w:highlight w:val="none"/>
              </w:rPr>
              <w:t>合同</w:t>
            </w:r>
            <w:r>
              <w:rPr>
                <w:rFonts w:hint="eastAsia" w:ascii="宋体" w:hAnsi="宋体" w:cs="微软雅黑"/>
                <w:spacing w:val="-2"/>
                <w:kern w:val="0"/>
                <w:sz w:val="24"/>
                <w:highlight w:val="none"/>
              </w:rPr>
              <w:t>价</w:t>
            </w:r>
            <w:r>
              <w:rPr>
                <w:rFonts w:hint="eastAsia" w:ascii="宋体" w:hAnsi="宋体" w:cs="微软雅黑"/>
                <w:kern w:val="0"/>
                <w:sz w:val="24"/>
                <w:highlight w:val="none"/>
              </w:rPr>
              <w:t>格</w:t>
            </w:r>
          </w:p>
        </w:tc>
        <w:tc>
          <w:tcPr>
            <w:tcW w:w="5758" w:type="dxa"/>
            <w:tcBorders>
              <w:top w:val="single" w:color="000000" w:sz="4" w:space="0"/>
              <w:left w:val="nil"/>
              <w:bottom w:val="single" w:color="000000" w:sz="4" w:space="0"/>
              <w:right w:val="single" w:color="000000" w:sz="4" w:space="0"/>
            </w:tcBorders>
          </w:tcPr>
          <w:p w14:paraId="09D6D049">
            <w:pPr>
              <w:autoSpaceDE w:val="0"/>
              <w:autoSpaceDN w:val="0"/>
              <w:adjustRightInd w:val="0"/>
              <w:jc w:val="left"/>
              <w:rPr>
                <w:rFonts w:ascii="宋体" w:hAnsi="宋体"/>
                <w:kern w:val="0"/>
                <w:sz w:val="24"/>
                <w:highlight w:val="none"/>
              </w:rPr>
            </w:pPr>
          </w:p>
        </w:tc>
      </w:tr>
      <w:tr w14:paraId="367FFC49">
        <w:tblPrEx>
          <w:tblCellMar>
            <w:top w:w="0" w:type="dxa"/>
            <w:left w:w="0" w:type="dxa"/>
            <w:bottom w:w="0" w:type="dxa"/>
            <w:right w:w="0" w:type="dxa"/>
          </w:tblCellMar>
        </w:tblPrEx>
        <w:trPr>
          <w:trHeight w:val="679" w:hRule="atLeast"/>
        </w:trPr>
        <w:tc>
          <w:tcPr>
            <w:tcW w:w="2977" w:type="dxa"/>
            <w:tcBorders>
              <w:top w:val="single" w:color="000000" w:sz="4" w:space="0"/>
              <w:left w:val="single" w:color="000000" w:sz="4" w:space="0"/>
              <w:bottom w:val="single" w:color="000000" w:sz="4" w:space="0"/>
              <w:right w:val="single" w:color="000000" w:sz="4" w:space="0"/>
            </w:tcBorders>
            <w:vAlign w:val="center"/>
          </w:tcPr>
          <w:p w14:paraId="06FAF4B9">
            <w:pPr>
              <w:spacing w:before="36" w:line="480" w:lineRule="auto"/>
              <w:jc w:val="center"/>
              <w:rPr>
                <w:rFonts w:ascii="宋体" w:hAnsi="宋体" w:cs="宋体"/>
                <w:sz w:val="24"/>
                <w:highlight w:val="none"/>
              </w:rPr>
            </w:pPr>
            <w:r>
              <w:rPr>
                <w:rFonts w:hint="eastAsia" w:ascii="宋体" w:hAnsi="宋体" w:cs="微软雅黑"/>
                <w:spacing w:val="-2"/>
                <w:kern w:val="0"/>
                <w:sz w:val="24"/>
                <w:highlight w:val="none"/>
              </w:rPr>
              <w:t>服</w:t>
            </w:r>
            <w:r>
              <w:rPr>
                <w:rFonts w:hint="eastAsia" w:ascii="宋体" w:hAnsi="宋体" w:cs="微软雅黑"/>
                <w:kern w:val="0"/>
                <w:sz w:val="24"/>
                <w:highlight w:val="none"/>
              </w:rPr>
              <w:t>务</w:t>
            </w:r>
            <w:r>
              <w:rPr>
                <w:rFonts w:hint="eastAsia" w:ascii="宋体" w:hAnsi="宋体" w:cs="微软雅黑"/>
                <w:spacing w:val="-2"/>
                <w:kern w:val="0"/>
                <w:sz w:val="24"/>
                <w:highlight w:val="none"/>
              </w:rPr>
              <w:t>期</w:t>
            </w:r>
            <w:r>
              <w:rPr>
                <w:rFonts w:hint="eastAsia" w:ascii="宋体" w:hAnsi="宋体" w:cs="微软雅黑"/>
                <w:kern w:val="0"/>
                <w:sz w:val="24"/>
                <w:highlight w:val="none"/>
              </w:rPr>
              <w:t>限</w:t>
            </w:r>
          </w:p>
        </w:tc>
        <w:tc>
          <w:tcPr>
            <w:tcW w:w="5758" w:type="dxa"/>
            <w:tcBorders>
              <w:top w:val="single" w:color="000000" w:sz="4" w:space="0"/>
              <w:left w:val="nil"/>
              <w:bottom w:val="single" w:color="000000" w:sz="4" w:space="0"/>
              <w:right w:val="single" w:color="000000" w:sz="4" w:space="0"/>
            </w:tcBorders>
          </w:tcPr>
          <w:p w14:paraId="46AACD2C">
            <w:pPr>
              <w:autoSpaceDE w:val="0"/>
              <w:autoSpaceDN w:val="0"/>
              <w:adjustRightInd w:val="0"/>
              <w:jc w:val="left"/>
              <w:rPr>
                <w:rFonts w:ascii="宋体" w:hAnsi="宋体"/>
                <w:kern w:val="0"/>
                <w:sz w:val="24"/>
                <w:highlight w:val="none"/>
              </w:rPr>
            </w:pPr>
          </w:p>
        </w:tc>
      </w:tr>
      <w:tr w14:paraId="276795EF">
        <w:tblPrEx>
          <w:tblCellMar>
            <w:top w:w="0" w:type="dxa"/>
            <w:left w:w="0" w:type="dxa"/>
            <w:bottom w:w="0" w:type="dxa"/>
            <w:right w:w="0" w:type="dxa"/>
          </w:tblCellMar>
        </w:tblPrEx>
        <w:trPr>
          <w:trHeight w:val="682" w:hRule="atLeast"/>
        </w:trPr>
        <w:tc>
          <w:tcPr>
            <w:tcW w:w="2977" w:type="dxa"/>
            <w:tcBorders>
              <w:top w:val="single" w:color="000000" w:sz="4" w:space="0"/>
              <w:left w:val="single" w:color="000000" w:sz="4" w:space="0"/>
              <w:bottom w:val="single" w:color="000000" w:sz="4" w:space="0"/>
              <w:right w:val="single" w:color="000000" w:sz="4" w:space="0"/>
            </w:tcBorders>
            <w:vAlign w:val="center"/>
          </w:tcPr>
          <w:p w14:paraId="0EC963BD">
            <w:pPr>
              <w:spacing w:before="22" w:line="480" w:lineRule="auto"/>
              <w:jc w:val="center"/>
              <w:rPr>
                <w:rFonts w:ascii="宋体" w:hAnsi="宋体" w:cs="宋体"/>
                <w:sz w:val="24"/>
                <w:highlight w:val="none"/>
              </w:rPr>
            </w:pPr>
            <w:r>
              <w:rPr>
                <w:rFonts w:hint="eastAsia" w:ascii="宋体" w:hAnsi="宋体" w:cs="宋体"/>
                <w:sz w:val="24"/>
                <w:highlight w:val="none"/>
              </w:rPr>
              <w:t>工作</w:t>
            </w:r>
            <w:r>
              <w:rPr>
                <w:rFonts w:ascii="宋体" w:hAnsi="宋体" w:cs="宋体"/>
                <w:sz w:val="24"/>
                <w:highlight w:val="none"/>
              </w:rPr>
              <w:t>内容</w:t>
            </w:r>
          </w:p>
        </w:tc>
        <w:tc>
          <w:tcPr>
            <w:tcW w:w="5758" w:type="dxa"/>
            <w:tcBorders>
              <w:top w:val="single" w:color="000000" w:sz="4" w:space="0"/>
              <w:left w:val="nil"/>
              <w:bottom w:val="single" w:color="000000" w:sz="4" w:space="0"/>
              <w:right w:val="single" w:color="000000" w:sz="4" w:space="0"/>
            </w:tcBorders>
          </w:tcPr>
          <w:p w14:paraId="25AB6B6C">
            <w:pPr>
              <w:autoSpaceDE w:val="0"/>
              <w:autoSpaceDN w:val="0"/>
              <w:adjustRightInd w:val="0"/>
              <w:jc w:val="left"/>
              <w:rPr>
                <w:rFonts w:ascii="宋体" w:hAnsi="宋体"/>
                <w:kern w:val="0"/>
                <w:sz w:val="24"/>
                <w:highlight w:val="none"/>
              </w:rPr>
            </w:pPr>
          </w:p>
        </w:tc>
      </w:tr>
      <w:tr w14:paraId="4DEF75E9">
        <w:tblPrEx>
          <w:tblCellMar>
            <w:top w:w="0" w:type="dxa"/>
            <w:left w:w="0" w:type="dxa"/>
            <w:bottom w:w="0" w:type="dxa"/>
            <w:right w:w="0" w:type="dxa"/>
          </w:tblCellMar>
        </w:tblPrEx>
        <w:trPr>
          <w:trHeight w:val="679" w:hRule="atLeast"/>
        </w:trPr>
        <w:tc>
          <w:tcPr>
            <w:tcW w:w="2977" w:type="dxa"/>
            <w:tcBorders>
              <w:top w:val="single" w:color="000000" w:sz="4" w:space="0"/>
              <w:left w:val="single" w:color="000000" w:sz="4" w:space="0"/>
              <w:bottom w:val="single" w:color="000000" w:sz="4" w:space="0"/>
              <w:right w:val="single" w:color="000000" w:sz="4" w:space="0"/>
            </w:tcBorders>
          </w:tcPr>
          <w:p w14:paraId="404F3155">
            <w:pPr>
              <w:autoSpaceDE w:val="0"/>
              <w:autoSpaceDN w:val="0"/>
              <w:adjustRightInd w:val="0"/>
              <w:spacing w:before="4" w:line="160" w:lineRule="exact"/>
              <w:jc w:val="left"/>
              <w:rPr>
                <w:rFonts w:ascii="宋体" w:hAnsi="宋体"/>
                <w:kern w:val="0"/>
                <w:sz w:val="24"/>
                <w:highlight w:val="none"/>
              </w:rPr>
            </w:pPr>
          </w:p>
          <w:p w14:paraId="0938A82F">
            <w:pPr>
              <w:autoSpaceDE w:val="0"/>
              <w:autoSpaceDN w:val="0"/>
              <w:adjustRightInd w:val="0"/>
              <w:ind w:right="-20"/>
              <w:jc w:val="center"/>
              <w:rPr>
                <w:rFonts w:ascii="宋体" w:hAnsi="宋体"/>
                <w:kern w:val="0"/>
                <w:sz w:val="24"/>
                <w:highlight w:val="none"/>
              </w:rPr>
            </w:pPr>
            <w:r>
              <w:rPr>
                <w:rFonts w:hint="eastAsia" w:ascii="宋体" w:hAnsi="宋体" w:cs="宋体"/>
                <w:sz w:val="24"/>
                <w:highlight w:val="none"/>
              </w:rPr>
              <w:t>勘察（勘测或设计）</w:t>
            </w:r>
            <w:r>
              <w:rPr>
                <w:rFonts w:ascii="宋体" w:hAnsi="宋体" w:cs="宋体"/>
                <w:sz w:val="24"/>
                <w:highlight w:val="none"/>
              </w:rPr>
              <w:t>负责人</w:t>
            </w:r>
          </w:p>
        </w:tc>
        <w:tc>
          <w:tcPr>
            <w:tcW w:w="5758" w:type="dxa"/>
            <w:tcBorders>
              <w:top w:val="single" w:color="000000" w:sz="4" w:space="0"/>
              <w:left w:val="nil"/>
              <w:bottom w:val="single" w:color="000000" w:sz="4" w:space="0"/>
              <w:right w:val="single" w:color="000000" w:sz="4" w:space="0"/>
            </w:tcBorders>
          </w:tcPr>
          <w:p w14:paraId="41EA50F5">
            <w:pPr>
              <w:autoSpaceDE w:val="0"/>
              <w:autoSpaceDN w:val="0"/>
              <w:adjustRightInd w:val="0"/>
              <w:jc w:val="left"/>
              <w:rPr>
                <w:rFonts w:ascii="宋体" w:hAnsi="宋体"/>
                <w:kern w:val="0"/>
                <w:sz w:val="24"/>
                <w:highlight w:val="none"/>
              </w:rPr>
            </w:pPr>
          </w:p>
        </w:tc>
      </w:tr>
      <w:tr w14:paraId="3E05E1DF">
        <w:tblPrEx>
          <w:tblCellMar>
            <w:top w:w="0" w:type="dxa"/>
            <w:left w:w="0" w:type="dxa"/>
            <w:bottom w:w="0" w:type="dxa"/>
            <w:right w:w="0" w:type="dxa"/>
          </w:tblCellMar>
        </w:tblPrEx>
        <w:trPr>
          <w:trHeight w:val="2098" w:hRule="atLeast"/>
        </w:trPr>
        <w:tc>
          <w:tcPr>
            <w:tcW w:w="2977" w:type="dxa"/>
            <w:tcBorders>
              <w:top w:val="single" w:color="000000" w:sz="4" w:space="0"/>
              <w:left w:val="single" w:color="000000" w:sz="4" w:space="0"/>
              <w:bottom w:val="single" w:color="000000" w:sz="4" w:space="0"/>
              <w:right w:val="single" w:color="000000" w:sz="4" w:space="0"/>
            </w:tcBorders>
          </w:tcPr>
          <w:p w14:paraId="1291DD2A">
            <w:pPr>
              <w:autoSpaceDE w:val="0"/>
              <w:autoSpaceDN w:val="0"/>
              <w:adjustRightInd w:val="0"/>
              <w:spacing w:before="8" w:line="160" w:lineRule="exact"/>
              <w:jc w:val="left"/>
              <w:rPr>
                <w:rFonts w:ascii="宋体" w:hAnsi="宋体"/>
                <w:kern w:val="0"/>
                <w:sz w:val="24"/>
                <w:highlight w:val="none"/>
              </w:rPr>
            </w:pPr>
          </w:p>
          <w:p w14:paraId="2DA758F3">
            <w:pPr>
              <w:autoSpaceDE w:val="0"/>
              <w:autoSpaceDN w:val="0"/>
              <w:adjustRightInd w:val="0"/>
              <w:spacing w:line="200" w:lineRule="exact"/>
              <w:jc w:val="left"/>
              <w:rPr>
                <w:rFonts w:ascii="宋体" w:hAnsi="宋体"/>
                <w:kern w:val="0"/>
                <w:sz w:val="24"/>
                <w:highlight w:val="none"/>
              </w:rPr>
            </w:pPr>
          </w:p>
          <w:p w14:paraId="51C62299">
            <w:pPr>
              <w:autoSpaceDE w:val="0"/>
              <w:autoSpaceDN w:val="0"/>
              <w:adjustRightInd w:val="0"/>
              <w:ind w:left="707" w:right="-20"/>
              <w:jc w:val="left"/>
              <w:rPr>
                <w:rFonts w:ascii="宋体" w:hAnsi="宋体" w:cs="微软雅黑"/>
                <w:kern w:val="0"/>
                <w:sz w:val="24"/>
                <w:highlight w:val="none"/>
              </w:rPr>
            </w:pPr>
          </w:p>
          <w:p w14:paraId="0D9C3442">
            <w:pPr>
              <w:autoSpaceDE w:val="0"/>
              <w:autoSpaceDN w:val="0"/>
              <w:adjustRightInd w:val="0"/>
              <w:ind w:left="707" w:right="-20"/>
              <w:jc w:val="left"/>
              <w:rPr>
                <w:rFonts w:ascii="宋体" w:hAnsi="宋体" w:cs="微软雅黑"/>
                <w:kern w:val="0"/>
                <w:sz w:val="24"/>
                <w:highlight w:val="none"/>
              </w:rPr>
            </w:pPr>
          </w:p>
          <w:p w14:paraId="3D55CD54">
            <w:pPr>
              <w:autoSpaceDE w:val="0"/>
              <w:autoSpaceDN w:val="0"/>
              <w:adjustRightInd w:val="0"/>
              <w:ind w:left="707" w:right="-20"/>
              <w:jc w:val="left"/>
              <w:rPr>
                <w:rFonts w:ascii="宋体" w:hAnsi="宋体"/>
                <w:kern w:val="0"/>
                <w:sz w:val="24"/>
                <w:highlight w:val="none"/>
              </w:rPr>
            </w:pPr>
            <w:r>
              <w:rPr>
                <w:rFonts w:hint="eastAsia" w:ascii="宋体" w:hAnsi="宋体" w:cs="微软雅黑"/>
                <w:kern w:val="0"/>
                <w:sz w:val="24"/>
                <w:highlight w:val="none"/>
              </w:rPr>
              <w:t>项目</w:t>
            </w:r>
            <w:r>
              <w:rPr>
                <w:rFonts w:hint="eastAsia" w:ascii="宋体" w:hAnsi="宋体" w:cs="微软雅黑"/>
                <w:spacing w:val="-2"/>
                <w:kern w:val="0"/>
                <w:sz w:val="24"/>
                <w:highlight w:val="none"/>
              </w:rPr>
              <w:t>描</w:t>
            </w:r>
            <w:r>
              <w:rPr>
                <w:rFonts w:hint="eastAsia" w:ascii="宋体" w:hAnsi="宋体" w:cs="微软雅黑"/>
                <w:kern w:val="0"/>
                <w:sz w:val="24"/>
                <w:highlight w:val="none"/>
              </w:rPr>
              <w:t>述</w:t>
            </w:r>
          </w:p>
        </w:tc>
        <w:tc>
          <w:tcPr>
            <w:tcW w:w="5758" w:type="dxa"/>
            <w:tcBorders>
              <w:top w:val="single" w:color="000000" w:sz="4" w:space="0"/>
              <w:left w:val="nil"/>
              <w:bottom w:val="single" w:color="000000" w:sz="4" w:space="0"/>
              <w:right w:val="single" w:color="000000" w:sz="4" w:space="0"/>
            </w:tcBorders>
          </w:tcPr>
          <w:p w14:paraId="662F5B21">
            <w:pPr>
              <w:autoSpaceDE w:val="0"/>
              <w:autoSpaceDN w:val="0"/>
              <w:adjustRightInd w:val="0"/>
              <w:jc w:val="left"/>
              <w:rPr>
                <w:rFonts w:ascii="宋体" w:hAnsi="宋体"/>
                <w:kern w:val="0"/>
                <w:sz w:val="24"/>
                <w:highlight w:val="none"/>
              </w:rPr>
            </w:pPr>
          </w:p>
        </w:tc>
      </w:tr>
      <w:tr w14:paraId="3667C971">
        <w:tblPrEx>
          <w:tblCellMar>
            <w:top w:w="0" w:type="dxa"/>
            <w:left w:w="0" w:type="dxa"/>
            <w:bottom w:w="0" w:type="dxa"/>
            <w:right w:w="0" w:type="dxa"/>
          </w:tblCellMar>
        </w:tblPrEx>
        <w:trPr>
          <w:trHeight w:val="679" w:hRule="atLeast"/>
        </w:trPr>
        <w:tc>
          <w:tcPr>
            <w:tcW w:w="2977" w:type="dxa"/>
            <w:tcBorders>
              <w:top w:val="single" w:color="000000" w:sz="4" w:space="0"/>
              <w:left w:val="single" w:color="000000" w:sz="4" w:space="0"/>
              <w:bottom w:val="single" w:color="000000" w:sz="4" w:space="0"/>
              <w:right w:val="single" w:color="000000" w:sz="4" w:space="0"/>
            </w:tcBorders>
          </w:tcPr>
          <w:p w14:paraId="5ABF374C">
            <w:pPr>
              <w:autoSpaceDE w:val="0"/>
              <w:autoSpaceDN w:val="0"/>
              <w:adjustRightInd w:val="0"/>
              <w:spacing w:before="4" w:line="160" w:lineRule="exact"/>
              <w:jc w:val="left"/>
              <w:rPr>
                <w:rFonts w:ascii="宋体" w:hAnsi="宋体"/>
                <w:kern w:val="0"/>
                <w:sz w:val="24"/>
                <w:highlight w:val="none"/>
              </w:rPr>
            </w:pPr>
          </w:p>
          <w:p w14:paraId="08012350">
            <w:pPr>
              <w:autoSpaceDE w:val="0"/>
              <w:autoSpaceDN w:val="0"/>
              <w:adjustRightInd w:val="0"/>
              <w:ind w:left="882" w:right="861"/>
              <w:jc w:val="center"/>
              <w:rPr>
                <w:rFonts w:ascii="宋体" w:hAnsi="宋体"/>
                <w:kern w:val="0"/>
                <w:sz w:val="24"/>
                <w:highlight w:val="none"/>
              </w:rPr>
            </w:pPr>
            <w:r>
              <w:rPr>
                <w:rFonts w:hint="eastAsia" w:ascii="宋体" w:hAnsi="宋体" w:cs="微软雅黑"/>
                <w:kern w:val="0"/>
                <w:sz w:val="24"/>
                <w:highlight w:val="none"/>
              </w:rPr>
              <w:t>备注</w:t>
            </w:r>
          </w:p>
        </w:tc>
        <w:tc>
          <w:tcPr>
            <w:tcW w:w="5758" w:type="dxa"/>
            <w:tcBorders>
              <w:top w:val="single" w:color="000000" w:sz="4" w:space="0"/>
              <w:left w:val="nil"/>
              <w:bottom w:val="single" w:color="000000" w:sz="4" w:space="0"/>
              <w:right w:val="single" w:color="000000" w:sz="4" w:space="0"/>
            </w:tcBorders>
          </w:tcPr>
          <w:p w14:paraId="28341622">
            <w:pPr>
              <w:autoSpaceDE w:val="0"/>
              <w:autoSpaceDN w:val="0"/>
              <w:adjustRightInd w:val="0"/>
              <w:jc w:val="left"/>
              <w:rPr>
                <w:rFonts w:ascii="宋体" w:hAnsi="宋体"/>
                <w:kern w:val="0"/>
                <w:sz w:val="24"/>
                <w:highlight w:val="none"/>
              </w:rPr>
            </w:pPr>
          </w:p>
        </w:tc>
      </w:tr>
    </w:tbl>
    <w:p w14:paraId="176FEFBE">
      <w:pPr>
        <w:spacing w:line="360" w:lineRule="auto"/>
        <w:ind w:firstLine="566" w:firstLineChars="236"/>
        <w:rPr>
          <w:rFonts w:ascii="宋体" w:hAnsi="宋体"/>
          <w:sz w:val="24"/>
          <w:highlight w:val="none"/>
        </w:rPr>
      </w:pPr>
      <w:r>
        <w:rPr>
          <w:rFonts w:hint="eastAsia" w:ascii="宋体" w:hAnsi="宋体"/>
          <w:sz w:val="24"/>
          <w:highlight w:val="none"/>
        </w:rPr>
        <w:t>注：本表后附中标通知书及合同协议书扫描件。每张表格只填写一个项目，并标明序号。</w:t>
      </w:r>
    </w:p>
    <w:p w14:paraId="4D1734E6">
      <w:pPr>
        <w:shd w:val="clear" w:color="auto" w:fill="FFFFFF"/>
        <w:spacing w:line="360" w:lineRule="auto"/>
        <w:rPr>
          <w:rFonts w:ascii="宋体" w:hAnsi="宋体"/>
          <w:spacing w:val="24"/>
          <w:sz w:val="24"/>
          <w:highlight w:val="none"/>
        </w:rPr>
      </w:pPr>
    </w:p>
    <w:p w14:paraId="419CB98E">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35D1F69D">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36EBB0C5">
      <w:pPr>
        <w:spacing w:line="360" w:lineRule="auto"/>
        <w:ind w:left="-7" w:leftChars="-95" w:right="452" w:hanging="192" w:hangingChars="67"/>
        <w:jc w:val="center"/>
        <w:rPr>
          <w:rFonts w:ascii="宋体" w:hAnsi="宋体" w:cs="宋体-PUA"/>
          <w:b/>
          <w:bCs/>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46FA046D">
      <w:pPr>
        <w:pStyle w:val="9"/>
        <w:spacing w:line="240" w:lineRule="exact"/>
        <w:jc w:val="center"/>
        <w:rPr>
          <w:rFonts w:ascii="宋体" w:hAnsi="宋体" w:eastAsia="宋体" w:cs="宋体-PUA"/>
          <w:sz w:val="24"/>
          <w:szCs w:val="24"/>
          <w:highlight w:val="none"/>
        </w:rPr>
      </w:pPr>
      <w:r>
        <w:rPr>
          <w:rFonts w:ascii="宋体" w:hAnsi="宋体" w:eastAsia="宋体" w:cs="宋体-PUA"/>
          <w:sz w:val="24"/>
          <w:szCs w:val="24"/>
          <w:highlight w:val="none"/>
        </w:rPr>
        <w:br w:type="page"/>
      </w:r>
      <w:bookmarkStart w:id="257" w:name="_Toc196238538"/>
      <w:r>
        <w:rPr>
          <w:rFonts w:hint="eastAsia" w:ascii="宋体" w:hAnsi="宋体" w:eastAsia="宋体" w:cs="宋体-PUA"/>
          <w:sz w:val="24"/>
          <w:szCs w:val="24"/>
          <w:highlight w:val="none"/>
        </w:rPr>
        <w:t>七、服务承诺</w:t>
      </w:r>
      <w:bookmarkEnd w:id="257"/>
    </w:p>
    <w:p w14:paraId="188C59F5">
      <w:pPr>
        <w:rPr>
          <w:highlight w:val="none"/>
        </w:rPr>
      </w:pPr>
    </w:p>
    <w:p w14:paraId="051C2662">
      <w:pPr>
        <w:spacing w:line="360" w:lineRule="auto"/>
        <w:ind w:firstLine="610" w:firstLineChars="250"/>
        <w:jc w:val="center"/>
        <w:rPr>
          <w:rFonts w:ascii="宋体" w:hAnsi="宋体"/>
          <w:spacing w:val="2"/>
          <w:sz w:val="24"/>
          <w:highlight w:val="none"/>
        </w:rPr>
      </w:pPr>
      <w:r>
        <w:rPr>
          <w:rFonts w:hint="eastAsia" w:ascii="宋体" w:hAnsi="宋体"/>
          <w:spacing w:val="2"/>
          <w:sz w:val="24"/>
          <w:highlight w:val="none"/>
        </w:rPr>
        <w:t>格式自拟。</w:t>
      </w:r>
    </w:p>
    <w:p w14:paraId="0C010366">
      <w:pPr>
        <w:widowControl/>
        <w:jc w:val="left"/>
        <w:rPr>
          <w:rFonts w:ascii="宋体" w:hAnsi="宋体" w:cs="宋体-PUA"/>
          <w:b/>
          <w:bCs/>
          <w:sz w:val="24"/>
          <w:highlight w:val="none"/>
        </w:rPr>
      </w:pPr>
    </w:p>
    <w:p w14:paraId="305C7ACE">
      <w:pPr>
        <w:spacing w:line="360" w:lineRule="auto"/>
        <w:ind w:firstLine="2880" w:firstLineChars="1000"/>
        <w:rPr>
          <w:rFonts w:ascii="宋体" w:hAnsi="宋体"/>
          <w:spacing w:val="24"/>
          <w:sz w:val="24"/>
          <w:highlight w:val="none"/>
        </w:rPr>
      </w:pPr>
    </w:p>
    <w:p w14:paraId="6540CA53">
      <w:pPr>
        <w:spacing w:line="360" w:lineRule="auto"/>
        <w:ind w:firstLine="2880" w:firstLineChars="1000"/>
        <w:rPr>
          <w:rFonts w:ascii="宋体" w:hAnsi="宋体"/>
          <w:spacing w:val="24"/>
          <w:sz w:val="24"/>
          <w:highlight w:val="none"/>
        </w:rPr>
      </w:pPr>
    </w:p>
    <w:p w14:paraId="3B38EF7B">
      <w:pPr>
        <w:spacing w:line="360" w:lineRule="auto"/>
        <w:ind w:firstLine="2880" w:firstLineChars="1000"/>
        <w:rPr>
          <w:rFonts w:ascii="宋体" w:hAnsi="宋体"/>
          <w:spacing w:val="24"/>
          <w:sz w:val="24"/>
          <w:highlight w:val="none"/>
        </w:rPr>
      </w:pPr>
    </w:p>
    <w:p w14:paraId="48C44BC1">
      <w:pPr>
        <w:spacing w:line="360" w:lineRule="auto"/>
        <w:ind w:firstLine="2880" w:firstLineChars="1000"/>
        <w:rPr>
          <w:rFonts w:ascii="宋体" w:hAnsi="宋体"/>
          <w:spacing w:val="24"/>
          <w:sz w:val="24"/>
          <w:highlight w:val="none"/>
        </w:rPr>
      </w:pPr>
    </w:p>
    <w:p w14:paraId="0853C68A">
      <w:pPr>
        <w:spacing w:line="360" w:lineRule="auto"/>
        <w:ind w:firstLine="2880" w:firstLineChars="10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404FF980">
      <w:pPr>
        <w:spacing w:line="360" w:lineRule="auto"/>
        <w:ind w:firstLine="2880" w:firstLineChars="10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001C131C">
      <w:pPr>
        <w:spacing w:line="360" w:lineRule="auto"/>
        <w:ind w:left="-7" w:leftChars="-95" w:right="452" w:hanging="192" w:hangingChars="67"/>
        <w:jc w:val="center"/>
        <w:rPr>
          <w:rFonts w:ascii="宋体" w:hAnsi="宋体" w:cs="宋体-PUA"/>
          <w:b/>
          <w:bCs/>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426AD90C">
      <w:pPr>
        <w:widowControl/>
        <w:jc w:val="left"/>
        <w:rPr>
          <w:rFonts w:ascii="宋体" w:hAnsi="宋体" w:cs="宋体-PUA"/>
          <w:b/>
          <w:bCs/>
          <w:sz w:val="24"/>
          <w:highlight w:val="none"/>
        </w:rPr>
      </w:pPr>
    </w:p>
    <w:p w14:paraId="6FE303AC">
      <w:pPr>
        <w:widowControl/>
        <w:jc w:val="left"/>
        <w:rPr>
          <w:rFonts w:ascii="宋体" w:hAnsi="宋体" w:cs="宋体-PUA"/>
          <w:b/>
          <w:bCs/>
          <w:sz w:val="24"/>
          <w:highlight w:val="none"/>
        </w:rPr>
      </w:pPr>
      <w:r>
        <w:rPr>
          <w:rFonts w:ascii="宋体" w:hAnsi="宋体" w:cs="宋体-PUA"/>
          <w:sz w:val="24"/>
          <w:highlight w:val="none"/>
        </w:rPr>
        <w:br w:type="page"/>
      </w:r>
    </w:p>
    <w:p w14:paraId="69A5B428">
      <w:pPr>
        <w:pStyle w:val="9"/>
        <w:spacing w:line="240" w:lineRule="auto"/>
        <w:jc w:val="center"/>
        <w:rPr>
          <w:rFonts w:ascii="宋体" w:hAnsi="宋体" w:eastAsia="宋体" w:cs="宋体-PUA"/>
          <w:sz w:val="24"/>
          <w:szCs w:val="24"/>
          <w:highlight w:val="none"/>
        </w:rPr>
      </w:pPr>
      <w:bookmarkStart w:id="258" w:name="_Toc196238539"/>
      <w:r>
        <w:rPr>
          <w:rFonts w:hint="eastAsia" w:ascii="宋体" w:hAnsi="宋体" w:eastAsia="宋体" w:cs="宋体-PUA"/>
          <w:sz w:val="24"/>
          <w:szCs w:val="24"/>
          <w:highlight w:val="none"/>
        </w:rPr>
        <w:t>八、</w:t>
      </w:r>
      <w:bookmarkEnd w:id="249"/>
      <w:bookmarkStart w:id="259" w:name="_Toc43652647"/>
      <w:r>
        <w:rPr>
          <w:rFonts w:hint="eastAsia" w:ascii="宋体" w:hAnsi="宋体" w:eastAsia="宋体" w:cs="宋体-PUA"/>
          <w:sz w:val="24"/>
          <w:szCs w:val="24"/>
          <w:highlight w:val="none"/>
        </w:rPr>
        <w:t>资格证明等文件</w:t>
      </w:r>
      <w:bookmarkEnd w:id="258"/>
      <w:bookmarkEnd w:id="259"/>
    </w:p>
    <w:p w14:paraId="2050A160">
      <w:pPr>
        <w:rPr>
          <w:rFonts w:ascii="宋体" w:hAnsi="宋体" w:cs="宋体"/>
          <w:b/>
          <w:sz w:val="24"/>
          <w:highlight w:val="none"/>
        </w:rPr>
      </w:pPr>
      <w:r>
        <w:rPr>
          <w:rFonts w:hint="eastAsia" w:ascii="宋体" w:hAnsi="宋体" w:cs="宋体"/>
          <w:b/>
          <w:sz w:val="24"/>
          <w:highlight w:val="none"/>
        </w:rPr>
        <w:t>8.1  基本情况表</w:t>
      </w:r>
    </w:p>
    <w:p w14:paraId="653E6EAA">
      <w:pPr>
        <w:rPr>
          <w:rFonts w:ascii="宋体" w:hAnsi="宋体" w:cs="宋体"/>
          <w:b/>
          <w:sz w:val="24"/>
          <w:highlight w:val="none"/>
        </w:rPr>
      </w:pPr>
    </w:p>
    <w:tbl>
      <w:tblPr>
        <w:tblStyle w:val="15"/>
        <w:tblW w:w="0" w:type="auto"/>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69"/>
        <w:gridCol w:w="1134"/>
        <w:gridCol w:w="1842"/>
        <w:gridCol w:w="1276"/>
        <w:gridCol w:w="2107"/>
      </w:tblGrid>
      <w:tr w14:paraId="7C31B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2269" w:type="dxa"/>
            <w:tcBorders>
              <w:top w:val="single" w:color="auto" w:sz="4" w:space="0"/>
              <w:left w:val="single" w:color="auto" w:sz="4" w:space="0"/>
              <w:bottom w:val="single" w:color="auto" w:sz="4" w:space="0"/>
              <w:right w:val="single" w:color="auto" w:sz="4" w:space="0"/>
            </w:tcBorders>
            <w:vAlign w:val="center"/>
          </w:tcPr>
          <w:p w14:paraId="38E61FAE">
            <w:pPr>
              <w:topLinePunct/>
              <w:spacing w:line="440" w:lineRule="exact"/>
              <w:ind w:firstLine="480"/>
              <w:rPr>
                <w:rFonts w:ascii="宋体" w:hAnsi="宋体"/>
                <w:sz w:val="24"/>
                <w:highlight w:val="none"/>
              </w:rPr>
            </w:pPr>
            <w:r>
              <w:rPr>
                <w:rFonts w:hint="eastAsia" w:ascii="宋体" w:hAnsi="宋体"/>
                <w:sz w:val="24"/>
                <w:highlight w:val="none"/>
              </w:rPr>
              <w:t>供应商</w:t>
            </w:r>
            <w:r>
              <w:rPr>
                <w:rFonts w:ascii="宋体" w:hAnsi="宋体"/>
                <w:sz w:val="24"/>
                <w:highlight w:val="none"/>
              </w:rPr>
              <w:t>名称</w:t>
            </w:r>
          </w:p>
        </w:tc>
        <w:tc>
          <w:tcPr>
            <w:tcW w:w="6359" w:type="dxa"/>
            <w:gridSpan w:val="4"/>
            <w:tcBorders>
              <w:top w:val="single" w:color="auto" w:sz="4" w:space="0"/>
              <w:left w:val="single" w:color="auto" w:sz="4" w:space="0"/>
              <w:bottom w:val="single" w:color="auto" w:sz="4" w:space="0"/>
              <w:right w:val="single" w:color="auto" w:sz="4" w:space="0"/>
            </w:tcBorders>
            <w:vAlign w:val="center"/>
          </w:tcPr>
          <w:p w14:paraId="670DBF9D">
            <w:pPr>
              <w:topLinePunct/>
              <w:spacing w:line="440" w:lineRule="exact"/>
              <w:ind w:firstLine="480"/>
              <w:jc w:val="center"/>
              <w:rPr>
                <w:rFonts w:ascii="宋体" w:hAnsi="宋体"/>
                <w:sz w:val="24"/>
                <w:highlight w:val="none"/>
              </w:rPr>
            </w:pPr>
          </w:p>
        </w:tc>
      </w:tr>
      <w:tr w14:paraId="6AB85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2269" w:type="dxa"/>
            <w:tcBorders>
              <w:top w:val="single" w:color="auto" w:sz="4" w:space="0"/>
              <w:left w:val="single" w:color="auto" w:sz="4" w:space="0"/>
              <w:bottom w:val="single" w:color="auto" w:sz="4" w:space="0"/>
              <w:right w:val="single" w:color="auto" w:sz="4" w:space="0"/>
            </w:tcBorders>
            <w:vAlign w:val="center"/>
          </w:tcPr>
          <w:p w14:paraId="7AE87A4C">
            <w:pPr>
              <w:topLinePunct/>
              <w:spacing w:line="440" w:lineRule="exact"/>
              <w:ind w:firstLine="480"/>
              <w:rPr>
                <w:rFonts w:ascii="宋体" w:hAnsi="宋体"/>
                <w:sz w:val="24"/>
                <w:highlight w:val="none"/>
              </w:rPr>
            </w:pPr>
            <w:r>
              <w:rPr>
                <w:rFonts w:ascii="宋体" w:hAnsi="宋体"/>
                <w:sz w:val="24"/>
                <w:highlight w:val="none"/>
              </w:rPr>
              <w:t>注册地址</w:t>
            </w:r>
          </w:p>
        </w:tc>
        <w:tc>
          <w:tcPr>
            <w:tcW w:w="2976" w:type="dxa"/>
            <w:gridSpan w:val="2"/>
            <w:tcBorders>
              <w:top w:val="single" w:color="auto" w:sz="4" w:space="0"/>
              <w:left w:val="single" w:color="auto" w:sz="4" w:space="0"/>
              <w:bottom w:val="single" w:color="auto" w:sz="4" w:space="0"/>
              <w:right w:val="single" w:color="auto" w:sz="4" w:space="0"/>
            </w:tcBorders>
            <w:vAlign w:val="center"/>
          </w:tcPr>
          <w:p w14:paraId="22E000B7">
            <w:pPr>
              <w:topLinePunct/>
              <w:spacing w:line="440" w:lineRule="exact"/>
              <w:ind w:firstLine="480"/>
              <w:jc w:val="center"/>
              <w:rPr>
                <w:rFonts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6889D08">
            <w:pPr>
              <w:topLinePunct/>
              <w:spacing w:line="440" w:lineRule="exact"/>
              <w:rPr>
                <w:rFonts w:ascii="宋体" w:hAnsi="宋体"/>
                <w:sz w:val="24"/>
                <w:highlight w:val="none"/>
              </w:rPr>
            </w:pPr>
            <w:r>
              <w:rPr>
                <w:rFonts w:ascii="宋体" w:hAnsi="宋体"/>
                <w:sz w:val="24"/>
                <w:highlight w:val="none"/>
              </w:rPr>
              <w:t>邮政编码</w:t>
            </w:r>
          </w:p>
        </w:tc>
        <w:tc>
          <w:tcPr>
            <w:tcW w:w="2107" w:type="dxa"/>
            <w:tcBorders>
              <w:top w:val="single" w:color="auto" w:sz="4" w:space="0"/>
              <w:left w:val="single" w:color="auto" w:sz="4" w:space="0"/>
              <w:bottom w:val="single" w:color="auto" w:sz="4" w:space="0"/>
              <w:right w:val="single" w:color="auto" w:sz="4" w:space="0"/>
            </w:tcBorders>
            <w:vAlign w:val="center"/>
          </w:tcPr>
          <w:p w14:paraId="193E0609">
            <w:pPr>
              <w:topLinePunct/>
              <w:spacing w:line="440" w:lineRule="exact"/>
              <w:ind w:firstLine="480"/>
              <w:jc w:val="center"/>
              <w:rPr>
                <w:rFonts w:ascii="宋体" w:hAnsi="宋体"/>
                <w:sz w:val="24"/>
                <w:highlight w:val="none"/>
              </w:rPr>
            </w:pPr>
          </w:p>
        </w:tc>
      </w:tr>
      <w:tr w14:paraId="4D4B94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2269" w:type="dxa"/>
            <w:vMerge w:val="restart"/>
            <w:tcBorders>
              <w:top w:val="single" w:color="auto" w:sz="4" w:space="0"/>
              <w:left w:val="single" w:color="auto" w:sz="4" w:space="0"/>
              <w:bottom w:val="single" w:color="auto" w:sz="4" w:space="0"/>
              <w:right w:val="single" w:color="auto" w:sz="4" w:space="0"/>
            </w:tcBorders>
            <w:vAlign w:val="center"/>
          </w:tcPr>
          <w:p w14:paraId="70DAE9CF">
            <w:pPr>
              <w:topLinePunct/>
              <w:spacing w:line="440" w:lineRule="exact"/>
              <w:ind w:firstLine="480"/>
              <w:rPr>
                <w:rFonts w:ascii="宋体" w:hAnsi="宋体"/>
                <w:sz w:val="24"/>
                <w:highlight w:val="none"/>
              </w:rPr>
            </w:pPr>
            <w:r>
              <w:rPr>
                <w:rFonts w:ascii="宋体" w:hAnsi="宋体"/>
                <w:sz w:val="24"/>
                <w:highlight w:val="none"/>
              </w:rPr>
              <w:t>联系方式</w:t>
            </w:r>
          </w:p>
        </w:tc>
        <w:tc>
          <w:tcPr>
            <w:tcW w:w="1134" w:type="dxa"/>
            <w:tcBorders>
              <w:top w:val="single" w:color="auto" w:sz="4" w:space="0"/>
              <w:left w:val="single" w:color="auto" w:sz="4" w:space="0"/>
              <w:bottom w:val="single" w:color="auto" w:sz="4" w:space="0"/>
              <w:right w:val="single" w:color="auto" w:sz="4" w:space="0"/>
            </w:tcBorders>
            <w:vAlign w:val="center"/>
          </w:tcPr>
          <w:p w14:paraId="21AC43DB">
            <w:pPr>
              <w:topLinePunct/>
              <w:spacing w:line="440" w:lineRule="exact"/>
              <w:rPr>
                <w:rFonts w:ascii="宋体" w:hAnsi="宋体"/>
                <w:sz w:val="24"/>
                <w:highlight w:val="none"/>
              </w:rPr>
            </w:pPr>
            <w:r>
              <w:rPr>
                <w:rFonts w:ascii="宋体" w:hAnsi="宋体"/>
                <w:sz w:val="24"/>
                <w:highlight w:val="none"/>
              </w:rPr>
              <w:t>联系人</w:t>
            </w:r>
          </w:p>
        </w:tc>
        <w:tc>
          <w:tcPr>
            <w:tcW w:w="1842" w:type="dxa"/>
            <w:tcBorders>
              <w:top w:val="single" w:color="auto" w:sz="4" w:space="0"/>
              <w:left w:val="single" w:color="auto" w:sz="4" w:space="0"/>
              <w:bottom w:val="single" w:color="auto" w:sz="4" w:space="0"/>
              <w:right w:val="single" w:color="auto" w:sz="4" w:space="0"/>
            </w:tcBorders>
            <w:vAlign w:val="center"/>
          </w:tcPr>
          <w:p w14:paraId="2167120F">
            <w:pPr>
              <w:topLinePunct/>
              <w:spacing w:line="440" w:lineRule="exact"/>
              <w:ind w:firstLine="480"/>
              <w:jc w:val="center"/>
              <w:rPr>
                <w:rFonts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4BA7AA6">
            <w:pPr>
              <w:topLinePunct/>
              <w:spacing w:line="440" w:lineRule="exact"/>
              <w:rPr>
                <w:rFonts w:ascii="宋体" w:hAnsi="宋体"/>
                <w:sz w:val="24"/>
                <w:highlight w:val="none"/>
              </w:rPr>
            </w:pPr>
            <w:r>
              <w:rPr>
                <w:rFonts w:ascii="宋体" w:hAnsi="宋体"/>
                <w:sz w:val="24"/>
                <w:highlight w:val="none"/>
              </w:rPr>
              <w:t>电 话</w:t>
            </w:r>
          </w:p>
        </w:tc>
        <w:tc>
          <w:tcPr>
            <w:tcW w:w="2107" w:type="dxa"/>
            <w:tcBorders>
              <w:top w:val="single" w:color="auto" w:sz="4" w:space="0"/>
              <w:left w:val="single" w:color="auto" w:sz="4" w:space="0"/>
              <w:bottom w:val="single" w:color="auto" w:sz="4" w:space="0"/>
              <w:right w:val="single" w:color="auto" w:sz="4" w:space="0"/>
            </w:tcBorders>
            <w:vAlign w:val="center"/>
          </w:tcPr>
          <w:p w14:paraId="3B06BD1F">
            <w:pPr>
              <w:topLinePunct/>
              <w:spacing w:line="440" w:lineRule="exact"/>
              <w:ind w:firstLine="480"/>
              <w:jc w:val="center"/>
              <w:rPr>
                <w:rFonts w:ascii="宋体" w:hAnsi="宋体"/>
                <w:sz w:val="24"/>
                <w:highlight w:val="none"/>
              </w:rPr>
            </w:pPr>
          </w:p>
        </w:tc>
      </w:tr>
      <w:tr w14:paraId="26E965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5" w:hRule="atLeast"/>
        </w:trPr>
        <w:tc>
          <w:tcPr>
            <w:tcW w:w="2269" w:type="dxa"/>
            <w:vMerge w:val="continue"/>
            <w:tcBorders>
              <w:top w:val="single" w:color="auto" w:sz="4" w:space="0"/>
              <w:left w:val="single" w:color="auto" w:sz="4" w:space="0"/>
              <w:bottom w:val="single" w:color="auto" w:sz="4" w:space="0"/>
              <w:right w:val="single" w:color="auto" w:sz="4" w:space="0"/>
            </w:tcBorders>
            <w:vAlign w:val="center"/>
          </w:tcPr>
          <w:p w14:paraId="413095F3">
            <w:pPr>
              <w:topLinePunct/>
              <w:spacing w:line="440" w:lineRule="exact"/>
              <w:ind w:firstLine="480"/>
              <w:jc w:val="center"/>
              <w:rPr>
                <w:rFonts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6B42BC4">
            <w:pPr>
              <w:topLinePunct/>
              <w:spacing w:line="440" w:lineRule="exact"/>
              <w:rPr>
                <w:rFonts w:ascii="宋体" w:hAnsi="宋体"/>
                <w:sz w:val="24"/>
                <w:highlight w:val="none"/>
              </w:rPr>
            </w:pPr>
            <w:r>
              <w:rPr>
                <w:rFonts w:hint="eastAsia" w:ascii="宋体" w:hAnsi="宋体"/>
                <w:sz w:val="24"/>
                <w:highlight w:val="none"/>
              </w:rPr>
              <w:t>邮箱</w:t>
            </w:r>
          </w:p>
        </w:tc>
        <w:tc>
          <w:tcPr>
            <w:tcW w:w="1842" w:type="dxa"/>
            <w:tcBorders>
              <w:top w:val="single" w:color="auto" w:sz="4" w:space="0"/>
              <w:left w:val="single" w:color="auto" w:sz="4" w:space="0"/>
              <w:bottom w:val="single" w:color="auto" w:sz="4" w:space="0"/>
              <w:right w:val="single" w:color="auto" w:sz="4" w:space="0"/>
            </w:tcBorders>
            <w:vAlign w:val="center"/>
          </w:tcPr>
          <w:p w14:paraId="6EB0BAFE">
            <w:pPr>
              <w:topLinePunct/>
              <w:spacing w:line="440" w:lineRule="exact"/>
              <w:ind w:firstLine="480"/>
              <w:jc w:val="center"/>
              <w:rPr>
                <w:rFonts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2726BC6">
            <w:pPr>
              <w:topLinePunct/>
              <w:spacing w:line="440" w:lineRule="exact"/>
              <w:rPr>
                <w:rFonts w:ascii="宋体" w:hAnsi="宋体"/>
                <w:sz w:val="24"/>
                <w:highlight w:val="none"/>
              </w:rPr>
            </w:pPr>
            <w:r>
              <w:rPr>
                <w:rFonts w:ascii="宋体" w:hAnsi="宋体"/>
                <w:sz w:val="24"/>
                <w:highlight w:val="none"/>
              </w:rPr>
              <w:t>网 址</w:t>
            </w:r>
          </w:p>
        </w:tc>
        <w:tc>
          <w:tcPr>
            <w:tcW w:w="2107" w:type="dxa"/>
            <w:tcBorders>
              <w:top w:val="single" w:color="auto" w:sz="4" w:space="0"/>
              <w:left w:val="single" w:color="auto" w:sz="4" w:space="0"/>
              <w:bottom w:val="single" w:color="auto" w:sz="4" w:space="0"/>
              <w:right w:val="single" w:color="auto" w:sz="4" w:space="0"/>
            </w:tcBorders>
            <w:vAlign w:val="center"/>
          </w:tcPr>
          <w:p w14:paraId="7AFAF5B4">
            <w:pPr>
              <w:topLinePunct/>
              <w:spacing w:line="440" w:lineRule="exact"/>
              <w:ind w:firstLine="480"/>
              <w:jc w:val="center"/>
              <w:rPr>
                <w:rFonts w:ascii="宋体" w:hAnsi="宋体"/>
                <w:sz w:val="24"/>
                <w:highlight w:val="none"/>
              </w:rPr>
            </w:pPr>
          </w:p>
        </w:tc>
      </w:tr>
      <w:tr w14:paraId="4291EB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269" w:type="dxa"/>
            <w:tcBorders>
              <w:top w:val="single" w:color="auto" w:sz="4" w:space="0"/>
              <w:left w:val="single" w:color="auto" w:sz="4" w:space="0"/>
              <w:bottom w:val="single" w:color="auto" w:sz="4" w:space="0"/>
              <w:right w:val="single" w:color="auto" w:sz="4" w:space="0"/>
            </w:tcBorders>
            <w:vAlign w:val="center"/>
          </w:tcPr>
          <w:p w14:paraId="4D1BF7B1">
            <w:pPr>
              <w:topLinePunct/>
              <w:spacing w:line="440" w:lineRule="exact"/>
              <w:ind w:firstLine="480"/>
              <w:rPr>
                <w:rFonts w:ascii="宋体" w:hAnsi="宋体"/>
                <w:sz w:val="24"/>
                <w:highlight w:val="none"/>
              </w:rPr>
            </w:pPr>
            <w:r>
              <w:rPr>
                <w:rFonts w:ascii="宋体" w:hAnsi="宋体"/>
                <w:sz w:val="24"/>
                <w:highlight w:val="none"/>
              </w:rPr>
              <w:t>法定代表人</w:t>
            </w:r>
          </w:p>
        </w:tc>
        <w:tc>
          <w:tcPr>
            <w:tcW w:w="1134" w:type="dxa"/>
            <w:tcBorders>
              <w:top w:val="single" w:color="auto" w:sz="4" w:space="0"/>
              <w:left w:val="single" w:color="auto" w:sz="4" w:space="0"/>
              <w:bottom w:val="single" w:color="auto" w:sz="4" w:space="0"/>
              <w:right w:val="single" w:color="auto" w:sz="4" w:space="0"/>
            </w:tcBorders>
            <w:vAlign w:val="center"/>
          </w:tcPr>
          <w:p w14:paraId="1C671A3C">
            <w:pPr>
              <w:topLinePunct/>
              <w:spacing w:line="440" w:lineRule="exact"/>
              <w:rPr>
                <w:rFonts w:ascii="宋体" w:hAnsi="宋体"/>
                <w:sz w:val="24"/>
                <w:highlight w:val="none"/>
              </w:rPr>
            </w:pPr>
            <w:r>
              <w:rPr>
                <w:rFonts w:ascii="宋体" w:hAnsi="宋体"/>
                <w:sz w:val="24"/>
                <w:highlight w:val="none"/>
              </w:rPr>
              <w:t>姓名</w:t>
            </w:r>
          </w:p>
        </w:tc>
        <w:tc>
          <w:tcPr>
            <w:tcW w:w="1842" w:type="dxa"/>
            <w:tcBorders>
              <w:top w:val="single" w:color="auto" w:sz="4" w:space="0"/>
              <w:left w:val="single" w:color="auto" w:sz="4" w:space="0"/>
              <w:bottom w:val="single" w:color="auto" w:sz="4" w:space="0"/>
              <w:right w:val="single" w:color="auto" w:sz="4" w:space="0"/>
            </w:tcBorders>
            <w:vAlign w:val="center"/>
          </w:tcPr>
          <w:p w14:paraId="09BDF473">
            <w:pPr>
              <w:topLinePunct/>
              <w:spacing w:line="440" w:lineRule="exact"/>
              <w:ind w:firstLine="480"/>
              <w:jc w:val="center"/>
              <w:rPr>
                <w:rFonts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AEA0995">
            <w:pPr>
              <w:topLinePunct/>
              <w:spacing w:line="440" w:lineRule="exact"/>
              <w:rPr>
                <w:rFonts w:ascii="宋体" w:hAnsi="宋体"/>
                <w:sz w:val="24"/>
                <w:highlight w:val="none"/>
              </w:rPr>
            </w:pPr>
            <w:r>
              <w:rPr>
                <w:rFonts w:ascii="宋体" w:hAnsi="宋体"/>
                <w:sz w:val="24"/>
                <w:highlight w:val="none"/>
              </w:rPr>
              <w:t>电话</w:t>
            </w:r>
          </w:p>
        </w:tc>
        <w:tc>
          <w:tcPr>
            <w:tcW w:w="2107" w:type="dxa"/>
            <w:tcBorders>
              <w:top w:val="single" w:color="auto" w:sz="4" w:space="0"/>
              <w:left w:val="single" w:color="auto" w:sz="4" w:space="0"/>
              <w:bottom w:val="single" w:color="auto" w:sz="4" w:space="0"/>
              <w:right w:val="single" w:color="auto" w:sz="4" w:space="0"/>
            </w:tcBorders>
            <w:vAlign w:val="center"/>
          </w:tcPr>
          <w:p w14:paraId="25042157">
            <w:pPr>
              <w:topLinePunct/>
              <w:spacing w:line="440" w:lineRule="exact"/>
              <w:ind w:firstLine="480"/>
              <w:jc w:val="center"/>
              <w:rPr>
                <w:rFonts w:ascii="宋体" w:hAnsi="宋体"/>
                <w:sz w:val="24"/>
                <w:highlight w:val="none"/>
              </w:rPr>
            </w:pPr>
          </w:p>
        </w:tc>
      </w:tr>
      <w:tr w14:paraId="554B1F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2269" w:type="dxa"/>
            <w:tcBorders>
              <w:top w:val="single" w:color="auto" w:sz="4" w:space="0"/>
              <w:left w:val="single" w:color="auto" w:sz="4" w:space="0"/>
              <w:bottom w:val="single" w:color="auto" w:sz="4" w:space="0"/>
              <w:right w:val="single" w:color="auto" w:sz="4" w:space="0"/>
            </w:tcBorders>
            <w:vAlign w:val="center"/>
          </w:tcPr>
          <w:p w14:paraId="3C895A3E">
            <w:pPr>
              <w:topLinePunct/>
              <w:spacing w:line="440" w:lineRule="exact"/>
              <w:ind w:firstLine="480"/>
              <w:rPr>
                <w:rFonts w:ascii="宋体" w:hAnsi="宋体"/>
                <w:sz w:val="24"/>
                <w:highlight w:val="none"/>
              </w:rPr>
            </w:pPr>
            <w:r>
              <w:rPr>
                <w:rFonts w:ascii="宋体" w:hAnsi="宋体"/>
                <w:sz w:val="24"/>
                <w:highlight w:val="none"/>
              </w:rPr>
              <w:t>成立时间</w:t>
            </w:r>
          </w:p>
        </w:tc>
        <w:tc>
          <w:tcPr>
            <w:tcW w:w="2976" w:type="dxa"/>
            <w:gridSpan w:val="2"/>
            <w:tcBorders>
              <w:top w:val="single" w:color="auto" w:sz="4" w:space="0"/>
              <w:left w:val="single" w:color="auto" w:sz="4" w:space="0"/>
              <w:bottom w:val="single" w:color="auto" w:sz="4" w:space="0"/>
              <w:right w:val="single" w:color="auto" w:sz="4" w:space="0"/>
            </w:tcBorders>
            <w:vAlign w:val="center"/>
          </w:tcPr>
          <w:p w14:paraId="6C37FA08">
            <w:pPr>
              <w:topLinePunct/>
              <w:spacing w:line="440" w:lineRule="exact"/>
              <w:ind w:firstLine="480"/>
              <w:jc w:val="center"/>
              <w:rPr>
                <w:rFonts w:ascii="宋体" w:hAnsi="宋体"/>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E0ACB8F">
            <w:pPr>
              <w:topLinePunct/>
              <w:spacing w:line="440" w:lineRule="exact"/>
              <w:rPr>
                <w:rFonts w:ascii="宋体" w:hAnsi="宋体"/>
                <w:sz w:val="24"/>
                <w:highlight w:val="none"/>
              </w:rPr>
            </w:pPr>
            <w:r>
              <w:rPr>
                <w:rFonts w:ascii="宋体" w:hAnsi="宋体"/>
                <w:sz w:val="24"/>
                <w:highlight w:val="none"/>
              </w:rPr>
              <w:t>员工总人数</w:t>
            </w:r>
          </w:p>
        </w:tc>
        <w:tc>
          <w:tcPr>
            <w:tcW w:w="2107" w:type="dxa"/>
            <w:tcBorders>
              <w:top w:val="single" w:color="auto" w:sz="4" w:space="0"/>
              <w:left w:val="single" w:color="auto" w:sz="4" w:space="0"/>
              <w:bottom w:val="single" w:color="auto" w:sz="4" w:space="0"/>
              <w:right w:val="single" w:color="auto" w:sz="4" w:space="0"/>
            </w:tcBorders>
            <w:vAlign w:val="center"/>
          </w:tcPr>
          <w:p w14:paraId="614C810A">
            <w:pPr>
              <w:topLinePunct/>
              <w:spacing w:line="440" w:lineRule="exact"/>
              <w:ind w:firstLine="120" w:firstLineChars="50"/>
              <w:jc w:val="center"/>
              <w:rPr>
                <w:rFonts w:ascii="宋体" w:hAnsi="宋体"/>
                <w:sz w:val="24"/>
                <w:highlight w:val="none"/>
              </w:rPr>
            </w:pPr>
          </w:p>
        </w:tc>
      </w:tr>
      <w:tr w14:paraId="1A170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3" w:hRule="atLeast"/>
        </w:trPr>
        <w:tc>
          <w:tcPr>
            <w:tcW w:w="2269" w:type="dxa"/>
            <w:tcBorders>
              <w:top w:val="single" w:color="auto" w:sz="4" w:space="0"/>
              <w:left w:val="single" w:color="auto" w:sz="4" w:space="0"/>
              <w:bottom w:val="single" w:color="auto" w:sz="4" w:space="0"/>
              <w:right w:val="single" w:color="auto" w:sz="4" w:space="0"/>
            </w:tcBorders>
            <w:vAlign w:val="center"/>
          </w:tcPr>
          <w:p w14:paraId="5FF7E030">
            <w:pPr>
              <w:topLinePunct/>
              <w:spacing w:line="440" w:lineRule="exact"/>
              <w:ind w:firstLine="480"/>
              <w:rPr>
                <w:rFonts w:ascii="宋体" w:hAnsi="宋体"/>
                <w:sz w:val="24"/>
                <w:highlight w:val="none"/>
              </w:rPr>
            </w:pPr>
            <w:r>
              <w:rPr>
                <w:rFonts w:ascii="宋体" w:hAnsi="宋体"/>
                <w:sz w:val="24"/>
                <w:highlight w:val="none"/>
              </w:rPr>
              <w:t>营业执照号</w:t>
            </w:r>
          </w:p>
        </w:tc>
        <w:tc>
          <w:tcPr>
            <w:tcW w:w="6359" w:type="dxa"/>
            <w:gridSpan w:val="4"/>
            <w:tcBorders>
              <w:top w:val="single" w:color="auto" w:sz="4" w:space="0"/>
              <w:left w:val="single" w:color="auto" w:sz="4" w:space="0"/>
              <w:bottom w:val="single" w:color="auto" w:sz="4" w:space="0"/>
              <w:right w:val="single" w:color="auto" w:sz="4" w:space="0"/>
            </w:tcBorders>
            <w:vAlign w:val="center"/>
          </w:tcPr>
          <w:p w14:paraId="2F757D92">
            <w:pPr>
              <w:topLinePunct/>
              <w:spacing w:line="440" w:lineRule="exact"/>
              <w:ind w:firstLine="480"/>
              <w:jc w:val="center"/>
              <w:rPr>
                <w:rFonts w:ascii="宋体" w:hAnsi="宋体"/>
                <w:sz w:val="24"/>
                <w:highlight w:val="none"/>
              </w:rPr>
            </w:pPr>
          </w:p>
        </w:tc>
      </w:tr>
      <w:tr w14:paraId="56E6A7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3" w:hRule="atLeast"/>
        </w:trPr>
        <w:tc>
          <w:tcPr>
            <w:tcW w:w="2269" w:type="dxa"/>
            <w:tcBorders>
              <w:top w:val="single" w:color="auto" w:sz="4" w:space="0"/>
              <w:left w:val="single" w:color="auto" w:sz="4" w:space="0"/>
              <w:bottom w:val="single" w:color="auto" w:sz="4" w:space="0"/>
              <w:right w:val="single" w:color="auto" w:sz="4" w:space="0"/>
            </w:tcBorders>
            <w:vAlign w:val="center"/>
          </w:tcPr>
          <w:p w14:paraId="7FA67E56">
            <w:pPr>
              <w:topLinePunct/>
              <w:spacing w:line="440" w:lineRule="exact"/>
              <w:ind w:firstLine="480"/>
              <w:rPr>
                <w:rFonts w:ascii="宋体" w:hAnsi="宋体"/>
                <w:sz w:val="24"/>
                <w:highlight w:val="none"/>
              </w:rPr>
            </w:pPr>
            <w:r>
              <w:rPr>
                <w:rFonts w:ascii="宋体" w:hAnsi="宋体"/>
                <w:sz w:val="24"/>
                <w:highlight w:val="none"/>
              </w:rPr>
              <w:t>注册资</w:t>
            </w:r>
            <w:r>
              <w:rPr>
                <w:rFonts w:hint="eastAsia" w:ascii="宋体" w:hAnsi="宋体"/>
                <w:sz w:val="24"/>
                <w:highlight w:val="none"/>
              </w:rPr>
              <w:t>本</w:t>
            </w:r>
          </w:p>
        </w:tc>
        <w:tc>
          <w:tcPr>
            <w:tcW w:w="6359" w:type="dxa"/>
            <w:gridSpan w:val="4"/>
            <w:tcBorders>
              <w:top w:val="single" w:color="auto" w:sz="4" w:space="0"/>
              <w:left w:val="single" w:color="auto" w:sz="4" w:space="0"/>
              <w:bottom w:val="single" w:color="auto" w:sz="4" w:space="0"/>
              <w:right w:val="single" w:color="auto" w:sz="4" w:space="0"/>
            </w:tcBorders>
            <w:vAlign w:val="center"/>
          </w:tcPr>
          <w:p w14:paraId="47B0C2FC">
            <w:pPr>
              <w:topLinePunct/>
              <w:spacing w:line="440" w:lineRule="exact"/>
              <w:ind w:firstLine="480"/>
              <w:jc w:val="center"/>
              <w:rPr>
                <w:rFonts w:ascii="宋体" w:hAnsi="宋体"/>
                <w:sz w:val="24"/>
                <w:highlight w:val="none"/>
              </w:rPr>
            </w:pPr>
          </w:p>
        </w:tc>
      </w:tr>
      <w:tr w14:paraId="4A293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3" w:hRule="atLeast"/>
        </w:trPr>
        <w:tc>
          <w:tcPr>
            <w:tcW w:w="2269" w:type="dxa"/>
            <w:tcBorders>
              <w:top w:val="single" w:color="auto" w:sz="4" w:space="0"/>
              <w:left w:val="single" w:color="auto" w:sz="4" w:space="0"/>
              <w:bottom w:val="single" w:color="auto" w:sz="4" w:space="0"/>
              <w:right w:val="single" w:color="auto" w:sz="4" w:space="0"/>
            </w:tcBorders>
            <w:vAlign w:val="center"/>
          </w:tcPr>
          <w:p w14:paraId="6D66899B">
            <w:pPr>
              <w:topLinePunct/>
              <w:spacing w:line="440" w:lineRule="exact"/>
              <w:jc w:val="center"/>
              <w:rPr>
                <w:rFonts w:ascii="宋体" w:hAnsi="宋体"/>
                <w:sz w:val="24"/>
                <w:highlight w:val="none"/>
              </w:rPr>
            </w:pPr>
            <w:r>
              <w:rPr>
                <w:rFonts w:ascii="宋体" w:hAnsi="宋体"/>
                <w:sz w:val="24"/>
                <w:highlight w:val="none"/>
              </w:rPr>
              <w:t>开户银行</w:t>
            </w:r>
          </w:p>
        </w:tc>
        <w:tc>
          <w:tcPr>
            <w:tcW w:w="6359" w:type="dxa"/>
            <w:gridSpan w:val="4"/>
            <w:tcBorders>
              <w:top w:val="single" w:color="auto" w:sz="4" w:space="0"/>
              <w:left w:val="single" w:color="auto" w:sz="4" w:space="0"/>
              <w:bottom w:val="single" w:color="auto" w:sz="4" w:space="0"/>
              <w:right w:val="single" w:color="auto" w:sz="4" w:space="0"/>
            </w:tcBorders>
            <w:vAlign w:val="center"/>
          </w:tcPr>
          <w:p w14:paraId="3EA2F23E">
            <w:pPr>
              <w:topLinePunct/>
              <w:spacing w:line="440" w:lineRule="exact"/>
              <w:ind w:firstLine="480"/>
              <w:jc w:val="center"/>
              <w:rPr>
                <w:rFonts w:ascii="宋体" w:hAnsi="宋体"/>
                <w:sz w:val="24"/>
                <w:highlight w:val="none"/>
              </w:rPr>
            </w:pPr>
          </w:p>
        </w:tc>
      </w:tr>
      <w:tr w14:paraId="622E3E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3" w:hRule="atLeast"/>
        </w:trPr>
        <w:tc>
          <w:tcPr>
            <w:tcW w:w="2269" w:type="dxa"/>
            <w:tcBorders>
              <w:top w:val="single" w:color="auto" w:sz="4" w:space="0"/>
              <w:left w:val="single" w:color="auto" w:sz="4" w:space="0"/>
              <w:bottom w:val="single" w:color="auto" w:sz="4" w:space="0"/>
              <w:right w:val="single" w:color="auto" w:sz="4" w:space="0"/>
            </w:tcBorders>
            <w:vAlign w:val="center"/>
          </w:tcPr>
          <w:p w14:paraId="6722B63D">
            <w:pPr>
              <w:topLinePunct/>
              <w:spacing w:line="440" w:lineRule="exact"/>
              <w:jc w:val="center"/>
              <w:rPr>
                <w:rFonts w:ascii="宋体" w:hAnsi="宋体"/>
                <w:sz w:val="24"/>
                <w:highlight w:val="none"/>
              </w:rPr>
            </w:pPr>
            <w:r>
              <w:rPr>
                <w:rFonts w:hint="eastAsia" w:ascii="宋体" w:hAnsi="宋体"/>
                <w:sz w:val="24"/>
                <w:highlight w:val="none"/>
              </w:rPr>
              <w:t>银行</w:t>
            </w:r>
            <w:r>
              <w:rPr>
                <w:rFonts w:ascii="宋体" w:hAnsi="宋体"/>
                <w:sz w:val="24"/>
                <w:highlight w:val="none"/>
              </w:rPr>
              <w:t>账号</w:t>
            </w:r>
          </w:p>
        </w:tc>
        <w:tc>
          <w:tcPr>
            <w:tcW w:w="6359" w:type="dxa"/>
            <w:gridSpan w:val="4"/>
            <w:tcBorders>
              <w:top w:val="single" w:color="auto" w:sz="4" w:space="0"/>
              <w:left w:val="single" w:color="auto" w:sz="4" w:space="0"/>
              <w:bottom w:val="single" w:color="auto" w:sz="4" w:space="0"/>
              <w:right w:val="single" w:color="auto" w:sz="4" w:space="0"/>
            </w:tcBorders>
            <w:vAlign w:val="center"/>
          </w:tcPr>
          <w:p w14:paraId="6EEB133D">
            <w:pPr>
              <w:topLinePunct/>
              <w:spacing w:line="440" w:lineRule="exact"/>
              <w:ind w:firstLine="480"/>
              <w:jc w:val="center"/>
              <w:rPr>
                <w:rFonts w:ascii="宋体" w:hAnsi="宋体"/>
                <w:sz w:val="24"/>
                <w:highlight w:val="none"/>
              </w:rPr>
            </w:pPr>
          </w:p>
        </w:tc>
      </w:tr>
      <w:tr w14:paraId="41C082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2269" w:type="dxa"/>
            <w:tcBorders>
              <w:top w:val="single" w:color="auto" w:sz="4" w:space="0"/>
              <w:left w:val="single" w:color="auto" w:sz="4" w:space="0"/>
              <w:right w:val="single" w:color="auto" w:sz="4" w:space="0"/>
            </w:tcBorders>
            <w:vAlign w:val="center"/>
          </w:tcPr>
          <w:p w14:paraId="7E8BC50D">
            <w:pPr>
              <w:topLinePunct/>
              <w:spacing w:line="440" w:lineRule="exact"/>
              <w:ind w:firstLine="360" w:firstLineChars="150"/>
              <w:rPr>
                <w:rFonts w:ascii="宋体" w:hAnsi="宋体"/>
                <w:sz w:val="24"/>
                <w:highlight w:val="none"/>
              </w:rPr>
            </w:pPr>
            <w:r>
              <w:rPr>
                <w:rFonts w:ascii="宋体" w:hAnsi="宋体"/>
                <w:sz w:val="24"/>
                <w:highlight w:val="none"/>
              </w:rPr>
              <w:t>经营范围</w:t>
            </w:r>
          </w:p>
        </w:tc>
        <w:tc>
          <w:tcPr>
            <w:tcW w:w="6359" w:type="dxa"/>
            <w:gridSpan w:val="4"/>
            <w:tcBorders>
              <w:top w:val="single" w:color="auto" w:sz="4" w:space="0"/>
              <w:left w:val="single" w:color="auto" w:sz="4" w:space="0"/>
              <w:right w:val="single" w:color="auto" w:sz="4" w:space="0"/>
            </w:tcBorders>
            <w:vAlign w:val="center"/>
          </w:tcPr>
          <w:p w14:paraId="3EDB417D">
            <w:pPr>
              <w:topLinePunct/>
              <w:spacing w:line="440" w:lineRule="exact"/>
              <w:ind w:firstLine="480"/>
              <w:rPr>
                <w:rFonts w:ascii="宋体" w:hAnsi="宋体"/>
                <w:sz w:val="24"/>
                <w:highlight w:val="none"/>
              </w:rPr>
            </w:pPr>
          </w:p>
          <w:p w14:paraId="2272AC31">
            <w:pPr>
              <w:topLinePunct/>
              <w:spacing w:line="440" w:lineRule="exact"/>
              <w:ind w:firstLine="480"/>
              <w:rPr>
                <w:rFonts w:ascii="宋体" w:hAnsi="宋体"/>
                <w:sz w:val="24"/>
                <w:highlight w:val="none"/>
              </w:rPr>
            </w:pPr>
          </w:p>
          <w:p w14:paraId="5EEB7CB9">
            <w:pPr>
              <w:topLinePunct/>
              <w:spacing w:line="440" w:lineRule="exact"/>
              <w:ind w:firstLine="480"/>
              <w:rPr>
                <w:rFonts w:ascii="宋体" w:hAnsi="宋体"/>
                <w:sz w:val="24"/>
                <w:highlight w:val="none"/>
              </w:rPr>
            </w:pPr>
          </w:p>
          <w:p w14:paraId="786602F5">
            <w:pPr>
              <w:topLinePunct/>
              <w:spacing w:line="440" w:lineRule="exact"/>
              <w:ind w:firstLine="480"/>
              <w:rPr>
                <w:rFonts w:ascii="宋体" w:hAnsi="宋体"/>
                <w:sz w:val="24"/>
                <w:highlight w:val="none"/>
              </w:rPr>
            </w:pPr>
          </w:p>
        </w:tc>
      </w:tr>
      <w:tr w14:paraId="5D4B74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2269" w:type="dxa"/>
            <w:tcBorders>
              <w:top w:val="single" w:color="auto" w:sz="4" w:space="0"/>
              <w:left w:val="single" w:color="auto" w:sz="4" w:space="0"/>
              <w:bottom w:val="single" w:color="auto" w:sz="4" w:space="0"/>
              <w:right w:val="single" w:color="auto" w:sz="4" w:space="0"/>
            </w:tcBorders>
            <w:vAlign w:val="center"/>
          </w:tcPr>
          <w:p w14:paraId="34627675">
            <w:pPr>
              <w:topLinePunct/>
              <w:spacing w:line="440" w:lineRule="exact"/>
              <w:ind w:firstLine="600" w:firstLineChars="250"/>
              <w:rPr>
                <w:rFonts w:ascii="宋体" w:hAnsi="宋体"/>
                <w:sz w:val="24"/>
                <w:highlight w:val="none"/>
              </w:rPr>
            </w:pPr>
            <w:r>
              <w:rPr>
                <w:rFonts w:ascii="宋体" w:hAnsi="宋体"/>
                <w:sz w:val="24"/>
                <w:highlight w:val="none"/>
              </w:rPr>
              <w:t>备注</w:t>
            </w:r>
          </w:p>
        </w:tc>
        <w:tc>
          <w:tcPr>
            <w:tcW w:w="6359" w:type="dxa"/>
            <w:gridSpan w:val="4"/>
            <w:tcBorders>
              <w:top w:val="single" w:color="auto" w:sz="4" w:space="0"/>
              <w:left w:val="single" w:color="auto" w:sz="4" w:space="0"/>
              <w:bottom w:val="single" w:color="auto" w:sz="4" w:space="0"/>
              <w:right w:val="single" w:color="auto" w:sz="4" w:space="0"/>
            </w:tcBorders>
            <w:vAlign w:val="center"/>
          </w:tcPr>
          <w:p w14:paraId="28DF79BA">
            <w:pPr>
              <w:topLinePunct/>
              <w:spacing w:line="440" w:lineRule="exact"/>
              <w:ind w:firstLine="480"/>
              <w:jc w:val="center"/>
              <w:rPr>
                <w:rFonts w:ascii="宋体" w:hAnsi="宋体"/>
                <w:sz w:val="24"/>
                <w:highlight w:val="none"/>
              </w:rPr>
            </w:pPr>
          </w:p>
        </w:tc>
      </w:tr>
    </w:tbl>
    <w:p w14:paraId="2800BD12">
      <w:pPr>
        <w:rPr>
          <w:rFonts w:ascii="宋体" w:hAnsi="宋体" w:cs="宋体"/>
          <w:b/>
          <w:sz w:val="24"/>
          <w:highlight w:val="none"/>
        </w:rPr>
      </w:pPr>
    </w:p>
    <w:p w14:paraId="6AA8A249">
      <w:pPr>
        <w:spacing w:line="400" w:lineRule="atLeast"/>
        <w:ind w:firstLine="2760" w:firstLineChars="1150"/>
        <w:rPr>
          <w:rFonts w:ascii="宋体" w:hAnsi="宋体" w:cs="宋体"/>
          <w:sz w:val="24"/>
          <w:highlight w:val="none"/>
        </w:rPr>
      </w:pPr>
    </w:p>
    <w:p w14:paraId="20D94C7F">
      <w:pPr>
        <w:spacing w:line="400" w:lineRule="atLeast"/>
        <w:ind w:firstLine="2760" w:firstLineChars="1150"/>
        <w:rPr>
          <w:rFonts w:ascii="宋体" w:hAnsi="宋体" w:cs="宋体"/>
          <w:sz w:val="24"/>
          <w:highlight w:val="none"/>
        </w:rPr>
      </w:pPr>
    </w:p>
    <w:p w14:paraId="41E4A0DA">
      <w:pPr>
        <w:spacing w:line="360" w:lineRule="auto"/>
        <w:ind w:firstLine="2432" w:firstLineChars="950"/>
        <w:rPr>
          <w:rFonts w:ascii="宋体"/>
          <w:spacing w:val="24"/>
          <w:sz w:val="24"/>
          <w:highlight w:val="none"/>
        </w:rPr>
      </w:pPr>
      <w:r>
        <w:rPr>
          <w:rFonts w:hint="eastAsia" w:ascii="宋体" w:hAnsi="宋体" w:cs="宋体"/>
          <w:spacing w:val="8"/>
          <w:sz w:val="24"/>
          <w:highlight w:val="none"/>
        </w:rPr>
        <w:t xml:space="preserve">     </w:t>
      </w: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67E0F96A">
      <w:pPr>
        <w:spacing w:line="360" w:lineRule="auto"/>
        <w:ind w:firstLine="3168" w:firstLineChars="11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1B79CC15">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6B8BF928">
      <w:pPr>
        <w:spacing w:line="360" w:lineRule="auto"/>
        <w:ind w:firstLine="3353" w:firstLineChars="1310"/>
        <w:rPr>
          <w:rFonts w:ascii="宋体" w:hAnsi="宋体" w:cs="宋体"/>
          <w:spacing w:val="8"/>
          <w:sz w:val="24"/>
          <w:highlight w:val="none"/>
        </w:rPr>
      </w:pPr>
    </w:p>
    <w:p w14:paraId="35631B23">
      <w:pPr>
        <w:tabs>
          <w:tab w:val="left" w:pos="6170"/>
        </w:tabs>
        <w:autoSpaceDE w:val="0"/>
        <w:autoSpaceDN w:val="0"/>
        <w:spacing w:line="480" w:lineRule="auto"/>
        <w:jc w:val="left"/>
        <w:rPr>
          <w:rFonts w:ascii="宋体" w:hAnsi="宋体" w:cs="宋体"/>
          <w:b/>
          <w:sz w:val="24"/>
          <w:highlight w:val="none"/>
        </w:rPr>
      </w:pPr>
      <w:r>
        <w:rPr>
          <w:rFonts w:ascii="宋体" w:hAnsi="宋体" w:cs="宋体"/>
          <w:sz w:val="24"/>
          <w:highlight w:val="none"/>
        </w:rPr>
        <w:br w:type="page"/>
      </w:r>
      <w:bookmarkEnd w:id="239"/>
      <w:r>
        <w:rPr>
          <w:rFonts w:hint="eastAsia" w:ascii="宋体" w:hAnsi="宋体" w:cs="宋体"/>
          <w:b/>
          <w:sz w:val="24"/>
          <w:highlight w:val="none"/>
        </w:rPr>
        <w:t>8.2  资格承诺声明函</w:t>
      </w:r>
    </w:p>
    <w:p w14:paraId="16F41206">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致（本项目采购单位）： </w:t>
      </w:r>
    </w:p>
    <w:p w14:paraId="78F99E38">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我单位自愿参加本次政府采购活动，严格遵守《中华人民共和国政府采购法》及相关法律法规，依法诚信经营，依法遵守本次政府采购活动的各项规定。我单位郑重承诺声明如下： </w:t>
      </w:r>
    </w:p>
    <w:p w14:paraId="4E77D69E">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一、我单位全称为</w:t>
      </w:r>
      <w:r>
        <w:rPr>
          <w:rFonts w:hint="eastAsia" w:ascii="宋体" w:hAnsi="宋体" w:cs="仿宋"/>
          <w:kern w:val="0"/>
          <w:sz w:val="24"/>
          <w:highlight w:val="none"/>
          <w:u w:val="single"/>
        </w:rPr>
        <w:t xml:space="preserve">       </w:t>
      </w:r>
      <w:r>
        <w:rPr>
          <w:rFonts w:hint="eastAsia" w:ascii="宋体" w:hAnsi="宋体" w:cs="仿宋"/>
          <w:kern w:val="0"/>
          <w:sz w:val="24"/>
          <w:highlight w:val="none"/>
        </w:rPr>
        <w:t>，注册地点为</w:t>
      </w:r>
      <w:r>
        <w:rPr>
          <w:rFonts w:hint="eastAsia" w:ascii="宋体" w:hAnsi="宋体" w:cs="仿宋"/>
          <w:kern w:val="0"/>
          <w:sz w:val="24"/>
          <w:highlight w:val="none"/>
          <w:u w:val="single"/>
        </w:rPr>
        <w:t xml:space="preserve">       </w:t>
      </w:r>
      <w:r>
        <w:rPr>
          <w:rFonts w:hint="eastAsia" w:ascii="宋体" w:hAnsi="宋体" w:cs="仿宋"/>
          <w:kern w:val="0"/>
          <w:sz w:val="24"/>
          <w:highlight w:val="none"/>
        </w:rPr>
        <w:t>，统一社会信用代码为</w:t>
      </w:r>
      <w:r>
        <w:rPr>
          <w:rFonts w:hint="eastAsia" w:ascii="宋体" w:hAnsi="宋体" w:cs="仿宋"/>
          <w:kern w:val="0"/>
          <w:sz w:val="24"/>
          <w:highlight w:val="none"/>
          <w:u w:val="single"/>
        </w:rPr>
        <w:t xml:space="preserve">      </w:t>
      </w:r>
      <w:r>
        <w:rPr>
          <w:rFonts w:hint="eastAsia" w:ascii="宋体" w:hAnsi="宋体" w:cs="仿宋"/>
          <w:kern w:val="0"/>
          <w:sz w:val="24"/>
          <w:highlight w:val="none"/>
        </w:rPr>
        <w:t>，法定代表人（单位负责人）为</w:t>
      </w:r>
      <w:r>
        <w:rPr>
          <w:rFonts w:hint="eastAsia" w:ascii="宋体" w:hAnsi="宋体" w:cs="仿宋"/>
          <w:kern w:val="0"/>
          <w:sz w:val="24"/>
          <w:highlight w:val="none"/>
          <w:u w:val="single"/>
        </w:rPr>
        <w:t xml:space="preserve">          </w:t>
      </w:r>
      <w:r>
        <w:rPr>
          <w:rFonts w:hint="eastAsia" w:ascii="宋体" w:hAnsi="宋体" w:cs="仿宋"/>
          <w:kern w:val="0"/>
          <w:sz w:val="24"/>
          <w:highlight w:val="none"/>
        </w:rPr>
        <w:t xml:space="preserve">，联系方式为 </w:t>
      </w:r>
      <w:r>
        <w:rPr>
          <w:rFonts w:hint="eastAsia" w:ascii="宋体" w:hAnsi="宋体" w:cs="仿宋"/>
          <w:kern w:val="0"/>
          <w:sz w:val="24"/>
          <w:highlight w:val="none"/>
          <w:u w:val="single"/>
        </w:rPr>
        <w:t xml:space="preserve">         </w:t>
      </w:r>
      <w:r>
        <w:rPr>
          <w:rFonts w:hint="eastAsia" w:ascii="宋体" w:hAnsi="宋体" w:cs="仿宋"/>
          <w:kern w:val="0"/>
          <w:sz w:val="24"/>
          <w:highlight w:val="none"/>
        </w:rPr>
        <w:t>；</w:t>
      </w:r>
    </w:p>
    <w:p w14:paraId="13784902">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二、我单位具有独立承担民事责任的能力； </w:t>
      </w:r>
    </w:p>
    <w:p w14:paraId="26715377">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三、我单位具有良好的商业信誉和健全的财务会计制度； </w:t>
      </w:r>
    </w:p>
    <w:p w14:paraId="1611EA2B">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四、我单位具有履行合同所必需的设备和专业技术能力； </w:t>
      </w:r>
    </w:p>
    <w:p w14:paraId="72ADE2D1">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五、我单位有依法缴纳税收和社会保障资金的良好记录； </w:t>
      </w:r>
    </w:p>
    <w:p w14:paraId="4F599706">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六、我单位参加政府采购活动前三年内，在经营活动中没有重大违法记录；</w:t>
      </w:r>
    </w:p>
    <w:p w14:paraId="327D2396">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七、我单位具备法律、行政法规规定的其他条件。 </w:t>
      </w:r>
    </w:p>
    <w:p w14:paraId="0C3A5F1F">
      <w:pPr>
        <w:widowControl/>
        <w:spacing w:line="360" w:lineRule="auto"/>
        <w:ind w:firstLine="480" w:firstLineChars="200"/>
        <w:jc w:val="left"/>
        <w:rPr>
          <w:rFonts w:ascii="宋体" w:hAnsi="宋体" w:cs="仿宋"/>
          <w:sz w:val="24"/>
          <w:highlight w:val="none"/>
        </w:rPr>
      </w:pPr>
      <w:r>
        <w:rPr>
          <w:rFonts w:hint="eastAsia" w:ascii="宋体" w:hAnsi="宋体" w:cs="仿宋"/>
          <w:kern w:val="0"/>
          <w:sz w:val="24"/>
          <w:highlight w:val="none"/>
        </w:rPr>
        <w:t xml:space="preserve">我单位保证上述声明的事项都是真实的，符合《中华人民共和国政府采购法》规定的投标人资格条件。如有弄虚作假，我单位愿意按照“提供虚假材料谋取中标、成交”承担相应的法律责任，同意将违背承诺行为作为失信行为记录到社会信用信息平台，并承担因此所造成的一切损失。 </w:t>
      </w:r>
    </w:p>
    <w:p w14:paraId="3154228E">
      <w:pPr>
        <w:spacing w:line="360" w:lineRule="auto"/>
        <w:ind w:firstLine="2736" w:firstLineChars="950"/>
        <w:rPr>
          <w:rFonts w:ascii="宋体" w:hAnsi="宋体"/>
          <w:spacing w:val="24"/>
          <w:sz w:val="24"/>
          <w:highlight w:val="none"/>
        </w:rPr>
      </w:pPr>
    </w:p>
    <w:p w14:paraId="2B034D8D">
      <w:pPr>
        <w:spacing w:line="360" w:lineRule="auto"/>
        <w:ind w:firstLine="3168" w:firstLineChars="1100"/>
        <w:rPr>
          <w:rFonts w:ascii="宋体"/>
          <w:spacing w:val="24"/>
          <w:sz w:val="24"/>
          <w:highlight w:val="none"/>
        </w:rPr>
      </w:pP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612EA28E">
      <w:pPr>
        <w:spacing w:line="360" w:lineRule="auto"/>
        <w:ind w:firstLine="3168" w:firstLineChars="11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4552DEB2">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4F02135C">
      <w:pPr>
        <w:widowControl/>
        <w:jc w:val="left"/>
        <w:rPr>
          <w:rFonts w:ascii="宋体" w:hAnsi="宋体" w:cs="宋体"/>
          <w:sz w:val="24"/>
          <w:highlight w:val="none"/>
        </w:rPr>
      </w:pPr>
    </w:p>
    <w:p w14:paraId="06F60DDF">
      <w:pPr>
        <w:widowControl/>
        <w:jc w:val="left"/>
        <w:rPr>
          <w:rFonts w:ascii="宋体" w:hAnsi="宋体" w:cs="宋体"/>
          <w:b/>
          <w:sz w:val="24"/>
          <w:highlight w:val="none"/>
        </w:rPr>
      </w:pPr>
      <w:r>
        <w:rPr>
          <w:rFonts w:ascii="宋体" w:hAnsi="宋体" w:cs="宋体"/>
          <w:b/>
          <w:sz w:val="24"/>
          <w:highlight w:val="none"/>
        </w:rPr>
        <w:br w:type="page"/>
      </w:r>
    </w:p>
    <w:p w14:paraId="43651110">
      <w:pPr>
        <w:spacing w:line="480" w:lineRule="auto"/>
        <w:ind w:left="-38" w:leftChars="-95" w:right="452" w:hanging="161" w:hangingChars="67"/>
        <w:jc w:val="left"/>
        <w:rPr>
          <w:rFonts w:ascii="宋体" w:hAnsi="宋体" w:cs="宋体"/>
          <w:b/>
          <w:kern w:val="0"/>
          <w:sz w:val="24"/>
          <w:highlight w:val="none"/>
        </w:rPr>
      </w:pPr>
      <w:r>
        <w:rPr>
          <w:rFonts w:hint="eastAsia" w:ascii="宋体" w:hAnsi="宋体" w:cs="宋体"/>
          <w:b/>
          <w:sz w:val="24"/>
          <w:highlight w:val="none"/>
        </w:rPr>
        <w:t>8.3资格证明等文件</w:t>
      </w:r>
    </w:p>
    <w:p w14:paraId="7361031A">
      <w:pPr>
        <w:widowControl/>
        <w:tabs>
          <w:tab w:val="left" w:pos="987"/>
        </w:tabs>
        <w:adjustRightInd w:val="0"/>
        <w:spacing w:line="360" w:lineRule="auto"/>
        <w:jc w:val="left"/>
        <w:rPr>
          <w:rFonts w:ascii="宋体" w:hAnsi="宋体" w:cs="宋体"/>
          <w:sz w:val="24"/>
          <w:highlight w:val="none"/>
        </w:rPr>
      </w:pPr>
    </w:p>
    <w:p w14:paraId="0B14F048">
      <w:pPr>
        <w:rPr>
          <w:rFonts w:ascii="宋体" w:hAnsi="宋体" w:cs="宋体"/>
          <w:b/>
          <w:sz w:val="24"/>
          <w:highlight w:val="none"/>
        </w:rPr>
      </w:pPr>
    </w:p>
    <w:p w14:paraId="50CA38C7">
      <w:pPr>
        <w:rPr>
          <w:rFonts w:ascii="宋体" w:hAnsi="宋体" w:cs="宋体"/>
          <w:b/>
          <w:sz w:val="24"/>
          <w:highlight w:val="none"/>
        </w:rPr>
      </w:pPr>
      <w:r>
        <w:rPr>
          <w:rFonts w:ascii="宋体" w:hAnsi="宋体" w:cs="宋体"/>
          <w:b/>
          <w:sz w:val="24"/>
          <w:highlight w:val="none"/>
        </w:rPr>
        <w:br w:type="page"/>
      </w:r>
    </w:p>
    <w:p w14:paraId="72338D91">
      <w:pPr>
        <w:rPr>
          <w:rFonts w:ascii="宋体" w:hAnsi="宋体" w:cs="宋体"/>
          <w:b/>
          <w:sz w:val="24"/>
          <w:highlight w:val="none"/>
        </w:rPr>
      </w:pPr>
    </w:p>
    <w:bookmarkEnd w:id="240"/>
    <w:bookmarkEnd w:id="241"/>
    <w:bookmarkEnd w:id="242"/>
    <w:bookmarkEnd w:id="243"/>
    <w:bookmarkEnd w:id="244"/>
    <w:bookmarkEnd w:id="245"/>
    <w:bookmarkEnd w:id="246"/>
    <w:bookmarkEnd w:id="247"/>
    <w:p w14:paraId="128C5D38">
      <w:pPr>
        <w:pStyle w:val="9"/>
        <w:spacing w:line="240" w:lineRule="auto"/>
        <w:jc w:val="center"/>
        <w:rPr>
          <w:rFonts w:ascii="宋体" w:hAnsi="宋体" w:eastAsia="宋体" w:cs="宋体-PUA"/>
          <w:sz w:val="24"/>
          <w:szCs w:val="24"/>
          <w:highlight w:val="none"/>
        </w:rPr>
      </w:pPr>
      <w:bookmarkStart w:id="260" w:name="_Toc196238540"/>
      <w:bookmarkStart w:id="261" w:name="_Toc23393"/>
      <w:bookmarkStart w:id="262" w:name="_Toc43652648"/>
      <w:r>
        <w:rPr>
          <w:rFonts w:hint="eastAsia" w:ascii="宋体" w:hAnsi="宋体" w:eastAsia="宋体" w:cs="宋体-PUA"/>
          <w:sz w:val="24"/>
          <w:szCs w:val="24"/>
          <w:highlight w:val="none"/>
        </w:rPr>
        <w:t>九、供应商认为需要提供的其他材料</w:t>
      </w:r>
      <w:bookmarkEnd w:id="260"/>
      <w:bookmarkEnd w:id="261"/>
      <w:bookmarkEnd w:id="262"/>
    </w:p>
    <w:p w14:paraId="62B3CB3F">
      <w:pPr>
        <w:spacing w:line="360" w:lineRule="auto"/>
        <w:jc w:val="center"/>
        <w:rPr>
          <w:rFonts w:ascii="宋体" w:hAnsi="宋体"/>
          <w:b/>
          <w:bCs/>
          <w:sz w:val="24"/>
          <w:highlight w:val="none"/>
        </w:rPr>
      </w:pPr>
    </w:p>
    <w:p w14:paraId="5E399BA0">
      <w:pPr>
        <w:spacing w:line="360" w:lineRule="auto"/>
        <w:jc w:val="center"/>
        <w:rPr>
          <w:rFonts w:ascii="宋体" w:hAnsi="宋体"/>
          <w:b/>
          <w:bCs/>
          <w:sz w:val="24"/>
          <w:highlight w:val="none"/>
        </w:rPr>
      </w:pPr>
    </w:p>
    <w:p w14:paraId="14244992">
      <w:pPr>
        <w:spacing w:line="360" w:lineRule="auto"/>
        <w:jc w:val="center"/>
        <w:rPr>
          <w:rFonts w:ascii="宋体" w:hAnsi="宋体"/>
          <w:b/>
          <w:bCs/>
          <w:sz w:val="24"/>
          <w:highlight w:val="none"/>
        </w:rPr>
      </w:pPr>
    </w:p>
    <w:p w14:paraId="58C2B836">
      <w:pPr>
        <w:spacing w:line="360" w:lineRule="auto"/>
        <w:jc w:val="center"/>
        <w:rPr>
          <w:rFonts w:ascii="宋体" w:hAnsi="宋体"/>
          <w:b/>
          <w:bCs/>
          <w:sz w:val="24"/>
          <w:highlight w:val="none"/>
        </w:rPr>
      </w:pPr>
    </w:p>
    <w:p w14:paraId="6F2038FF">
      <w:pPr>
        <w:spacing w:line="360" w:lineRule="auto"/>
        <w:jc w:val="center"/>
        <w:rPr>
          <w:rFonts w:ascii="宋体" w:hAnsi="宋体"/>
          <w:b/>
          <w:bCs/>
          <w:sz w:val="24"/>
          <w:highlight w:val="none"/>
        </w:rPr>
      </w:pPr>
    </w:p>
    <w:p w14:paraId="70495858">
      <w:pPr>
        <w:spacing w:line="360" w:lineRule="auto"/>
        <w:jc w:val="center"/>
        <w:rPr>
          <w:rFonts w:ascii="宋体" w:hAnsi="宋体"/>
          <w:b/>
          <w:bCs/>
          <w:sz w:val="24"/>
          <w:highlight w:val="none"/>
        </w:rPr>
      </w:pPr>
    </w:p>
    <w:p w14:paraId="40C7F4C3">
      <w:pPr>
        <w:spacing w:line="360" w:lineRule="auto"/>
        <w:jc w:val="center"/>
        <w:rPr>
          <w:rFonts w:ascii="宋体" w:hAnsi="宋体"/>
          <w:b/>
          <w:bCs/>
          <w:sz w:val="24"/>
          <w:highlight w:val="none"/>
        </w:rPr>
      </w:pPr>
    </w:p>
    <w:p w14:paraId="02D45E5B">
      <w:pPr>
        <w:spacing w:line="360" w:lineRule="auto"/>
        <w:ind w:firstLine="2432" w:firstLineChars="950"/>
        <w:rPr>
          <w:rFonts w:ascii="宋体"/>
          <w:spacing w:val="24"/>
          <w:sz w:val="24"/>
          <w:highlight w:val="none"/>
        </w:rPr>
      </w:pPr>
      <w:r>
        <w:rPr>
          <w:rFonts w:hint="eastAsia" w:ascii="宋体" w:hAnsi="宋体" w:cs="宋体"/>
          <w:spacing w:val="8"/>
          <w:sz w:val="24"/>
          <w:highlight w:val="none"/>
        </w:rPr>
        <w:t xml:space="preserve">      </w:t>
      </w:r>
      <w:r>
        <w:rPr>
          <w:rFonts w:hint="eastAsia" w:ascii="宋体" w:hAnsi="宋体"/>
          <w:spacing w:val="24"/>
          <w:sz w:val="24"/>
          <w:highlight w:val="none"/>
        </w:rPr>
        <w:t>磋商供应商：</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单位电子签章</w:t>
      </w:r>
      <w:r>
        <w:rPr>
          <w:rFonts w:hint="eastAsia" w:ascii="宋体" w:hAnsi="宋体"/>
          <w:spacing w:val="24"/>
          <w:sz w:val="24"/>
          <w:highlight w:val="none"/>
        </w:rPr>
        <w:t>）</w:t>
      </w:r>
    </w:p>
    <w:p w14:paraId="71F1E934">
      <w:pPr>
        <w:spacing w:line="360" w:lineRule="auto"/>
        <w:ind w:firstLine="3168" w:firstLineChars="1100"/>
        <w:rPr>
          <w:rFonts w:ascii="宋体"/>
          <w:spacing w:val="24"/>
          <w:sz w:val="24"/>
          <w:highlight w:val="none"/>
        </w:rPr>
      </w:pPr>
      <w:r>
        <w:rPr>
          <w:rFonts w:hint="eastAsia" w:ascii="宋体" w:hAnsi="宋体"/>
          <w:spacing w:val="24"/>
          <w:sz w:val="24"/>
          <w:highlight w:val="none"/>
        </w:rPr>
        <w:t>法定代表人：</w:t>
      </w:r>
      <w:r>
        <w:rPr>
          <w:rFonts w:hint="eastAsia" w:ascii="宋体" w:hAnsi="宋体"/>
          <w:spacing w:val="24"/>
          <w:sz w:val="24"/>
          <w:highlight w:val="none"/>
          <w:u w:val="single"/>
        </w:rPr>
        <w:t xml:space="preserve">         </w:t>
      </w:r>
      <w:r>
        <w:rPr>
          <w:rFonts w:hint="eastAsia" w:ascii="宋体" w:hAnsi="宋体"/>
          <w:spacing w:val="24"/>
          <w:sz w:val="24"/>
          <w:highlight w:val="none"/>
        </w:rPr>
        <w:t>（</w:t>
      </w:r>
      <w:r>
        <w:rPr>
          <w:rFonts w:hint="eastAsia" w:ascii="宋体" w:hAnsi="宋体" w:cs="宋体"/>
          <w:sz w:val="24"/>
          <w:highlight w:val="none"/>
          <w:lang w:val="zh-CN" w:bidi="zh-CN"/>
        </w:rPr>
        <w:t>法人电子签章</w:t>
      </w:r>
      <w:r>
        <w:rPr>
          <w:rFonts w:hint="eastAsia" w:ascii="宋体" w:hAnsi="宋体"/>
          <w:spacing w:val="24"/>
          <w:sz w:val="24"/>
          <w:highlight w:val="none"/>
        </w:rPr>
        <w:t>）</w:t>
      </w:r>
    </w:p>
    <w:p w14:paraId="6A9D2309">
      <w:pPr>
        <w:spacing w:line="360" w:lineRule="auto"/>
        <w:ind w:left="-7" w:leftChars="-95" w:right="452" w:hanging="192" w:hangingChars="67"/>
        <w:jc w:val="center"/>
        <w:rPr>
          <w:rFonts w:ascii="宋体" w:hAnsi="宋体" w:cs="宋体"/>
          <w:spacing w:val="8"/>
          <w:sz w:val="24"/>
          <w:highlight w:val="none"/>
        </w:rPr>
      </w:pPr>
      <w:r>
        <w:rPr>
          <w:rFonts w:hint="eastAsia" w:ascii="宋体" w:hAnsi="宋体"/>
          <w:spacing w:val="24"/>
          <w:sz w:val="24"/>
          <w:highlight w:val="none"/>
        </w:rPr>
        <w:t xml:space="preserve">                 日    期：</w:t>
      </w:r>
      <w:r>
        <w:rPr>
          <w:rFonts w:hint="eastAsia" w:ascii="宋体" w:hAnsi="宋体"/>
          <w:spacing w:val="24"/>
          <w:sz w:val="24"/>
          <w:highlight w:val="none"/>
          <w:u w:val="single"/>
        </w:rPr>
        <w:t xml:space="preserve">    </w:t>
      </w:r>
      <w:r>
        <w:rPr>
          <w:rFonts w:hint="eastAsia" w:ascii="宋体" w:hAnsi="宋体"/>
          <w:spacing w:val="24"/>
          <w:sz w:val="24"/>
          <w:highlight w:val="none"/>
        </w:rPr>
        <w:t>年</w:t>
      </w:r>
      <w:r>
        <w:rPr>
          <w:rFonts w:hint="eastAsia" w:ascii="宋体" w:hAnsi="宋体"/>
          <w:spacing w:val="24"/>
          <w:sz w:val="24"/>
          <w:highlight w:val="none"/>
          <w:u w:val="single"/>
        </w:rPr>
        <w:t xml:space="preserve">   </w:t>
      </w:r>
      <w:r>
        <w:rPr>
          <w:rFonts w:hint="eastAsia" w:ascii="宋体" w:hAnsi="宋体"/>
          <w:spacing w:val="24"/>
          <w:sz w:val="24"/>
          <w:highlight w:val="none"/>
        </w:rPr>
        <w:t>月</w:t>
      </w:r>
      <w:r>
        <w:rPr>
          <w:rFonts w:hint="eastAsia" w:ascii="宋体" w:hAnsi="宋体"/>
          <w:spacing w:val="24"/>
          <w:sz w:val="24"/>
          <w:highlight w:val="none"/>
          <w:u w:val="single"/>
        </w:rPr>
        <w:t xml:space="preserve">   </w:t>
      </w:r>
      <w:r>
        <w:rPr>
          <w:rFonts w:hint="eastAsia" w:ascii="宋体" w:hAnsi="宋体"/>
          <w:spacing w:val="24"/>
          <w:sz w:val="24"/>
          <w:highlight w:val="none"/>
        </w:rPr>
        <w:t>日</w:t>
      </w:r>
    </w:p>
    <w:p w14:paraId="2F454A33">
      <w:pPr>
        <w:rPr>
          <w:rFonts w:ascii="宋体" w:hAnsi="宋体" w:cs="宋体"/>
          <w:spacing w:val="8"/>
          <w:sz w:val="24"/>
          <w:highlight w:val="none"/>
        </w:rPr>
      </w:pPr>
      <w:r>
        <w:rPr>
          <w:rFonts w:ascii="宋体" w:hAnsi="宋体" w:cs="宋体"/>
          <w:spacing w:val="8"/>
          <w:sz w:val="24"/>
          <w:highlight w:val="none"/>
        </w:rPr>
        <w:br w:type="page"/>
      </w:r>
    </w:p>
    <w:p w14:paraId="4F729181">
      <w:pPr>
        <w:pStyle w:val="2"/>
      </w:pPr>
    </w:p>
    <w:p w14:paraId="193F17CC">
      <w:pPr>
        <w:widowControl/>
        <w:jc w:val="left"/>
        <w:rPr>
          <w:rFonts w:hint="eastAsia" w:ascii="宋体" w:hAnsi="宋体" w:cs="宋体"/>
          <w:b/>
          <w:bCs/>
          <w:color w:val="auto"/>
          <w:kern w:val="0"/>
          <w:sz w:val="24"/>
          <w:szCs w:val="24"/>
        </w:rPr>
      </w:pPr>
      <w:r>
        <w:rPr>
          <w:rFonts w:hint="eastAsia" w:ascii="宋体" w:hAnsi="宋体" w:cs="宋体"/>
          <w:b/>
          <w:bCs/>
          <w:color w:val="auto"/>
          <w:kern w:val="0"/>
          <w:sz w:val="24"/>
          <w:szCs w:val="24"/>
        </w:rPr>
        <w:t>附件1：</w:t>
      </w:r>
    </w:p>
    <w:p w14:paraId="6BCE5B67">
      <w:pPr>
        <w:widowControl/>
        <w:spacing w:line="360" w:lineRule="auto"/>
        <w:jc w:val="center"/>
        <w:outlineLvl w:val="0"/>
        <w:rPr>
          <w:rFonts w:hint="eastAsia" w:ascii="宋体" w:hAnsi="宋体" w:cs="宋体"/>
          <w:b/>
          <w:bCs/>
          <w:color w:val="auto"/>
          <w:kern w:val="0"/>
          <w:sz w:val="24"/>
          <w:szCs w:val="24"/>
        </w:rPr>
      </w:pPr>
      <w:bookmarkStart w:id="263" w:name="_Toc4563"/>
      <w:bookmarkStart w:id="264" w:name="_Toc27377"/>
      <w:bookmarkStart w:id="265" w:name="_Toc12830"/>
      <w:r>
        <w:rPr>
          <w:rFonts w:hint="eastAsia" w:ascii="宋体" w:hAnsi="宋体" w:cs="宋体"/>
          <w:b/>
          <w:bCs/>
          <w:color w:val="auto"/>
          <w:kern w:val="0"/>
          <w:sz w:val="24"/>
          <w:szCs w:val="24"/>
        </w:rPr>
        <w:t>中小企业声明函（如有）</w:t>
      </w:r>
      <w:bookmarkEnd w:id="263"/>
      <w:bookmarkEnd w:id="264"/>
      <w:bookmarkEnd w:id="265"/>
    </w:p>
    <w:p w14:paraId="209D112D">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本公司（联合体）郑重声明，根据《政府采购促进中小企业发展管理办法》（财库﹝2020﹞46号）的规定，本公司 （联合体）参加</w:t>
      </w:r>
      <w:r>
        <w:rPr>
          <w:rFonts w:hint="eastAsia" w:ascii="宋体" w:hAnsi="宋体" w:cs="宋体"/>
          <w:color w:val="auto"/>
          <w:kern w:val="0"/>
          <w:sz w:val="24"/>
          <w:szCs w:val="24"/>
          <w:u w:val="single"/>
        </w:rPr>
        <w:t>（单位名称）</w:t>
      </w:r>
      <w:r>
        <w:rPr>
          <w:rFonts w:hint="eastAsia" w:ascii="宋体" w:hAnsi="宋体" w:cs="宋体"/>
          <w:color w:val="auto"/>
          <w:kern w:val="0"/>
          <w:sz w:val="24"/>
          <w:szCs w:val="24"/>
        </w:rPr>
        <w:t>的</w:t>
      </w:r>
      <w:r>
        <w:rPr>
          <w:rFonts w:hint="eastAsia" w:ascii="宋体" w:hAnsi="宋体" w:cs="宋体"/>
          <w:color w:val="auto"/>
          <w:kern w:val="0"/>
          <w:sz w:val="24"/>
          <w:szCs w:val="24"/>
          <w:u w:val="single"/>
        </w:rPr>
        <w:t>（项目名称）</w:t>
      </w:r>
      <w:r>
        <w:rPr>
          <w:rFonts w:hint="eastAsia" w:ascii="宋体" w:hAnsi="宋体" w:cs="宋体"/>
          <w:color w:val="auto"/>
          <w:kern w:val="0"/>
          <w:sz w:val="24"/>
          <w:szCs w:val="24"/>
        </w:rPr>
        <w:t xml:space="preserve">采购活动，提供的货物全部由符合政策要求的中小企业制造。相关企业（含联合体中的中小企业、签订分包意向协议的中小企业） </w:t>
      </w:r>
    </w:p>
    <w:p w14:paraId="611AB293">
      <w:pPr>
        <w:widowControl/>
        <w:spacing w:line="400" w:lineRule="exact"/>
        <w:jc w:val="left"/>
        <w:rPr>
          <w:rFonts w:hint="eastAsia" w:ascii="宋体" w:hAnsi="宋体" w:cs="宋体"/>
          <w:color w:val="auto"/>
          <w:kern w:val="0"/>
          <w:sz w:val="24"/>
          <w:szCs w:val="24"/>
        </w:rPr>
      </w:pPr>
      <w:r>
        <w:rPr>
          <w:rFonts w:hint="eastAsia" w:ascii="宋体" w:hAnsi="宋体" w:cs="宋体"/>
          <w:color w:val="auto"/>
          <w:kern w:val="0"/>
          <w:sz w:val="24"/>
          <w:szCs w:val="24"/>
        </w:rPr>
        <w:t xml:space="preserve">的具体情况如下： </w:t>
      </w:r>
    </w:p>
    <w:p w14:paraId="49C4AD31">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 xml:space="preserve">1. </w:t>
      </w:r>
      <w:r>
        <w:rPr>
          <w:rFonts w:hint="eastAsia" w:ascii="宋体" w:hAnsi="宋体" w:cs="宋体"/>
          <w:color w:val="auto"/>
          <w:kern w:val="0"/>
          <w:sz w:val="24"/>
          <w:szCs w:val="24"/>
          <w:u w:val="single"/>
        </w:rPr>
        <w:t xml:space="preserve">（标的名称） </w:t>
      </w:r>
      <w:r>
        <w:rPr>
          <w:rFonts w:hint="eastAsia" w:ascii="宋体" w:hAnsi="宋体" w:cs="宋体"/>
          <w:color w:val="auto"/>
          <w:kern w:val="0"/>
          <w:sz w:val="24"/>
          <w:szCs w:val="24"/>
        </w:rPr>
        <w:t>，属于</w:t>
      </w:r>
      <w:r>
        <w:rPr>
          <w:rFonts w:hint="eastAsia" w:ascii="宋体" w:hAnsi="宋体" w:cs="宋体"/>
          <w:color w:val="auto"/>
          <w:kern w:val="0"/>
          <w:sz w:val="24"/>
          <w:szCs w:val="24"/>
          <w:u w:val="single"/>
        </w:rPr>
        <w:t xml:space="preserve">（采购文件中明确的所属行业） </w:t>
      </w:r>
      <w:r>
        <w:rPr>
          <w:rFonts w:hint="eastAsia" w:ascii="宋体" w:hAnsi="宋体" w:cs="宋体"/>
          <w:color w:val="auto"/>
          <w:kern w:val="0"/>
          <w:sz w:val="24"/>
          <w:szCs w:val="24"/>
        </w:rPr>
        <w:t>行业；制造商为</w:t>
      </w:r>
      <w:r>
        <w:rPr>
          <w:rFonts w:hint="eastAsia" w:ascii="宋体" w:hAnsi="宋体" w:cs="宋体"/>
          <w:color w:val="auto"/>
          <w:kern w:val="0"/>
          <w:sz w:val="24"/>
          <w:szCs w:val="24"/>
          <w:u w:val="single"/>
        </w:rPr>
        <w:t>（企业名称）</w:t>
      </w:r>
      <w:r>
        <w:rPr>
          <w:rFonts w:hint="eastAsia" w:ascii="宋体" w:hAnsi="宋体" w:cs="宋体"/>
          <w:color w:val="auto"/>
          <w:kern w:val="0"/>
          <w:sz w:val="24"/>
          <w:szCs w:val="24"/>
        </w:rPr>
        <w:t>，从业人员人，营业收入为万元，资产总额为万元①，属于</w:t>
      </w:r>
      <w:r>
        <w:rPr>
          <w:rFonts w:hint="eastAsia" w:ascii="宋体" w:hAnsi="宋体" w:cs="宋体"/>
          <w:color w:val="auto"/>
          <w:kern w:val="0"/>
          <w:sz w:val="24"/>
          <w:szCs w:val="24"/>
          <w:u w:val="single"/>
        </w:rPr>
        <w:t>（中型企业、小 型企业、微型企业）</w:t>
      </w:r>
      <w:r>
        <w:rPr>
          <w:rFonts w:hint="eastAsia" w:ascii="宋体" w:hAnsi="宋体" w:cs="宋体"/>
          <w:color w:val="auto"/>
          <w:kern w:val="0"/>
          <w:sz w:val="24"/>
          <w:szCs w:val="24"/>
        </w:rPr>
        <w:t xml:space="preserve">； </w:t>
      </w:r>
    </w:p>
    <w:p w14:paraId="7F521579">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 xml:space="preserve">2. </w:t>
      </w:r>
      <w:r>
        <w:rPr>
          <w:rFonts w:hint="eastAsia" w:ascii="宋体" w:hAnsi="宋体" w:cs="宋体"/>
          <w:color w:val="auto"/>
          <w:kern w:val="0"/>
          <w:sz w:val="24"/>
          <w:szCs w:val="24"/>
          <w:u w:val="single"/>
        </w:rPr>
        <w:t xml:space="preserve">（标的名称） </w:t>
      </w:r>
      <w:r>
        <w:rPr>
          <w:rFonts w:hint="eastAsia" w:ascii="宋体" w:hAnsi="宋体" w:cs="宋体"/>
          <w:color w:val="auto"/>
          <w:kern w:val="0"/>
          <w:sz w:val="24"/>
          <w:szCs w:val="24"/>
        </w:rPr>
        <w:t>，属于</w:t>
      </w:r>
      <w:r>
        <w:rPr>
          <w:rFonts w:hint="eastAsia" w:ascii="宋体" w:hAnsi="宋体" w:cs="宋体"/>
          <w:color w:val="auto"/>
          <w:kern w:val="0"/>
          <w:sz w:val="24"/>
          <w:szCs w:val="24"/>
          <w:u w:val="single"/>
        </w:rPr>
        <w:t>（采购文件中明确的所属行业）</w:t>
      </w:r>
      <w:r>
        <w:rPr>
          <w:rFonts w:hint="eastAsia" w:ascii="宋体" w:hAnsi="宋体" w:cs="宋体"/>
          <w:color w:val="auto"/>
          <w:kern w:val="0"/>
          <w:sz w:val="24"/>
          <w:szCs w:val="24"/>
        </w:rPr>
        <w:t>行业；制造商为</w:t>
      </w:r>
      <w:r>
        <w:rPr>
          <w:rFonts w:hint="eastAsia" w:ascii="宋体" w:hAnsi="宋体" w:cs="宋体"/>
          <w:color w:val="auto"/>
          <w:kern w:val="0"/>
          <w:sz w:val="24"/>
          <w:szCs w:val="24"/>
          <w:u w:val="single"/>
        </w:rPr>
        <w:t>（企业名称），</w:t>
      </w:r>
      <w:r>
        <w:rPr>
          <w:rFonts w:hint="eastAsia" w:ascii="宋体" w:hAnsi="宋体" w:cs="宋体"/>
          <w:color w:val="auto"/>
          <w:kern w:val="0"/>
          <w:sz w:val="24"/>
          <w:szCs w:val="24"/>
        </w:rPr>
        <w:t>从业人员人，营业收入为万元，资产总额为万元，属于</w:t>
      </w:r>
      <w:r>
        <w:rPr>
          <w:rFonts w:hint="eastAsia" w:ascii="宋体" w:hAnsi="宋体" w:cs="宋体"/>
          <w:color w:val="auto"/>
          <w:kern w:val="0"/>
          <w:sz w:val="24"/>
          <w:szCs w:val="24"/>
          <w:u w:val="single"/>
        </w:rPr>
        <w:t>（中型企业、小型企业、微型企业）</w:t>
      </w:r>
      <w:r>
        <w:rPr>
          <w:rFonts w:hint="eastAsia" w:ascii="宋体" w:hAnsi="宋体" w:cs="宋体"/>
          <w:color w:val="auto"/>
          <w:kern w:val="0"/>
          <w:sz w:val="24"/>
          <w:szCs w:val="24"/>
        </w:rPr>
        <w:t xml:space="preserve">； </w:t>
      </w:r>
    </w:p>
    <w:p w14:paraId="769B138C">
      <w:pPr>
        <w:widowControl/>
        <w:spacing w:line="400" w:lineRule="exact"/>
        <w:jc w:val="left"/>
        <w:rPr>
          <w:rFonts w:hint="eastAsia" w:ascii="宋体" w:hAnsi="宋体" w:cs="宋体"/>
          <w:color w:val="auto"/>
          <w:kern w:val="0"/>
          <w:sz w:val="24"/>
          <w:szCs w:val="24"/>
        </w:rPr>
      </w:pPr>
      <w:r>
        <w:rPr>
          <w:rFonts w:hint="eastAsia" w:ascii="宋体" w:hAnsi="宋体" w:cs="宋体"/>
          <w:color w:val="auto"/>
          <w:kern w:val="0"/>
          <w:sz w:val="24"/>
          <w:szCs w:val="24"/>
        </w:rPr>
        <w:t>……</w:t>
      </w:r>
    </w:p>
    <w:p w14:paraId="32C4D5D2">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以上企业，不属于大企业的分支机构，不存在控股股东为大企业的情形，也不存在与大企业的负责人为同一人的情形。</w:t>
      </w:r>
    </w:p>
    <w:p w14:paraId="2E34563E">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 xml:space="preserve">本企业对上述声明内容的真实性负责。如有虚假，将依法承担相应责任。 </w:t>
      </w:r>
    </w:p>
    <w:p w14:paraId="79A9B018">
      <w:pPr>
        <w:widowControl/>
        <w:spacing w:line="400" w:lineRule="exact"/>
        <w:jc w:val="left"/>
        <w:rPr>
          <w:rFonts w:hint="eastAsia" w:ascii="宋体" w:hAnsi="宋体" w:cs="宋体"/>
          <w:color w:val="auto"/>
          <w:kern w:val="0"/>
          <w:sz w:val="24"/>
          <w:szCs w:val="24"/>
        </w:rPr>
      </w:pPr>
    </w:p>
    <w:p w14:paraId="1C3D5414">
      <w:pPr>
        <w:widowControl/>
        <w:spacing w:line="400" w:lineRule="exact"/>
        <w:ind w:firstLine="6240" w:firstLineChars="2600"/>
        <w:jc w:val="left"/>
        <w:rPr>
          <w:rFonts w:hint="eastAsia" w:ascii="宋体" w:hAnsi="宋体" w:cs="宋体"/>
          <w:color w:val="auto"/>
          <w:kern w:val="0"/>
          <w:sz w:val="24"/>
          <w:szCs w:val="24"/>
        </w:rPr>
      </w:pPr>
      <w:r>
        <w:rPr>
          <w:rFonts w:hint="eastAsia" w:ascii="宋体" w:hAnsi="宋体" w:cs="宋体"/>
          <w:color w:val="auto"/>
          <w:kern w:val="0"/>
          <w:sz w:val="24"/>
          <w:szCs w:val="24"/>
        </w:rPr>
        <w:t xml:space="preserve">企业名称（签章）： </w:t>
      </w:r>
    </w:p>
    <w:p w14:paraId="4C1742CB">
      <w:pPr>
        <w:widowControl/>
        <w:spacing w:line="400" w:lineRule="exact"/>
        <w:ind w:firstLine="6240" w:firstLineChars="2600"/>
        <w:jc w:val="left"/>
        <w:rPr>
          <w:rFonts w:hint="eastAsia" w:ascii="宋体" w:hAnsi="宋体" w:cs="宋体"/>
          <w:color w:val="auto"/>
          <w:kern w:val="0"/>
          <w:sz w:val="24"/>
          <w:szCs w:val="24"/>
        </w:rPr>
      </w:pPr>
      <w:r>
        <w:rPr>
          <w:rFonts w:hint="eastAsia" w:ascii="宋体" w:hAnsi="宋体" w:cs="宋体"/>
          <w:color w:val="auto"/>
          <w:kern w:val="0"/>
          <w:sz w:val="24"/>
          <w:szCs w:val="24"/>
        </w:rPr>
        <w:t xml:space="preserve">日 期： </w:t>
      </w:r>
    </w:p>
    <w:p w14:paraId="16C0E1F4">
      <w:pPr>
        <w:widowControl/>
        <w:spacing w:line="400" w:lineRule="exact"/>
        <w:jc w:val="left"/>
        <w:rPr>
          <w:rFonts w:hint="eastAsia" w:ascii="宋体" w:hAnsi="宋体" w:cs="宋体"/>
          <w:color w:val="auto"/>
          <w:kern w:val="0"/>
          <w:sz w:val="24"/>
          <w:szCs w:val="24"/>
        </w:rPr>
      </w:pPr>
      <w:r>
        <w:rPr>
          <w:rFonts w:hint="eastAsia" w:ascii="宋体" w:hAnsi="宋体" w:cs="宋体"/>
          <w:b/>
          <w:bCs/>
          <w:color w:val="auto"/>
          <w:kern w:val="0"/>
          <w:sz w:val="24"/>
          <w:szCs w:val="24"/>
        </w:rPr>
        <w:t>注：</w:t>
      </w:r>
      <w:r>
        <w:rPr>
          <w:rFonts w:hint="eastAsia" w:ascii="宋体" w:hAnsi="宋体" w:cs="宋体"/>
          <w:color w:val="auto"/>
          <w:kern w:val="0"/>
          <w:sz w:val="24"/>
          <w:szCs w:val="24"/>
        </w:rPr>
        <w:t>①从业人员、营业收入、资产总额填报上一年度数据，无上一年度数据的新成立企业可不填报。</w:t>
      </w:r>
    </w:p>
    <w:p w14:paraId="15B4C40C">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sz w:val="24"/>
          <w:szCs w:val="24"/>
        </w:rPr>
        <w:t>②</w:t>
      </w:r>
      <w:r>
        <w:rPr>
          <w:rFonts w:hint="eastAsia" w:ascii="宋体" w:hAnsi="宋体" w:cs="宋体"/>
          <w:color w:val="auto"/>
          <w:kern w:val="0"/>
          <w:sz w:val="24"/>
          <w:szCs w:val="24"/>
        </w:rPr>
        <w:t>供应商提供的货物既有中小企业制造货物，也有大型企业制造货物的，不享受《政府采购促进中小企业发展管理办法》规定的中小企业扶持政策。</w:t>
      </w:r>
    </w:p>
    <w:p w14:paraId="0BD91D96">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sz w:val="24"/>
          <w:szCs w:val="24"/>
        </w:rPr>
        <w:t>③</w:t>
      </w:r>
      <w:r>
        <w:rPr>
          <w:rFonts w:hint="eastAsia" w:ascii="宋体" w:hAnsi="宋体" w:cs="宋体"/>
          <w:color w:val="auto"/>
          <w:kern w:val="0"/>
          <w:sz w:val="24"/>
          <w:szCs w:val="24"/>
        </w:rPr>
        <w:t xml:space="preserve">以联合体形式参加政府采购活动，联合体各方均为中小企业的，联合体视同中小企业。其中，联合体各方均为小微企业的，联合体视同小微企业。 </w:t>
      </w:r>
    </w:p>
    <w:p w14:paraId="50B4161E">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④在政府采购活动中，供应商提供的所有货物由小微企业制造，即货物由小微企业生产且使用该小微企业商号或者注册商标的，才能享受《政府采购促进中小企业发展管理办法》规定的价格扣减。</w:t>
      </w:r>
    </w:p>
    <w:p w14:paraId="67103E7B">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⑤中小企业声明函格式应严格按照招标文件提供的格式填写。非单一产品采购的，设备制造商不止一家时，中小企业声明函中须列出所有的设备及制造商，罗列不全的中小企业声明函不予认可。</w:t>
      </w:r>
    </w:p>
    <w:p w14:paraId="439E46C2">
      <w:pPr>
        <w:widowControl/>
        <w:spacing w:line="400" w:lineRule="exact"/>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rPr>
        <w:t>⑥在货物采购项目中，货物应当由中小企业制造，不对其中涉及的服务的承接商作出要求。</w:t>
      </w:r>
    </w:p>
    <w:p w14:paraId="1828F8DE">
      <w:pPr>
        <w:widowControl/>
        <w:jc w:val="left"/>
        <w:rPr>
          <w:rFonts w:hint="eastAsia" w:ascii="宋体" w:hAnsi="宋体" w:cs="宋体"/>
          <w:b/>
          <w:bCs/>
          <w:color w:val="auto"/>
          <w:kern w:val="0"/>
          <w:sz w:val="24"/>
          <w:szCs w:val="24"/>
        </w:rPr>
      </w:pPr>
      <w:bookmarkStart w:id="266" w:name="OLE_LINK14"/>
      <w:bookmarkStart w:id="267" w:name="_Toc23336"/>
      <w:bookmarkStart w:id="268" w:name="OLE_LINK13"/>
      <w:r>
        <w:rPr>
          <w:rFonts w:hint="eastAsia" w:ascii="宋体" w:hAnsi="宋体" w:cs="宋体"/>
          <w:b/>
          <w:bCs/>
          <w:color w:val="auto"/>
          <w:kern w:val="0"/>
          <w:sz w:val="24"/>
          <w:szCs w:val="24"/>
        </w:rPr>
        <w:br w:type="page"/>
      </w:r>
    </w:p>
    <w:p w14:paraId="2FC4F5D3">
      <w:pPr>
        <w:keepNext/>
        <w:keepLines/>
        <w:tabs>
          <w:tab w:val="left" w:pos="840"/>
        </w:tabs>
        <w:spacing w:before="260" w:after="260" w:line="412" w:lineRule="auto"/>
        <w:jc w:val="left"/>
        <w:outlineLvl w:val="0"/>
        <w:rPr>
          <w:rFonts w:hint="eastAsia" w:ascii="宋体" w:hAnsi="宋体" w:cs="宋体"/>
          <w:b/>
          <w:color w:val="auto"/>
          <w:kern w:val="0"/>
          <w:sz w:val="24"/>
          <w:szCs w:val="24"/>
        </w:rPr>
      </w:pPr>
      <w:bookmarkStart w:id="269" w:name="_Toc145065064"/>
      <w:bookmarkStart w:id="270" w:name="_Toc23428"/>
      <w:bookmarkStart w:id="271" w:name="_Toc145065235"/>
      <w:bookmarkStart w:id="272" w:name="_Toc3434"/>
      <w:r>
        <w:rPr>
          <w:rFonts w:hint="eastAsia" w:ascii="宋体" w:hAnsi="宋体" w:cs="宋体"/>
          <w:b/>
          <w:bCs/>
          <w:color w:val="auto"/>
          <w:kern w:val="0"/>
          <w:sz w:val="24"/>
          <w:szCs w:val="24"/>
        </w:rPr>
        <w:t>附件2：</w:t>
      </w:r>
      <w:bookmarkEnd w:id="269"/>
      <w:bookmarkEnd w:id="270"/>
      <w:bookmarkEnd w:id="271"/>
      <w:bookmarkEnd w:id="272"/>
    </w:p>
    <w:p w14:paraId="1EF0D932">
      <w:pPr>
        <w:keepNext/>
        <w:keepLines/>
        <w:tabs>
          <w:tab w:val="left" w:pos="840"/>
        </w:tabs>
        <w:spacing w:before="260" w:after="260" w:line="412" w:lineRule="auto"/>
        <w:ind w:left="420"/>
        <w:jc w:val="center"/>
        <w:outlineLvl w:val="0"/>
        <w:rPr>
          <w:rFonts w:hint="eastAsia" w:ascii="宋体" w:hAnsi="宋体" w:cs="宋体"/>
          <w:b/>
          <w:color w:val="auto"/>
          <w:kern w:val="0"/>
          <w:sz w:val="24"/>
          <w:szCs w:val="24"/>
        </w:rPr>
      </w:pPr>
      <w:bookmarkStart w:id="273" w:name="_Toc145065065"/>
      <w:bookmarkStart w:id="274" w:name="_Toc145065236"/>
      <w:bookmarkStart w:id="275" w:name="_Toc1859"/>
      <w:bookmarkStart w:id="276" w:name="_Toc14422"/>
      <w:r>
        <w:rPr>
          <w:rFonts w:hint="eastAsia" w:ascii="宋体" w:hAnsi="宋体" w:cs="宋体"/>
          <w:b/>
          <w:color w:val="auto"/>
          <w:kern w:val="0"/>
          <w:sz w:val="24"/>
          <w:szCs w:val="24"/>
        </w:rPr>
        <w:t>残疾人福利性单位声明函（如有）</w:t>
      </w:r>
      <w:bookmarkEnd w:id="266"/>
      <w:bookmarkEnd w:id="267"/>
      <w:bookmarkEnd w:id="268"/>
      <w:bookmarkEnd w:id="273"/>
      <w:bookmarkEnd w:id="274"/>
      <w:bookmarkEnd w:id="275"/>
      <w:bookmarkEnd w:id="276"/>
    </w:p>
    <w:p w14:paraId="73D1B3A8">
      <w:pPr>
        <w:spacing w:line="440" w:lineRule="exact"/>
        <w:ind w:firstLine="504" w:firstLineChars="200"/>
        <w:rPr>
          <w:rFonts w:hint="eastAsia" w:ascii="宋体" w:hAnsi="宋体" w:cs="宋体"/>
          <w:color w:val="auto"/>
          <w:spacing w:val="6"/>
          <w:sz w:val="24"/>
          <w:szCs w:val="24"/>
        </w:rPr>
      </w:pPr>
      <w:r>
        <w:rPr>
          <w:rFonts w:hint="eastAsia" w:ascii="宋体" w:hAnsi="宋体" w:cs="宋体"/>
          <w:color w:val="auto"/>
          <w:spacing w:val="6"/>
          <w:sz w:val="24"/>
          <w:szCs w:val="24"/>
        </w:rPr>
        <w:t>本单位郑重声明，根据《财政部 民政部 中国残疾人联合会关于促进残疾人就业政府采购政策的通知》（财库</w:t>
      </w:r>
      <w:r>
        <w:rPr>
          <w:rFonts w:hint="eastAsia" w:ascii="宋体" w:hAnsi="宋体" w:cs="宋体"/>
          <w:color w:val="auto"/>
          <w:sz w:val="24"/>
          <w:szCs w:val="24"/>
        </w:rPr>
        <w:t>〔2017〕 141</w:t>
      </w:r>
      <w:r>
        <w:rPr>
          <w:rFonts w:hint="eastAsia" w:ascii="宋体" w:hAnsi="宋体" w:cs="宋体"/>
          <w:color w:val="auto"/>
          <w:spacing w:val="6"/>
          <w:sz w:val="24"/>
          <w:szCs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C216C2E">
      <w:pPr>
        <w:spacing w:line="440" w:lineRule="exact"/>
        <w:ind w:firstLine="504" w:firstLineChars="200"/>
        <w:rPr>
          <w:rFonts w:hint="eastAsia" w:ascii="宋体" w:hAnsi="宋体" w:cs="宋体"/>
          <w:color w:val="auto"/>
          <w:spacing w:val="6"/>
          <w:sz w:val="24"/>
          <w:szCs w:val="24"/>
        </w:rPr>
      </w:pPr>
      <w:r>
        <w:rPr>
          <w:rFonts w:hint="eastAsia" w:ascii="宋体" w:hAnsi="宋体" w:cs="宋体"/>
          <w:color w:val="auto"/>
          <w:spacing w:val="6"/>
          <w:sz w:val="24"/>
          <w:szCs w:val="24"/>
        </w:rPr>
        <w:t>本单位对上述声明的真实性负责。如有虚假，将依法承担相应责任。</w:t>
      </w:r>
    </w:p>
    <w:p w14:paraId="74C901F4">
      <w:pPr>
        <w:spacing w:line="440" w:lineRule="exact"/>
        <w:rPr>
          <w:rFonts w:hint="eastAsia" w:ascii="宋体" w:hAnsi="宋体" w:cs="宋体"/>
          <w:color w:val="auto"/>
          <w:spacing w:val="6"/>
          <w:sz w:val="24"/>
          <w:szCs w:val="24"/>
        </w:rPr>
      </w:pPr>
    </w:p>
    <w:p w14:paraId="597B34DC">
      <w:pPr>
        <w:tabs>
          <w:tab w:val="left" w:pos="4860"/>
        </w:tabs>
        <w:spacing w:line="440" w:lineRule="exact"/>
        <w:ind w:right="1560" w:firstLine="504" w:firstLineChars="200"/>
        <w:jc w:val="center"/>
        <w:rPr>
          <w:rFonts w:hint="eastAsia" w:ascii="宋体" w:hAnsi="宋体" w:cs="宋体"/>
          <w:color w:val="auto"/>
          <w:spacing w:val="6"/>
          <w:sz w:val="24"/>
          <w:szCs w:val="24"/>
        </w:rPr>
      </w:pPr>
      <w:r>
        <w:rPr>
          <w:rFonts w:hint="eastAsia" w:ascii="宋体" w:hAnsi="宋体" w:cs="宋体"/>
          <w:color w:val="auto"/>
          <w:spacing w:val="6"/>
          <w:sz w:val="24"/>
          <w:szCs w:val="24"/>
        </w:rPr>
        <w:t xml:space="preserve">               单位名称（签章）：</w:t>
      </w:r>
    </w:p>
    <w:p w14:paraId="5443B7A5">
      <w:pPr>
        <w:tabs>
          <w:tab w:val="left" w:pos="4860"/>
        </w:tabs>
        <w:spacing w:line="440" w:lineRule="exact"/>
        <w:ind w:right="1560" w:firstLine="504" w:firstLineChars="200"/>
        <w:jc w:val="center"/>
        <w:rPr>
          <w:rFonts w:hint="eastAsia" w:ascii="宋体" w:hAnsi="宋体" w:cs="宋体"/>
          <w:color w:val="auto"/>
          <w:spacing w:val="6"/>
          <w:sz w:val="24"/>
          <w:szCs w:val="24"/>
        </w:rPr>
      </w:pPr>
      <w:r>
        <w:rPr>
          <w:rFonts w:hint="eastAsia" w:ascii="宋体" w:hAnsi="宋体" w:cs="宋体"/>
          <w:color w:val="auto"/>
          <w:spacing w:val="6"/>
          <w:sz w:val="24"/>
          <w:szCs w:val="24"/>
        </w:rPr>
        <w:t xml:space="preserve">       日  期：</w:t>
      </w:r>
    </w:p>
    <w:p w14:paraId="6731CF70">
      <w:pPr>
        <w:widowControl/>
        <w:spacing w:line="440" w:lineRule="exact"/>
        <w:rPr>
          <w:rFonts w:hint="eastAsia" w:ascii="宋体" w:hAnsi="宋体" w:cs="宋体"/>
          <w:b/>
          <w:color w:val="auto"/>
          <w:sz w:val="24"/>
          <w:szCs w:val="24"/>
        </w:rPr>
      </w:pPr>
    </w:p>
    <w:p w14:paraId="0AD3A85A">
      <w:pPr>
        <w:widowControl/>
        <w:spacing w:line="440" w:lineRule="exact"/>
        <w:rPr>
          <w:rFonts w:hint="eastAsia" w:ascii="宋体" w:hAnsi="宋体" w:cs="宋体"/>
          <w:b/>
          <w:color w:val="auto"/>
          <w:sz w:val="24"/>
          <w:szCs w:val="24"/>
        </w:rPr>
      </w:pPr>
      <w:r>
        <w:rPr>
          <w:rFonts w:hint="eastAsia" w:ascii="宋体" w:hAnsi="宋体" w:cs="宋体"/>
          <w:b/>
          <w:color w:val="auto"/>
          <w:sz w:val="24"/>
          <w:szCs w:val="24"/>
        </w:rPr>
        <w:t>（提醒：如果供应商</w:t>
      </w:r>
      <w:r>
        <w:rPr>
          <w:rFonts w:hint="eastAsia" w:ascii="宋体" w:hAnsi="宋体" w:cs="宋体"/>
          <w:b/>
          <w:color w:val="auto"/>
          <w:spacing w:val="10"/>
          <w:kern w:val="0"/>
          <w:sz w:val="24"/>
          <w:szCs w:val="24"/>
        </w:rPr>
        <w:t>不是残疾人福利性单位</w:t>
      </w:r>
      <w:r>
        <w:rPr>
          <w:rFonts w:hint="eastAsia" w:ascii="宋体" w:hAnsi="宋体" w:cs="宋体"/>
          <w:b/>
          <w:color w:val="auto"/>
          <w:sz w:val="24"/>
          <w:szCs w:val="24"/>
        </w:rPr>
        <w:t>，则不需要提供《残疾人福利性单位声明函》。）</w:t>
      </w:r>
    </w:p>
    <w:p w14:paraId="35364458">
      <w:pPr>
        <w:spacing w:line="440" w:lineRule="exact"/>
        <w:rPr>
          <w:rFonts w:hint="eastAsia" w:ascii="宋体" w:hAnsi="宋体" w:cs="宋体"/>
          <w:color w:val="auto"/>
          <w:sz w:val="24"/>
          <w:szCs w:val="24"/>
        </w:rPr>
      </w:pPr>
      <w:r>
        <w:rPr>
          <w:rFonts w:hint="eastAsia" w:ascii="宋体" w:hAnsi="宋体" w:cs="宋体"/>
          <w:color w:val="auto"/>
          <w:sz w:val="24"/>
          <w:szCs w:val="24"/>
        </w:rPr>
        <w:t>《财政部民政部中国残疾人联合会关于促进残疾人就业政府采购政策的通知》（财库（2017〔141〕号）的规定：</w:t>
      </w:r>
    </w:p>
    <w:p w14:paraId="6FAAB337">
      <w:pPr>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 享受政府采购支持政策的残疾人福利性单位应当同时满足以下条件：</w:t>
      </w:r>
    </w:p>
    <w:p w14:paraId="7920088A">
      <w:pPr>
        <w:spacing w:line="440" w:lineRule="exact"/>
        <w:rPr>
          <w:rFonts w:hint="eastAsia" w:ascii="宋体" w:hAnsi="宋体" w:cs="宋体"/>
          <w:color w:val="auto"/>
          <w:sz w:val="24"/>
          <w:szCs w:val="24"/>
        </w:rPr>
      </w:pPr>
      <w:r>
        <w:rPr>
          <w:rFonts w:hint="eastAsia" w:ascii="宋体" w:hAnsi="宋体" w:cs="宋体"/>
          <w:color w:val="auto"/>
          <w:sz w:val="24"/>
          <w:szCs w:val="24"/>
        </w:rPr>
        <w:t>（1）安置的残疾人占本单位在职职工人数的比例不低于25%（含25%），并且安置的残疾人人数不少于10人（含10人）；</w:t>
      </w:r>
    </w:p>
    <w:p w14:paraId="0CFB4366">
      <w:pPr>
        <w:spacing w:line="440" w:lineRule="exact"/>
        <w:rPr>
          <w:rFonts w:hint="eastAsia" w:ascii="宋体" w:hAnsi="宋体" w:cs="宋体"/>
          <w:color w:val="auto"/>
          <w:sz w:val="24"/>
          <w:szCs w:val="24"/>
        </w:rPr>
      </w:pPr>
      <w:r>
        <w:rPr>
          <w:rFonts w:hint="eastAsia" w:ascii="宋体" w:hAnsi="宋体" w:cs="宋体"/>
          <w:color w:val="auto"/>
          <w:sz w:val="24"/>
          <w:szCs w:val="24"/>
        </w:rPr>
        <w:t>（2）依法与安置的每位残疾人签订了一年以上（含一年）的劳动合同或服务协议；</w:t>
      </w:r>
    </w:p>
    <w:p w14:paraId="48BBFD46">
      <w:pPr>
        <w:spacing w:line="440" w:lineRule="exact"/>
        <w:rPr>
          <w:rFonts w:hint="eastAsia" w:ascii="宋体" w:hAnsi="宋体" w:cs="宋体"/>
          <w:color w:val="auto"/>
          <w:sz w:val="24"/>
          <w:szCs w:val="24"/>
        </w:rPr>
      </w:pPr>
      <w:r>
        <w:rPr>
          <w:rFonts w:hint="eastAsia" w:ascii="宋体" w:hAnsi="宋体" w:cs="宋体"/>
          <w:color w:val="auto"/>
          <w:sz w:val="24"/>
          <w:szCs w:val="24"/>
        </w:rPr>
        <w:t>（3）为安置的每位残疾人按月足额缴纳了基本养老保险、基本医疗保险、失业保险、工伤保险和生育保险等社会保险费；</w:t>
      </w:r>
    </w:p>
    <w:p w14:paraId="25FB7A26">
      <w:pPr>
        <w:spacing w:line="440" w:lineRule="exact"/>
        <w:rPr>
          <w:rFonts w:hint="eastAsia" w:ascii="宋体" w:hAnsi="宋体" w:cs="宋体"/>
          <w:color w:val="auto"/>
          <w:sz w:val="24"/>
          <w:szCs w:val="24"/>
        </w:rPr>
      </w:pPr>
      <w:r>
        <w:rPr>
          <w:rFonts w:hint="eastAsia" w:ascii="宋体" w:hAnsi="宋体" w:cs="宋体"/>
          <w:color w:val="auto"/>
          <w:sz w:val="24"/>
          <w:szCs w:val="24"/>
        </w:rPr>
        <w:t>（4）通过银行等金融机构向安置的每位残疾人，按月支付了不低于单位所在区县适用的经省级人民政府批准的月最低工资标准的工资；</w:t>
      </w:r>
    </w:p>
    <w:p w14:paraId="3CE32D62">
      <w:pPr>
        <w:spacing w:line="440" w:lineRule="exact"/>
        <w:rPr>
          <w:rFonts w:hint="eastAsia" w:ascii="宋体" w:hAnsi="宋体" w:cs="宋体"/>
          <w:color w:val="auto"/>
          <w:sz w:val="24"/>
          <w:szCs w:val="24"/>
        </w:rPr>
      </w:pPr>
      <w:r>
        <w:rPr>
          <w:rFonts w:hint="eastAsia" w:ascii="宋体" w:hAnsi="宋体" w:cs="宋体"/>
          <w:color w:val="auto"/>
          <w:sz w:val="24"/>
          <w:szCs w:val="24"/>
        </w:rPr>
        <w:t>（5）提供本单位制造的货物、承担的工程或者服务（以下简称产品），或者提供其他残疾人福利性单位制造的货物（不包括使用非残疾人福利性单位注册商标的货物）。</w:t>
      </w:r>
    </w:p>
    <w:p w14:paraId="510DEFC8">
      <w:pPr>
        <w:spacing w:line="440" w:lineRule="exact"/>
        <w:ind w:firstLine="480" w:firstLineChars="200"/>
        <w:rPr>
          <w:rFonts w:hint="eastAsia" w:ascii="宋体" w:hAnsi="宋体" w:cs="宋体"/>
          <w:b/>
          <w:color w:val="auto"/>
          <w:sz w:val="24"/>
          <w:szCs w:val="24"/>
        </w:rPr>
      </w:pPr>
      <w:r>
        <w:rPr>
          <w:rFonts w:hint="eastAsia" w:ascii="宋体" w:hAnsi="宋体" w:cs="宋体"/>
          <w:color w:val="auto"/>
          <w:sz w:val="24"/>
          <w:szCs w:val="24"/>
        </w:rPr>
        <w:t>2. 中标人为残疾人福利性单位的，采购人或者其委托的采购代理机构应当随中标、成交结果同时公告其《残疾人福利性单位声明函》，接受社会监督。</w:t>
      </w:r>
    </w:p>
    <w:p w14:paraId="4219FBA1">
      <w:pPr>
        <w:keepNext/>
        <w:keepLines/>
        <w:tabs>
          <w:tab w:val="left" w:pos="840"/>
        </w:tabs>
        <w:spacing w:before="260" w:after="260" w:line="412" w:lineRule="auto"/>
        <w:outlineLvl w:val="0"/>
        <w:rPr>
          <w:rFonts w:hint="eastAsia" w:ascii="宋体" w:hAnsi="宋体" w:cs="宋体"/>
          <w:b/>
          <w:bCs/>
          <w:color w:val="auto"/>
          <w:kern w:val="0"/>
          <w:sz w:val="24"/>
          <w:szCs w:val="24"/>
        </w:rPr>
      </w:pPr>
      <w:bookmarkStart w:id="277" w:name="_Toc145065066"/>
      <w:bookmarkStart w:id="278" w:name="_Toc24557"/>
      <w:bookmarkStart w:id="279" w:name="_Toc13536"/>
      <w:bookmarkStart w:id="280" w:name="_Toc145065237"/>
      <w:bookmarkStart w:id="281" w:name="_Toc15900"/>
      <w:r>
        <w:rPr>
          <w:rFonts w:hint="eastAsia" w:ascii="宋体" w:hAnsi="宋体" w:cs="宋体"/>
          <w:b/>
          <w:bCs/>
          <w:color w:val="auto"/>
          <w:kern w:val="0"/>
          <w:sz w:val="24"/>
          <w:szCs w:val="24"/>
          <w:lang w:val="en-GB"/>
        </w:rPr>
        <w:t>附件</w:t>
      </w:r>
      <w:r>
        <w:rPr>
          <w:rFonts w:hint="eastAsia" w:ascii="宋体" w:hAnsi="宋体" w:cs="宋体"/>
          <w:b/>
          <w:bCs/>
          <w:color w:val="auto"/>
          <w:kern w:val="0"/>
          <w:sz w:val="24"/>
          <w:szCs w:val="24"/>
        </w:rPr>
        <w:t>3：</w:t>
      </w:r>
      <w:bookmarkEnd w:id="277"/>
      <w:bookmarkEnd w:id="278"/>
      <w:bookmarkEnd w:id="279"/>
      <w:bookmarkEnd w:id="280"/>
    </w:p>
    <w:p w14:paraId="01A300DC">
      <w:pPr>
        <w:keepNext/>
        <w:keepLines/>
        <w:tabs>
          <w:tab w:val="left" w:pos="840"/>
        </w:tabs>
        <w:spacing w:before="260" w:after="260" w:line="412" w:lineRule="auto"/>
        <w:ind w:left="420"/>
        <w:jc w:val="center"/>
        <w:outlineLvl w:val="0"/>
        <w:rPr>
          <w:rFonts w:hint="eastAsia" w:ascii="宋体" w:hAnsi="宋体" w:cs="宋体"/>
          <w:b/>
          <w:color w:val="auto"/>
          <w:kern w:val="0"/>
          <w:sz w:val="24"/>
          <w:szCs w:val="24"/>
          <w:lang w:val="en-GB"/>
        </w:rPr>
      </w:pPr>
      <w:bookmarkStart w:id="282" w:name="_Toc24430"/>
      <w:bookmarkStart w:id="283" w:name="_Toc11207"/>
      <w:bookmarkStart w:id="284" w:name="_Toc145065238"/>
      <w:bookmarkStart w:id="285" w:name="_Toc145065067"/>
      <w:r>
        <w:rPr>
          <w:rFonts w:hint="eastAsia" w:ascii="宋体" w:hAnsi="宋体" w:cs="宋体"/>
          <w:b/>
          <w:color w:val="auto"/>
          <w:kern w:val="0"/>
          <w:sz w:val="24"/>
          <w:szCs w:val="24"/>
          <w:lang w:val="en-GB"/>
        </w:rPr>
        <w:t>监狱企业证明材料</w:t>
      </w:r>
      <w:r>
        <w:rPr>
          <w:rFonts w:hint="eastAsia" w:ascii="宋体" w:hAnsi="宋体" w:cs="宋体"/>
          <w:b/>
          <w:color w:val="auto"/>
          <w:kern w:val="0"/>
          <w:sz w:val="24"/>
          <w:szCs w:val="24"/>
        </w:rPr>
        <w:t>（如有）</w:t>
      </w:r>
      <w:bookmarkEnd w:id="281"/>
      <w:bookmarkEnd w:id="282"/>
      <w:bookmarkEnd w:id="283"/>
      <w:bookmarkEnd w:id="284"/>
      <w:bookmarkEnd w:id="285"/>
    </w:p>
    <w:p w14:paraId="42B24C7D">
      <w:pPr>
        <w:rPr>
          <w:rFonts w:hint="eastAsia" w:ascii="宋体" w:hAnsi="宋体" w:cs="宋体"/>
          <w:color w:val="auto"/>
          <w:sz w:val="24"/>
          <w:szCs w:val="24"/>
          <w:lang w:val="en-GB"/>
        </w:rPr>
      </w:pPr>
    </w:p>
    <w:p w14:paraId="603DDEA8">
      <w:pPr>
        <w:spacing w:line="360" w:lineRule="auto"/>
        <w:ind w:firstLine="480" w:firstLineChars="200"/>
        <w:rPr>
          <w:rFonts w:hint="eastAsia" w:ascii="宋体" w:hAnsi="宋体" w:cs="宋体"/>
          <w:color w:val="auto"/>
          <w:sz w:val="24"/>
          <w:szCs w:val="24"/>
          <w:lang w:val="en-GB"/>
        </w:rPr>
      </w:pPr>
      <w:r>
        <w:rPr>
          <w:rFonts w:hint="eastAsia" w:ascii="宋体" w:hAnsi="宋体" w:cs="宋体"/>
          <w:color w:val="auto"/>
          <w:sz w:val="24"/>
          <w:szCs w:val="24"/>
          <w:lang w:val="en-GB"/>
        </w:rPr>
        <w:t>监狱企业参加政府采购活动时，应当提供由省级以上监狱管理局、戒毒管理局（含新疆生产建设兵团）出具的属于监狱企业的证明文件。</w:t>
      </w:r>
    </w:p>
    <w:p w14:paraId="2F3D046A">
      <w:pPr>
        <w:rPr>
          <w:color w:val="auto"/>
        </w:rPr>
      </w:pPr>
    </w:p>
    <w:p w14:paraId="49914B75">
      <w:pPr>
        <w:tabs>
          <w:tab w:val="left" w:pos="660"/>
        </w:tabs>
        <w:bidi w:val="0"/>
        <w:jc w:val="left"/>
        <w:rPr>
          <w:rFonts w:hint="eastAsia"/>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宋体-PUA">
    <w:altName w:val="宋体"/>
    <w:panose1 w:val="02010600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C0335">
    <w:pPr>
      <w:pStyle w:val="13"/>
      <w:jc w:val="center"/>
    </w:pPr>
  </w:p>
  <w:p w14:paraId="1AE4F1E8">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039EC">
    <w:pPr>
      <w:pStyle w:val="13"/>
      <w:tabs>
        <w:tab w:val="left" w:pos="5450"/>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posOffset>2371725</wp:posOffset>
              </wp:positionH>
              <wp:positionV relativeFrom="paragraph">
                <wp:posOffset>22860</wp:posOffset>
              </wp:positionV>
              <wp:extent cx="210185" cy="19812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0185" cy="198120"/>
                      </a:xfrm>
                      <a:prstGeom prst="rect">
                        <a:avLst/>
                      </a:prstGeom>
                      <a:noFill/>
                      <a:ln w="15875">
                        <a:noFill/>
                      </a:ln>
                    </wps:spPr>
                    <wps:txbx>
                      <w:txbxContent>
                        <w:p w14:paraId="7B24F6A2"/>
                      </w:txbxContent>
                    </wps:txbx>
                    <wps:bodyPr lIns="0" tIns="0" rIns="0" bIns="0" upright="1"/>
                  </wps:wsp>
                </a:graphicData>
              </a:graphic>
            </wp:anchor>
          </w:drawing>
        </mc:Choice>
        <mc:Fallback>
          <w:pict>
            <v:shape id="_x0000_s1026" o:spid="_x0000_s1026" o:spt="202" type="#_x0000_t202" style="position:absolute;left:0pt;margin-left:186.75pt;margin-top:1.8pt;height:15.6pt;width:16.55pt;mso-position-horizontal-relative:margin;z-index:251660288;mso-width-relative:page;mso-height-relative:page;" filled="f" stroked="f" coordsize="21600,21600" o:gfxdata="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lL9Ku1gAAAAgBAAAPAAAAAAAAAAEAIAAAACIAAABkcnMvZG93bnJldi54&#10;bWxQSwECFAAUAAAACACHTuJAYV5/tcMBAAB7AwAADgAAAAAAAAABACAAAAAlAQAAZHJzL2Uyb0Rv&#10;Yy54bWxQSwUGAAAAAAYABgBZAQAAWgUAAAAA&#10;">
              <v:fill on="f" focussize="0,0"/>
              <v:stroke on="f" weight="1.25pt"/>
              <v:imagedata o:title=""/>
              <o:lock v:ext="edit" aspectratio="f"/>
              <v:textbox inset="0mm,0mm,0mm,0mm">
                <w:txbxContent>
                  <w:p w14:paraId="7B24F6A2"/>
                </w:txbxContent>
              </v:textbox>
            </v:shape>
          </w:pict>
        </mc:Fallback>
      </mc:AlternateContent>
    </w:r>
    <w:r>
      <w:t xml:space="preserve"> </w: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D2182B7">
                          <w:pPr>
                            <w:snapToGrid w:val="0"/>
                            <w:jc w:val="cente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DxOXLRAQAAow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bFIYjF1m6w47seZ2t51Z2Q2&#10;4Aq01OLGU6I/WFQ4bctihMXYL8bRB3Xoscl1rgf+7TFiO7nLVGGCnQvj7DLPec/Scvzt56zHf2v7&#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g8Tly0QEAAKMDAAAOAAAAAAAAAAEAIAAAACIB&#10;AABkcnMvZTJvRG9jLnhtbFBLBQYAAAAABgAGAFkBAABlBQAAAAA=&#10;">
              <v:fill on="f" focussize="0,0"/>
              <v:stroke on="f" weight="1.25pt"/>
              <v:imagedata o:title=""/>
              <o:lock v:ext="edit" aspectratio="f"/>
              <v:textbox inset="0mm,0mm,0mm,0mm" style="mso-fit-shape-to-text:t;">
                <w:txbxContent>
                  <w:p w14:paraId="3D2182B7">
                    <w:pPr>
                      <w:snapToGrid w:val="0"/>
                      <w:jc w:val="cente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DCD49">
    <w:pPr>
      <w:pStyle w:val="13"/>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9525</wp:posOffset>
              </wp:positionV>
              <wp:extent cx="335915" cy="153035"/>
              <wp:effectExtent l="0" t="0" r="0" b="0"/>
              <wp:wrapNone/>
              <wp:docPr id="6" name="文本框 6"/>
              <wp:cNvGraphicFramePr/>
              <a:graphic xmlns:a="http://schemas.openxmlformats.org/drawingml/2006/main">
                <a:graphicData uri="http://schemas.microsoft.com/office/word/2010/wordprocessingShape">
                  <wps:wsp>
                    <wps:cNvSpPr txBox="1"/>
                    <wps:spPr>
                      <a:xfrm>
                        <a:off x="0" y="0"/>
                        <a:ext cx="335915" cy="153035"/>
                      </a:xfrm>
                      <a:prstGeom prst="rect">
                        <a:avLst/>
                      </a:prstGeom>
                      <a:noFill/>
                      <a:ln w="15875">
                        <a:noFill/>
                      </a:ln>
                    </wps:spPr>
                    <wps:txbx>
                      <w:txbxContent>
                        <w:p w14:paraId="105E38CD">
                          <w:pPr>
                            <w:snapToGrid w:val="0"/>
                            <w:rPr>
                              <w:sz w:val="18"/>
                            </w:rPr>
                          </w:pPr>
                        </w:p>
                      </w:txbxContent>
                    </wps:txbx>
                    <wps:bodyPr lIns="0" tIns="0" rIns="0" bIns="0" upright="1"/>
                  </wps:wsp>
                </a:graphicData>
              </a:graphic>
            </wp:anchor>
          </w:drawing>
        </mc:Choice>
        <mc:Fallback>
          <w:pict>
            <v:shape id="_x0000_s1026" o:spid="_x0000_s1026" o:spt="202" type="#_x0000_t202" style="position:absolute;left:0pt;margin-top:0.75pt;height:12.05pt;width:26.45pt;mso-position-horizontal:center;mso-position-horizontal-relative:margin;z-index:251664384;mso-width-relative:page;mso-height-relative:page;" filled="f" stroked="f" coordsize="21600,21600" o:gfxdata="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2vgjZ1AAAAAQBAAAPAAAAAAAAAAEAIAAAACIAAABkcnMvZG93bnJldi54bWxQ&#10;SwECFAAUAAAACACHTuJAIWXZvcIBAAB7AwAADgAAAAAAAAABACAAAAAjAQAAZHJzL2Uyb0RvYy54&#10;bWxQSwUGAAAAAAYABgBZAQAAVwUAAAAA&#10;">
              <v:fill on="f" focussize="0,0"/>
              <v:stroke on="f" weight="1.25pt"/>
              <v:imagedata o:title=""/>
              <o:lock v:ext="edit" aspectratio="f"/>
              <v:textbox inset="0mm,0mm,0mm,0mm">
                <w:txbxContent>
                  <w:p w14:paraId="105E38CD">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3E4C7C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15</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DDS/3YAQAAsQMAAA4AAABkcnMvZTJvRG9jLnhtbK1TS27bMBDd&#10;F+gdCO5rKUb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5tShZ5GSacxGnsPVlx2A4T&#10;0a1rj8izx4VoqMX9p0TfWdQ77c5shNnYzsbeB7Xr8nKlWuA/7iM2l3tOFUZY5JocnGRmPW1dWpXn&#10;fs56+tPW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MMNL/dgBAACxAwAADgAAAAAAAAAB&#10;ACAAAAAiAQAAZHJzL2Uyb0RvYy54bWxQSwUGAAAAAAYABgBZAQAAbAUAAAAA&#10;">
              <v:fill on="f" focussize="0,0"/>
              <v:stroke on="f" weight="1.25pt"/>
              <v:imagedata o:title=""/>
              <o:lock v:ext="edit" aspectratio="f"/>
              <v:textbox inset="0mm,0mm,0mm,0mm" style="mso-fit-shape-to-text:t;">
                <w:txbxContent>
                  <w:p w14:paraId="23E4C7C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15</w:t>
                    </w:r>
                    <w:r>
                      <w:rPr>
                        <w:rFonts w:hint="eastAsia"/>
                        <w:sz w:val="18"/>
                      </w:rP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2371725</wp:posOffset>
              </wp:positionH>
              <wp:positionV relativeFrom="paragraph">
                <wp:posOffset>9525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22C1CDD"/>
                      </w:txbxContent>
                    </wps:txbx>
                    <wps:bodyPr wrap="none" lIns="0" tIns="0" rIns="0" bIns="0" upright="0">
                      <a:spAutoFit/>
                    </wps:bodyPr>
                  </wps:wsp>
                </a:graphicData>
              </a:graphic>
            </wp:anchor>
          </w:drawing>
        </mc:Choice>
        <mc:Fallback>
          <w:pict>
            <v:shape id="_x0000_s1026" o:spid="_x0000_s1026" o:spt="202" type="#_x0000_t202" style="position:absolute;left:0pt;margin-left:186.75pt;margin-top:0.75pt;height:144pt;width:144pt;mso-position-horizontal-relative:margin;mso-wrap-style:none;z-index:251663360;mso-width-relative:page;mso-height-relative:page;" filled="f" stroked="f" coordsize="21600,21600" o:gfxdata="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ykaEvZAAAACQEAAA8AAAAAAAAA&#10;AQAgAAAAIgAAAGRycy9kb3ducmV2LnhtbFBLAQIUABQAAAAIAIdO4kAbPOFD1wEAALEDAAAOAAAA&#10;AAAAAAEAIAAAACgBAABkcnMvZTJvRG9jLnhtbFBLBQYAAAAABgAGAFkBAABxBQAAAAA=&#10;">
              <v:fill on="f" focussize="0,0"/>
              <v:stroke on="f" weight="1.25pt"/>
              <v:imagedata o:title=""/>
              <o:lock v:ext="edit" aspectratio="f"/>
              <v:textbox inset="0mm,0mm,0mm,0mm" style="mso-fit-shape-to-text:t;">
                <w:txbxContent>
                  <w:p w14:paraId="522C1CDD"/>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0D330"/>
    <w:multiLevelType w:val="singleLevel"/>
    <w:tmpl w:val="94D0D330"/>
    <w:lvl w:ilvl="0" w:tentative="0">
      <w:start w:val="2"/>
      <w:numFmt w:val="chineseCounting"/>
      <w:suff w:val="nothing"/>
      <w:lvlText w:val="%1、"/>
      <w:lvlJc w:val="left"/>
      <w:rPr>
        <w:rFonts w:hint="eastAsia"/>
      </w:rPr>
    </w:lvl>
  </w:abstractNum>
  <w:abstractNum w:abstractNumId="1">
    <w:nsid w:val="28D43FFD"/>
    <w:multiLevelType w:val="singleLevel"/>
    <w:tmpl w:val="28D43FFD"/>
    <w:lvl w:ilvl="0" w:tentative="0">
      <w:start w:val="1"/>
      <w:numFmt w:val="chineseCounting"/>
      <w:suff w:val="nothing"/>
      <w:lvlText w:val="%1、"/>
      <w:lvlJc w:val="left"/>
      <w:rPr>
        <w:rFonts w:hint="eastAsia"/>
      </w:rPr>
    </w:lvl>
  </w:abstractNum>
  <w:abstractNum w:abstractNumId="2">
    <w:nsid w:val="56AB246D"/>
    <w:multiLevelType w:val="multilevel"/>
    <w:tmpl w:val="56AB246D"/>
    <w:lvl w:ilvl="0" w:tentative="0">
      <w:start w:val="1"/>
      <w:numFmt w:val="decimal"/>
      <w:lvlText w:val="%1"/>
      <w:lvlJc w:val="left"/>
      <w:pPr>
        <w:ind w:left="600" w:hanging="600"/>
      </w:pPr>
      <w:rPr>
        <w:rFonts w:hint="default"/>
      </w:rPr>
    </w:lvl>
    <w:lvl w:ilvl="1" w:tentative="0">
      <w:start w:val="1"/>
      <w:numFmt w:val="decimal"/>
      <w:lvlText w:val="%1.%2"/>
      <w:lvlJc w:val="left"/>
      <w:pPr>
        <w:ind w:left="870" w:hanging="600"/>
      </w:pPr>
      <w:rPr>
        <w:rFonts w:hint="default"/>
      </w:rPr>
    </w:lvl>
    <w:lvl w:ilvl="2" w:tentative="0">
      <w:start w:val="3"/>
      <w:numFmt w:val="decimal"/>
      <w:lvlText w:val="%1.%2.%3"/>
      <w:lvlJc w:val="left"/>
      <w:pPr>
        <w:ind w:left="1260" w:hanging="720"/>
      </w:pPr>
      <w:rPr>
        <w:rFonts w:hint="default"/>
      </w:rPr>
    </w:lvl>
    <w:lvl w:ilvl="3" w:tentative="0">
      <w:start w:val="1"/>
      <w:numFmt w:val="decimal"/>
      <w:lvlText w:val="%1.%2.%3.%4"/>
      <w:lvlJc w:val="left"/>
      <w:pPr>
        <w:ind w:left="1890" w:hanging="1080"/>
      </w:pPr>
      <w:rPr>
        <w:rFonts w:hint="default"/>
      </w:rPr>
    </w:lvl>
    <w:lvl w:ilvl="4" w:tentative="0">
      <w:start w:val="1"/>
      <w:numFmt w:val="decimal"/>
      <w:lvlText w:val="%1.%2.%3.%4.%5"/>
      <w:lvlJc w:val="left"/>
      <w:pPr>
        <w:ind w:left="2160" w:hanging="1080"/>
      </w:pPr>
      <w:rPr>
        <w:rFonts w:hint="default"/>
      </w:rPr>
    </w:lvl>
    <w:lvl w:ilvl="5" w:tentative="0">
      <w:start w:val="1"/>
      <w:numFmt w:val="decimal"/>
      <w:lvlText w:val="%1.%2.%3.%4.%5.%6"/>
      <w:lvlJc w:val="left"/>
      <w:pPr>
        <w:ind w:left="2790" w:hanging="1440"/>
      </w:pPr>
      <w:rPr>
        <w:rFonts w:hint="default"/>
      </w:rPr>
    </w:lvl>
    <w:lvl w:ilvl="6" w:tentative="0">
      <w:start w:val="1"/>
      <w:numFmt w:val="decimal"/>
      <w:lvlText w:val="%1.%2.%3.%4.%5.%6.%7"/>
      <w:lvlJc w:val="left"/>
      <w:pPr>
        <w:ind w:left="3420" w:hanging="1800"/>
      </w:pPr>
      <w:rPr>
        <w:rFonts w:hint="default"/>
      </w:rPr>
    </w:lvl>
    <w:lvl w:ilvl="7" w:tentative="0">
      <w:start w:val="1"/>
      <w:numFmt w:val="decimal"/>
      <w:lvlText w:val="%1.%2.%3.%4.%5.%6.%7.%8"/>
      <w:lvlJc w:val="left"/>
      <w:pPr>
        <w:ind w:left="3690" w:hanging="1800"/>
      </w:pPr>
      <w:rPr>
        <w:rFonts w:hint="default"/>
      </w:rPr>
    </w:lvl>
    <w:lvl w:ilvl="8" w:tentative="0">
      <w:start w:val="1"/>
      <w:numFmt w:val="decimal"/>
      <w:lvlText w:val="%1.%2.%3.%4.%5.%6.%7.%8.%9"/>
      <w:lvlJc w:val="left"/>
      <w:pPr>
        <w:ind w:left="432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xM2I1YjI0ZGFkNDc3YTdkZGVmNzIyNGE4ODY5ZjMifQ=="/>
  </w:docVars>
  <w:rsids>
    <w:rsidRoot w:val="3E860F39"/>
    <w:rsid w:val="009049D8"/>
    <w:rsid w:val="0286060F"/>
    <w:rsid w:val="038509C9"/>
    <w:rsid w:val="0ADA341F"/>
    <w:rsid w:val="0CCA1272"/>
    <w:rsid w:val="0E1327A4"/>
    <w:rsid w:val="0EAF4BC3"/>
    <w:rsid w:val="122E5DFF"/>
    <w:rsid w:val="1299033E"/>
    <w:rsid w:val="131A205F"/>
    <w:rsid w:val="13207980"/>
    <w:rsid w:val="14B372C5"/>
    <w:rsid w:val="17E70F2A"/>
    <w:rsid w:val="1C41170C"/>
    <w:rsid w:val="1C8925AF"/>
    <w:rsid w:val="1C8E6761"/>
    <w:rsid w:val="20015EDA"/>
    <w:rsid w:val="24A713B1"/>
    <w:rsid w:val="266F16D8"/>
    <w:rsid w:val="2916341D"/>
    <w:rsid w:val="2987256D"/>
    <w:rsid w:val="2B90195F"/>
    <w:rsid w:val="32335040"/>
    <w:rsid w:val="345950D2"/>
    <w:rsid w:val="353266A5"/>
    <w:rsid w:val="35EC75C2"/>
    <w:rsid w:val="36DD37CC"/>
    <w:rsid w:val="3A4702A5"/>
    <w:rsid w:val="3BC35686"/>
    <w:rsid w:val="3D0C4E0B"/>
    <w:rsid w:val="3D101FEB"/>
    <w:rsid w:val="3E860F39"/>
    <w:rsid w:val="40E417BE"/>
    <w:rsid w:val="442333F9"/>
    <w:rsid w:val="47685334"/>
    <w:rsid w:val="494F4E40"/>
    <w:rsid w:val="49B760FE"/>
    <w:rsid w:val="4A4D0C87"/>
    <w:rsid w:val="4D1D271C"/>
    <w:rsid w:val="4D65210C"/>
    <w:rsid w:val="4DEE542B"/>
    <w:rsid w:val="4E6D1482"/>
    <w:rsid w:val="4F0A4F22"/>
    <w:rsid w:val="4F5F701C"/>
    <w:rsid w:val="50811214"/>
    <w:rsid w:val="54862E77"/>
    <w:rsid w:val="55436A98"/>
    <w:rsid w:val="56ED52AB"/>
    <w:rsid w:val="58B303D9"/>
    <w:rsid w:val="58DF4D2A"/>
    <w:rsid w:val="5CEE23E1"/>
    <w:rsid w:val="5D1F428F"/>
    <w:rsid w:val="5D8D11F8"/>
    <w:rsid w:val="5EDD20E2"/>
    <w:rsid w:val="641E2BAA"/>
    <w:rsid w:val="64656A2B"/>
    <w:rsid w:val="64E974FC"/>
    <w:rsid w:val="66837BE3"/>
    <w:rsid w:val="67EE4F89"/>
    <w:rsid w:val="70725FF0"/>
    <w:rsid w:val="7189485E"/>
    <w:rsid w:val="732142EA"/>
    <w:rsid w:val="734876F0"/>
    <w:rsid w:val="75B513DE"/>
    <w:rsid w:val="75C0032F"/>
    <w:rsid w:val="7682346D"/>
    <w:rsid w:val="77661131"/>
    <w:rsid w:val="78EC6490"/>
    <w:rsid w:val="79646E59"/>
    <w:rsid w:val="7B1232DD"/>
    <w:rsid w:val="7B892BA7"/>
    <w:rsid w:val="7C507B69"/>
    <w:rsid w:val="7CA12173"/>
    <w:rsid w:val="7CCA55A2"/>
    <w:rsid w:val="7FF11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8">
    <w:name w:val="heading 1"/>
    <w:basedOn w:val="1"/>
    <w:next w:val="1"/>
    <w:qFormat/>
    <w:uiPriority w:val="0"/>
    <w:pPr>
      <w:keepNext/>
      <w:keepLines/>
      <w:spacing w:before="340" w:after="330" w:line="576" w:lineRule="auto"/>
      <w:outlineLvl w:val="0"/>
    </w:pPr>
    <w:rPr>
      <w:b/>
      <w:bCs/>
      <w:kern w:val="44"/>
      <w:sz w:val="44"/>
      <w:szCs w:val="44"/>
    </w:rPr>
  </w:style>
  <w:style w:type="paragraph" w:styleId="9">
    <w:name w:val="heading 2"/>
    <w:basedOn w:val="1"/>
    <w:next w:val="1"/>
    <w:qFormat/>
    <w:uiPriority w:val="9"/>
    <w:pPr>
      <w:keepNext/>
      <w:keepLines/>
      <w:spacing w:before="260" w:after="260" w:line="415" w:lineRule="auto"/>
      <w:outlineLvl w:val="1"/>
    </w:pPr>
    <w:rPr>
      <w:rFonts w:ascii="Arial" w:hAnsi="Arial" w:eastAsia="黑体"/>
      <w:b/>
      <w:bCs/>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5"/>
    <w:unhideWhenUsed/>
    <w:qFormat/>
    <w:uiPriority w:val="99"/>
    <w:pPr>
      <w:ind w:firstLine="420" w:firstLineChars="100"/>
    </w:pPr>
  </w:style>
  <w:style w:type="paragraph" w:styleId="3">
    <w:name w:val="Body Text"/>
    <w:basedOn w:val="1"/>
    <w:next w:val="4"/>
    <w:unhideWhenUsed/>
    <w:qFormat/>
    <w:uiPriority w:val="0"/>
    <w:pPr>
      <w:spacing w:after="120"/>
    </w:pPr>
    <w:rPr>
      <w:rFonts w:asciiTheme="minorHAnsi" w:hAnsiTheme="minorHAnsi" w:eastAsiaTheme="minorEastAsia" w:cstheme="minorBidi"/>
    </w:rPr>
  </w:style>
  <w:style w:type="paragraph" w:styleId="4">
    <w:name w:val="Body Text 2"/>
    <w:basedOn w:val="1"/>
    <w:next w:val="3"/>
    <w:qFormat/>
    <w:uiPriority w:val="0"/>
    <w:rPr>
      <w:rFonts w:ascii="宋体" w:hAnsi="宋体" w:eastAsia="宋体" w:cs="Arial"/>
      <w:b/>
      <w:kern w:val="0"/>
      <w:sz w:val="28"/>
      <w:szCs w:val="20"/>
    </w:rPr>
  </w:style>
  <w:style w:type="paragraph" w:styleId="5">
    <w:name w:val="Body Text First Indent 2"/>
    <w:basedOn w:val="6"/>
    <w:next w:val="1"/>
    <w:qFormat/>
    <w:uiPriority w:val="0"/>
    <w:pPr>
      <w:keepNext w:val="0"/>
      <w:keepLines w:val="0"/>
      <w:widowControl w:val="0"/>
      <w:suppressLineNumbers w:val="0"/>
      <w:spacing w:before="0" w:beforeAutospacing="0" w:after="120" w:afterAutospacing="0"/>
      <w:ind w:left="420" w:leftChars="200" w:right="0" w:firstLine="420" w:firstLineChars="200"/>
      <w:jc w:val="both"/>
    </w:pPr>
  </w:style>
  <w:style w:type="paragraph" w:styleId="6">
    <w:name w:val="Body Text Indent"/>
    <w:basedOn w:val="1"/>
    <w:next w:val="7"/>
    <w:qFormat/>
    <w:uiPriority w:val="0"/>
    <w:pPr>
      <w:spacing w:after="120" w:afterLines="0" w:afterAutospacing="0"/>
      <w:ind w:left="420" w:leftChars="200"/>
    </w:pPr>
    <w:rPr>
      <w:rFonts w:ascii="Times New Roman" w:hAnsi="Times New Roman"/>
      <w:szCs w:val="21"/>
    </w:rPr>
  </w:style>
  <w:style w:type="paragraph" w:styleId="7">
    <w:name w:val="envelope return"/>
    <w:basedOn w:val="1"/>
    <w:unhideWhenUsed/>
    <w:qFormat/>
    <w:uiPriority w:val="99"/>
    <w:pPr>
      <w:snapToGrid w:val="0"/>
    </w:pPr>
    <w:rPr>
      <w:rFonts w:ascii="等线 Light" w:hAnsi="等线 Light" w:eastAsia="等线 Light" w:cs="Times New Roman"/>
    </w:rPr>
  </w:style>
  <w:style w:type="paragraph" w:styleId="10">
    <w:name w:val="Normal Indent"/>
    <w:basedOn w:val="1"/>
    <w:unhideWhenUsed/>
    <w:qFormat/>
    <w:uiPriority w:val="0"/>
    <w:pPr>
      <w:ind w:firstLine="420"/>
    </w:pPr>
    <w:rPr>
      <w:rFonts w:asciiTheme="minorHAnsi" w:hAnsiTheme="minorHAnsi" w:eastAsiaTheme="minorEastAsia" w:cstheme="minorBidi"/>
    </w:rPr>
  </w:style>
  <w:style w:type="paragraph" w:styleId="11">
    <w:name w:val="Body Text 3"/>
    <w:basedOn w:val="1"/>
    <w:unhideWhenUsed/>
    <w:qFormat/>
    <w:uiPriority w:val="0"/>
    <w:rPr>
      <w:rFonts w:ascii="宋体"/>
      <w:sz w:val="24"/>
      <w:szCs w:val="20"/>
    </w:rPr>
  </w:style>
  <w:style w:type="paragraph" w:styleId="12">
    <w:name w:val="List 2"/>
    <w:basedOn w:val="1"/>
    <w:qFormat/>
    <w:uiPriority w:val="0"/>
    <w:pPr>
      <w:keepNext w:val="0"/>
      <w:keepLines w:val="0"/>
      <w:widowControl w:val="0"/>
      <w:suppressLineNumbers w:val="0"/>
      <w:spacing w:before="100" w:beforeAutospacing="1" w:after="100" w:afterAutospacing="1"/>
      <w:ind w:left="100" w:leftChars="200" w:right="0" w:hanging="200" w:hangingChars="200"/>
      <w:jc w:val="both"/>
    </w:pPr>
    <w:rPr>
      <w:rFonts w:hint="default" w:ascii="Calibri" w:hAnsi="Calibri" w:eastAsia="宋体" w:cs="Times New Roman"/>
      <w:kern w:val="2"/>
      <w:sz w:val="21"/>
      <w:szCs w:val="21"/>
      <w:lang w:val="en-US" w:eastAsia="zh-CN" w:bidi="ar"/>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Normal (Web)"/>
    <w:basedOn w:val="1"/>
    <w:qFormat/>
    <w:uiPriority w:val="99"/>
    <w:pPr>
      <w:spacing w:line="480" w:lineRule="auto"/>
      <w:jc w:val="left"/>
    </w:pPr>
    <w:rPr>
      <w:rFonts w:ascii="Calibri" w:hAnsi="Calibri"/>
      <w:kern w:val="0"/>
      <w:sz w:val="24"/>
    </w:rPr>
  </w:style>
  <w:style w:type="paragraph" w:customStyle="1" w:styleId="17">
    <w:name w:val="Table Paragraph"/>
    <w:basedOn w:val="1"/>
    <w:qFormat/>
    <w:uiPriority w:val="1"/>
    <w:rPr>
      <w:rFonts w:ascii="宋体" w:hAnsi="宋体" w:cs="宋体"/>
      <w:lang w:val="zh-CN" w:bidi="zh-CN"/>
    </w:rPr>
  </w:style>
  <w:style w:type="paragraph" w:customStyle="1" w:styleId="18">
    <w:name w:val="cjk"/>
    <w:basedOn w:val="1"/>
    <w:qFormat/>
    <w:uiPriority w:val="0"/>
    <w:pPr>
      <w:widowControl/>
      <w:spacing w:line="480" w:lineRule="auto"/>
      <w:jc w:val="left"/>
    </w:pPr>
    <w:rPr>
      <w:rFonts w:ascii="宋体" w:hAnsi="宋体" w:cs="宋体"/>
      <w:kern w:val="0"/>
      <w:sz w:val="24"/>
    </w:rPr>
  </w:style>
  <w:style w:type="paragraph" w:customStyle="1" w:styleId="19">
    <w:name w:val="p0"/>
    <w:basedOn w:val="1"/>
    <w:qFormat/>
    <w:uiPriority w:val="0"/>
    <w:pPr>
      <w:widowControl/>
    </w:pPr>
    <w:rPr>
      <w:kern w:val="0"/>
      <w:szCs w:val="21"/>
    </w:rPr>
  </w:style>
  <w:style w:type="paragraph" w:customStyle="1" w:styleId="20">
    <w:name w:val="Default"/>
    <w:next w:val="21"/>
    <w:qFormat/>
    <w:uiPriority w:val="0"/>
    <w:pPr>
      <w:widowControl w:val="0"/>
      <w:autoSpaceDE w:val="0"/>
      <w:autoSpaceDN w:val="0"/>
      <w:adjustRightInd w:val="0"/>
    </w:pPr>
    <w:rPr>
      <w:rFonts w:ascii="宋体" w:cs="宋体" w:hAnsiTheme="minorHAnsi" w:eastAsiaTheme="minorEastAsia"/>
      <w:color w:val="000000"/>
      <w:kern w:val="2"/>
      <w:sz w:val="24"/>
      <w:szCs w:val="24"/>
      <w:lang w:val="en-US" w:eastAsia="zh-CN" w:bidi="ar-SA"/>
    </w:rPr>
  </w:style>
  <w:style w:type="paragraph" w:customStyle="1" w:styleId="21">
    <w:name w:val="大标题"/>
    <w:basedOn w:val="1"/>
    <w:next w:val="5"/>
    <w:qFormat/>
    <w:uiPriority w:val="0"/>
    <w:pPr>
      <w:pageBreakBefore/>
      <w:spacing w:after="200" w:line="720" w:lineRule="auto"/>
      <w:jc w:val="center"/>
      <w:outlineLvl w:val="0"/>
    </w:pPr>
    <w:rPr>
      <w:rFonts w:ascii="黑体" w:hAnsi="Calibri" w:eastAsia="黑体"/>
      <w:sz w:val="32"/>
      <w:szCs w:val="30"/>
      <w:lang w:eastAsia="en-US" w:bidi="en-US"/>
    </w:rPr>
  </w:style>
  <w:style w:type="paragraph" w:styleId="22">
    <w:name w:val="List Paragraph"/>
    <w:basedOn w:val="1"/>
    <w:qFormat/>
    <w:uiPriority w:val="99"/>
    <w:pPr>
      <w:ind w:firstLine="420" w:firstLineChars="200"/>
    </w:pPr>
  </w:style>
  <w:style w:type="paragraph" w:customStyle="1" w:styleId="23">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2054</Words>
  <Characters>2436</Characters>
  <Lines>0</Lines>
  <Paragraphs>0</Paragraphs>
  <TotalTime>0</TotalTime>
  <ScaleCrop>false</ScaleCrop>
  <LinksUpToDate>false</LinksUpToDate>
  <CharactersWithSpaces>2450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2026-08-10T02:19:00Z</dcterms:created>
  <dc:creator>Y</dc:creator>
  <cp:lastModifiedBy>寇鹏飞</cp:lastModifiedBy>
  <dcterms:modified xsi:type="dcterms:W3CDTF">2026-08-19T08:27:14Z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BDB2ADBD7AE54082B9B87905A72E8CB8_13</vt:lpwstr>
  </property>
  <property fmtid="{D5CDD505-2E9C-101B-9397-08002B2CF9AE}" pid="4" name="KSOTemplateDocerSaveRecord">
    <vt:lpwstr>eyJoZGlkIjoiZjc4MjhiY2IzNzRmMDAyZGIwZjM1NjI0NDdkZGUwMmEiLCJ1c2VySWQiOiIxMDA2MzMxOTYzIn0=</vt:lpwstr>
  </property>
</Properties>
</file>