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267609">
      <w:pPr>
        <w:shd w:val="clear" w:color="auto" w:fill="auto"/>
        <w:spacing w:line="360" w:lineRule="auto"/>
        <w:jc w:val="center"/>
        <w:rPr>
          <w:rFonts w:hint="eastAsia" w:ascii="黑体" w:hAnsi="黑体" w:eastAsia="黑体" w:cs="宋体"/>
          <w:b/>
          <w:sz w:val="44"/>
          <w:szCs w:val="44"/>
          <w:highlight w:val="none"/>
          <w:lang w:val="en-US" w:eastAsia="zh-CN"/>
        </w:rPr>
      </w:pPr>
    </w:p>
    <w:p w14:paraId="1A75D197">
      <w:pPr>
        <w:shd w:val="clear" w:color="auto" w:fill="auto"/>
        <w:spacing w:line="360" w:lineRule="auto"/>
        <w:jc w:val="center"/>
        <w:rPr>
          <w:rFonts w:hint="eastAsia" w:ascii="黑体" w:hAnsi="黑体" w:eastAsia="黑体" w:cs="宋体"/>
          <w:b/>
          <w:sz w:val="44"/>
          <w:szCs w:val="44"/>
          <w:highlight w:val="none"/>
          <w:lang w:val="en-US" w:eastAsia="zh-CN"/>
        </w:rPr>
      </w:pPr>
    </w:p>
    <w:p w14:paraId="7A44EB10">
      <w:pPr>
        <w:shd w:val="clear" w:color="auto" w:fill="auto"/>
        <w:spacing w:line="360" w:lineRule="auto"/>
        <w:jc w:val="center"/>
        <w:rPr>
          <w:rFonts w:hint="default" w:ascii="黑体" w:hAnsi="黑体" w:eastAsia="黑体" w:cs="宋体"/>
          <w:b/>
          <w:sz w:val="36"/>
          <w:szCs w:val="36"/>
          <w:highlight w:val="none"/>
          <w:lang w:val="en-US"/>
        </w:rPr>
      </w:pPr>
      <w:r>
        <w:rPr>
          <w:rFonts w:hint="eastAsia" w:ascii="黑体" w:hAnsi="黑体" w:eastAsia="黑体" w:cs="宋体"/>
          <w:b/>
          <w:sz w:val="36"/>
          <w:szCs w:val="36"/>
          <w:highlight w:val="none"/>
          <w:lang w:val="en-US" w:eastAsia="zh-CN"/>
        </w:rPr>
        <w:t>灵宝市2026年地方水库移民扶持基金项目（二次）</w:t>
      </w:r>
    </w:p>
    <w:p w14:paraId="6CA3D735">
      <w:pPr>
        <w:shd w:val="clear" w:color="auto" w:fill="auto"/>
        <w:spacing w:line="360" w:lineRule="auto"/>
        <w:rPr>
          <w:rFonts w:hint="eastAsia" w:ascii="黑体" w:hAnsi="黑体" w:eastAsia="黑体" w:cs="宋体"/>
          <w:b/>
          <w:sz w:val="44"/>
          <w:szCs w:val="44"/>
          <w:highlight w:val="none"/>
        </w:rPr>
      </w:pPr>
    </w:p>
    <w:p w14:paraId="2CAAB2F7">
      <w:pPr>
        <w:shd w:val="clear" w:color="auto" w:fill="auto"/>
        <w:spacing w:line="360" w:lineRule="auto"/>
        <w:rPr>
          <w:rFonts w:hint="eastAsia" w:ascii="黑体" w:hAnsi="黑体" w:eastAsia="黑体" w:cs="宋体"/>
          <w:b/>
          <w:sz w:val="44"/>
          <w:szCs w:val="44"/>
          <w:highlight w:val="none"/>
        </w:rPr>
      </w:pPr>
    </w:p>
    <w:p w14:paraId="267BF2B2">
      <w:pPr>
        <w:shd w:val="clear" w:color="auto" w:fill="auto"/>
        <w:spacing w:line="360" w:lineRule="auto"/>
        <w:ind w:firstLine="422" w:firstLineChars="50"/>
        <w:jc w:val="center"/>
        <w:rPr>
          <w:rFonts w:hint="eastAsia" w:ascii="黑体" w:hAnsi="黑体" w:eastAsia="黑体" w:cs="宋体"/>
          <w:b/>
          <w:sz w:val="84"/>
          <w:szCs w:val="84"/>
          <w:highlight w:val="none"/>
        </w:rPr>
      </w:pPr>
      <w:r>
        <w:rPr>
          <w:rFonts w:hint="eastAsia" w:ascii="黑体" w:hAnsi="黑体" w:eastAsia="黑体" w:cs="宋体"/>
          <w:b/>
          <w:sz w:val="84"/>
          <w:szCs w:val="84"/>
          <w:highlight w:val="none"/>
        </w:rPr>
        <w:t>竞争性磋商文件</w:t>
      </w:r>
    </w:p>
    <w:p w14:paraId="12462962">
      <w:pPr>
        <w:widowControl/>
        <w:shd w:val="clear" w:color="auto" w:fill="auto"/>
        <w:spacing w:line="360" w:lineRule="auto"/>
        <w:jc w:val="center"/>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en-US" w:eastAsia="zh-CN"/>
        </w:rPr>
        <w:t>项目编号：</w:t>
      </w:r>
      <w:r>
        <w:rPr>
          <w:rFonts w:hint="eastAsia" w:ascii="宋体" w:hAnsi="宋体" w:cs="Times New Roman"/>
          <w:sz w:val="24"/>
          <w:highlight w:val="none"/>
          <w:lang w:val="en-US" w:eastAsia="zh-CN"/>
        </w:rPr>
        <w:t>LBGZ[2026]173-ZC136、灵宝竞磋采购-2026-92</w:t>
      </w:r>
    </w:p>
    <w:p w14:paraId="3B445FBB">
      <w:pPr>
        <w:widowControl/>
        <w:shd w:val="clear" w:color="auto" w:fill="auto"/>
        <w:spacing w:line="360" w:lineRule="auto"/>
        <w:jc w:val="center"/>
        <w:rPr>
          <w:rFonts w:hint="default" w:ascii="宋体" w:hAnsi="宋体" w:eastAsia="宋体" w:cs="Times New Roman"/>
          <w:sz w:val="24"/>
          <w:highlight w:val="yellow"/>
          <w:lang w:val="en-US" w:eastAsia="zh-CN"/>
        </w:rPr>
      </w:pPr>
    </w:p>
    <w:p w14:paraId="780663CF">
      <w:pPr>
        <w:widowControl/>
        <w:shd w:val="clear" w:color="auto" w:fill="auto"/>
        <w:jc w:val="center"/>
        <w:rPr>
          <w:rFonts w:hint="eastAsia"/>
          <w:highlight w:val="none"/>
        </w:rPr>
      </w:pPr>
      <w:r>
        <w:rPr>
          <w:rFonts w:hint="eastAsia" w:hAnsi="宋体"/>
          <w:b/>
          <w:sz w:val="28"/>
          <w:szCs w:val="28"/>
          <w:highlight w:val="none"/>
        </w:rPr>
        <w:t xml:space="preserve">  </w:t>
      </w:r>
    </w:p>
    <w:p w14:paraId="0737D503">
      <w:pPr>
        <w:widowControl/>
        <w:shd w:val="clear" w:color="auto" w:fill="auto"/>
        <w:jc w:val="center"/>
        <w:rPr>
          <w:rFonts w:hint="eastAsia"/>
          <w:highlight w:val="none"/>
        </w:rPr>
      </w:pPr>
    </w:p>
    <w:p w14:paraId="1D69C7BD">
      <w:pPr>
        <w:widowControl/>
        <w:shd w:val="clear" w:color="auto" w:fill="auto"/>
        <w:jc w:val="center"/>
        <w:rPr>
          <w:rFonts w:hint="eastAsia"/>
          <w:highlight w:val="none"/>
        </w:rPr>
      </w:pPr>
    </w:p>
    <w:p w14:paraId="5E92A5DB">
      <w:pPr>
        <w:widowControl/>
        <w:shd w:val="clear" w:color="auto" w:fill="auto"/>
        <w:jc w:val="center"/>
        <w:rPr>
          <w:rFonts w:hint="eastAsia"/>
          <w:highlight w:val="none"/>
        </w:rPr>
      </w:pPr>
    </w:p>
    <w:p w14:paraId="51CF0B71">
      <w:pPr>
        <w:widowControl/>
        <w:shd w:val="clear" w:color="auto" w:fill="auto"/>
        <w:jc w:val="center"/>
        <w:rPr>
          <w:rFonts w:hint="eastAsia"/>
          <w:highlight w:val="none"/>
        </w:rPr>
      </w:pPr>
    </w:p>
    <w:p w14:paraId="2A2C7406">
      <w:pPr>
        <w:widowControl/>
        <w:shd w:val="clear" w:color="auto" w:fill="auto"/>
        <w:jc w:val="center"/>
        <w:rPr>
          <w:rFonts w:hint="eastAsia"/>
          <w:highlight w:val="none"/>
        </w:rPr>
      </w:pPr>
    </w:p>
    <w:p w14:paraId="0BA64128">
      <w:pPr>
        <w:widowControl/>
        <w:shd w:val="clear" w:color="auto" w:fill="auto"/>
        <w:jc w:val="center"/>
        <w:rPr>
          <w:rFonts w:hint="eastAsia"/>
          <w:highlight w:val="none"/>
        </w:rPr>
      </w:pPr>
    </w:p>
    <w:p w14:paraId="51AAD040">
      <w:pPr>
        <w:widowControl/>
        <w:shd w:val="clear" w:color="auto" w:fill="auto"/>
        <w:jc w:val="center"/>
        <w:rPr>
          <w:rFonts w:hint="eastAsia"/>
          <w:highlight w:val="none"/>
        </w:rPr>
      </w:pPr>
    </w:p>
    <w:p w14:paraId="59E2BA55">
      <w:pPr>
        <w:widowControl/>
        <w:shd w:val="clear" w:color="auto" w:fill="auto"/>
        <w:jc w:val="center"/>
        <w:rPr>
          <w:rFonts w:hint="eastAsia"/>
          <w:highlight w:val="none"/>
        </w:rPr>
      </w:pPr>
    </w:p>
    <w:p w14:paraId="4AADD33E">
      <w:pPr>
        <w:widowControl/>
        <w:shd w:val="clear" w:color="auto" w:fill="auto"/>
        <w:jc w:val="center"/>
        <w:rPr>
          <w:rFonts w:hint="eastAsia"/>
          <w:highlight w:val="none"/>
        </w:rPr>
      </w:pPr>
    </w:p>
    <w:p w14:paraId="2A16A667">
      <w:pPr>
        <w:widowControl/>
        <w:shd w:val="clear" w:color="auto" w:fill="auto"/>
        <w:jc w:val="center"/>
        <w:rPr>
          <w:rFonts w:hint="eastAsia"/>
          <w:highlight w:val="none"/>
        </w:rPr>
      </w:pPr>
    </w:p>
    <w:p w14:paraId="2B193E5B">
      <w:pPr>
        <w:widowControl/>
        <w:shd w:val="clear" w:color="auto" w:fill="auto"/>
        <w:jc w:val="center"/>
        <w:rPr>
          <w:rFonts w:hint="eastAsia"/>
          <w:highlight w:val="none"/>
        </w:rPr>
      </w:pPr>
    </w:p>
    <w:p w14:paraId="756493A0">
      <w:pPr>
        <w:widowControl/>
        <w:shd w:val="clear" w:color="auto" w:fill="auto"/>
        <w:jc w:val="left"/>
        <w:rPr>
          <w:rFonts w:hint="eastAsia"/>
          <w:highlight w:val="none"/>
        </w:rPr>
      </w:pPr>
    </w:p>
    <w:p w14:paraId="293D87EA">
      <w:pPr>
        <w:widowControl/>
        <w:shd w:val="clear" w:color="auto" w:fill="auto"/>
        <w:jc w:val="left"/>
        <w:rPr>
          <w:rFonts w:hint="eastAsia"/>
          <w:highlight w:val="none"/>
        </w:rPr>
      </w:pPr>
    </w:p>
    <w:p w14:paraId="3D839CBB">
      <w:pPr>
        <w:widowControl/>
        <w:shd w:val="clear" w:color="auto" w:fill="auto"/>
        <w:jc w:val="left"/>
        <w:rPr>
          <w:rFonts w:hint="eastAsia"/>
          <w:highlight w:val="none"/>
        </w:rPr>
      </w:pPr>
    </w:p>
    <w:p w14:paraId="6DAF91C7">
      <w:pPr>
        <w:widowControl/>
        <w:shd w:val="clear" w:color="auto" w:fill="auto"/>
        <w:jc w:val="left"/>
        <w:rPr>
          <w:highlight w:val="none"/>
        </w:rPr>
      </w:pPr>
    </w:p>
    <w:p w14:paraId="4266837E">
      <w:pPr>
        <w:shd w:val="clear" w:color="auto" w:fill="auto"/>
        <w:spacing w:line="360" w:lineRule="auto"/>
        <w:ind w:firstLine="1928" w:firstLineChars="600"/>
        <w:jc w:val="left"/>
        <w:rPr>
          <w:rFonts w:hint="eastAsia" w:ascii="宋体" w:hAnsi="宋体" w:eastAsia="宋体" w:cs="宋体"/>
          <w:b/>
          <w:kern w:val="0"/>
          <w:sz w:val="32"/>
          <w:szCs w:val="32"/>
          <w:highlight w:val="none"/>
          <w:shd w:val="clear" w:color="auto" w:fill="FFFFFF"/>
          <w:lang w:eastAsia="zh-CN"/>
        </w:rPr>
      </w:pPr>
      <w:r>
        <w:rPr>
          <w:rFonts w:hint="eastAsia" w:ascii="宋体" w:hAnsi="宋体" w:cs="宋体"/>
          <w:b/>
          <w:kern w:val="0"/>
          <w:sz w:val="32"/>
          <w:szCs w:val="32"/>
          <w:highlight w:val="none"/>
          <w:shd w:val="clear" w:color="auto" w:fill="FFFFFF"/>
        </w:rPr>
        <w:t>采 购 人：</w:t>
      </w:r>
      <w:r>
        <w:rPr>
          <w:rFonts w:hint="eastAsia" w:ascii="宋体" w:hAnsi="宋体" w:cs="宋体"/>
          <w:b/>
          <w:kern w:val="0"/>
          <w:sz w:val="32"/>
          <w:szCs w:val="32"/>
          <w:highlight w:val="none"/>
          <w:shd w:val="clear" w:color="auto" w:fill="FFFFFF"/>
          <w:lang w:eastAsia="zh-CN"/>
        </w:rPr>
        <w:t>灵宝市黄河河务局</w:t>
      </w:r>
    </w:p>
    <w:p w14:paraId="6C76E23A">
      <w:pPr>
        <w:shd w:val="clear" w:color="auto" w:fill="auto"/>
        <w:spacing w:line="360" w:lineRule="auto"/>
        <w:ind w:firstLine="1928" w:firstLineChars="600"/>
        <w:jc w:val="left"/>
        <w:rPr>
          <w:rFonts w:hint="eastAsia" w:ascii="宋体" w:hAnsi="宋体" w:eastAsia="宋体" w:cs="宋体"/>
          <w:b/>
          <w:kern w:val="0"/>
          <w:sz w:val="32"/>
          <w:szCs w:val="32"/>
          <w:highlight w:val="none"/>
          <w:shd w:val="clear" w:color="auto" w:fill="FFFFFF"/>
          <w:lang w:eastAsia="zh-CN"/>
        </w:rPr>
      </w:pPr>
      <w:r>
        <w:rPr>
          <w:rFonts w:hint="eastAsia" w:ascii="宋体" w:hAnsi="宋体" w:cs="宋体"/>
          <w:b/>
          <w:kern w:val="0"/>
          <w:sz w:val="32"/>
          <w:szCs w:val="32"/>
          <w:highlight w:val="none"/>
          <w:shd w:val="clear" w:color="auto" w:fill="FFFFFF"/>
        </w:rPr>
        <w:t>代理机构：中瑞建园工程管理有限公司</w:t>
      </w:r>
    </w:p>
    <w:p w14:paraId="24659A57">
      <w:pPr>
        <w:shd w:val="clear" w:color="auto" w:fill="auto"/>
        <w:spacing w:line="360" w:lineRule="auto"/>
        <w:ind w:firstLine="1928" w:firstLineChars="600"/>
        <w:jc w:val="left"/>
        <w:rPr>
          <w:rFonts w:hint="eastAsia" w:ascii="宋体" w:hAnsi="宋体"/>
          <w:b/>
          <w:kern w:val="44"/>
          <w:sz w:val="30"/>
          <w:szCs w:val="30"/>
          <w:highlight w:val="none"/>
        </w:rPr>
      </w:pPr>
      <w:r>
        <w:rPr>
          <w:rFonts w:hint="eastAsia" w:ascii="宋体" w:hAnsi="宋体" w:cs="宋体"/>
          <w:b/>
          <w:kern w:val="0"/>
          <w:sz w:val="32"/>
          <w:szCs w:val="32"/>
          <w:highlight w:val="none"/>
          <w:shd w:val="clear" w:color="auto" w:fill="FFFFFF"/>
        </w:rPr>
        <w:t>日    期：</w:t>
      </w:r>
      <w:r>
        <w:rPr>
          <w:rFonts w:hint="eastAsia" w:ascii="宋体" w:hAnsi="宋体" w:eastAsia="宋体" w:cs="宋体"/>
          <w:b/>
          <w:kern w:val="0"/>
          <w:sz w:val="32"/>
          <w:szCs w:val="32"/>
          <w:highlight w:val="none"/>
          <w:shd w:val="clear" w:color="auto" w:fill="FFFFFF"/>
        </w:rPr>
        <w:t>二0二</w:t>
      </w:r>
      <w:r>
        <w:rPr>
          <w:rFonts w:hint="eastAsia" w:ascii="宋体" w:hAnsi="宋体" w:eastAsia="宋体" w:cs="宋体"/>
          <w:b/>
          <w:kern w:val="0"/>
          <w:sz w:val="32"/>
          <w:szCs w:val="32"/>
          <w:highlight w:val="none"/>
          <w:shd w:val="clear" w:color="auto" w:fill="FFFFFF"/>
          <w:lang w:val="en-US" w:eastAsia="zh-CN"/>
        </w:rPr>
        <w:t>六</w:t>
      </w:r>
      <w:r>
        <w:rPr>
          <w:rFonts w:hint="eastAsia" w:ascii="宋体" w:hAnsi="宋体" w:eastAsia="宋体" w:cs="宋体"/>
          <w:b/>
          <w:kern w:val="0"/>
          <w:sz w:val="32"/>
          <w:szCs w:val="32"/>
          <w:highlight w:val="none"/>
          <w:shd w:val="clear" w:color="auto" w:fill="FFFFFF"/>
        </w:rPr>
        <w:t>年</w:t>
      </w:r>
      <w:r>
        <w:rPr>
          <w:rFonts w:hint="eastAsia" w:ascii="宋体" w:hAnsi="宋体" w:cs="宋体"/>
          <w:b/>
          <w:kern w:val="0"/>
          <w:sz w:val="32"/>
          <w:szCs w:val="32"/>
          <w:highlight w:val="none"/>
          <w:shd w:val="clear" w:color="auto" w:fill="FFFFFF"/>
          <w:lang w:val="en-US" w:eastAsia="zh-CN"/>
        </w:rPr>
        <w:t>八</w:t>
      </w:r>
      <w:r>
        <w:rPr>
          <w:rFonts w:hint="eastAsia" w:ascii="宋体" w:hAnsi="宋体" w:eastAsia="宋体" w:cs="宋体"/>
          <w:b/>
          <w:kern w:val="0"/>
          <w:sz w:val="32"/>
          <w:szCs w:val="32"/>
          <w:highlight w:val="none"/>
          <w:shd w:val="clear" w:color="auto" w:fill="FFFFFF"/>
        </w:rPr>
        <w:t>月</w:t>
      </w:r>
      <w:r>
        <w:rPr>
          <w:rFonts w:hint="eastAsia" w:ascii="宋体" w:hAnsi="宋体" w:eastAsia="宋体" w:cs="宋体"/>
          <w:b/>
          <w:kern w:val="0"/>
          <w:sz w:val="32"/>
          <w:szCs w:val="32"/>
          <w:highlight w:val="none"/>
          <w:shd w:val="clear" w:color="auto" w:fill="FFFFFF"/>
          <w:lang w:val="en-US" w:eastAsia="zh-CN"/>
        </w:rPr>
        <w:t xml:space="preserve"> </w:t>
      </w:r>
      <w:bookmarkStart w:id="0" w:name="_Toc508179882"/>
    </w:p>
    <w:p w14:paraId="538D62A1">
      <w:pPr>
        <w:shd w:val="clear" w:color="auto" w:fill="auto"/>
        <w:spacing w:line="360" w:lineRule="auto"/>
        <w:jc w:val="center"/>
        <w:rPr>
          <w:rFonts w:hint="eastAsia" w:ascii="宋体" w:hAnsi="宋体"/>
          <w:b/>
          <w:kern w:val="44"/>
          <w:sz w:val="30"/>
          <w:szCs w:val="30"/>
          <w:highlight w:val="none"/>
        </w:rPr>
      </w:pPr>
      <w:r>
        <w:rPr>
          <w:rFonts w:hint="eastAsia" w:ascii="宋体" w:hAnsi="宋体"/>
          <w:b/>
          <w:kern w:val="44"/>
          <w:sz w:val="30"/>
          <w:szCs w:val="30"/>
          <w:highlight w:val="none"/>
        </w:rPr>
        <w:br w:type="page"/>
      </w:r>
      <w:r>
        <w:rPr>
          <w:rFonts w:hint="eastAsia" w:ascii="宋体" w:hAnsi="宋体"/>
          <w:b/>
          <w:kern w:val="44"/>
          <w:sz w:val="30"/>
          <w:szCs w:val="30"/>
          <w:highlight w:val="none"/>
        </w:rPr>
        <w:t>目   录</w:t>
      </w:r>
      <w:bookmarkEnd w:id="0"/>
      <w:bookmarkStart w:id="1" w:name="_Toc16520163"/>
      <w:bookmarkStart w:id="2" w:name="_Toc525811562"/>
      <w:bookmarkStart w:id="3" w:name="_Toc523220931"/>
    </w:p>
    <w:p w14:paraId="39B61BA4">
      <w:pPr>
        <w:shd w:val="clear" w:color="auto" w:fill="auto"/>
        <w:spacing w:line="360" w:lineRule="auto"/>
        <w:jc w:val="center"/>
        <w:rPr>
          <w:rFonts w:hint="eastAsia" w:ascii="黑体" w:hAnsi="黑体" w:eastAsia="黑体"/>
          <w:b w:val="0"/>
          <w:bCs/>
          <w:kern w:val="44"/>
          <w:sz w:val="30"/>
          <w:szCs w:val="30"/>
          <w:highlight w:val="none"/>
        </w:rPr>
      </w:pPr>
    </w:p>
    <w:p w14:paraId="00E19B0D">
      <w:pPr>
        <w:pStyle w:val="8"/>
        <w:shd w:val="clear" w:color="auto" w:fill="auto"/>
        <w:tabs>
          <w:tab w:val="right" w:leader="dot" w:pos="9241"/>
        </w:tabs>
        <w:rPr>
          <w:b w:val="0"/>
          <w:bCs/>
          <w:sz w:val="30"/>
          <w:szCs w:val="30"/>
          <w:highlight w:val="none"/>
        </w:rPr>
      </w:pPr>
      <w:r>
        <w:rPr>
          <w:rFonts w:ascii="宋体" w:hAnsi="宋体"/>
          <w:b w:val="0"/>
          <w:bCs/>
          <w:caps w:val="0"/>
          <w:sz w:val="30"/>
          <w:szCs w:val="30"/>
          <w:highlight w:val="none"/>
        </w:rPr>
        <w:fldChar w:fldCharType="begin"/>
      </w:r>
      <w:r>
        <w:rPr>
          <w:rFonts w:ascii="宋体" w:hAnsi="宋体"/>
          <w:b w:val="0"/>
          <w:bCs/>
          <w:caps w:val="0"/>
          <w:sz w:val="30"/>
          <w:szCs w:val="30"/>
          <w:highlight w:val="none"/>
        </w:rPr>
        <w:instrText xml:space="preserve"> TOC \o "1-3" \h \z \u </w:instrText>
      </w:r>
      <w:r>
        <w:rPr>
          <w:rFonts w:ascii="宋体" w:hAnsi="宋体"/>
          <w:b w:val="0"/>
          <w:bCs/>
          <w:caps w:val="0"/>
          <w:sz w:val="30"/>
          <w:szCs w:val="30"/>
          <w:highlight w:val="none"/>
        </w:rPr>
        <w:fldChar w:fldCharType="separate"/>
      </w:r>
      <w:r>
        <w:rPr>
          <w:rFonts w:ascii="宋体" w:hAnsi="宋体"/>
          <w:b w:val="0"/>
          <w:bCs/>
          <w:caps w:val="0"/>
          <w:sz w:val="30"/>
          <w:szCs w:val="30"/>
          <w:highlight w:val="none"/>
        </w:rPr>
        <w:fldChar w:fldCharType="begin"/>
      </w:r>
      <w:r>
        <w:rPr>
          <w:rFonts w:ascii="宋体" w:hAnsi="宋体"/>
          <w:b w:val="0"/>
          <w:bCs/>
          <w:caps w:val="0"/>
          <w:sz w:val="30"/>
          <w:szCs w:val="30"/>
          <w:highlight w:val="none"/>
        </w:rPr>
        <w:instrText xml:space="preserve"> HYPERLINK \l _Toc6046 </w:instrText>
      </w:r>
      <w:r>
        <w:rPr>
          <w:rFonts w:ascii="宋体" w:hAnsi="宋体"/>
          <w:b w:val="0"/>
          <w:bCs/>
          <w:caps w:val="0"/>
          <w:sz w:val="30"/>
          <w:szCs w:val="30"/>
          <w:highlight w:val="none"/>
        </w:rPr>
        <w:fldChar w:fldCharType="separate"/>
      </w:r>
      <w:r>
        <w:rPr>
          <w:rFonts w:hint="eastAsia" w:ascii="宋体" w:hAnsi="宋体"/>
          <w:b w:val="0"/>
          <w:bCs/>
          <w:sz w:val="30"/>
          <w:szCs w:val="30"/>
          <w:highlight w:val="none"/>
        </w:rPr>
        <w:t>第一章  竞争性磋商公告</w:t>
      </w:r>
      <w:r>
        <w:rPr>
          <w:b w:val="0"/>
          <w:bCs/>
          <w:sz w:val="30"/>
          <w:szCs w:val="30"/>
          <w:highlight w:val="none"/>
        </w:rPr>
        <w:tab/>
      </w:r>
      <w:r>
        <w:rPr>
          <w:b w:val="0"/>
          <w:bCs/>
          <w:sz w:val="30"/>
          <w:szCs w:val="30"/>
          <w:highlight w:val="none"/>
        </w:rPr>
        <w:fldChar w:fldCharType="begin"/>
      </w:r>
      <w:r>
        <w:rPr>
          <w:b w:val="0"/>
          <w:bCs/>
          <w:sz w:val="30"/>
          <w:szCs w:val="30"/>
          <w:highlight w:val="none"/>
        </w:rPr>
        <w:instrText xml:space="preserve"> PAGEREF _Toc6046 \h </w:instrText>
      </w:r>
      <w:r>
        <w:rPr>
          <w:b w:val="0"/>
          <w:bCs/>
          <w:sz w:val="30"/>
          <w:szCs w:val="30"/>
          <w:highlight w:val="none"/>
        </w:rPr>
        <w:fldChar w:fldCharType="separate"/>
      </w:r>
      <w:r>
        <w:rPr>
          <w:b w:val="0"/>
          <w:bCs/>
          <w:sz w:val="30"/>
          <w:szCs w:val="30"/>
          <w:highlight w:val="none"/>
        </w:rPr>
        <w:t>3</w:t>
      </w:r>
      <w:r>
        <w:rPr>
          <w:b w:val="0"/>
          <w:bCs/>
          <w:sz w:val="30"/>
          <w:szCs w:val="30"/>
          <w:highlight w:val="none"/>
        </w:rPr>
        <w:fldChar w:fldCharType="end"/>
      </w:r>
      <w:r>
        <w:rPr>
          <w:rFonts w:ascii="宋体" w:hAnsi="宋体"/>
          <w:b w:val="0"/>
          <w:bCs/>
          <w:caps w:val="0"/>
          <w:sz w:val="30"/>
          <w:szCs w:val="30"/>
          <w:highlight w:val="none"/>
        </w:rPr>
        <w:fldChar w:fldCharType="end"/>
      </w:r>
    </w:p>
    <w:p w14:paraId="38F60B0C">
      <w:pPr>
        <w:pStyle w:val="8"/>
        <w:shd w:val="clear" w:color="auto" w:fill="auto"/>
        <w:tabs>
          <w:tab w:val="right" w:leader="dot" w:pos="9241"/>
        </w:tabs>
        <w:rPr>
          <w:b w:val="0"/>
          <w:bCs/>
          <w:sz w:val="30"/>
          <w:szCs w:val="30"/>
          <w:highlight w:val="none"/>
        </w:rPr>
      </w:pPr>
      <w:r>
        <w:rPr>
          <w:rFonts w:ascii="宋体" w:hAnsi="宋体" w:cs="Calibri"/>
          <w:b w:val="0"/>
          <w:bCs/>
          <w:caps w:val="0"/>
          <w:sz w:val="30"/>
          <w:szCs w:val="30"/>
          <w:highlight w:val="none"/>
        </w:rPr>
        <w:fldChar w:fldCharType="begin"/>
      </w:r>
      <w:r>
        <w:rPr>
          <w:rFonts w:ascii="宋体" w:hAnsi="宋体" w:cs="Calibri"/>
          <w:b w:val="0"/>
          <w:bCs/>
          <w:caps w:val="0"/>
          <w:sz w:val="30"/>
          <w:szCs w:val="30"/>
          <w:highlight w:val="none"/>
        </w:rPr>
        <w:instrText xml:space="preserve"> HYPERLINK \l _Toc24197 </w:instrText>
      </w:r>
      <w:r>
        <w:rPr>
          <w:rFonts w:ascii="宋体" w:hAnsi="宋体" w:cs="Calibri"/>
          <w:b w:val="0"/>
          <w:bCs/>
          <w:caps w:val="0"/>
          <w:sz w:val="30"/>
          <w:szCs w:val="30"/>
          <w:highlight w:val="none"/>
        </w:rPr>
        <w:fldChar w:fldCharType="separate"/>
      </w:r>
      <w:r>
        <w:rPr>
          <w:rFonts w:hint="eastAsia" w:ascii="宋体" w:hAnsi="宋体"/>
          <w:b w:val="0"/>
          <w:bCs/>
          <w:sz w:val="30"/>
          <w:szCs w:val="30"/>
          <w:highlight w:val="none"/>
        </w:rPr>
        <w:t xml:space="preserve">第二章 </w:t>
      </w:r>
      <w:r>
        <w:rPr>
          <w:rFonts w:hint="eastAsia" w:ascii="宋体" w:hAnsi="宋体"/>
          <w:b w:val="0"/>
          <w:bCs/>
          <w:sz w:val="30"/>
          <w:szCs w:val="30"/>
          <w:highlight w:val="none"/>
          <w:lang w:val="en-US" w:eastAsia="zh-CN"/>
        </w:rPr>
        <w:t xml:space="preserve"> </w:t>
      </w:r>
      <w:r>
        <w:rPr>
          <w:rFonts w:hint="eastAsia" w:ascii="宋体" w:hAnsi="宋体"/>
          <w:b w:val="0"/>
          <w:bCs/>
          <w:sz w:val="30"/>
          <w:szCs w:val="30"/>
          <w:highlight w:val="none"/>
        </w:rPr>
        <w:t>供应商须知</w:t>
      </w:r>
      <w:r>
        <w:rPr>
          <w:b w:val="0"/>
          <w:bCs/>
          <w:sz w:val="30"/>
          <w:szCs w:val="30"/>
          <w:highlight w:val="none"/>
        </w:rPr>
        <w:tab/>
      </w:r>
      <w:r>
        <w:rPr>
          <w:b w:val="0"/>
          <w:bCs/>
          <w:sz w:val="30"/>
          <w:szCs w:val="30"/>
          <w:highlight w:val="none"/>
        </w:rPr>
        <w:fldChar w:fldCharType="begin"/>
      </w:r>
      <w:r>
        <w:rPr>
          <w:b w:val="0"/>
          <w:bCs/>
          <w:sz w:val="30"/>
          <w:szCs w:val="30"/>
          <w:highlight w:val="none"/>
        </w:rPr>
        <w:instrText xml:space="preserve"> PAGEREF _Toc24197 \h </w:instrText>
      </w:r>
      <w:r>
        <w:rPr>
          <w:b w:val="0"/>
          <w:bCs/>
          <w:sz w:val="30"/>
          <w:szCs w:val="30"/>
          <w:highlight w:val="none"/>
        </w:rPr>
        <w:fldChar w:fldCharType="separate"/>
      </w:r>
      <w:r>
        <w:rPr>
          <w:b w:val="0"/>
          <w:bCs/>
          <w:sz w:val="30"/>
          <w:szCs w:val="30"/>
          <w:highlight w:val="none"/>
        </w:rPr>
        <w:t>8</w:t>
      </w:r>
      <w:r>
        <w:rPr>
          <w:b w:val="0"/>
          <w:bCs/>
          <w:sz w:val="30"/>
          <w:szCs w:val="30"/>
          <w:highlight w:val="none"/>
        </w:rPr>
        <w:fldChar w:fldCharType="end"/>
      </w:r>
      <w:r>
        <w:rPr>
          <w:rFonts w:ascii="宋体" w:hAnsi="宋体" w:cs="Calibri"/>
          <w:b w:val="0"/>
          <w:bCs/>
          <w:caps w:val="0"/>
          <w:sz w:val="30"/>
          <w:szCs w:val="30"/>
          <w:highlight w:val="none"/>
        </w:rPr>
        <w:fldChar w:fldCharType="end"/>
      </w:r>
    </w:p>
    <w:p w14:paraId="03199F23">
      <w:pPr>
        <w:pStyle w:val="8"/>
        <w:shd w:val="clear" w:color="auto" w:fill="auto"/>
        <w:tabs>
          <w:tab w:val="right" w:leader="dot" w:pos="9241"/>
        </w:tabs>
        <w:rPr>
          <w:b w:val="0"/>
          <w:bCs/>
          <w:sz w:val="30"/>
          <w:szCs w:val="30"/>
          <w:highlight w:val="none"/>
        </w:rPr>
      </w:pPr>
      <w:r>
        <w:rPr>
          <w:rFonts w:ascii="宋体" w:hAnsi="宋体" w:cs="Calibri"/>
          <w:b w:val="0"/>
          <w:bCs/>
          <w:caps w:val="0"/>
          <w:sz w:val="30"/>
          <w:szCs w:val="30"/>
          <w:highlight w:val="none"/>
        </w:rPr>
        <w:fldChar w:fldCharType="begin"/>
      </w:r>
      <w:r>
        <w:rPr>
          <w:rFonts w:ascii="宋体" w:hAnsi="宋体" w:cs="Calibri"/>
          <w:b w:val="0"/>
          <w:bCs/>
          <w:caps w:val="0"/>
          <w:sz w:val="30"/>
          <w:szCs w:val="30"/>
          <w:highlight w:val="none"/>
        </w:rPr>
        <w:instrText xml:space="preserve"> HYPERLINK \l _Toc733 </w:instrText>
      </w:r>
      <w:r>
        <w:rPr>
          <w:rFonts w:ascii="宋体" w:hAnsi="宋体" w:cs="Calibri"/>
          <w:b w:val="0"/>
          <w:bCs/>
          <w:caps w:val="0"/>
          <w:sz w:val="30"/>
          <w:szCs w:val="30"/>
          <w:highlight w:val="none"/>
        </w:rPr>
        <w:fldChar w:fldCharType="separate"/>
      </w:r>
      <w:r>
        <w:rPr>
          <w:rFonts w:hint="eastAsia" w:ascii="宋体" w:hAnsi="宋体"/>
          <w:b w:val="0"/>
          <w:bCs/>
          <w:sz w:val="30"/>
          <w:szCs w:val="30"/>
          <w:highlight w:val="none"/>
        </w:rPr>
        <w:t>第三章  评审办法</w:t>
      </w:r>
      <w:r>
        <w:rPr>
          <w:b w:val="0"/>
          <w:bCs/>
          <w:sz w:val="30"/>
          <w:szCs w:val="30"/>
          <w:highlight w:val="none"/>
        </w:rPr>
        <w:tab/>
      </w:r>
      <w:r>
        <w:rPr>
          <w:b w:val="0"/>
          <w:bCs/>
          <w:sz w:val="30"/>
          <w:szCs w:val="30"/>
          <w:highlight w:val="none"/>
        </w:rPr>
        <w:fldChar w:fldCharType="begin"/>
      </w:r>
      <w:r>
        <w:rPr>
          <w:b w:val="0"/>
          <w:bCs/>
          <w:sz w:val="30"/>
          <w:szCs w:val="30"/>
          <w:highlight w:val="none"/>
        </w:rPr>
        <w:instrText xml:space="preserve"> PAGEREF _Toc733 \h </w:instrText>
      </w:r>
      <w:r>
        <w:rPr>
          <w:b w:val="0"/>
          <w:bCs/>
          <w:sz w:val="30"/>
          <w:szCs w:val="30"/>
          <w:highlight w:val="none"/>
        </w:rPr>
        <w:fldChar w:fldCharType="separate"/>
      </w:r>
      <w:r>
        <w:rPr>
          <w:b w:val="0"/>
          <w:bCs/>
          <w:sz w:val="30"/>
          <w:szCs w:val="30"/>
          <w:highlight w:val="none"/>
        </w:rPr>
        <w:t>27</w:t>
      </w:r>
      <w:r>
        <w:rPr>
          <w:b w:val="0"/>
          <w:bCs/>
          <w:sz w:val="30"/>
          <w:szCs w:val="30"/>
          <w:highlight w:val="none"/>
        </w:rPr>
        <w:fldChar w:fldCharType="end"/>
      </w:r>
      <w:r>
        <w:rPr>
          <w:rFonts w:ascii="宋体" w:hAnsi="宋体" w:cs="Calibri"/>
          <w:b w:val="0"/>
          <w:bCs/>
          <w:caps w:val="0"/>
          <w:sz w:val="30"/>
          <w:szCs w:val="30"/>
          <w:highlight w:val="none"/>
        </w:rPr>
        <w:fldChar w:fldCharType="end"/>
      </w:r>
    </w:p>
    <w:p w14:paraId="28C5AF84">
      <w:pPr>
        <w:pStyle w:val="8"/>
        <w:shd w:val="clear" w:color="auto" w:fill="auto"/>
        <w:tabs>
          <w:tab w:val="right" w:leader="dot" w:pos="9241"/>
        </w:tabs>
        <w:rPr>
          <w:b w:val="0"/>
          <w:bCs/>
          <w:sz w:val="30"/>
          <w:szCs w:val="30"/>
          <w:highlight w:val="none"/>
        </w:rPr>
      </w:pPr>
      <w:r>
        <w:rPr>
          <w:rFonts w:ascii="宋体" w:hAnsi="宋体" w:cs="Calibri"/>
          <w:b w:val="0"/>
          <w:bCs/>
          <w:caps w:val="0"/>
          <w:sz w:val="30"/>
          <w:szCs w:val="30"/>
          <w:highlight w:val="none"/>
        </w:rPr>
        <w:fldChar w:fldCharType="begin"/>
      </w:r>
      <w:r>
        <w:rPr>
          <w:rFonts w:ascii="宋体" w:hAnsi="宋体" w:cs="Calibri"/>
          <w:b w:val="0"/>
          <w:bCs/>
          <w:caps w:val="0"/>
          <w:sz w:val="30"/>
          <w:szCs w:val="30"/>
          <w:highlight w:val="none"/>
        </w:rPr>
        <w:instrText xml:space="preserve"> HYPERLINK \l _Toc32695 </w:instrText>
      </w:r>
      <w:r>
        <w:rPr>
          <w:rFonts w:ascii="宋体" w:hAnsi="宋体" w:cs="Calibri"/>
          <w:b w:val="0"/>
          <w:bCs/>
          <w:caps w:val="0"/>
          <w:sz w:val="30"/>
          <w:szCs w:val="30"/>
          <w:highlight w:val="none"/>
        </w:rPr>
        <w:fldChar w:fldCharType="separate"/>
      </w:r>
      <w:r>
        <w:rPr>
          <w:rFonts w:hint="eastAsia" w:ascii="宋体" w:hAnsi="宋体"/>
          <w:b w:val="0"/>
          <w:bCs/>
          <w:sz w:val="30"/>
          <w:szCs w:val="30"/>
          <w:highlight w:val="none"/>
        </w:rPr>
        <w:t xml:space="preserve">第四章 </w:t>
      </w:r>
      <w:r>
        <w:rPr>
          <w:rFonts w:hint="eastAsia" w:ascii="宋体" w:hAnsi="宋体"/>
          <w:b w:val="0"/>
          <w:bCs/>
          <w:sz w:val="30"/>
          <w:szCs w:val="30"/>
          <w:highlight w:val="none"/>
          <w:lang w:val="en-US" w:eastAsia="zh-CN"/>
        </w:rPr>
        <w:t xml:space="preserve"> </w:t>
      </w:r>
      <w:r>
        <w:rPr>
          <w:rFonts w:hint="eastAsia" w:ascii="宋体" w:hAnsi="宋体"/>
          <w:b w:val="0"/>
          <w:bCs/>
          <w:sz w:val="30"/>
          <w:szCs w:val="30"/>
          <w:highlight w:val="none"/>
        </w:rPr>
        <w:t>合同协议书（样本）</w:t>
      </w:r>
      <w:r>
        <w:rPr>
          <w:b w:val="0"/>
          <w:bCs/>
          <w:sz w:val="30"/>
          <w:szCs w:val="30"/>
          <w:highlight w:val="none"/>
        </w:rPr>
        <w:tab/>
      </w:r>
      <w:r>
        <w:rPr>
          <w:b w:val="0"/>
          <w:bCs/>
          <w:sz w:val="30"/>
          <w:szCs w:val="30"/>
          <w:highlight w:val="none"/>
        </w:rPr>
        <w:fldChar w:fldCharType="begin"/>
      </w:r>
      <w:r>
        <w:rPr>
          <w:b w:val="0"/>
          <w:bCs/>
          <w:sz w:val="30"/>
          <w:szCs w:val="30"/>
          <w:highlight w:val="none"/>
        </w:rPr>
        <w:instrText xml:space="preserve"> PAGEREF _Toc32695 \h </w:instrText>
      </w:r>
      <w:r>
        <w:rPr>
          <w:b w:val="0"/>
          <w:bCs/>
          <w:sz w:val="30"/>
          <w:szCs w:val="30"/>
          <w:highlight w:val="none"/>
        </w:rPr>
        <w:fldChar w:fldCharType="separate"/>
      </w:r>
      <w:r>
        <w:rPr>
          <w:b w:val="0"/>
          <w:bCs/>
          <w:sz w:val="30"/>
          <w:szCs w:val="30"/>
          <w:highlight w:val="none"/>
        </w:rPr>
        <w:t>35</w:t>
      </w:r>
      <w:r>
        <w:rPr>
          <w:b w:val="0"/>
          <w:bCs/>
          <w:sz w:val="30"/>
          <w:szCs w:val="30"/>
          <w:highlight w:val="none"/>
        </w:rPr>
        <w:fldChar w:fldCharType="end"/>
      </w:r>
      <w:r>
        <w:rPr>
          <w:rFonts w:ascii="宋体" w:hAnsi="宋体" w:cs="Calibri"/>
          <w:b w:val="0"/>
          <w:bCs/>
          <w:caps w:val="0"/>
          <w:sz w:val="30"/>
          <w:szCs w:val="30"/>
          <w:highlight w:val="none"/>
        </w:rPr>
        <w:fldChar w:fldCharType="end"/>
      </w:r>
    </w:p>
    <w:p w14:paraId="78901A9A">
      <w:pPr>
        <w:pStyle w:val="8"/>
        <w:shd w:val="clear" w:color="auto" w:fill="auto"/>
        <w:tabs>
          <w:tab w:val="right" w:leader="dot" w:pos="9241"/>
        </w:tabs>
        <w:rPr>
          <w:b w:val="0"/>
          <w:bCs/>
          <w:sz w:val="30"/>
          <w:szCs w:val="30"/>
          <w:highlight w:val="none"/>
        </w:rPr>
      </w:pPr>
      <w:r>
        <w:rPr>
          <w:rFonts w:ascii="宋体" w:hAnsi="宋体" w:cs="Calibri"/>
          <w:b w:val="0"/>
          <w:bCs/>
          <w:caps w:val="0"/>
          <w:sz w:val="30"/>
          <w:szCs w:val="30"/>
          <w:highlight w:val="none"/>
        </w:rPr>
        <w:fldChar w:fldCharType="begin"/>
      </w:r>
      <w:r>
        <w:rPr>
          <w:rFonts w:ascii="宋体" w:hAnsi="宋体" w:cs="Calibri"/>
          <w:b w:val="0"/>
          <w:bCs/>
          <w:caps w:val="0"/>
          <w:sz w:val="30"/>
          <w:szCs w:val="30"/>
          <w:highlight w:val="none"/>
        </w:rPr>
        <w:instrText xml:space="preserve"> HYPERLINK \l _Toc24974 </w:instrText>
      </w:r>
      <w:r>
        <w:rPr>
          <w:rFonts w:ascii="宋体" w:hAnsi="宋体" w:cs="Calibri"/>
          <w:b w:val="0"/>
          <w:bCs/>
          <w:caps w:val="0"/>
          <w:sz w:val="30"/>
          <w:szCs w:val="30"/>
          <w:highlight w:val="none"/>
        </w:rPr>
        <w:fldChar w:fldCharType="separate"/>
      </w:r>
      <w:r>
        <w:rPr>
          <w:rFonts w:hint="eastAsia" w:ascii="宋体" w:hAnsi="宋体" w:cs="宋体"/>
          <w:b w:val="0"/>
          <w:bCs/>
          <w:kern w:val="0"/>
          <w:sz w:val="30"/>
          <w:szCs w:val="30"/>
          <w:highlight w:val="none"/>
        </w:rPr>
        <w:t>第五章  工程量清单及图纸（另附）</w:t>
      </w:r>
      <w:r>
        <w:rPr>
          <w:b w:val="0"/>
          <w:bCs/>
          <w:sz w:val="30"/>
          <w:szCs w:val="30"/>
          <w:highlight w:val="none"/>
        </w:rPr>
        <w:tab/>
      </w:r>
      <w:r>
        <w:rPr>
          <w:b w:val="0"/>
          <w:bCs/>
          <w:sz w:val="30"/>
          <w:szCs w:val="30"/>
          <w:highlight w:val="none"/>
        </w:rPr>
        <w:fldChar w:fldCharType="begin"/>
      </w:r>
      <w:r>
        <w:rPr>
          <w:b w:val="0"/>
          <w:bCs/>
          <w:sz w:val="30"/>
          <w:szCs w:val="30"/>
          <w:highlight w:val="none"/>
        </w:rPr>
        <w:instrText xml:space="preserve"> PAGEREF _Toc24974 \h </w:instrText>
      </w:r>
      <w:r>
        <w:rPr>
          <w:b w:val="0"/>
          <w:bCs/>
          <w:sz w:val="30"/>
          <w:szCs w:val="30"/>
          <w:highlight w:val="none"/>
        </w:rPr>
        <w:fldChar w:fldCharType="separate"/>
      </w:r>
      <w:r>
        <w:rPr>
          <w:b w:val="0"/>
          <w:bCs/>
          <w:sz w:val="30"/>
          <w:szCs w:val="30"/>
          <w:highlight w:val="none"/>
        </w:rPr>
        <w:t>52</w:t>
      </w:r>
      <w:r>
        <w:rPr>
          <w:b w:val="0"/>
          <w:bCs/>
          <w:sz w:val="30"/>
          <w:szCs w:val="30"/>
          <w:highlight w:val="none"/>
        </w:rPr>
        <w:fldChar w:fldCharType="end"/>
      </w:r>
      <w:r>
        <w:rPr>
          <w:rFonts w:ascii="宋体" w:hAnsi="宋体" w:cs="Calibri"/>
          <w:b w:val="0"/>
          <w:bCs/>
          <w:caps w:val="0"/>
          <w:sz w:val="30"/>
          <w:szCs w:val="30"/>
          <w:highlight w:val="none"/>
        </w:rPr>
        <w:fldChar w:fldCharType="end"/>
      </w:r>
    </w:p>
    <w:p w14:paraId="2F18EC76">
      <w:pPr>
        <w:pStyle w:val="8"/>
        <w:shd w:val="clear" w:color="auto" w:fill="auto"/>
        <w:tabs>
          <w:tab w:val="right" w:leader="dot" w:pos="9241"/>
        </w:tabs>
        <w:rPr>
          <w:b w:val="0"/>
          <w:bCs/>
          <w:sz w:val="30"/>
          <w:szCs w:val="30"/>
          <w:highlight w:val="none"/>
        </w:rPr>
      </w:pPr>
      <w:r>
        <w:rPr>
          <w:rFonts w:ascii="宋体" w:hAnsi="宋体" w:cs="Calibri"/>
          <w:b w:val="0"/>
          <w:bCs/>
          <w:caps w:val="0"/>
          <w:sz w:val="30"/>
          <w:szCs w:val="30"/>
          <w:highlight w:val="none"/>
        </w:rPr>
        <w:fldChar w:fldCharType="begin"/>
      </w:r>
      <w:r>
        <w:rPr>
          <w:rFonts w:ascii="宋体" w:hAnsi="宋体" w:cs="Calibri"/>
          <w:b w:val="0"/>
          <w:bCs/>
          <w:caps w:val="0"/>
          <w:sz w:val="30"/>
          <w:szCs w:val="30"/>
          <w:highlight w:val="none"/>
        </w:rPr>
        <w:instrText xml:space="preserve"> HYPERLINK \l _Toc17494 </w:instrText>
      </w:r>
      <w:r>
        <w:rPr>
          <w:rFonts w:ascii="宋体" w:hAnsi="宋体" w:cs="Calibri"/>
          <w:b w:val="0"/>
          <w:bCs/>
          <w:caps w:val="0"/>
          <w:sz w:val="30"/>
          <w:szCs w:val="30"/>
          <w:highlight w:val="none"/>
        </w:rPr>
        <w:fldChar w:fldCharType="separate"/>
      </w:r>
      <w:r>
        <w:rPr>
          <w:rFonts w:hint="eastAsia" w:ascii="宋体" w:hAnsi="宋体"/>
          <w:b w:val="0"/>
          <w:bCs/>
          <w:sz w:val="30"/>
          <w:szCs w:val="30"/>
          <w:highlight w:val="none"/>
        </w:rPr>
        <w:t>第</w:t>
      </w:r>
      <w:r>
        <w:rPr>
          <w:rFonts w:hint="eastAsia" w:ascii="宋体" w:hAnsi="宋体"/>
          <w:b w:val="0"/>
          <w:bCs/>
          <w:sz w:val="30"/>
          <w:szCs w:val="30"/>
          <w:highlight w:val="none"/>
          <w:lang w:val="en-US" w:eastAsia="zh-CN"/>
        </w:rPr>
        <w:t>六</w:t>
      </w:r>
      <w:r>
        <w:rPr>
          <w:rFonts w:hint="eastAsia" w:ascii="宋体" w:hAnsi="宋体"/>
          <w:b w:val="0"/>
          <w:bCs/>
          <w:sz w:val="30"/>
          <w:szCs w:val="30"/>
          <w:highlight w:val="none"/>
        </w:rPr>
        <w:t xml:space="preserve">章 </w:t>
      </w:r>
      <w:r>
        <w:rPr>
          <w:rFonts w:hint="eastAsia" w:ascii="宋体" w:hAnsi="宋体"/>
          <w:b w:val="0"/>
          <w:bCs/>
          <w:sz w:val="30"/>
          <w:szCs w:val="30"/>
          <w:highlight w:val="none"/>
          <w:lang w:val="en-US" w:eastAsia="zh-CN"/>
        </w:rPr>
        <w:t xml:space="preserve"> </w:t>
      </w:r>
      <w:r>
        <w:rPr>
          <w:rFonts w:hint="eastAsia" w:ascii="宋体" w:hAnsi="宋体"/>
          <w:b w:val="0"/>
          <w:bCs/>
          <w:sz w:val="30"/>
          <w:szCs w:val="30"/>
          <w:highlight w:val="none"/>
        </w:rPr>
        <w:t>响应性文件部分格式</w:t>
      </w:r>
      <w:r>
        <w:rPr>
          <w:b w:val="0"/>
          <w:bCs/>
          <w:sz w:val="30"/>
          <w:szCs w:val="30"/>
          <w:highlight w:val="none"/>
        </w:rPr>
        <w:tab/>
      </w:r>
      <w:r>
        <w:rPr>
          <w:b w:val="0"/>
          <w:bCs/>
          <w:sz w:val="30"/>
          <w:szCs w:val="30"/>
          <w:highlight w:val="none"/>
        </w:rPr>
        <w:fldChar w:fldCharType="begin"/>
      </w:r>
      <w:r>
        <w:rPr>
          <w:b w:val="0"/>
          <w:bCs/>
          <w:sz w:val="30"/>
          <w:szCs w:val="30"/>
          <w:highlight w:val="none"/>
        </w:rPr>
        <w:instrText xml:space="preserve"> PAGEREF _Toc17494 \h </w:instrText>
      </w:r>
      <w:r>
        <w:rPr>
          <w:b w:val="0"/>
          <w:bCs/>
          <w:sz w:val="30"/>
          <w:szCs w:val="30"/>
          <w:highlight w:val="none"/>
        </w:rPr>
        <w:fldChar w:fldCharType="separate"/>
      </w:r>
      <w:r>
        <w:rPr>
          <w:b w:val="0"/>
          <w:bCs/>
          <w:sz w:val="30"/>
          <w:szCs w:val="30"/>
          <w:highlight w:val="none"/>
        </w:rPr>
        <w:t>53</w:t>
      </w:r>
      <w:r>
        <w:rPr>
          <w:b w:val="0"/>
          <w:bCs/>
          <w:sz w:val="30"/>
          <w:szCs w:val="30"/>
          <w:highlight w:val="none"/>
        </w:rPr>
        <w:fldChar w:fldCharType="end"/>
      </w:r>
      <w:r>
        <w:rPr>
          <w:rFonts w:ascii="宋体" w:hAnsi="宋体" w:cs="Calibri"/>
          <w:b w:val="0"/>
          <w:bCs/>
          <w:caps w:val="0"/>
          <w:sz w:val="30"/>
          <w:szCs w:val="30"/>
          <w:highlight w:val="none"/>
        </w:rPr>
        <w:fldChar w:fldCharType="end"/>
      </w:r>
    </w:p>
    <w:p w14:paraId="74CD9388">
      <w:pPr>
        <w:pStyle w:val="9"/>
        <w:shd w:val="clear" w:color="auto" w:fill="auto"/>
        <w:tabs>
          <w:tab w:val="right" w:leader="dot" w:pos="9241"/>
        </w:tabs>
        <w:rPr>
          <w:b w:val="0"/>
          <w:bCs/>
          <w:sz w:val="30"/>
          <w:szCs w:val="30"/>
          <w:highlight w:val="none"/>
        </w:rPr>
      </w:pPr>
    </w:p>
    <w:p w14:paraId="1DD3E61F">
      <w:pPr>
        <w:shd w:val="clear" w:color="auto" w:fill="auto"/>
        <w:spacing w:line="480" w:lineRule="auto"/>
        <w:rPr>
          <w:rFonts w:hint="eastAsia" w:ascii="宋体" w:hAnsi="宋体" w:cs="Calibri"/>
          <w:b/>
          <w:caps/>
          <w:sz w:val="24"/>
          <w:highlight w:val="none"/>
        </w:rPr>
      </w:pPr>
      <w:r>
        <w:rPr>
          <w:rFonts w:ascii="宋体" w:hAnsi="宋体" w:cs="Calibri"/>
          <w:b w:val="0"/>
          <w:bCs/>
          <w:caps/>
          <w:sz w:val="30"/>
          <w:szCs w:val="30"/>
          <w:highlight w:val="none"/>
        </w:rPr>
        <w:fldChar w:fldCharType="end"/>
      </w:r>
    </w:p>
    <w:p w14:paraId="6BF0A376">
      <w:pPr>
        <w:shd w:val="clear" w:color="auto" w:fill="auto"/>
        <w:spacing w:line="480" w:lineRule="auto"/>
        <w:rPr>
          <w:rFonts w:hint="eastAsia" w:ascii="宋体" w:hAnsi="宋体" w:cs="Calibri"/>
          <w:b/>
          <w:caps/>
          <w:sz w:val="24"/>
          <w:highlight w:val="none"/>
        </w:rPr>
      </w:pPr>
    </w:p>
    <w:p w14:paraId="4804F9B9">
      <w:pPr>
        <w:shd w:val="clear" w:color="auto" w:fill="auto"/>
        <w:spacing w:line="480" w:lineRule="auto"/>
        <w:rPr>
          <w:rFonts w:hint="eastAsia" w:ascii="宋体" w:hAnsi="宋体" w:cs="Calibri"/>
          <w:b/>
          <w:caps/>
          <w:sz w:val="24"/>
          <w:highlight w:val="none"/>
        </w:rPr>
      </w:pPr>
    </w:p>
    <w:p w14:paraId="6553EECC">
      <w:pPr>
        <w:shd w:val="clear" w:color="auto" w:fill="auto"/>
        <w:spacing w:line="480" w:lineRule="auto"/>
        <w:rPr>
          <w:rFonts w:hint="eastAsia" w:ascii="宋体" w:hAnsi="宋体"/>
          <w:bCs/>
          <w:sz w:val="24"/>
          <w:highlight w:val="none"/>
        </w:rPr>
      </w:pPr>
    </w:p>
    <w:p w14:paraId="3188E3B1">
      <w:pPr>
        <w:shd w:val="clear" w:color="auto" w:fill="auto"/>
        <w:jc w:val="center"/>
        <w:outlineLvl w:val="0"/>
        <w:rPr>
          <w:rFonts w:hint="eastAsia" w:ascii="宋体" w:hAnsi="宋体" w:cs="宋体"/>
          <w:color w:val="auto"/>
          <w:sz w:val="24"/>
          <w:szCs w:val="24"/>
          <w:highlight w:val="none"/>
        </w:rPr>
      </w:pPr>
      <w:bookmarkStart w:id="4" w:name="_Toc6046"/>
      <w:r>
        <w:rPr>
          <w:rFonts w:hint="eastAsia" w:ascii="宋体" w:hAnsi="宋体"/>
          <w:b/>
          <w:bCs/>
          <w:sz w:val="32"/>
          <w:szCs w:val="32"/>
          <w:highlight w:val="none"/>
        </w:rPr>
        <w:br w:type="page"/>
      </w:r>
      <w:r>
        <w:rPr>
          <w:rFonts w:hint="eastAsia" w:ascii="宋体" w:hAnsi="宋体"/>
          <w:b/>
          <w:bCs/>
          <w:sz w:val="32"/>
          <w:szCs w:val="32"/>
          <w:highlight w:val="none"/>
        </w:rPr>
        <w:t>第一章  竞争性磋商公告</w:t>
      </w:r>
      <w:bookmarkEnd w:id="1"/>
      <w:bookmarkEnd w:id="2"/>
      <w:bookmarkEnd w:id="3"/>
      <w:bookmarkEnd w:id="4"/>
    </w:p>
    <w:p w14:paraId="2AD362BA">
      <w:pPr>
        <w:shd w:val="clear" w:color="auto" w:fill="auto"/>
        <w:spacing w:line="360" w:lineRule="auto"/>
        <w:ind w:firstLine="480" w:firstLineChars="200"/>
        <w:jc w:val="left"/>
        <w:rPr>
          <w:rFonts w:hint="eastAsia"/>
          <w:sz w:val="24"/>
          <w:highlight w:val="none"/>
        </w:rPr>
      </w:pPr>
      <w:r>
        <w:rPr>
          <w:rFonts w:hint="eastAsia" w:ascii="宋体" w:hAnsi="宋体" w:cs="宋体"/>
          <w:color w:val="auto"/>
          <w:sz w:val="24"/>
          <w:szCs w:val="24"/>
          <w:highlight w:val="none"/>
          <w:lang w:val="en-US" w:eastAsia="zh-CN"/>
        </w:rPr>
        <w:t>灵宝市2026年地方水库移民扶持基金项目（二次）</w:t>
      </w:r>
      <w:r>
        <w:rPr>
          <w:rFonts w:hint="eastAsia" w:ascii="宋体" w:hAnsi="宋体" w:cs="宋体"/>
          <w:color w:val="auto"/>
          <w:sz w:val="24"/>
          <w:szCs w:val="24"/>
          <w:highlight w:val="none"/>
        </w:rPr>
        <w:t>的潜在投标人应在三门峡市公共资源交易中心网</w:t>
      </w:r>
      <w:r>
        <w:rPr>
          <w:rFonts w:hint="eastAsia" w:ascii="宋体" w:hAnsi="宋体" w:cs="宋体"/>
          <w:color w:val="auto"/>
          <w:sz w:val="24"/>
          <w:szCs w:val="24"/>
          <w:highlight w:val="none"/>
          <w:lang w:val="en-US" w:eastAsia="zh-CN"/>
        </w:rPr>
        <w:t>获取竞争性磋商文件</w:t>
      </w:r>
      <w:r>
        <w:rPr>
          <w:rFonts w:hint="eastAsia" w:ascii="宋体" w:hAnsi="宋体" w:cs="宋体"/>
          <w:color w:val="auto"/>
          <w:sz w:val="24"/>
          <w:szCs w:val="24"/>
          <w:highlight w:val="none"/>
        </w:rPr>
        <w:t>，并于2026年</w:t>
      </w:r>
      <w:r>
        <w:rPr>
          <w:rFonts w:hint="eastAsia" w:ascii="宋体" w:hAnsi="宋体" w:cs="宋体"/>
          <w:color w:val="auto"/>
          <w:sz w:val="24"/>
          <w:szCs w:val="24"/>
          <w:highlight w:val="none"/>
          <w:lang w:val="en-US" w:eastAsia="zh-CN"/>
        </w:rPr>
        <w:t>09</w:t>
      </w:r>
      <w:r>
        <w:rPr>
          <w:rFonts w:hint="eastAsia" w:ascii="宋体" w:hAnsi="宋体" w:cs="宋体"/>
          <w:color w:val="auto"/>
          <w:sz w:val="24"/>
          <w:szCs w:val="24"/>
          <w:highlight w:val="none"/>
        </w:rPr>
        <w:t>月</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日08时30分（北京时间）前递交响应文件。</w:t>
      </w:r>
    </w:p>
    <w:p w14:paraId="733F474B">
      <w:pPr>
        <w:widowControl/>
        <w:shd w:val="clear" w:color="auto" w:fill="auto"/>
        <w:spacing w:line="360" w:lineRule="auto"/>
        <w:ind w:firstLine="480" w:firstLineChars="200"/>
        <w:jc w:val="left"/>
        <w:rPr>
          <w:sz w:val="24"/>
          <w:highlight w:val="none"/>
        </w:rPr>
      </w:pPr>
      <w:r>
        <w:rPr>
          <w:rFonts w:hint="eastAsia"/>
          <w:sz w:val="24"/>
          <w:highlight w:val="none"/>
        </w:rPr>
        <w:t>一、项目基本情况</w:t>
      </w:r>
    </w:p>
    <w:p w14:paraId="4C54A6FF">
      <w:pPr>
        <w:widowControl/>
        <w:shd w:val="clear" w:color="auto" w:fill="auto"/>
        <w:spacing w:line="360" w:lineRule="auto"/>
        <w:ind w:firstLine="480" w:firstLineChars="200"/>
        <w:jc w:val="left"/>
        <w:rPr>
          <w:rFonts w:hint="eastAsia" w:ascii="宋体" w:hAnsi="宋体" w:eastAsia="宋体"/>
          <w:sz w:val="24"/>
          <w:highlight w:val="none"/>
          <w:lang w:val="en-US" w:eastAsia="zh-CN"/>
        </w:rPr>
      </w:pPr>
      <w:r>
        <w:rPr>
          <w:rFonts w:hint="eastAsia" w:ascii="宋体" w:hAnsi="宋体"/>
          <w:sz w:val="24"/>
          <w:highlight w:val="none"/>
        </w:rPr>
        <w:t>1、项目编号：</w:t>
      </w:r>
      <w:r>
        <w:rPr>
          <w:rFonts w:hint="eastAsia" w:ascii="宋体" w:hAnsi="宋体"/>
          <w:sz w:val="24"/>
          <w:highlight w:val="none"/>
          <w:lang w:val="en-US" w:eastAsia="zh-CN"/>
        </w:rPr>
        <w:t>LBGZ[2026]173-ZC136、灵宝竞磋采购-2026-92</w:t>
      </w:r>
    </w:p>
    <w:p w14:paraId="64411B9A">
      <w:pPr>
        <w:widowControl/>
        <w:shd w:val="clear" w:color="auto" w:fill="auto"/>
        <w:spacing w:line="360" w:lineRule="auto"/>
        <w:ind w:firstLine="480" w:firstLineChars="200"/>
        <w:jc w:val="left"/>
        <w:rPr>
          <w:rFonts w:hint="eastAsia" w:ascii="宋体" w:hAnsi="宋体" w:eastAsia="宋体"/>
          <w:sz w:val="24"/>
          <w:highlight w:val="none"/>
          <w:lang w:eastAsia="zh-CN"/>
        </w:rPr>
      </w:pPr>
      <w:r>
        <w:rPr>
          <w:rFonts w:hint="eastAsia" w:ascii="宋体" w:hAnsi="宋体"/>
          <w:sz w:val="24"/>
          <w:highlight w:val="none"/>
        </w:rPr>
        <w:t>2、项目名称：</w:t>
      </w:r>
      <w:bookmarkStart w:id="5" w:name="OLE_LINK3"/>
      <w:bookmarkStart w:id="6" w:name="OLE_LINK4"/>
      <w:r>
        <w:rPr>
          <w:rFonts w:hint="eastAsia" w:ascii="宋体" w:hAnsi="宋体"/>
          <w:sz w:val="24"/>
          <w:highlight w:val="none"/>
          <w:lang w:val="en-US" w:eastAsia="zh-CN"/>
        </w:rPr>
        <w:t>灵宝市2026年地方水库移民扶持基金项目（二次）</w:t>
      </w:r>
    </w:p>
    <w:bookmarkEnd w:id="5"/>
    <w:bookmarkEnd w:id="6"/>
    <w:p w14:paraId="09FBE68C">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3、采购方式：竞争性磋商</w:t>
      </w:r>
    </w:p>
    <w:p w14:paraId="6DC307BE">
      <w:pPr>
        <w:widowControl/>
        <w:shd w:val="clear" w:color="auto" w:fill="auto"/>
        <w:spacing w:line="360" w:lineRule="auto"/>
        <w:ind w:firstLine="480" w:firstLineChars="200"/>
        <w:jc w:val="left"/>
        <w:rPr>
          <w:rFonts w:hint="eastAsia" w:ascii="宋体" w:hAnsi="宋体" w:eastAsia="宋体" w:cs="Times New Roman"/>
          <w:sz w:val="24"/>
          <w:highlight w:val="none"/>
        </w:rPr>
      </w:pPr>
      <w:r>
        <w:rPr>
          <w:rFonts w:hint="eastAsia" w:ascii="宋体" w:hAnsi="宋体"/>
          <w:sz w:val="24"/>
          <w:highlight w:val="none"/>
        </w:rPr>
        <w:t>4、预算金额</w:t>
      </w:r>
      <w:r>
        <w:rPr>
          <w:rFonts w:hint="eastAsia" w:ascii="宋体" w:hAnsi="宋体"/>
          <w:sz w:val="24"/>
          <w:highlight w:val="none"/>
          <w:lang w:val="en-US" w:eastAsia="zh-CN"/>
        </w:rPr>
        <w:t>及控制价</w:t>
      </w:r>
      <w:r>
        <w:rPr>
          <w:rFonts w:hint="eastAsia" w:ascii="宋体" w:hAnsi="宋体"/>
          <w:sz w:val="24"/>
          <w:highlight w:val="none"/>
        </w:rPr>
        <w:t>：</w:t>
      </w:r>
      <w:r>
        <w:rPr>
          <w:rFonts w:hint="eastAsia" w:ascii="宋体" w:hAnsi="宋体" w:eastAsia="宋体" w:cs="宋体"/>
          <w:b w:val="0"/>
          <w:bCs w:val="0"/>
          <w:sz w:val="24"/>
          <w:u w:val="none"/>
        </w:rPr>
        <w:t>96</w:t>
      </w:r>
      <w:r>
        <w:rPr>
          <w:rFonts w:hint="eastAsia" w:ascii="宋体" w:hAnsi="宋体" w:eastAsia="宋体" w:cs="宋体"/>
          <w:b w:val="0"/>
          <w:bCs w:val="0"/>
          <w:sz w:val="24"/>
          <w:u w:val="none"/>
          <w:lang w:val="en-US" w:eastAsia="zh-CN"/>
        </w:rPr>
        <w:t>.</w:t>
      </w:r>
      <w:r>
        <w:rPr>
          <w:rFonts w:hint="eastAsia" w:ascii="宋体" w:hAnsi="宋体" w:eastAsia="宋体" w:cs="宋体"/>
          <w:b w:val="0"/>
          <w:bCs w:val="0"/>
          <w:sz w:val="24"/>
          <w:u w:val="none"/>
        </w:rPr>
        <w:t>833246</w:t>
      </w:r>
      <w:r>
        <w:rPr>
          <w:rFonts w:hint="eastAsia" w:ascii="宋体" w:hAnsi="宋体" w:eastAsia="宋体" w:cs="Times New Roman"/>
          <w:sz w:val="24"/>
          <w:highlight w:val="none"/>
        </w:rPr>
        <w:t>万元</w:t>
      </w:r>
    </w:p>
    <w:p w14:paraId="69CF09DE">
      <w:pPr>
        <w:widowControl/>
        <w:shd w:val="clear" w:color="auto" w:fill="auto"/>
        <w:spacing w:line="360" w:lineRule="auto"/>
        <w:ind w:firstLine="480" w:firstLineChars="200"/>
        <w:jc w:val="left"/>
        <w:rPr>
          <w:rFonts w:hint="eastAsia" w:ascii="宋体" w:hAnsi="宋体"/>
          <w:sz w:val="24"/>
          <w:highlight w:val="none"/>
        </w:rPr>
      </w:pPr>
      <w:r>
        <w:rPr>
          <w:rFonts w:hint="eastAsia" w:ascii="宋体" w:hAnsi="宋体"/>
          <w:sz w:val="24"/>
          <w:highlight w:val="none"/>
        </w:rPr>
        <w:t>5、项目概况：</w:t>
      </w:r>
      <w:bookmarkStart w:id="7" w:name="OLE_LINK8"/>
      <w:bookmarkStart w:id="8" w:name="OLE_LINK6"/>
      <w:r>
        <w:rPr>
          <w:rFonts w:hint="eastAsia" w:ascii="宋体" w:hAnsi="宋体"/>
          <w:sz w:val="24"/>
          <w:highlight w:val="none"/>
        </w:rPr>
        <w:t>本工程为</w:t>
      </w:r>
      <w:r>
        <w:rPr>
          <w:rFonts w:hint="eastAsia" w:ascii="宋体" w:hAnsi="宋体"/>
          <w:sz w:val="24"/>
          <w:highlight w:val="none"/>
          <w:lang w:val="en-US" w:eastAsia="zh-CN"/>
        </w:rPr>
        <w:t>灵宝市2026年地方水库移民扶持基金项目，包含两岔河村、西邱村、西闫村三个村的路灯亮化和南天村、中社村两个村的道路硬化等内容。</w:t>
      </w:r>
    </w:p>
    <w:bookmarkEnd w:id="7"/>
    <w:bookmarkEnd w:id="8"/>
    <w:p w14:paraId="53856B32">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6、招标范围：本项目竞争性磋商文件、图纸、工程量清单及答疑纪要等列明的所有内容。</w:t>
      </w:r>
    </w:p>
    <w:p w14:paraId="17588E43">
      <w:pPr>
        <w:widowControl/>
        <w:shd w:val="clear" w:color="auto" w:fill="auto"/>
        <w:spacing w:line="360" w:lineRule="auto"/>
        <w:ind w:firstLine="480" w:firstLineChars="200"/>
        <w:jc w:val="left"/>
        <w:rPr>
          <w:rFonts w:hint="default" w:ascii="宋体" w:hAnsi="宋体" w:eastAsia="宋体"/>
          <w:sz w:val="24"/>
          <w:highlight w:val="none"/>
          <w:lang w:val="en-US" w:eastAsia="zh-CN"/>
        </w:rPr>
      </w:pPr>
      <w:r>
        <w:rPr>
          <w:rFonts w:hint="eastAsia" w:ascii="宋体" w:hAnsi="宋体"/>
          <w:sz w:val="24"/>
          <w:highlight w:val="none"/>
        </w:rPr>
        <w:t>7</w:t>
      </w:r>
      <w:r>
        <w:rPr>
          <w:rFonts w:ascii="宋体" w:hAnsi="宋体"/>
          <w:sz w:val="24"/>
          <w:highlight w:val="none"/>
        </w:rPr>
        <w:t>、资金来源：</w:t>
      </w:r>
      <w:r>
        <w:rPr>
          <w:rFonts w:hint="eastAsia" w:ascii="宋体" w:hAnsi="宋体"/>
          <w:sz w:val="24"/>
          <w:highlight w:val="none"/>
        </w:rPr>
        <w:t>财政</w:t>
      </w:r>
      <w:r>
        <w:rPr>
          <w:rFonts w:ascii="宋体" w:hAnsi="宋体"/>
          <w:sz w:val="24"/>
          <w:highlight w:val="none"/>
        </w:rPr>
        <w:t>资金</w:t>
      </w:r>
      <w:r>
        <w:rPr>
          <w:rFonts w:hint="eastAsia" w:ascii="宋体" w:hAnsi="宋体"/>
          <w:sz w:val="24"/>
          <w:highlight w:val="none"/>
          <w:lang w:eastAsia="zh-CN"/>
        </w:rPr>
        <w:t>，</w:t>
      </w:r>
      <w:r>
        <w:rPr>
          <w:rFonts w:hint="eastAsia" w:ascii="宋体" w:hAnsi="宋体"/>
          <w:sz w:val="24"/>
          <w:highlight w:val="none"/>
          <w:lang w:val="en-US" w:eastAsia="zh-CN"/>
        </w:rPr>
        <w:t>已落实；</w:t>
      </w:r>
    </w:p>
    <w:p w14:paraId="1D16E60B">
      <w:pPr>
        <w:widowControl/>
        <w:shd w:val="clear" w:color="auto" w:fill="auto"/>
        <w:spacing w:line="360" w:lineRule="auto"/>
        <w:ind w:firstLine="480" w:firstLineChars="200"/>
        <w:jc w:val="left"/>
        <w:rPr>
          <w:rFonts w:hint="eastAsia" w:ascii="宋体" w:hAnsi="宋体" w:eastAsia="宋体"/>
          <w:sz w:val="24"/>
          <w:highlight w:val="none"/>
          <w:lang w:eastAsia="zh-CN"/>
        </w:rPr>
      </w:pPr>
      <w:r>
        <w:rPr>
          <w:rFonts w:hint="eastAsia" w:ascii="宋体" w:hAnsi="宋体"/>
          <w:sz w:val="24"/>
          <w:highlight w:val="none"/>
        </w:rPr>
        <w:t>8、质量要求：合格</w:t>
      </w:r>
      <w:r>
        <w:rPr>
          <w:rFonts w:hint="eastAsia" w:ascii="宋体" w:hAnsi="宋体"/>
          <w:sz w:val="24"/>
          <w:highlight w:val="none"/>
          <w:lang w:eastAsia="zh-CN"/>
        </w:rPr>
        <w:t>；</w:t>
      </w:r>
    </w:p>
    <w:p w14:paraId="5821583C">
      <w:pPr>
        <w:widowControl/>
        <w:shd w:val="clear" w:color="auto" w:fill="auto"/>
        <w:spacing w:line="360" w:lineRule="auto"/>
        <w:ind w:firstLine="480" w:firstLineChars="200"/>
        <w:jc w:val="left"/>
        <w:rPr>
          <w:rFonts w:hint="eastAsia" w:ascii="宋体" w:hAnsi="宋体" w:eastAsia="宋体" w:cs="Times New Roman"/>
          <w:sz w:val="24"/>
          <w:highlight w:val="none"/>
          <w:lang w:eastAsia="zh-CN"/>
        </w:rPr>
      </w:pPr>
      <w:r>
        <w:rPr>
          <w:rFonts w:hint="eastAsia" w:ascii="宋体" w:hAnsi="宋体" w:eastAsia="宋体" w:cs="Times New Roman"/>
          <w:sz w:val="24"/>
          <w:highlight w:val="none"/>
        </w:rPr>
        <w:t>9、计划工期：</w:t>
      </w:r>
      <w:r>
        <w:rPr>
          <w:rFonts w:hint="eastAsia" w:ascii="宋体" w:hAnsi="宋体" w:cs="Times New Roman"/>
          <w:sz w:val="24"/>
          <w:highlight w:val="none"/>
          <w:lang w:val="en-US" w:eastAsia="zh-CN"/>
        </w:rPr>
        <w:t>90</w:t>
      </w:r>
      <w:r>
        <w:rPr>
          <w:rFonts w:hint="eastAsia" w:ascii="宋体" w:hAnsi="宋体" w:eastAsia="宋体" w:cs="Times New Roman"/>
          <w:sz w:val="24"/>
          <w:highlight w:val="none"/>
          <w:lang w:val="en-US" w:eastAsia="zh-CN"/>
        </w:rPr>
        <w:t>日历天</w:t>
      </w:r>
      <w:r>
        <w:rPr>
          <w:rFonts w:hint="eastAsia" w:ascii="宋体" w:hAnsi="宋体" w:eastAsia="宋体" w:cs="Times New Roman"/>
          <w:sz w:val="24"/>
          <w:highlight w:val="none"/>
          <w:lang w:eastAsia="zh-CN"/>
        </w:rPr>
        <w:t>；</w:t>
      </w:r>
    </w:p>
    <w:p w14:paraId="4FED2208">
      <w:pPr>
        <w:widowControl/>
        <w:shd w:val="clear" w:color="auto" w:fill="auto"/>
        <w:spacing w:line="360" w:lineRule="auto"/>
        <w:ind w:firstLine="480" w:firstLineChars="200"/>
        <w:jc w:val="left"/>
        <w:rPr>
          <w:rFonts w:hint="eastAsia" w:ascii="宋体" w:hAnsi="宋体" w:eastAsia="宋体" w:cs="Times New Roman"/>
          <w:sz w:val="24"/>
          <w:highlight w:val="none"/>
          <w:lang w:eastAsia="zh-CN"/>
        </w:rPr>
      </w:pPr>
      <w:r>
        <w:rPr>
          <w:rFonts w:hint="eastAsia" w:ascii="宋体" w:hAnsi="宋体" w:eastAsia="宋体" w:cs="Times New Roman"/>
          <w:sz w:val="24"/>
          <w:highlight w:val="none"/>
        </w:rPr>
        <w:t>10、是否接受进口产品：否</w:t>
      </w:r>
      <w:r>
        <w:rPr>
          <w:rFonts w:hint="eastAsia" w:ascii="宋体" w:hAnsi="宋体" w:eastAsia="宋体" w:cs="Times New Roman"/>
          <w:sz w:val="24"/>
          <w:highlight w:val="none"/>
          <w:lang w:eastAsia="zh-CN"/>
        </w:rPr>
        <w:t>；</w:t>
      </w:r>
    </w:p>
    <w:p w14:paraId="2DC15DA3">
      <w:pPr>
        <w:widowControl/>
        <w:shd w:val="clear" w:color="auto" w:fill="auto"/>
        <w:spacing w:line="360" w:lineRule="auto"/>
        <w:ind w:firstLine="480" w:firstLineChars="200"/>
        <w:jc w:val="left"/>
        <w:rPr>
          <w:rFonts w:hint="eastAsia" w:ascii="宋体" w:hAnsi="宋体" w:eastAsia="宋体" w:cs="Times New Roman"/>
          <w:sz w:val="24"/>
          <w:highlight w:val="none"/>
          <w:lang w:eastAsia="zh-CN"/>
        </w:rPr>
      </w:pPr>
      <w:r>
        <w:rPr>
          <w:rFonts w:hint="eastAsia" w:ascii="宋体" w:hAnsi="宋体" w:eastAsia="宋体" w:cs="Times New Roman"/>
          <w:sz w:val="24"/>
          <w:highlight w:val="none"/>
        </w:rPr>
        <w:t>11</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是否专门面向中小企业：</w:t>
      </w:r>
      <w:r>
        <w:rPr>
          <w:rFonts w:hint="eastAsia" w:ascii="宋体" w:hAnsi="宋体" w:eastAsia="宋体" w:cs="Times New Roman"/>
          <w:sz w:val="24"/>
          <w:highlight w:val="none"/>
          <w:lang w:val="en-US" w:eastAsia="zh-CN"/>
        </w:rPr>
        <w:t>是</w:t>
      </w:r>
      <w:r>
        <w:rPr>
          <w:rFonts w:hint="eastAsia" w:ascii="宋体" w:hAnsi="宋体" w:eastAsia="宋体" w:cs="Times New Roman"/>
          <w:sz w:val="24"/>
          <w:highlight w:val="none"/>
          <w:lang w:eastAsia="zh-CN"/>
        </w:rPr>
        <w:t>；</w:t>
      </w:r>
    </w:p>
    <w:p w14:paraId="25D8135C">
      <w:pPr>
        <w:widowControl/>
        <w:shd w:val="clear" w:color="auto" w:fill="auto"/>
        <w:spacing w:line="360" w:lineRule="auto"/>
        <w:ind w:firstLine="480" w:firstLineChars="200"/>
        <w:jc w:val="left"/>
        <w:rPr>
          <w:sz w:val="24"/>
          <w:highlight w:val="none"/>
        </w:rPr>
      </w:pPr>
      <w:r>
        <w:rPr>
          <w:rFonts w:hint="eastAsia"/>
          <w:sz w:val="24"/>
          <w:highlight w:val="none"/>
        </w:rPr>
        <w:t>二、申请人资格要求：</w:t>
      </w:r>
      <w:r>
        <w:rPr>
          <w:sz w:val="24"/>
          <w:highlight w:val="none"/>
        </w:rPr>
        <w:t xml:space="preserve"> </w:t>
      </w:r>
    </w:p>
    <w:p w14:paraId="18D4BC2B">
      <w:pPr>
        <w:widowControl/>
        <w:shd w:val="clear" w:color="auto" w:fill="auto"/>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1、满足《中华人民共和国政府采购法》第二十二条规定；</w:t>
      </w:r>
    </w:p>
    <w:p w14:paraId="0E28DD3E">
      <w:pPr>
        <w:widowControl/>
        <w:shd w:val="clear" w:color="auto" w:fill="auto"/>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2、落实政府采购政策满足的资格要求：根据《政府采购促进中小企业发展管理办法》（财库〔2020〕46号）规定，本项目专门面向中小企业采购,同时供应商须提供《中小企业声明函》；</w:t>
      </w:r>
    </w:p>
    <w:p w14:paraId="2BA3C448">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3、本项目的特定资格要求</w:t>
      </w:r>
    </w:p>
    <w:p w14:paraId="669D4955">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w:t>
      </w:r>
      <w:r>
        <w:rPr>
          <w:rFonts w:ascii="宋体" w:hAnsi="宋体"/>
          <w:sz w:val="24"/>
          <w:highlight w:val="none"/>
        </w:rPr>
        <w:t>.1</w:t>
      </w:r>
      <w:r>
        <w:rPr>
          <w:rFonts w:hint="eastAsia" w:ascii="宋体" w:hAnsi="宋体"/>
          <w:sz w:val="24"/>
          <w:highlight w:val="none"/>
        </w:rPr>
        <w:t xml:space="preserve"> </w:t>
      </w:r>
      <w:r>
        <w:rPr>
          <w:rFonts w:hint="eastAsia" w:ascii="宋体" w:hAnsi="宋体"/>
          <w:sz w:val="24"/>
          <w:highlight w:val="none"/>
          <w:lang w:eastAsia="zh-CN"/>
        </w:rPr>
        <w:t>供应商须具有有效的企业营业执照</w:t>
      </w:r>
      <w:r>
        <w:rPr>
          <w:rFonts w:ascii="宋体" w:hAnsi="宋体"/>
          <w:sz w:val="24"/>
          <w:highlight w:val="none"/>
        </w:rPr>
        <w:t>；</w:t>
      </w:r>
    </w:p>
    <w:p w14:paraId="2FA0A4E1">
      <w:pPr>
        <w:shd w:val="clear" w:color="auto" w:fill="auto"/>
        <w:spacing w:after="0" w:line="540" w:lineRule="exact"/>
        <w:ind w:firstLine="480" w:firstLineChars="200"/>
        <w:rPr>
          <w:rFonts w:hint="eastAsia" w:ascii="宋体" w:hAnsi="宋体" w:eastAsia="宋体" w:cs="Times New Roman"/>
          <w:sz w:val="24"/>
          <w:highlight w:val="none"/>
        </w:rPr>
      </w:pPr>
      <w:r>
        <w:rPr>
          <w:rFonts w:hint="eastAsia" w:ascii="宋体" w:hAnsi="宋体"/>
          <w:sz w:val="24"/>
          <w:highlight w:val="none"/>
        </w:rPr>
        <w:t>3</w:t>
      </w:r>
      <w:r>
        <w:rPr>
          <w:rFonts w:ascii="宋体" w:hAnsi="宋体"/>
          <w:sz w:val="24"/>
          <w:highlight w:val="none"/>
        </w:rPr>
        <w:t>.2</w:t>
      </w:r>
      <w:r>
        <w:rPr>
          <w:rFonts w:hint="eastAsia" w:ascii="宋体" w:hAnsi="宋体"/>
          <w:sz w:val="24"/>
          <w:highlight w:val="none"/>
        </w:rPr>
        <w:t xml:space="preserve"> 供应商须具备</w:t>
      </w:r>
      <w:r>
        <w:rPr>
          <w:rFonts w:hint="eastAsia" w:ascii="宋体" w:hAnsi="宋体"/>
          <w:sz w:val="24"/>
          <w:highlight w:val="none"/>
          <w:lang w:eastAsia="zh-CN"/>
        </w:rPr>
        <w:t>建设行政主管部门核发的市政公用工程施工总承包叁级及以上资</w:t>
      </w:r>
      <w:r>
        <w:rPr>
          <w:rFonts w:hint="eastAsia" w:ascii="宋体" w:hAnsi="宋体" w:eastAsia="宋体" w:cs="Times New Roman"/>
          <w:sz w:val="24"/>
          <w:highlight w:val="none"/>
          <w:lang w:eastAsia="zh-CN"/>
        </w:rPr>
        <w:t>质</w:t>
      </w:r>
      <w:r>
        <w:rPr>
          <w:rFonts w:hint="eastAsia" w:ascii="宋体" w:hAnsi="宋体" w:eastAsia="宋体" w:cs="Times New Roman"/>
          <w:sz w:val="24"/>
          <w:highlight w:val="none"/>
        </w:rPr>
        <w:t>，具有有效的安全生产许可证；</w:t>
      </w:r>
    </w:p>
    <w:p w14:paraId="3C542049">
      <w:pPr>
        <w:shd w:val="clear" w:color="auto" w:fill="auto"/>
        <w:spacing w:after="0" w:line="540" w:lineRule="exact"/>
        <w:ind w:firstLine="480" w:firstLineChars="200"/>
        <w:rPr>
          <w:rFonts w:hint="eastAsia" w:ascii="宋体" w:hAnsi="宋体" w:eastAsia="宋体" w:cs="Times New Roman"/>
          <w:sz w:val="24"/>
          <w:highlight w:val="none"/>
          <w:lang w:eastAsia="zh-CN"/>
        </w:rPr>
      </w:pPr>
      <w:r>
        <w:rPr>
          <w:rFonts w:hint="eastAsia" w:ascii="宋体" w:hAnsi="宋体" w:eastAsia="宋体" w:cs="Times New Roman"/>
          <w:sz w:val="24"/>
          <w:highlight w:val="none"/>
        </w:rPr>
        <w:t>3.3</w:t>
      </w:r>
      <w:r>
        <w:rPr>
          <w:rFonts w:hint="eastAsia" w:ascii="宋体" w:hAnsi="宋体" w:eastAsia="宋体" w:cs="Times New Roman"/>
          <w:sz w:val="24"/>
          <w:highlight w:val="none"/>
          <w:lang w:val="en-US" w:eastAsia="zh-CN"/>
        </w:rPr>
        <w:t xml:space="preserve"> </w:t>
      </w:r>
      <w:r>
        <w:rPr>
          <w:rFonts w:hint="eastAsia" w:ascii="宋体" w:hAnsi="宋体" w:eastAsia="宋体" w:cs="Times New Roman"/>
          <w:sz w:val="24"/>
          <w:highlight w:val="none"/>
        </w:rPr>
        <w:t>拟派项目经理应具备</w:t>
      </w:r>
      <w:r>
        <w:rPr>
          <w:rFonts w:hint="eastAsia" w:ascii="宋体" w:hAnsi="宋体" w:eastAsia="宋体" w:cs="Times New Roman"/>
          <w:sz w:val="24"/>
          <w:highlight w:val="none"/>
          <w:lang w:eastAsia="zh-CN"/>
        </w:rPr>
        <w:t>市政公用工程专业</w:t>
      </w:r>
      <w:r>
        <w:rPr>
          <w:rFonts w:hint="eastAsia" w:ascii="宋体" w:hAnsi="宋体" w:eastAsia="宋体" w:cs="Times New Roman"/>
          <w:sz w:val="24"/>
          <w:highlight w:val="none"/>
        </w:rPr>
        <w:t>贰级（含贰级）及以上注册建造师资格，须提供注册建造师证书、安全生产考核合格证书</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且未在其他在建工程项目中担任项目经理，</w:t>
      </w:r>
      <w:r>
        <w:rPr>
          <w:rFonts w:hint="eastAsia" w:ascii="宋体" w:hAnsi="宋体" w:eastAsia="宋体" w:cs="Times New Roman"/>
          <w:sz w:val="24"/>
          <w:highlight w:val="none"/>
          <w:lang w:eastAsia="zh-CN"/>
        </w:rPr>
        <w:t>且</w:t>
      </w:r>
      <w:r>
        <w:rPr>
          <w:rFonts w:hint="eastAsia" w:ascii="宋体" w:hAnsi="宋体" w:eastAsia="宋体" w:cs="Times New Roman"/>
          <w:sz w:val="24"/>
          <w:highlight w:val="none"/>
          <w:lang w:val="en-US" w:eastAsia="zh-CN"/>
        </w:rPr>
        <w:t>须提供自2026年1月以来任意一个月在本单位的社保证明（以社保网络查询或社保中心出具的证明为准）</w:t>
      </w:r>
      <w:r>
        <w:rPr>
          <w:rFonts w:hint="eastAsia" w:ascii="宋体" w:hAnsi="宋体" w:eastAsia="宋体" w:cs="Times New Roman"/>
          <w:sz w:val="24"/>
          <w:highlight w:val="none"/>
          <w:lang w:eastAsia="zh-CN"/>
        </w:rPr>
        <w:t>；</w:t>
      </w:r>
    </w:p>
    <w:p w14:paraId="59891ABC">
      <w:pPr>
        <w:widowControl/>
        <w:shd w:val="clear" w:color="auto" w:fill="auto"/>
        <w:spacing w:line="360" w:lineRule="auto"/>
        <w:ind w:firstLine="480" w:firstLineChars="200"/>
        <w:jc w:val="left"/>
        <w:rPr>
          <w:rFonts w:hint="eastAsia" w:ascii="宋体" w:hAnsi="宋体"/>
          <w:sz w:val="24"/>
          <w:highlight w:val="none"/>
          <w:lang w:eastAsia="zh-CN"/>
        </w:rPr>
      </w:pPr>
      <w:r>
        <w:rPr>
          <w:rFonts w:hint="eastAsia" w:ascii="宋体" w:hAnsi="宋体"/>
          <w:sz w:val="24"/>
          <w:highlight w:val="none"/>
        </w:rPr>
        <w:t>3.4</w:t>
      </w:r>
      <w:r>
        <w:rPr>
          <w:rFonts w:hint="eastAsia" w:ascii="宋体" w:hAnsi="宋体"/>
          <w:sz w:val="24"/>
          <w:highlight w:val="none"/>
          <w:lang w:val="en-US" w:eastAsia="zh-CN"/>
        </w:rPr>
        <w:t xml:space="preserve"> </w:t>
      </w:r>
      <w:r>
        <w:rPr>
          <w:rFonts w:hint="eastAsia" w:ascii="宋体" w:hAnsi="宋体"/>
          <w:sz w:val="24"/>
          <w:highlight w:val="none"/>
          <w:lang w:eastAsia="zh-CN"/>
        </w:rPr>
        <w:t>供应商自行出具本企业的无商业贿赂及无不正当竞争行为的承诺书；</w:t>
      </w:r>
    </w:p>
    <w:p w14:paraId="4138F43D">
      <w:pPr>
        <w:widowControl/>
        <w:shd w:val="clear" w:color="auto" w:fill="auto"/>
        <w:spacing w:line="360" w:lineRule="auto"/>
        <w:ind w:firstLine="480" w:firstLineChars="200"/>
        <w:jc w:val="left"/>
        <w:rPr>
          <w:rFonts w:hint="eastAsia" w:ascii="宋体" w:hAnsi="宋体"/>
          <w:sz w:val="24"/>
          <w:highlight w:val="none"/>
          <w:lang w:eastAsia="zh-CN"/>
        </w:rPr>
      </w:pPr>
      <w:r>
        <w:rPr>
          <w:rFonts w:hint="eastAsia" w:ascii="宋体" w:hAnsi="宋体"/>
          <w:sz w:val="24"/>
          <w:highlight w:val="none"/>
          <w:lang w:val="en-US" w:eastAsia="zh-CN"/>
        </w:rPr>
        <w:t>3.5 提供供应商企业、法定代表人、项目经理无行贿犯罪记录，在中国裁判文书网查询（提供网页查询截图）或供应商自行承诺（查询日期必须在公告发布之日之后）；</w:t>
      </w:r>
    </w:p>
    <w:p w14:paraId="3FF208E9">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w:t>
      </w:r>
      <w:r>
        <w:rPr>
          <w:rFonts w:hint="eastAsia" w:ascii="宋体" w:hAnsi="宋体"/>
          <w:sz w:val="24"/>
          <w:highlight w:val="none"/>
          <w:lang w:val="en-US" w:eastAsia="zh-CN"/>
        </w:rPr>
        <w:t>6</w:t>
      </w:r>
      <w:r>
        <w:rPr>
          <w:rFonts w:hint="eastAsia" w:ascii="宋体" w:hAnsi="宋体"/>
          <w:sz w:val="24"/>
          <w:highlight w:val="none"/>
        </w:rPr>
        <w:t xml:space="preserve"> </w:t>
      </w:r>
      <w:r>
        <w:rPr>
          <w:rFonts w:hint="eastAsia" w:ascii="宋体" w:hAnsi="宋体"/>
          <w:sz w:val="24"/>
          <w:highlight w:val="none"/>
          <w:lang w:val="en-US" w:eastAsia="zh-CN"/>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r>
        <w:rPr>
          <w:rFonts w:hint="eastAsia" w:ascii="宋体" w:hAnsi="宋体"/>
          <w:sz w:val="24"/>
          <w:highlight w:val="none"/>
        </w:rPr>
        <w:t>；</w:t>
      </w:r>
    </w:p>
    <w:p w14:paraId="3BF5EEDD">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w:t>
      </w:r>
      <w:r>
        <w:rPr>
          <w:rFonts w:hint="eastAsia" w:ascii="宋体" w:hAnsi="宋体"/>
          <w:sz w:val="24"/>
          <w:highlight w:val="none"/>
          <w:lang w:val="en-US" w:eastAsia="zh-CN"/>
        </w:rPr>
        <w:t xml:space="preserve">7 </w:t>
      </w:r>
      <w:r>
        <w:rPr>
          <w:rFonts w:hint="eastAsia" w:ascii="宋体" w:hAnsi="宋体"/>
          <w:sz w:val="24"/>
          <w:highlight w:val="none"/>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w:t>
      </w:r>
      <w:r>
        <w:rPr>
          <w:rFonts w:hint="eastAsia" w:ascii="宋体" w:hAnsi="宋体"/>
          <w:sz w:val="24"/>
          <w:highlight w:val="none"/>
          <w:lang w:val="en-US" w:eastAsia="zh-CN"/>
        </w:rPr>
        <w:t>（查询时间自公告发布之日起）</w:t>
      </w:r>
      <w:r>
        <w:rPr>
          <w:rFonts w:hint="eastAsia" w:ascii="宋体" w:hAnsi="宋体"/>
          <w:sz w:val="24"/>
          <w:highlight w:val="none"/>
        </w:rPr>
        <w:t>；</w:t>
      </w:r>
    </w:p>
    <w:p w14:paraId="5E5EFEE4">
      <w:pPr>
        <w:widowControl/>
        <w:shd w:val="clear" w:color="auto" w:fill="auto"/>
        <w:spacing w:line="360" w:lineRule="auto"/>
        <w:ind w:firstLine="480" w:firstLineChars="200"/>
        <w:jc w:val="left"/>
        <w:rPr>
          <w:rFonts w:hint="eastAsia" w:ascii="宋体" w:hAnsi="宋体"/>
          <w:sz w:val="24"/>
          <w:highlight w:val="none"/>
        </w:rPr>
      </w:pPr>
      <w:r>
        <w:rPr>
          <w:rFonts w:hint="eastAsia" w:ascii="宋体" w:hAnsi="宋体"/>
          <w:sz w:val="24"/>
          <w:highlight w:val="none"/>
        </w:rPr>
        <w:t>3.</w:t>
      </w:r>
      <w:r>
        <w:rPr>
          <w:rFonts w:hint="eastAsia" w:ascii="宋体" w:hAnsi="宋体"/>
          <w:sz w:val="24"/>
          <w:highlight w:val="none"/>
          <w:lang w:val="en-US" w:eastAsia="zh-CN"/>
        </w:rPr>
        <w:t>8</w:t>
      </w:r>
      <w:r>
        <w:rPr>
          <w:rFonts w:hint="eastAsia" w:ascii="宋体" w:hAnsi="宋体"/>
          <w:sz w:val="24"/>
          <w:highlight w:val="none"/>
        </w:rPr>
        <w:t xml:space="preserve"> 本项目不接受联合体投标；</w:t>
      </w:r>
    </w:p>
    <w:p w14:paraId="26B6E0B9">
      <w:pPr>
        <w:shd w:val="clear" w:color="auto" w:fill="auto"/>
        <w:wordWrap w:val="0"/>
        <w:spacing w:line="360" w:lineRule="auto"/>
        <w:ind w:firstLine="480" w:firstLineChars="200"/>
        <w:jc w:val="left"/>
        <w:rPr>
          <w:rFonts w:hint="eastAsia" w:ascii="宋体" w:hAnsi="宋体"/>
          <w:sz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 xml:space="preserve">9 </w:t>
      </w:r>
      <w:r>
        <w:rPr>
          <w:rFonts w:hint="eastAsia" w:ascii="宋体" w:hAnsi="宋体" w:cs="宋体"/>
          <w:color w:val="auto"/>
          <w:sz w:val="24"/>
          <w:szCs w:val="24"/>
          <w:highlight w:val="none"/>
        </w:rPr>
        <w:t>本次招标实行资格后审，资格审查的具体要求见竞争性磋商文件。</w:t>
      </w:r>
    </w:p>
    <w:p w14:paraId="117687B6">
      <w:pPr>
        <w:widowControl/>
        <w:shd w:val="clear" w:color="auto" w:fill="auto"/>
        <w:spacing w:line="480" w:lineRule="exact"/>
        <w:ind w:firstLine="480" w:firstLineChars="200"/>
        <w:jc w:val="left"/>
        <w:rPr>
          <w:kern w:val="0"/>
          <w:sz w:val="24"/>
          <w:highlight w:val="none"/>
        </w:rPr>
      </w:pPr>
      <w:r>
        <w:rPr>
          <w:rFonts w:hint="eastAsia"/>
          <w:kern w:val="0"/>
          <w:sz w:val="24"/>
          <w:highlight w:val="none"/>
        </w:rPr>
        <w:t>三、获取采购文件</w:t>
      </w:r>
    </w:p>
    <w:p w14:paraId="6CC358C5">
      <w:pPr>
        <w:shd w:val="clear" w:color="auto" w:fill="auto"/>
        <w:spacing w:line="360" w:lineRule="auto"/>
        <w:ind w:firstLine="480" w:firstLineChars="200"/>
        <w:jc w:val="left"/>
        <w:rPr>
          <w:sz w:val="24"/>
          <w:highlight w:val="yellow"/>
        </w:rPr>
      </w:pPr>
      <w:r>
        <w:rPr>
          <w:rFonts w:hint="eastAsia" w:ascii="宋体" w:hAnsi="宋体" w:cs="宋体"/>
          <w:sz w:val="24"/>
          <w:highlight w:val="none"/>
        </w:rPr>
        <w:t>1、时间：</w:t>
      </w:r>
      <w:r>
        <w:rPr>
          <w:rFonts w:hint="eastAsia" w:ascii="宋体" w:hAnsi="宋体" w:eastAsia="宋体" w:cs="宋体"/>
          <w:sz w:val="24"/>
          <w:highlight w:val="none"/>
        </w:rPr>
        <w:t>202</w:t>
      </w:r>
      <w:r>
        <w:rPr>
          <w:rFonts w:hint="eastAsia" w:ascii="宋体" w:hAnsi="宋体" w:eastAsia="宋体" w:cs="宋体"/>
          <w:sz w:val="24"/>
          <w:highlight w:val="none"/>
          <w:lang w:val="en-US" w:eastAsia="zh-CN"/>
        </w:rPr>
        <w:t>6</w:t>
      </w:r>
      <w:r>
        <w:rPr>
          <w:rFonts w:hint="eastAsia" w:ascii="宋体" w:hAnsi="宋体" w:eastAsia="宋体" w:cs="宋体"/>
          <w:sz w:val="24"/>
          <w:highlight w:val="none"/>
        </w:rPr>
        <w:t>年</w:t>
      </w:r>
      <w:r>
        <w:rPr>
          <w:rFonts w:hint="eastAsia" w:ascii="宋体" w:hAnsi="宋体" w:cs="宋体"/>
          <w:sz w:val="24"/>
          <w:highlight w:val="none"/>
          <w:lang w:val="en-US" w:eastAsia="zh-CN"/>
        </w:rPr>
        <w:t>8</w:t>
      </w:r>
      <w:r>
        <w:rPr>
          <w:rFonts w:hint="eastAsia" w:ascii="宋体" w:hAnsi="宋体" w:eastAsia="宋体" w:cs="宋体"/>
          <w:sz w:val="24"/>
          <w:highlight w:val="none"/>
        </w:rPr>
        <w:t>月</w:t>
      </w:r>
      <w:r>
        <w:rPr>
          <w:rFonts w:hint="eastAsia" w:ascii="宋体" w:hAnsi="宋体" w:cs="宋体"/>
          <w:sz w:val="24"/>
          <w:highlight w:val="none"/>
          <w:lang w:val="en-US" w:eastAsia="zh-CN"/>
        </w:rPr>
        <w:t>28</w:t>
      </w:r>
      <w:r>
        <w:rPr>
          <w:rFonts w:hint="eastAsia" w:ascii="宋体" w:hAnsi="宋体" w:eastAsia="宋体" w:cs="宋体"/>
          <w:sz w:val="24"/>
          <w:highlight w:val="none"/>
        </w:rPr>
        <w:t>日至</w:t>
      </w:r>
      <w:r>
        <w:rPr>
          <w:rFonts w:hint="eastAsia" w:ascii="宋体" w:hAnsi="宋体" w:eastAsia="宋体" w:cs="宋体"/>
          <w:sz w:val="24"/>
          <w:highlight w:val="none"/>
          <w:lang w:eastAsia="zh-CN"/>
        </w:rPr>
        <w:t>2026年</w:t>
      </w:r>
      <w:r>
        <w:rPr>
          <w:rFonts w:hint="eastAsia" w:ascii="宋体" w:hAnsi="宋体" w:cs="宋体"/>
          <w:sz w:val="24"/>
          <w:highlight w:val="none"/>
          <w:lang w:val="en-US" w:eastAsia="zh-CN"/>
        </w:rPr>
        <w:t>9</w:t>
      </w:r>
      <w:r>
        <w:rPr>
          <w:rFonts w:hint="eastAsia" w:ascii="宋体" w:hAnsi="宋体" w:eastAsia="宋体" w:cs="宋体"/>
          <w:sz w:val="24"/>
          <w:highlight w:val="none"/>
          <w:lang w:eastAsia="zh-CN"/>
        </w:rPr>
        <w:t>月</w:t>
      </w:r>
      <w:r>
        <w:rPr>
          <w:rFonts w:hint="eastAsia" w:ascii="宋体" w:hAnsi="宋体" w:cs="宋体"/>
          <w:sz w:val="24"/>
          <w:highlight w:val="none"/>
          <w:lang w:val="en-US" w:eastAsia="zh-CN"/>
        </w:rPr>
        <w:t>7</w:t>
      </w:r>
      <w:r>
        <w:rPr>
          <w:rFonts w:hint="eastAsia" w:ascii="宋体" w:hAnsi="宋体" w:eastAsia="宋体" w:cs="宋体"/>
          <w:sz w:val="24"/>
          <w:highlight w:val="none"/>
          <w:lang w:eastAsia="zh-CN"/>
        </w:rPr>
        <w:t>日8时30分</w:t>
      </w:r>
      <w:r>
        <w:rPr>
          <w:rFonts w:hint="eastAsia" w:ascii="宋体" w:hAnsi="宋体" w:eastAsia="宋体" w:cs="宋体"/>
          <w:sz w:val="24"/>
          <w:highlight w:val="none"/>
        </w:rPr>
        <w:t>（北</w:t>
      </w:r>
      <w:r>
        <w:rPr>
          <w:rFonts w:hint="eastAsia"/>
          <w:sz w:val="24"/>
          <w:highlight w:val="none"/>
        </w:rPr>
        <w:t>京时间）。</w:t>
      </w:r>
    </w:p>
    <w:p w14:paraId="5682C75F">
      <w:pPr>
        <w:shd w:val="clear" w:color="auto" w:fill="auto"/>
        <w:spacing w:line="360" w:lineRule="auto"/>
        <w:ind w:firstLine="480" w:firstLineChars="200"/>
        <w:jc w:val="left"/>
        <w:rPr>
          <w:rFonts w:ascii="宋体" w:hAnsi="宋体" w:cs="宋体"/>
          <w:sz w:val="24"/>
          <w:highlight w:val="none"/>
        </w:rPr>
      </w:pPr>
      <w:r>
        <w:rPr>
          <w:rFonts w:hint="eastAsia" w:ascii="宋体" w:hAnsi="宋体" w:cs="宋体"/>
          <w:sz w:val="24"/>
          <w:highlight w:val="none"/>
        </w:rPr>
        <w:t>2、地点：三门峡市公共资源交易中心网（网址：</w:t>
      </w:r>
      <w:r>
        <w:rPr>
          <w:rFonts w:ascii="宋体" w:hAnsi="宋体" w:cs="宋体"/>
          <w:kern w:val="0"/>
          <w:sz w:val="24"/>
          <w:szCs w:val="22"/>
          <w:highlight w:val="none"/>
        </w:rPr>
        <w:t>http://gzjy.smx.gov.cn/</w:t>
      </w:r>
      <w:r>
        <w:rPr>
          <w:rFonts w:hint="eastAsia" w:ascii="宋体" w:hAnsi="宋体" w:cs="宋体"/>
          <w:sz w:val="24"/>
          <w:highlight w:val="none"/>
        </w:rPr>
        <w:t>）；</w:t>
      </w:r>
    </w:p>
    <w:p w14:paraId="42D31210">
      <w:pPr>
        <w:shd w:val="clear" w:color="auto" w:fill="auto"/>
        <w:spacing w:line="360" w:lineRule="auto"/>
        <w:ind w:firstLine="480" w:firstLineChars="200"/>
        <w:jc w:val="left"/>
        <w:rPr>
          <w:rFonts w:ascii="宋体" w:hAnsi="宋体" w:cs="宋体"/>
          <w:sz w:val="24"/>
          <w:highlight w:val="none"/>
        </w:rPr>
      </w:pPr>
      <w:r>
        <w:rPr>
          <w:rFonts w:hint="eastAsia" w:ascii="宋体" w:hAnsi="宋体" w:cs="宋体"/>
          <w:sz w:val="24"/>
          <w:highlight w:val="none"/>
        </w:rPr>
        <w:t>3、方式：本项目没有报名环节，投标人凭CA数字证书通过三门峡市公共资源交易中心网（网址：</w:t>
      </w:r>
      <w:r>
        <w:rPr>
          <w:rFonts w:ascii="宋体" w:hAnsi="宋体" w:cs="宋体"/>
          <w:kern w:val="0"/>
          <w:sz w:val="24"/>
          <w:szCs w:val="22"/>
          <w:highlight w:val="none"/>
        </w:rPr>
        <w:t>http://gzjy.smx.gov.cn/</w:t>
      </w:r>
      <w:r>
        <w:rPr>
          <w:rFonts w:hint="eastAsia" w:ascii="宋体" w:hAnsi="宋体" w:cs="宋体"/>
          <w:sz w:val="24"/>
          <w:highlight w:val="none"/>
        </w:rPr>
        <w:t>），点击交易平台选择“市场主体登录”，在所参与项目右侧点击参与投标，即可直接下载本项目竞争性磋商文件。</w:t>
      </w:r>
    </w:p>
    <w:p w14:paraId="5211F9E4">
      <w:pPr>
        <w:shd w:val="clear" w:color="auto" w:fill="auto"/>
        <w:spacing w:line="360" w:lineRule="auto"/>
        <w:ind w:firstLine="480" w:firstLineChars="200"/>
        <w:jc w:val="left"/>
        <w:rPr>
          <w:rFonts w:ascii="宋体" w:hAnsi="宋体" w:cs="宋体"/>
          <w:sz w:val="24"/>
          <w:highlight w:val="none"/>
        </w:rPr>
      </w:pPr>
      <w:r>
        <w:rPr>
          <w:rFonts w:hint="eastAsia" w:ascii="宋体" w:hAnsi="宋体" w:cs="宋体"/>
          <w:sz w:val="24"/>
          <w:highlight w:val="none"/>
        </w:rPr>
        <w:t>三门峡市公共资源交易平台操作手册：</w:t>
      </w:r>
    </w:p>
    <w:p w14:paraId="1EF5FD35">
      <w:pPr>
        <w:shd w:val="clear" w:color="auto" w:fill="auto"/>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lang w:eastAsia="zh-CN"/>
        </w:rPr>
        <w:t>http://gzjy.smx.gov.cn/fwzn/004003/20200325/2b5a3a5a-f987-405c-993f-88f43e1d1ac3.html</w:t>
      </w:r>
    </w:p>
    <w:p w14:paraId="7B4696CC">
      <w:pPr>
        <w:shd w:val="clear" w:color="auto" w:fill="auto"/>
        <w:spacing w:line="360" w:lineRule="auto"/>
        <w:ind w:firstLine="480" w:firstLineChars="200"/>
        <w:jc w:val="left"/>
        <w:rPr>
          <w:rFonts w:hint="eastAsia" w:ascii="宋体" w:hAnsi="宋体" w:eastAsia="宋体" w:cs="宋体"/>
          <w:sz w:val="24"/>
          <w:highlight w:val="none"/>
          <w:lang w:eastAsia="zh-CN"/>
        </w:rPr>
      </w:pPr>
      <w:r>
        <w:rPr>
          <w:rFonts w:hint="eastAsia" w:ascii="宋体" w:hAnsi="宋体" w:cs="宋体"/>
          <w:sz w:val="24"/>
          <w:highlight w:val="none"/>
        </w:rPr>
        <w:t>办理CA证书链接：</w:t>
      </w:r>
      <w:r>
        <w:rPr>
          <w:rFonts w:hint="eastAsia" w:ascii="宋体" w:hAnsi="宋体" w:cs="宋体"/>
          <w:sz w:val="24"/>
          <w:highlight w:val="none"/>
          <w:lang w:eastAsia="zh-CN"/>
        </w:rPr>
        <w:t>http://gzjy.smx.gov.cn/bzzx/008001/20231102/4defc9b5-408e-47f2-9e9f-1f376a06ee1f.html</w:t>
      </w:r>
    </w:p>
    <w:p w14:paraId="2158D3A5">
      <w:pPr>
        <w:numPr>
          <w:ilvl w:val="0"/>
          <w:numId w:val="1"/>
        </w:numPr>
        <w:shd w:val="clear" w:color="auto" w:fill="auto"/>
        <w:spacing w:line="360" w:lineRule="auto"/>
        <w:ind w:left="420" w:leftChars="0" w:firstLine="480" w:firstLineChars="0"/>
        <w:jc w:val="left"/>
        <w:rPr>
          <w:rFonts w:hint="eastAsia" w:ascii="宋体" w:hAnsi="宋体" w:cs="宋体"/>
          <w:kern w:val="0"/>
          <w:sz w:val="24"/>
          <w:highlight w:val="none"/>
        </w:rPr>
      </w:pPr>
      <w:r>
        <w:rPr>
          <w:rFonts w:hint="eastAsia" w:ascii="宋体" w:hAnsi="宋体" w:cs="宋体"/>
          <w:sz w:val="24"/>
          <w:highlight w:val="none"/>
        </w:rPr>
        <w:t>本项目为全电子招标，不再收取竞争性</w:t>
      </w:r>
      <w:r>
        <w:rPr>
          <w:rFonts w:hint="eastAsia" w:ascii="宋体" w:hAnsi="宋体" w:cs="宋体"/>
          <w:kern w:val="0"/>
          <w:sz w:val="24"/>
          <w:highlight w:val="none"/>
        </w:rPr>
        <w:t>磋商文件费。</w:t>
      </w:r>
    </w:p>
    <w:p w14:paraId="73358D86">
      <w:pPr>
        <w:shd w:val="clear" w:color="auto" w:fill="auto"/>
        <w:wordWrap w:val="0"/>
        <w:spacing w:line="360" w:lineRule="auto"/>
        <w:ind w:firstLine="480" w:firstLineChars="200"/>
        <w:jc w:val="left"/>
        <w:rPr>
          <w:rFonts w:hint="eastAsia" w:ascii="宋体" w:hAnsi="宋体" w:cs="宋体"/>
          <w:kern w:val="0"/>
          <w:sz w:val="24"/>
          <w:highlight w:val="none"/>
        </w:rPr>
      </w:pPr>
      <w:r>
        <w:rPr>
          <w:rFonts w:hint="eastAsia" w:ascii="宋体" w:hAnsi="宋体" w:cs="宋体"/>
          <w:color w:val="auto"/>
          <w:sz w:val="24"/>
          <w:szCs w:val="24"/>
          <w:highlight w:val="none"/>
        </w:rPr>
        <w:t>注：本项目为不见面开标项目，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磋商响应文件解密等。每位投标人的解密时间为开标时间起30分钟内完成。因投标人原因未能解密、解密失败或解密超时的将被拒绝。</w:t>
      </w:r>
    </w:p>
    <w:p w14:paraId="219D5DB1">
      <w:pPr>
        <w:widowControl/>
        <w:shd w:val="clear" w:color="auto" w:fill="auto"/>
        <w:spacing w:line="360" w:lineRule="auto"/>
        <w:ind w:firstLine="480" w:firstLineChars="200"/>
        <w:jc w:val="left"/>
        <w:rPr>
          <w:rFonts w:ascii="宋体" w:hAnsi="宋体" w:cs="宋体"/>
          <w:sz w:val="24"/>
          <w:highlight w:val="none"/>
        </w:rPr>
      </w:pPr>
      <w:r>
        <w:rPr>
          <w:rFonts w:hint="eastAsia" w:ascii="宋体" w:hAnsi="宋体" w:cs="宋体"/>
          <w:sz w:val="24"/>
          <w:highlight w:val="none"/>
        </w:rPr>
        <w:t>四、磋商保证金</w:t>
      </w:r>
    </w:p>
    <w:p w14:paraId="4A8D848B">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根据《河南省财政厅关于优化政府采购营商环境有关问题的通知》（豫财购【2019】4号）第6条的规定，磋商保证金不再收取。</w:t>
      </w:r>
    </w:p>
    <w:p w14:paraId="3547EBA6">
      <w:pPr>
        <w:shd w:val="clear" w:color="auto" w:fill="auto"/>
        <w:spacing w:line="360" w:lineRule="auto"/>
        <w:ind w:firstLine="480" w:firstLineChars="200"/>
        <w:jc w:val="left"/>
        <w:rPr>
          <w:rFonts w:ascii="宋体" w:hAnsi="宋体" w:cs="宋体"/>
          <w:sz w:val="24"/>
          <w:highlight w:val="none"/>
        </w:rPr>
      </w:pPr>
      <w:r>
        <w:rPr>
          <w:rFonts w:hint="eastAsia" w:ascii="宋体" w:hAnsi="宋体" w:cs="宋体"/>
          <w:sz w:val="24"/>
          <w:highlight w:val="none"/>
        </w:rPr>
        <w:t>五、磋商时间和地点</w:t>
      </w:r>
    </w:p>
    <w:p w14:paraId="04FCF45D">
      <w:pPr>
        <w:shd w:val="clear" w:color="auto" w:fill="auto"/>
        <w:spacing w:line="480" w:lineRule="exact"/>
        <w:ind w:firstLine="480" w:firstLineChars="200"/>
        <w:rPr>
          <w:rFonts w:ascii="宋体" w:hAnsi="宋体" w:cs="宋体"/>
          <w:kern w:val="0"/>
          <w:sz w:val="24"/>
          <w:szCs w:val="22"/>
          <w:highlight w:val="none"/>
        </w:rPr>
      </w:pPr>
      <w:r>
        <w:rPr>
          <w:rFonts w:hint="eastAsia" w:ascii="宋体" w:hAnsi="宋体" w:cs="宋体"/>
          <w:kern w:val="0"/>
          <w:sz w:val="24"/>
          <w:szCs w:val="22"/>
          <w:highlight w:val="none"/>
        </w:rPr>
        <w:t>1、磋商文件</w:t>
      </w:r>
      <w:r>
        <w:rPr>
          <w:rFonts w:hint="eastAsia" w:ascii="宋体" w:hAnsi="宋体" w:cs="宋体"/>
          <w:sz w:val="24"/>
          <w:highlight w:val="none"/>
        </w:rPr>
        <w:t>递交</w:t>
      </w:r>
      <w:r>
        <w:rPr>
          <w:rFonts w:hint="eastAsia" w:ascii="宋体" w:hAnsi="宋体" w:cs="宋体"/>
          <w:kern w:val="0"/>
          <w:sz w:val="24"/>
          <w:szCs w:val="22"/>
          <w:highlight w:val="none"/>
        </w:rPr>
        <w:t>：加密电子投标文件须在投标截止时间前通过“三门峡市公共资源交易中心（</w:t>
      </w:r>
      <w:r>
        <w:rPr>
          <w:rFonts w:ascii="宋体" w:hAnsi="宋体" w:cs="宋体"/>
          <w:kern w:val="0"/>
          <w:sz w:val="24"/>
          <w:szCs w:val="22"/>
          <w:highlight w:val="none"/>
        </w:rPr>
        <w:t>http://gzjy.smx.gov.cn/</w:t>
      </w:r>
      <w:r>
        <w:rPr>
          <w:rFonts w:hint="eastAsia" w:ascii="宋体" w:hAnsi="宋体" w:cs="宋体"/>
          <w:kern w:val="0"/>
          <w:sz w:val="24"/>
          <w:szCs w:val="22"/>
          <w:highlight w:val="none"/>
        </w:rPr>
        <w:t>）”电子交易平台加密上传。逾期上传的或者未上传指定地点的响应文件，采购人不予受理。</w:t>
      </w:r>
    </w:p>
    <w:p w14:paraId="4DFB33AE">
      <w:pPr>
        <w:shd w:val="clear" w:color="auto" w:fill="auto"/>
        <w:spacing w:line="360" w:lineRule="auto"/>
        <w:ind w:firstLine="480" w:firstLineChars="200"/>
        <w:jc w:val="left"/>
        <w:rPr>
          <w:rFonts w:hint="eastAsia" w:ascii="宋体" w:hAnsi="宋体" w:eastAsia="宋体" w:cs="宋体"/>
          <w:kern w:val="0"/>
          <w:sz w:val="24"/>
          <w:szCs w:val="22"/>
          <w:highlight w:val="none"/>
        </w:rPr>
      </w:pPr>
      <w:r>
        <w:rPr>
          <w:rFonts w:hint="eastAsia" w:ascii="宋体" w:hAnsi="宋体" w:cs="宋体"/>
          <w:sz w:val="24"/>
          <w:highlight w:val="none"/>
        </w:rPr>
        <w:t>2、磋商文件递交截止时间及磋商时间：</w:t>
      </w:r>
      <w:r>
        <w:rPr>
          <w:rFonts w:hint="eastAsia" w:ascii="宋体" w:hAnsi="宋体" w:eastAsia="宋体" w:cs="宋体"/>
          <w:kern w:val="0"/>
          <w:sz w:val="24"/>
          <w:szCs w:val="22"/>
          <w:highlight w:val="none"/>
          <w:lang w:eastAsia="zh-CN"/>
        </w:rPr>
        <w:t>2026年</w:t>
      </w:r>
      <w:r>
        <w:rPr>
          <w:rFonts w:hint="eastAsia" w:ascii="宋体" w:hAnsi="宋体" w:cs="宋体"/>
          <w:kern w:val="0"/>
          <w:sz w:val="24"/>
          <w:szCs w:val="22"/>
          <w:highlight w:val="none"/>
          <w:lang w:val="en-US" w:eastAsia="zh-CN"/>
        </w:rPr>
        <w:t>9</w:t>
      </w:r>
      <w:r>
        <w:rPr>
          <w:rFonts w:hint="eastAsia" w:ascii="宋体" w:hAnsi="宋体" w:eastAsia="宋体" w:cs="宋体"/>
          <w:kern w:val="0"/>
          <w:sz w:val="24"/>
          <w:szCs w:val="22"/>
          <w:highlight w:val="none"/>
          <w:lang w:eastAsia="zh-CN"/>
        </w:rPr>
        <w:t>月</w:t>
      </w:r>
      <w:r>
        <w:rPr>
          <w:rFonts w:hint="eastAsia" w:ascii="宋体" w:hAnsi="宋体" w:cs="宋体"/>
          <w:kern w:val="0"/>
          <w:sz w:val="24"/>
          <w:szCs w:val="22"/>
          <w:highlight w:val="none"/>
          <w:lang w:val="en-US" w:eastAsia="zh-CN"/>
        </w:rPr>
        <w:t>7</w:t>
      </w:r>
      <w:r>
        <w:rPr>
          <w:rFonts w:hint="eastAsia" w:ascii="宋体" w:hAnsi="宋体" w:eastAsia="宋体" w:cs="宋体"/>
          <w:kern w:val="0"/>
          <w:sz w:val="24"/>
          <w:szCs w:val="22"/>
          <w:highlight w:val="none"/>
          <w:lang w:eastAsia="zh-CN"/>
        </w:rPr>
        <w:t>日8时30分</w:t>
      </w:r>
      <w:r>
        <w:rPr>
          <w:rFonts w:hint="eastAsia" w:ascii="宋体" w:hAnsi="宋体" w:eastAsia="宋体" w:cs="宋体"/>
          <w:kern w:val="0"/>
          <w:sz w:val="24"/>
          <w:szCs w:val="22"/>
          <w:highlight w:val="none"/>
        </w:rPr>
        <w:t>。</w:t>
      </w:r>
    </w:p>
    <w:p w14:paraId="39E19C18">
      <w:pPr>
        <w:shd w:val="clear" w:color="auto" w:fill="auto"/>
        <w:spacing w:line="360" w:lineRule="auto"/>
        <w:ind w:firstLine="480" w:firstLineChars="200"/>
        <w:jc w:val="left"/>
        <w:rPr>
          <w:rFonts w:ascii="宋体" w:hAnsi="宋体" w:cs="宋体"/>
          <w:sz w:val="24"/>
          <w:highlight w:val="none"/>
        </w:rPr>
      </w:pPr>
      <w:r>
        <w:rPr>
          <w:rFonts w:hint="eastAsia" w:ascii="宋体" w:hAnsi="宋体" w:cs="宋体"/>
          <w:sz w:val="24"/>
          <w:highlight w:val="none"/>
        </w:rPr>
        <w:t>3、地点：灵宝市公共资源交易中心</w:t>
      </w:r>
      <w:r>
        <w:rPr>
          <w:rFonts w:hint="eastAsia" w:ascii="宋体" w:hAnsi="宋体" w:cs="宋体"/>
          <w:sz w:val="24"/>
          <w:highlight w:val="none"/>
          <w:lang w:eastAsia="zh-CN"/>
        </w:rPr>
        <w:t>开标</w:t>
      </w:r>
      <w:r>
        <w:rPr>
          <w:rFonts w:hint="eastAsia" w:ascii="宋体" w:hAnsi="宋体" w:cs="宋体"/>
          <w:sz w:val="24"/>
          <w:highlight w:val="none"/>
          <w:lang w:val="en-US" w:eastAsia="zh-CN"/>
        </w:rPr>
        <w:t>二</w:t>
      </w:r>
      <w:r>
        <w:rPr>
          <w:rFonts w:hint="eastAsia" w:ascii="宋体" w:hAnsi="宋体" w:cs="宋体"/>
          <w:sz w:val="24"/>
          <w:highlight w:val="none"/>
          <w:lang w:eastAsia="zh-CN"/>
        </w:rPr>
        <w:t>室、评标</w:t>
      </w:r>
      <w:r>
        <w:rPr>
          <w:rFonts w:hint="eastAsia" w:ascii="宋体" w:hAnsi="宋体" w:cs="宋体"/>
          <w:sz w:val="24"/>
          <w:highlight w:val="none"/>
          <w:lang w:val="en-US" w:eastAsia="zh-CN"/>
        </w:rPr>
        <w:t>二</w:t>
      </w:r>
      <w:r>
        <w:rPr>
          <w:rFonts w:hint="eastAsia" w:ascii="宋体" w:hAnsi="宋体" w:cs="宋体"/>
          <w:sz w:val="24"/>
          <w:highlight w:val="none"/>
          <w:lang w:eastAsia="zh-CN"/>
        </w:rPr>
        <w:t>室</w:t>
      </w:r>
      <w:r>
        <w:rPr>
          <w:rFonts w:hint="eastAsia" w:ascii="宋体" w:hAnsi="宋体" w:cs="宋体"/>
          <w:sz w:val="24"/>
          <w:highlight w:val="none"/>
        </w:rPr>
        <w:t>（灵宝市金城大道信用联社12楼）。开标时，供应商必须持CA密钥在规定时间内对本单位的加密电子响应文件进行远程解密。本次项目实行远程不见面磋商。</w:t>
      </w:r>
    </w:p>
    <w:p w14:paraId="4C285BFF">
      <w:pPr>
        <w:shd w:val="clear" w:color="auto" w:fill="auto"/>
        <w:spacing w:line="360" w:lineRule="auto"/>
        <w:ind w:firstLine="480" w:firstLineChars="200"/>
        <w:jc w:val="left"/>
        <w:rPr>
          <w:rFonts w:ascii="宋体" w:hAnsi="宋体" w:cs="宋体"/>
          <w:sz w:val="24"/>
          <w:highlight w:val="none"/>
        </w:rPr>
      </w:pPr>
      <w:r>
        <w:rPr>
          <w:rFonts w:hint="eastAsia" w:ascii="宋体" w:hAnsi="宋体" w:cs="宋体"/>
          <w:sz w:val="24"/>
          <w:highlight w:val="none"/>
        </w:rPr>
        <w:t>六、其他事项</w:t>
      </w:r>
    </w:p>
    <w:p w14:paraId="5F5AAE2B">
      <w:pPr>
        <w:shd w:val="clear" w:color="auto" w:fill="auto"/>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1、资格评（预）审部分：资格评（预）以响应文件为准，其上传资料真实性由供应商自行承担。</w:t>
      </w:r>
    </w:p>
    <w:p w14:paraId="1FD29C3E">
      <w:pPr>
        <w:shd w:val="clear" w:color="auto" w:fill="auto"/>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2、评标打分部分：评标打分部分仍按照100分制原则进行，涉及到资格审查、企业荣誉、人员业绩、企业业绩等计分部分时，以供应商自行上传到响应文件中的相应内容为准。</w:t>
      </w:r>
    </w:p>
    <w:p w14:paraId="3637CA4D">
      <w:pPr>
        <w:shd w:val="clear" w:color="auto" w:fill="auto"/>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3、响应文件编制部分：在磋商文件中要求供应商按照响应文件格式进行响应文件编制时，应明确将供应商企业基本情况、资质情况、人员情况、财务情况、业绩情况编入响应文件，便于进行资格审查及评标打分。</w:t>
      </w:r>
    </w:p>
    <w:p w14:paraId="7194AE9E">
      <w:pPr>
        <w:shd w:val="clear" w:color="auto" w:fill="auto"/>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4、我单位（采购人）严格按三财购【2021】9号文要求的时限发布中标结果公告，发出中标通知书，签订采购合同，上传采购合同。</w:t>
      </w:r>
    </w:p>
    <w:p w14:paraId="6632A9A1">
      <w:pPr>
        <w:shd w:val="clear" w:color="auto" w:fill="auto"/>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5、供应商应仔细阅读操作手册，在本公告中要求的截止时间前完成磋商文件下载等工作。因供应商操作不当等问题造成的无法下载磋商文件、无法磋商等一切后果，由供应商自行承担。</w:t>
      </w:r>
    </w:p>
    <w:p w14:paraId="2A1B13C6">
      <w:pPr>
        <w:shd w:val="clear" w:color="auto" w:fill="auto"/>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6、供应商递交的响应文件不论中标与否均不予退还。</w:t>
      </w:r>
    </w:p>
    <w:p w14:paraId="2BAF5A29">
      <w:pPr>
        <w:shd w:val="clear" w:color="auto" w:fill="auto"/>
        <w:wordWrap w:val="0"/>
        <w:spacing w:line="360" w:lineRule="auto"/>
        <w:ind w:firstLine="480" w:firstLineChars="200"/>
        <w:jc w:val="left"/>
        <w:rPr>
          <w:rFonts w:hint="eastAsia" w:ascii="宋体" w:hAnsi="宋体" w:cs="宋体"/>
          <w:color w:val="auto"/>
          <w:sz w:val="24"/>
          <w:szCs w:val="24"/>
          <w:highlight w:val="none"/>
        </w:rPr>
      </w:pPr>
      <w:r>
        <w:rPr>
          <w:rFonts w:hint="eastAsia" w:ascii="宋体" w:hAnsi="宋体" w:cs="宋体"/>
          <w:color w:val="auto"/>
          <w:sz w:val="24"/>
          <w:szCs w:val="24"/>
          <w:highlight w:val="none"/>
        </w:rPr>
        <w:t>7、采购人不组织供应商踏勘现场。</w:t>
      </w:r>
    </w:p>
    <w:p w14:paraId="4D9A9AB1">
      <w:pPr>
        <w:shd w:val="clear" w:color="auto" w:fill="auto"/>
        <w:spacing w:line="480" w:lineRule="exact"/>
        <w:ind w:firstLine="480" w:firstLineChars="200"/>
        <w:rPr>
          <w:rFonts w:ascii="宋体" w:hAnsi="宋体" w:cs="宋体"/>
          <w:sz w:val="24"/>
          <w:highlight w:val="none"/>
        </w:rPr>
      </w:pPr>
      <w:r>
        <w:rPr>
          <w:rFonts w:hint="eastAsia" w:ascii="宋体" w:hAnsi="宋体" w:cs="宋体"/>
          <w:sz w:val="24"/>
          <w:highlight w:val="none"/>
        </w:rPr>
        <w:t>七、发布公告的媒介</w:t>
      </w:r>
    </w:p>
    <w:p w14:paraId="001B00FF">
      <w:pPr>
        <w:shd w:val="clear" w:color="auto" w:fill="auto"/>
        <w:spacing w:line="480" w:lineRule="exact"/>
        <w:ind w:firstLine="480" w:firstLineChars="200"/>
        <w:rPr>
          <w:rFonts w:ascii="宋体" w:hAnsi="宋体" w:cs="宋体"/>
          <w:sz w:val="24"/>
          <w:highlight w:val="none"/>
        </w:rPr>
      </w:pPr>
      <w:r>
        <w:rPr>
          <w:rFonts w:hint="eastAsia" w:ascii="宋体" w:hAnsi="宋体" w:cs="宋体"/>
          <w:sz w:val="24"/>
          <w:highlight w:val="none"/>
        </w:rPr>
        <w:t>本次竞争性磋商公告同时在《河南省政府采购网》、《中国采购与招标网》和《三门峡市公共资源交易中心网》媒体上发布。</w:t>
      </w:r>
    </w:p>
    <w:p w14:paraId="586C2816">
      <w:pPr>
        <w:shd w:val="clear" w:color="auto" w:fill="auto"/>
        <w:spacing w:line="480" w:lineRule="exact"/>
        <w:ind w:firstLine="480" w:firstLineChars="200"/>
        <w:rPr>
          <w:rFonts w:ascii="宋体" w:hAnsi="宋体" w:cs="宋体"/>
          <w:sz w:val="24"/>
          <w:highlight w:val="none"/>
        </w:rPr>
      </w:pPr>
      <w:r>
        <w:rPr>
          <w:rFonts w:hint="eastAsia" w:ascii="宋体" w:hAnsi="宋体" w:cs="宋体"/>
          <w:sz w:val="24"/>
          <w:highlight w:val="none"/>
        </w:rPr>
        <w:t>八、凡对本次招标提出询问，请按照以下方式联系</w:t>
      </w:r>
    </w:p>
    <w:p w14:paraId="57E4B58B">
      <w:pPr>
        <w:shd w:val="clear" w:color="auto" w:fill="auto"/>
        <w:spacing w:after="0" w:line="5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监督单位：灵宝市财政局政府采购监督管理科</w:t>
      </w:r>
    </w:p>
    <w:p w14:paraId="4D66C6BF">
      <w:pPr>
        <w:shd w:val="clear" w:color="auto" w:fill="auto"/>
        <w:spacing w:after="0" w:line="54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联系电话：0398-8852670</w:t>
      </w:r>
    </w:p>
    <w:p w14:paraId="1A686CC2">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监督部门：灵宝市水利局</w:t>
      </w:r>
    </w:p>
    <w:p w14:paraId="1CCDC18C">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联系电话：0398-8851903</w:t>
      </w:r>
    </w:p>
    <w:p w14:paraId="208743A9">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采购人：灵宝市黄河河务局</w:t>
      </w:r>
    </w:p>
    <w:p w14:paraId="45A5DD6F">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地址：灵宝市工业路9号</w:t>
      </w:r>
    </w:p>
    <w:p w14:paraId="23D191B1">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联系人：樊女士</w:t>
      </w:r>
    </w:p>
    <w:p w14:paraId="47DB1E4F">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联系方式：0398-8780119</w:t>
      </w:r>
    </w:p>
    <w:p w14:paraId="6F319F56">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招标代理机构：中瑞建园工程管理有限公司</w:t>
      </w:r>
    </w:p>
    <w:p w14:paraId="4BC8D0B2">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公司地址：河南省郑州市郑东新区绿地新都会8号楼901室</w:t>
      </w:r>
    </w:p>
    <w:p w14:paraId="1DF6827E">
      <w:pPr>
        <w:shd w:val="clear" w:color="auto" w:fill="auto"/>
        <w:spacing w:after="0" w:line="540" w:lineRule="exact"/>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联系人：马先生</w:t>
      </w:r>
    </w:p>
    <w:p w14:paraId="5AB9E68E">
      <w:pPr>
        <w:shd w:val="clear" w:color="auto" w:fill="auto"/>
        <w:spacing w:after="0" w:line="540" w:lineRule="exact"/>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联系电话：15039877406</w:t>
      </w:r>
    </w:p>
    <w:p w14:paraId="07FF2C89">
      <w:pPr>
        <w:widowControl/>
        <w:shd w:val="clear" w:color="auto" w:fill="auto"/>
        <w:jc w:val="center"/>
        <w:outlineLvl w:val="0"/>
        <w:rPr>
          <w:rFonts w:hint="eastAsia" w:ascii="宋体" w:hAnsi="宋体"/>
          <w:b/>
          <w:bCs/>
          <w:sz w:val="32"/>
          <w:szCs w:val="32"/>
          <w:highlight w:val="none"/>
        </w:rPr>
      </w:pPr>
      <w:bookmarkStart w:id="9" w:name="_Toc16520164"/>
      <w:bookmarkStart w:id="10" w:name="_Toc508179883"/>
      <w:bookmarkStart w:id="11" w:name="_Toc16520676"/>
      <w:r>
        <w:rPr>
          <w:rFonts w:hint="eastAsia" w:ascii="宋体" w:hAnsi="宋体"/>
          <w:b/>
          <w:bCs/>
          <w:sz w:val="32"/>
          <w:szCs w:val="32"/>
          <w:highlight w:val="none"/>
        </w:rPr>
        <w:br w:type="page"/>
      </w:r>
      <w:bookmarkStart w:id="12" w:name="_Toc24197"/>
      <w:r>
        <w:rPr>
          <w:rFonts w:hint="eastAsia" w:ascii="宋体" w:hAnsi="宋体"/>
          <w:b/>
          <w:bCs/>
          <w:sz w:val="32"/>
          <w:szCs w:val="32"/>
          <w:highlight w:val="none"/>
        </w:rPr>
        <w:t>第二章 供应商须知</w:t>
      </w:r>
      <w:bookmarkEnd w:id="9"/>
      <w:bookmarkEnd w:id="10"/>
      <w:bookmarkEnd w:id="11"/>
      <w:bookmarkEnd w:id="12"/>
    </w:p>
    <w:p w14:paraId="18D180E6">
      <w:pPr>
        <w:shd w:val="clear" w:color="auto" w:fill="auto"/>
        <w:jc w:val="center"/>
        <w:outlineLvl w:val="1"/>
        <w:rPr>
          <w:rFonts w:hint="eastAsia" w:ascii="宋体" w:hAnsi="宋体" w:cs="宋体"/>
          <w:b/>
          <w:bCs/>
          <w:sz w:val="24"/>
          <w:highlight w:val="none"/>
        </w:rPr>
      </w:pPr>
      <w:bookmarkStart w:id="13" w:name="_Toc8871"/>
      <w:bookmarkStart w:id="14" w:name="_Toc208672075"/>
      <w:r>
        <w:rPr>
          <w:rFonts w:hint="eastAsia" w:ascii="宋体" w:hAnsi="宋体" w:cs="宋体"/>
          <w:b/>
          <w:bCs/>
          <w:sz w:val="24"/>
          <w:highlight w:val="none"/>
        </w:rPr>
        <w:t>供应商须知前附表</w:t>
      </w:r>
      <w:bookmarkEnd w:id="13"/>
      <w:bookmarkEnd w:id="14"/>
    </w:p>
    <w:tbl>
      <w:tblPr>
        <w:tblStyle w:val="12"/>
        <w:tblW w:w="9943" w:type="dxa"/>
        <w:jc w:val="center"/>
        <w:tblLayout w:type="fixed"/>
        <w:tblCellMar>
          <w:top w:w="0" w:type="dxa"/>
          <w:left w:w="108" w:type="dxa"/>
          <w:bottom w:w="0" w:type="dxa"/>
          <w:right w:w="108" w:type="dxa"/>
        </w:tblCellMar>
      </w:tblPr>
      <w:tblGrid>
        <w:gridCol w:w="993"/>
        <w:gridCol w:w="2211"/>
        <w:gridCol w:w="6739"/>
      </w:tblGrid>
      <w:tr w14:paraId="4BEC7D47">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DF71886">
            <w:pPr>
              <w:shd w:val="clear" w:color="auto" w:fill="auto"/>
              <w:spacing w:line="360" w:lineRule="auto"/>
              <w:jc w:val="center"/>
              <w:rPr>
                <w:rFonts w:hint="eastAsia" w:ascii="宋体" w:hAnsi="宋体" w:cs="宋体"/>
                <w:b/>
                <w:sz w:val="24"/>
                <w:highlight w:val="none"/>
              </w:rPr>
            </w:pPr>
            <w:r>
              <w:rPr>
                <w:rFonts w:hint="eastAsia" w:ascii="宋体" w:hAnsi="宋体" w:cs="宋体"/>
                <w:b/>
                <w:sz w:val="24"/>
                <w:highlight w:val="none"/>
              </w:rPr>
              <w:t>条款号</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B30717A">
            <w:pPr>
              <w:shd w:val="clear" w:color="auto" w:fill="auto"/>
              <w:spacing w:line="360" w:lineRule="auto"/>
              <w:jc w:val="center"/>
              <w:rPr>
                <w:rFonts w:hint="eastAsia" w:ascii="宋体" w:hAnsi="宋体" w:cs="宋体"/>
                <w:b/>
                <w:sz w:val="24"/>
                <w:highlight w:val="none"/>
              </w:rPr>
            </w:pPr>
            <w:r>
              <w:rPr>
                <w:rFonts w:hint="eastAsia" w:ascii="宋体" w:hAnsi="宋体" w:cs="宋体"/>
                <w:b/>
                <w:sz w:val="24"/>
                <w:highlight w:val="none"/>
              </w:rPr>
              <w:t>条  款  名  称</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68858A7">
            <w:pPr>
              <w:shd w:val="clear" w:color="auto" w:fill="auto"/>
              <w:spacing w:line="360" w:lineRule="auto"/>
              <w:jc w:val="center"/>
              <w:rPr>
                <w:rFonts w:hint="eastAsia" w:ascii="宋体" w:hAnsi="宋体" w:cs="宋体"/>
                <w:b/>
                <w:sz w:val="24"/>
                <w:highlight w:val="none"/>
              </w:rPr>
            </w:pPr>
            <w:r>
              <w:rPr>
                <w:rFonts w:hint="eastAsia" w:ascii="宋体" w:hAnsi="宋体" w:cs="宋体"/>
                <w:b/>
                <w:sz w:val="24"/>
                <w:highlight w:val="none"/>
              </w:rPr>
              <w:t>编  列  内  容</w:t>
            </w:r>
          </w:p>
        </w:tc>
      </w:tr>
      <w:tr w14:paraId="7311184A">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FCED3AC">
            <w:pPr>
              <w:numPr>
                <w:ilvl w:val="0"/>
                <w:numId w:val="0"/>
              </w:numPr>
              <w:shd w:val="clear" w:color="auto" w:fill="auto"/>
              <w:spacing w:line="450" w:lineRule="exact"/>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1</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6B23476">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采 购 人</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039F9DB4">
            <w:pPr>
              <w:shd w:val="clear" w:color="auto" w:fill="auto"/>
              <w:spacing w:line="464" w:lineRule="exact"/>
              <w:rPr>
                <w:rFonts w:ascii="宋体" w:hAnsi="宋体" w:cs="宋体"/>
                <w:sz w:val="24"/>
                <w:highlight w:val="none"/>
              </w:rPr>
            </w:pPr>
            <w:r>
              <w:rPr>
                <w:rFonts w:hint="eastAsia" w:ascii="宋体" w:hAnsi="宋体"/>
                <w:sz w:val="24"/>
                <w:highlight w:val="none"/>
              </w:rPr>
              <w:t>采 购 人：</w:t>
            </w:r>
            <w:r>
              <w:rPr>
                <w:rFonts w:hint="eastAsia" w:ascii="宋体" w:hAnsi="宋体"/>
                <w:sz w:val="24"/>
                <w:highlight w:val="none"/>
                <w:lang w:eastAsia="zh-CN"/>
              </w:rPr>
              <w:t>灵宝市黄河河务局</w:t>
            </w:r>
            <w:r>
              <w:rPr>
                <w:rFonts w:hint="eastAsia" w:ascii="宋体" w:hAnsi="宋体" w:cs="宋体"/>
                <w:sz w:val="24"/>
                <w:highlight w:val="none"/>
              </w:rPr>
              <w:t xml:space="preserve"> </w:t>
            </w:r>
          </w:p>
          <w:p w14:paraId="6791078E">
            <w:pPr>
              <w:shd w:val="clear" w:color="auto" w:fill="auto"/>
              <w:spacing w:line="464" w:lineRule="exact"/>
              <w:rPr>
                <w:rFonts w:ascii="宋体" w:hAnsi="宋体"/>
                <w:sz w:val="24"/>
                <w:highlight w:val="none"/>
              </w:rPr>
            </w:pPr>
            <w:r>
              <w:rPr>
                <w:rFonts w:hint="eastAsia" w:ascii="宋体" w:hAnsi="宋体"/>
                <w:sz w:val="24"/>
                <w:highlight w:val="none"/>
              </w:rPr>
              <w:t>地址：</w:t>
            </w:r>
            <w:r>
              <w:rPr>
                <w:rFonts w:hint="eastAsia" w:ascii="宋体" w:hAnsi="宋体"/>
                <w:sz w:val="24"/>
                <w:highlight w:val="none"/>
                <w:lang w:val="en-US" w:eastAsia="zh-CN"/>
              </w:rPr>
              <w:t>灵宝市工业路9号</w:t>
            </w:r>
          </w:p>
          <w:p w14:paraId="60EE30AD">
            <w:pPr>
              <w:shd w:val="clear" w:color="auto" w:fill="auto"/>
              <w:spacing w:line="464" w:lineRule="exact"/>
              <w:rPr>
                <w:rFonts w:hint="eastAsia" w:ascii="宋体" w:hAnsi="宋体"/>
                <w:sz w:val="24"/>
                <w:highlight w:val="none"/>
                <w:lang w:val="en-US" w:eastAsia="zh-CN"/>
              </w:rPr>
            </w:pPr>
            <w:r>
              <w:rPr>
                <w:rFonts w:hint="eastAsia" w:ascii="宋体" w:hAnsi="宋体"/>
                <w:sz w:val="24"/>
                <w:highlight w:val="none"/>
              </w:rPr>
              <w:t>联 系 人：</w:t>
            </w:r>
            <w:r>
              <w:rPr>
                <w:rFonts w:hint="eastAsia" w:ascii="宋体" w:hAnsi="宋体" w:eastAsia="宋体" w:cs="宋体"/>
                <w:sz w:val="24"/>
                <w:szCs w:val="24"/>
                <w:highlight w:val="none"/>
                <w:lang w:val="en-US" w:eastAsia="zh-CN"/>
              </w:rPr>
              <w:t>樊女士</w:t>
            </w:r>
          </w:p>
          <w:p w14:paraId="46E59843">
            <w:pPr>
              <w:shd w:val="clear" w:color="auto" w:fill="auto"/>
              <w:spacing w:line="464" w:lineRule="exact"/>
              <w:rPr>
                <w:rFonts w:hint="eastAsia" w:ascii="宋体" w:hAnsi="宋体"/>
                <w:sz w:val="24"/>
                <w:highlight w:val="none"/>
              </w:rPr>
            </w:pPr>
            <w:r>
              <w:rPr>
                <w:rFonts w:hint="eastAsia" w:ascii="宋体" w:hAnsi="宋体"/>
                <w:sz w:val="24"/>
                <w:highlight w:val="none"/>
                <w:lang w:val="en-US" w:eastAsia="zh-CN"/>
              </w:rPr>
              <w:t>联系方式：0398-8780119</w:t>
            </w:r>
          </w:p>
        </w:tc>
      </w:tr>
      <w:tr w14:paraId="0D87B64C">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059C1F7">
            <w:pPr>
              <w:numPr>
                <w:ilvl w:val="0"/>
                <w:numId w:val="0"/>
              </w:numPr>
              <w:shd w:val="clear" w:color="auto" w:fill="auto"/>
              <w:spacing w:line="450" w:lineRule="exact"/>
              <w:jc w:val="center"/>
              <w:rPr>
                <w:rFonts w:hint="eastAsia" w:ascii="宋体" w:hAnsi="宋体" w:eastAsia="宋体" w:cs="宋体"/>
                <w:sz w:val="24"/>
                <w:highlight w:val="none"/>
                <w:lang w:eastAsia="zh-CN"/>
              </w:rPr>
            </w:pPr>
            <w:r>
              <w:rPr>
                <w:rFonts w:hint="eastAsia" w:ascii="宋体" w:hAnsi="宋体" w:cs="宋体"/>
                <w:sz w:val="24"/>
                <w:highlight w:val="none"/>
                <w:lang w:val="en-US" w:eastAsia="zh-CN"/>
              </w:rPr>
              <w:t>2</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402B01A0">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采购代理机构</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A732F83">
            <w:pPr>
              <w:shd w:val="clear" w:color="auto" w:fill="auto"/>
              <w:spacing w:line="464" w:lineRule="exact"/>
              <w:rPr>
                <w:rFonts w:hint="eastAsia" w:ascii="宋体" w:hAnsi="宋体"/>
                <w:sz w:val="24"/>
                <w:highlight w:val="none"/>
                <w:lang w:val="en-US" w:eastAsia="zh-CN"/>
              </w:rPr>
            </w:pPr>
            <w:r>
              <w:rPr>
                <w:rFonts w:hint="eastAsia" w:ascii="宋体" w:hAnsi="宋体"/>
                <w:sz w:val="24"/>
                <w:highlight w:val="none"/>
                <w:lang w:val="en-US" w:eastAsia="zh-CN"/>
              </w:rPr>
              <w:t>招标代理机构：中瑞建园工程管理有限公司</w:t>
            </w:r>
          </w:p>
          <w:p w14:paraId="09ABE5A1">
            <w:pPr>
              <w:shd w:val="clear" w:color="auto" w:fill="auto"/>
              <w:spacing w:line="464" w:lineRule="exact"/>
              <w:rPr>
                <w:rFonts w:hint="eastAsia" w:ascii="宋体" w:hAnsi="宋体"/>
                <w:sz w:val="24"/>
                <w:highlight w:val="none"/>
                <w:lang w:val="en-US" w:eastAsia="zh-CN"/>
              </w:rPr>
            </w:pPr>
            <w:r>
              <w:rPr>
                <w:rFonts w:hint="eastAsia" w:ascii="宋体" w:hAnsi="宋体"/>
                <w:sz w:val="24"/>
                <w:highlight w:val="none"/>
                <w:lang w:val="en-US" w:eastAsia="zh-CN"/>
              </w:rPr>
              <w:t>公司地址：河南省郑州市郑东新区绿地新都会8号楼901室</w:t>
            </w:r>
          </w:p>
          <w:p w14:paraId="2E53D698">
            <w:pPr>
              <w:shd w:val="clear" w:color="auto" w:fill="auto"/>
              <w:spacing w:line="464" w:lineRule="exact"/>
              <w:rPr>
                <w:rFonts w:hint="eastAsia" w:ascii="宋体" w:hAnsi="宋体"/>
                <w:sz w:val="24"/>
                <w:highlight w:val="none"/>
                <w:lang w:val="en-US" w:eastAsia="zh-CN"/>
              </w:rPr>
            </w:pPr>
            <w:r>
              <w:rPr>
                <w:rFonts w:hint="eastAsia" w:ascii="宋体" w:hAnsi="宋体"/>
                <w:sz w:val="24"/>
                <w:highlight w:val="none"/>
                <w:lang w:val="en-US" w:eastAsia="zh-CN"/>
              </w:rPr>
              <w:t>联系人：马先生</w:t>
            </w:r>
          </w:p>
          <w:p w14:paraId="27522373">
            <w:pPr>
              <w:shd w:val="clear" w:color="auto" w:fill="auto"/>
              <w:spacing w:line="464" w:lineRule="exact"/>
              <w:rPr>
                <w:rFonts w:hint="eastAsia" w:ascii="宋体" w:hAnsi="宋体"/>
                <w:sz w:val="24"/>
                <w:highlight w:val="none"/>
              </w:rPr>
            </w:pPr>
            <w:r>
              <w:rPr>
                <w:rFonts w:hint="eastAsia" w:ascii="宋体" w:hAnsi="宋体"/>
                <w:sz w:val="24"/>
                <w:highlight w:val="none"/>
                <w:lang w:val="en-US" w:eastAsia="zh-CN"/>
              </w:rPr>
              <w:t>联系电话：15039877406</w:t>
            </w:r>
          </w:p>
        </w:tc>
      </w:tr>
      <w:tr w14:paraId="571841A5">
        <w:tblPrEx>
          <w:tblCellMar>
            <w:top w:w="0" w:type="dxa"/>
            <w:left w:w="108" w:type="dxa"/>
            <w:bottom w:w="0" w:type="dxa"/>
            <w:right w:w="108" w:type="dxa"/>
          </w:tblCellMar>
        </w:tblPrEx>
        <w:trPr>
          <w:trHeight w:val="619"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7124636">
            <w:pPr>
              <w:numPr>
                <w:ilvl w:val="0"/>
                <w:numId w:val="0"/>
              </w:numPr>
              <w:shd w:val="clear" w:color="auto" w:fill="auto"/>
              <w:spacing w:line="450" w:lineRule="exact"/>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3</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1FC045C">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项目名称</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5EB0F788">
            <w:pPr>
              <w:shd w:val="clear" w:color="auto" w:fill="auto"/>
              <w:spacing w:line="480" w:lineRule="exact"/>
              <w:rPr>
                <w:rFonts w:hint="eastAsia" w:eastAsia="宋体"/>
                <w:sz w:val="24"/>
                <w:highlight w:val="none"/>
                <w:lang w:eastAsia="zh-CN"/>
              </w:rPr>
            </w:pPr>
            <w:r>
              <w:rPr>
                <w:rFonts w:hint="eastAsia" w:eastAsia="宋体"/>
                <w:sz w:val="24"/>
                <w:highlight w:val="none"/>
                <w:lang w:val="en-US" w:eastAsia="zh-CN"/>
              </w:rPr>
              <w:t>灵宝市2026年地方水库移民扶持基金项目</w:t>
            </w:r>
            <w:r>
              <w:rPr>
                <w:rFonts w:hint="eastAsia"/>
                <w:sz w:val="24"/>
                <w:highlight w:val="none"/>
                <w:lang w:val="en-US" w:eastAsia="zh-CN"/>
              </w:rPr>
              <w:t>（二次）</w:t>
            </w:r>
          </w:p>
        </w:tc>
      </w:tr>
      <w:tr w14:paraId="3F59429B">
        <w:tblPrEx>
          <w:tblCellMar>
            <w:top w:w="0" w:type="dxa"/>
            <w:left w:w="108" w:type="dxa"/>
            <w:bottom w:w="0" w:type="dxa"/>
            <w:right w:w="108" w:type="dxa"/>
          </w:tblCellMar>
        </w:tblPrEx>
        <w:trPr>
          <w:trHeight w:val="619"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6D4B1CD">
            <w:pPr>
              <w:numPr>
                <w:ilvl w:val="0"/>
                <w:numId w:val="0"/>
              </w:numPr>
              <w:shd w:val="clear" w:color="auto" w:fill="auto"/>
              <w:spacing w:line="450" w:lineRule="exact"/>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4</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B44A125">
            <w:pPr>
              <w:shd w:val="clear" w:color="auto" w:fill="auto"/>
              <w:spacing w:line="450" w:lineRule="exact"/>
              <w:jc w:val="center"/>
              <w:rPr>
                <w:rFonts w:hint="eastAsia"/>
                <w:sz w:val="24"/>
                <w:highlight w:val="none"/>
              </w:rPr>
            </w:pPr>
            <w:r>
              <w:rPr>
                <w:rFonts w:hint="eastAsia"/>
                <w:sz w:val="24"/>
                <w:highlight w:val="none"/>
              </w:rPr>
              <w:t>项目概况</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3E6F661B">
            <w:pPr>
              <w:widowControl/>
              <w:shd w:val="clear" w:color="auto" w:fill="auto"/>
              <w:spacing w:line="360" w:lineRule="auto"/>
              <w:jc w:val="left"/>
              <w:rPr>
                <w:rFonts w:hint="eastAsia"/>
                <w:sz w:val="24"/>
                <w:highlight w:val="none"/>
              </w:rPr>
            </w:pPr>
            <w:r>
              <w:rPr>
                <w:rFonts w:hint="eastAsia"/>
                <w:sz w:val="24"/>
                <w:highlight w:val="none"/>
              </w:rPr>
              <w:t>本工程为</w:t>
            </w:r>
            <w:r>
              <w:rPr>
                <w:rFonts w:hint="eastAsia"/>
                <w:sz w:val="24"/>
                <w:highlight w:val="none"/>
                <w:lang w:val="en-US" w:eastAsia="zh-CN"/>
              </w:rPr>
              <w:t>灵宝市2026年地方水库移民扶持基金项目，包含两岔河村、西邱村、西闫村三个村的路灯亮化和南天村、中社村两个村的道路硬化等内容。</w:t>
            </w:r>
          </w:p>
        </w:tc>
      </w:tr>
      <w:tr w14:paraId="2ACEFF2A">
        <w:tblPrEx>
          <w:tblCellMar>
            <w:top w:w="0" w:type="dxa"/>
            <w:left w:w="108" w:type="dxa"/>
            <w:bottom w:w="0" w:type="dxa"/>
            <w:right w:w="108" w:type="dxa"/>
          </w:tblCellMar>
        </w:tblPrEx>
        <w:trPr>
          <w:trHeight w:val="619"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16C35C7">
            <w:pPr>
              <w:numPr>
                <w:ilvl w:val="0"/>
                <w:numId w:val="0"/>
              </w:numPr>
              <w:shd w:val="clear" w:color="auto" w:fill="auto"/>
              <w:spacing w:line="450" w:lineRule="exact"/>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5</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418FEE0D">
            <w:pPr>
              <w:shd w:val="clear" w:color="auto" w:fill="auto"/>
              <w:spacing w:line="450" w:lineRule="exact"/>
              <w:jc w:val="center"/>
              <w:rPr>
                <w:rFonts w:hint="eastAsia" w:ascii="宋体" w:hAnsi="宋体"/>
                <w:color w:val="000000"/>
                <w:sz w:val="24"/>
                <w:highlight w:val="none"/>
              </w:rPr>
            </w:pPr>
            <w:r>
              <w:rPr>
                <w:rFonts w:hint="eastAsia" w:ascii="宋体" w:hAnsi="宋体"/>
                <w:color w:val="000000"/>
                <w:sz w:val="24"/>
                <w:highlight w:val="none"/>
              </w:rPr>
              <w:t>质量要求</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2A3540C7">
            <w:pPr>
              <w:widowControl/>
              <w:shd w:val="clear" w:color="auto" w:fill="auto"/>
              <w:spacing w:line="420" w:lineRule="exact"/>
              <w:jc w:val="left"/>
              <w:rPr>
                <w:rFonts w:hint="eastAsia" w:ascii="宋体" w:hAnsi="宋体" w:cs="宋体"/>
                <w:sz w:val="24"/>
                <w:highlight w:val="none"/>
              </w:rPr>
            </w:pPr>
            <w:r>
              <w:rPr>
                <w:rFonts w:hint="eastAsia"/>
                <w:sz w:val="24"/>
                <w:highlight w:val="none"/>
              </w:rPr>
              <w:t>合格</w:t>
            </w:r>
          </w:p>
        </w:tc>
      </w:tr>
      <w:tr w14:paraId="52C64306">
        <w:tblPrEx>
          <w:tblCellMar>
            <w:top w:w="0" w:type="dxa"/>
            <w:left w:w="108" w:type="dxa"/>
            <w:bottom w:w="0" w:type="dxa"/>
            <w:right w:w="108" w:type="dxa"/>
          </w:tblCellMar>
        </w:tblPrEx>
        <w:trPr>
          <w:trHeight w:val="619"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65705C00">
            <w:pPr>
              <w:numPr>
                <w:ilvl w:val="0"/>
                <w:numId w:val="0"/>
              </w:numPr>
              <w:shd w:val="clear" w:color="auto" w:fill="auto"/>
              <w:spacing w:line="450" w:lineRule="exact"/>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6</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3533FC8">
            <w:pPr>
              <w:shd w:val="clear" w:color="auto" w:fill="auto"/>
              <w:spacing w:line="450" w:lineRule="exact"/>
              <w:jc w:val="center"/>
              <w:rPr>
                <w:rFonts w:hint="eastAsia" w:ascii="宋体" w:hAnsi="宋体" w:cs="宋体"/>
                <w:sz w:val="24"/>
                <w:highlight w:val="none"/>
              </w:rPr>
            </w:pPr>
            <w:r>
              <w:rPr>
                <w:rFonts w:hint="eastAsia" w:ascii="宋体" w:hAnsi="宋体"/>
                <w:sz w:val="24"/>
                <w:highlight w:val="none"/>
              </w:rPr>
              <w:t>计划工期</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865CE6A">
            <w:pPr>
              <w:widowControl/>
              <w:shd w:val="clear" w:color="auto" w:fill="auto"/>
              <w:spacing w:line="360" w:lineRule="auto"/>
              <w:jc w:val="left"/>
              <w:rPr>
                <w:rFonts w:hint="eastAsia" w:ascii="宋体" w:hAnsi="宋体" w:cs="宋体"/>
                <w:sz w:val="24"/>
                <w:highlight w:val="none"/>
              </w:rPr>
            </w:pPr>
            <w:r>
              <w:rPr>
                <w:rFonts w:hint="eastAsia" w:ascii="宋体" w:hAnsi="宋体"/>
                <w:sz w:val="24"/>
                <w:highlight w:val="none"/>
                <w:lang w:val="en-US" w:eastAsia="zh-CN"/>
              </w:rPr>
              <w:t>90日历天</w:t>
            </w:r>
          </w:p>
        </w:tc>
      </w:tr>
      <w:tr w14:paraId="07D9CE20">
        <w:tblPrEx>
          <w:tblCellMar>
            <w:top w:w="0" w:type="dxa"/>
            <w:left w:w="108" w:type="dxa"/>
            <w:bottom w:w="0" w:type="dxa"/>
            <w:right w:w="108" w:type="dxa"/>
          </w:tblCellMar>
        </w:tblPrEx>
        <w:trPr>
          <w:trHeight w:val="619"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B94A18E">
            <w:pPr>
              <w:numPr>
                <w:ilvl w:val="0"/>
                <w:numId w:val="0"/>
              </w:numPr>
              <w:shd w:val="clear" w:color="auto" w:fill="auto"/>
              <w:spacing w:line="450" w:lineRule="exact"/>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7</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D7D9D83">
            <w:pPr>
              <w:shd w:val="clear" w:color="auto" w:fill="auto"/>
              <w:spacing w:line="450" w:lineRule="exact"/>
              <w:jc w:val="center"/>
              <w:rPr>
                <w:rFonts w:hint="eastAsia" w:ascii="宋体" w:hAnsi="宋体" w:cs="宋体"/>
                <w:sz w:val="24"/>
                <w:highlight w:val="none"/>
              </w:rPr>
            </w:pPr>
            <w:r>
              <w:rPr>
                <w:rFonts w:hint="eastAsia" w:ascii="宋体" w:hAnsi="宋体"/>
                <w:color w:val="000000"/>
                <w:sz w:val="24"/>
                <w:highlight w:val="none"/>
              </w:rPr>
              <w:t>施工地点</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268C6002">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采购人指定地点</w:t>
            </w:r>
          </w:p>
        </w:tc>
      </w:tr>
      <w:tr w14:paraId="1A991CB0">
        <w:tblPrEx>
          <w:tblCellMar>
            <w:top w:w="0" w:type="dxa"/>
            <w:left w:w="108" w:type="dxa"/>
            <w:bottom w:w="0" w:type="dxa"/>
            <w:right w:w="108" w:type="dxa"/>
          </w:tblCellMar>
        </w:tblPrEx>
        <w:trPr>
          <w:trHeight w:val="53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70DBE16">
            <w:pPr>
              <w:numPr>
                <w:ilvl w:val="0"/>
                <w:numId w:val="0"/>
              </w:numPr>
              <w:shd w:val="clear" w:color="auto" w:fill="auto"/>
              <w:spacing w:line="450" w:lineRule="exact"/>
              <w:jc w:val="center"/>
              <w:rPr>
                <w:rFonts w:hint="eastAsia" w:ascii="宋体" w:hAnsi="宋体" w:eastAsia="宋体" w:cs="宋体"/>
                <w:sz w:val="24"/>
                <w:highlight w:val="none"/>
                <w:lang w:val="en-US" w:eastAsia="zh-CN"/>
              </w:rPr>
            </w:pPr>
            <w:r>
              <w:rPr>
                <w:rFonts w:hint="eastAsia" w:ascii="宋体" w:hAnsi="宋体" w:cs="宋体"/>
                <w:sz w:val="24"/>
                <w:highlight w:val="none"/>
                <w:lang w:val="en-US" w:eastAsia="zh-CN"/>
              </w:rPr>
              <w:t>8</w:t>
            </w:r>
          </w:p>
        </w:tc>
        <w:tc>
          <w:tcPr>
            <w:tcW w:w="2211" w:type="dxa"/>
            <w:tcBorders>
              <w:top w:val="single" w:color="auto" w:sz="4" w:space="0"/>
              <w:left w:val="single" w:color="auto" w:sz="4" w:space="0"/>
              <w:bottom w:val="single" w:color="auto" w:sz="4" w:space="0"/>
              <w:right w:val="single" w:color="auto" w:sz="4" w:space="0"/>
            </w:tcBorders>
            <w:noWrap w:val="0"/>
            <w:vAlign w:val="top"/>
          </w:tcPr>
          <w:p w14:paraId="1AB12ABC">
            <w:pPr>
              <w:shd w:val="clear" w:color="auto" w:fill="auto"/>
              <w:spacing w:line="450" w:lineRule="exact"/>
              <w:jc w:val="center"/>
              <w:rPr>
                <w:rFonts w:ascii="宋体" w:hAnsi="宋体" w:cs="宋体"/>
                <w:sz w:val="24"/>
                <w:highlight w:val="none"/>
              </w:rPr>
            </w:pPr>
            <w:r>
              <w:rPr>
                <w:rFonts w:hint="eastAsia" w:ascii="宋体" w:hAnsi="宋体"/>
                <w:sz w:val="24"/>
                <w:highlight w:val="none"/>
              </w:rPr>
              <w:t>安全措施</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3AF37FC2">
            <w:pPr>
              <w:shd w:val="clear" w:color="auto" w:fill="auto"/>
              <w:rPr>
                <w:rFonts w:ascii="宋体" w:hAnsi="宋体" w:cs="宋体"/>
                <w:sz w:val="24"/>
                <w:highlight w:val="none"/>
              </w:rPr>
            </w:pPr>
            <w:r>
              <w:rPr>
                <w:rFonts w:hint="eastAsia" w:ascii="宋体" w:hAnsi="宋体"/>
                <w:sz w:val="24"/>
                <w:highlight w:val="none"/>
              </w:rPr>
              <w:t>按国家规范执行，确保安全</w:t>
            </w:r>
          </w:p>
        </w:tc>
      </w:tr>
      <w:tr w14:paraId="50389EA7">
        <w:tblPrEx>
          <w:tblCellMar>
            <w:top w:w="0" w:type="dxa"/>
            <w:left w:w="108" w:type="dxa"/>
            <w:bottom w:w="0" w:type="dxa"/>
            <w:right w:w="108" w:type="dxa"/>
          </w:tblCellMar>
        </w:tblPrEx>
        <w:trPr>
          <w:trHeight w:val="53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B6B3A81">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9</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E0C91BA">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资金来源</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35F23528">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财政资金</w:t>
            </w:r>
          </w:p>
        </w:tc>
      </w:tr>
      <w:tr w14:paraId="42B1CF19">
        <w:tblPrEx>
          <w:tblCellMar>
            <w:top w:w="0" w:type="dxa"/>
            <w:left w:w="108" w:type="dxa"/>
            <w:bottom w:w="0" w:type="dxa"/>
            <w:right w:w="108" w:type="dxa"/>
          </w:tblCellMar>
        </w:tblPrEx>
        <w:trPr>
          <w:trHeight w:val="53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5258EBF">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10</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1BD168A">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资金落实情况</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286EF899">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已落实</w:t>
            </w:r>
          </w:p>
        </w:tc>
      </w:tr>
      <w:tr w14:paraId="3FC0B132">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516E9F4">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11</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C72F59C">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供应商资质条件、能力</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59D4435D">
            <w:pPr>
              <w:widowControl/>
              <w:shd w:val="clear" w:color="auto" w:fill="auto"/>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1、满足《中华人民共和国政府采购法》第二十二条规定；</w:t>
            </w:r>
          </w:p>
          <w:p w14:paraId="58C757CC">
            <w:pPr>
              <w:widowControl/>
              <w:shd w:val="clear" w:color="auto" w:fill="auto"/>
              <w:spacing w:line="360" w:lineRule="auto"/>
              <w:ind w:firstLine="480" w:firstLineChars="200"/>
              <w:jc w:val="left"/>
              <w:rPr>
                <w:rFonts w:hint="eastAsia" w:ascii="宋体" w:hAnsi="宋体" w:eastAsia="宋体" w:cs="Times New Roman"/>
                <w:sz w:val="24"/>
                <w:highlight w:val="none"/>
              </w:rPr>
            </w:pPr>
            <w:r>
              <w:rPr>
                <w:rFonts w:hint="eastAsia" w:ascii="宋体" w:hAnsi="宋体" w:eastAsia="宋体" w:cs="Times New Roman"/>
                <w:sz w:val="24"/>
                <w:highlight w:val="none"/>
              </w:rPr>
              <w:t>2、落实政府采购政策满足的资格要求：根据《政府采购促进中小企业发展管理办法》（财库〔2020〕46号）规定，本项目专门面向中小企业采购,同时供应商须提供《中小企业声明函》；</w:t>
            </w:r>
          </w:p>
          <w:p w14:paraId="562F5A3E">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3、本项目的特定资格要求</w:t>
            </w:r>
          </w:p>
          <w:p w14:paraId="32A5544E">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w:t>
            </w:r>
            <w:r>
              <w:rPr>
                <w:rFonts w:ascii="宋体" w:hAnsi="宋体"/>
                <w:sz w:val="24"/>
                <w:highlight w:val="none"/>
              </w:rPr>
              <w:t>.1</w:t>
            </w:r>
            <w:r>
              <w:rPr>
                <w:rFonts w:hint="eastAsia" w:ascii="宋体" w:hAnsi="宋体"/>
                <w:sz w:val="24"/>
                <w:highlight w:val="none"/>
              </w:rPr>
              <w:t xml:space="preserve"> </w:t>
            </w:r>
            <w:r>
              <w:rPr>
                <w:rFonts w:hint="eastAsia" w:ascii="宋体" w:hAnsi="宋体"/>
                <w:sz w:val="24"/>
                <w:highlight w:val="none"/>
                <w:lang w:eastAsia="zh-CN"/>
              </w:rPr>
              <w:t>供应商须具有有效的企业营业执照</w:t>
            </w:r>
            <w:r>
              <w:rPr>
                <w:rFonts w:ascii="宋体" w:hAnsi="宋体"/>
                <w:sz w:val="24"/>
                <w:highlight w:val="none"/>
              </w:rPr>
              <w:t>；</w:t>
            </w:r>
          </w:p>
          <w:p w14:paraId="1527CE15">
            <w:pPr>
              <w:shd w:val="clear" w:color="auto" w:fill="auto"/>
              <w:spacing w:after="0" w:line="540" w:lineRule="exact"/>
              <w:ind w:firstLine="480" w:firstLineChars="200"/>
              <w:rPr>
                <w:rFonts w:hint="eastAsia" w:ascii="宋体" w:hAnsi="宋体" w:eastAsia="宋体" w:cs="Times New Roman"/>
                <w:sz w:val="24"/>
                <w:highlight w:val="none"/>
              </w:rPr>
            </w:pPr>
            <w:r>
              <w:rPr>
                <w:rFonts w:hint="eastAsia" w:ascii="宋体" w:hAnsi="宋体"/>
                <w:sz w:val="24"/>
                <w:highlight w:val="none"/>
              </w:rPr>
              <w:t>3</w:t>
            </w:r>
            <w:r>
              <w:rPr>
                <w:rFonts w:ascii="宋体" w:hAnsi="宋体"/>
                <w:sz w:val="24"/>
                <w:highlight w:val="none"/>
              </w:rPr>
              <w:t>.2</w:t>
            </w:r>
            <w:r>
              <w:rPr>
                <w:rFonts w:hint="eastAsia" w:ascii="宋体" w:hAnsi="宋体"/>
                <w:sz w:val="24"/>
                <w:highlight w:val="none"/>
              </w:rPr>
              <w:t xml:space="preserve"> 供应商须具备</w:t>
            </w:r>
            <w:r>
              <w:rPr>
                <w:rFonts w:hint="eastAsia" w:ascii="宋体" w:hAnsi="宋体"/>
                <w:sz w:val="24"/>
                <w:highlight w:val="none"/>
                <w:lang w:eastAsia="zh-CN"/>
              </w:rPr>
              <w:t>建设行政主管部门核发的市政公用工程施工总承包叁级及以上资</w:t>
            </w:r>
            <w:r>
              <w:rPr>
                <w:rFonts w:hint="eastAsia" w:ascii="宋体" w:hAnsi="宋体" w:eastAsia="宋体" w:cs="Times New Roman"/>
                <w:sz w:val="24"/>
                <w:highlight w:val="none"/>
                <w:lang w:eastAsia="zh-CN"/>
              </w:rPr>
              <w:t>质</w:t>
            </w:r>
            <w:r>
              <w:rPr>
                <w:rFonts w:hint="eastAsia" w:ascii="宋体" w:hAnsi="宋体" w:eastAsia="宋体" w:cs="Times New Roman"/>
                <w:sz w:val="24"/>
                <w:highlight w:val="none"/>
              </w:rPr>
              <w:t>，具有有效的安全生产许可证；</w:t>
            </w:r>
          </w:p>
          <w:p w14:paraId="0C42DB39">
            <w:pPr>
              <w:shd w:val="clear" w:color="auto" w:fill="auto"/>
              <w:spacing w:after="0" w:line="540" w:lineRule="exact"/>
              <w:ind w:firstLine="480" w:firstLineChars="200"/>
              <w:rPr>
                <w:rFonts w:hint="eastAsia" w:ascii="宋体" w:hAnsi="宋体" w:eastAsia="宋体" w:cs="Times New Roman"/>
                <w:sz w:val="24"/>
                <w:highlight w:val="none"/>
                <w:lang w:eastAsia="zh-CN"/>
              </w:rPr>
            </w:pPr>
            <w:r>
              <w:rPr>
                <w:rFonts w:hint="eastAsia" w:ascii="宋体" w:hAnsi="宋体" w:eastAsia="宋体" w:cs="Times New Roman"/>
                <w:sz w:val="24"/>
                <w:highlight w:val="none"/>
              </w:rPr>
              <w:t>3.3</w:t>
            </w:r>
            <w:r>
              <w:rPr>
                <w:rFonts w:hint="eastAsia" w:ascii="宋体" w:hAnsi="宋体" w:eastAsia="宋体" w:cs="Times New Roman"/>
                <w:sz w:val="24"/>
                <w:highlight w:val="none"/>
                <w:lang w:val="en-US" w:eastAsia="zh-CN"/>
              </w:rPr>
              <w:t xml:space="preserve"> </w:t>
            </w:r>
            <w:r>
              <w:rPr>
                <w:rFonts w:hint="eastAsia" w:ascii="宋体" w:hAnsi="宋体" w:eastAsia="宋体" w:cs="Times New Roman"/>
                <w:sz w:val="24"/>
                <w:highlight w:val="none"/>
              </w:rPr>
              <w:t>拟派项目经理应具备</w:t>
            </w:r>
            <w:r>
              <w:rPr>
                <w:rFonts w:hint="eastAsia" w:ascii="宋体" w:hAnsi="宋体" w:eastAsia="宋体" w:cs="Times New Roman"/>
                <w:sz w:val="24"/>
                <w:highlight w:val="none"/>
                <w:lang w:eastAsia="zh-CN"/>
              </w:rPr>
              <w:t>市政公用工程专业</w:t>
            </w:r>
            <w:r>
              <w:rPr>
                <w:rFonts w:hint="eastAsia" w:ascii="宋体" w:hAnsi="宋体" w:eastAsia="宋体" w:cs="Times New Roman"/>
                <w:sz w:val="24"/>
                <w:highlight w:val="none"/>
              </w:rPr>
              <w:t>贰级（含贰级）及以上注册建造师资格，须提供注册建造师证书、安全生产考核合格证书</w:t>
            </w:r>
            <w:r>
              <w:rPr>
                <w:rFonts w:hint="eastAsia" w:ascii="宋体" w:hAnsi="宋体" w:eastAsia="宋体" w:cs="Times New Roman"/>
                <w:sz w:val="24"/>
                <w:highlight w:val="none"/>
                <w:lang w:eastAsia="zh-CN"/>
              </w:rPr>
              <w:t>，</w:t>
            </w:r>
            <w:r>
              <w:rPr>
                <w:rFonts w:hint="eastAsia" w:ascii="宋体" w:hAnsi="宋体" w:eastAsia="宋体" w:cs="Times New Roman"/>
                <w:sz w:val="24"/>
                <w:highlight w:val="none"/>
              </w:rPr>
              <w:t>且未在其他在建工程项目中担任项目经理，</w:t>
            </w:r>
            <w:r>
              <w:rPr>
                <w:rFonts w:hint="eastAsia" w:ascii="宋体" w:hAnsi="宋体" w:eastAsia="宋体" w:cs="Times New Roman"/>
                <w:sz w:val="24"/>
                <w:highlight w:val="none"/>
                <w:lang w:eastAsia="zh-CN"/>
              </w:rPr>
              <w:t>且</w:t>
            </w:r>
            <w:r>
              <w:rPr>
                <w:rFonts w:hint="eastAsia" w:ascii="宋体" w:hAnsi="宋体" w:eastAsia="宋体" w:cs="Times New Roman"/>
                <w:sz w:val="24"/>
                <w:highlight w:val="none"/>
                <w:lang w:val="en-US" w:eastAsia="zh-CN"/>
              </w:rPr>
              <w:t>须提供自2026年1月以来任意一个月在本单位的社保证明（以社保网络查询或社保中心出具的证明为准）</w:t>
            </w:r>
            <w:r>
              <w:rPr>
                <w:rFonts w:hint="eastAsia" w:ascii="宋体" w:hAnsi="宋体" w:eastAsia="宋体" w:cs="Times New Roman"/>
                <w:sz w:val="24"/>
                <w:highlight w:val="none"/>
                <w:lang w:eastAsia="zh-CN"/>
              </w:rPr>
              <w:t>；</w:t>
            </w:r>
          </w:p>
          <w:p w14:paraId="7DFCE485">
            <w:pPr>
              <w:widowControl/>
              <w:shd w:val="clear" w:color="auto" w:fill="auto"/>
              <w:spacing w:line="360" w:lineRule="auto"/>
              <w:ind w:firstLine="480" w:firstLineChars="200"/>
              <w:jc w:val="left"/>
              <w:rPr>
                <w:rFonts w:hint="eastAsia" w:ascii="宋体" w:hAnsi="宋体"/>
                <w:sz w:val="24"/>
                <w:highlight w:val="none"/>
                <w:lang w:eastAsia="zh-CN"/>
              </w:rPr>
            </w:pPr>
            <w:r>
              <w:rPr>
                <w:rFonts w:hint="eastAsia" w:ascii="宋体" w:hAnsi="宋体"/>
                <w:sz w:val="24"/>
                <w:highlight w:val="none"/>
              </w:rPr>
              <w:t>3.4</w:t>
            </w:r>
            <w:r>
              <w:rPr>
                <w:rFonts w:hint="eastAsia" w:ascii="宋体" w:hAnsi="宋体"/>
                <w:sz w:val="24"/>
                <w:highlight w:val="none"/>
                <w:lang w:val="en-US" w:eastAsia="zh-CN"/>
              </w:rPr>
              <w:t xml:space="preserve"> </w:t>
            </w:r>
            <w:r>
              <w:rPr>
                <w:rFonts w:hint="eastAsia" w:ascii="宋体" w:hAnsi="宋体"/>
                <w:sz w:val="24"/>
                <w:highlight w:val="none"/>
                <w:lang w:eastAsia="zh-CN"/>
              </w:rPr>
              <w:t>供应商自行出具本企业的无商业贿赂及无不正当竞争行为的承诺书；</w:t>
            </w:r>
          </w:p>
          <w:p w14:paraId="289DB828">
            <w:pPr>
              <w:widowControl/>
              <w:shd w:val="clear" w:color="auto" w:fill="auto"/>
              <w:spacing w:line="360" w:lineRule="auto"/>
              <w:ind w:firstLine="480" w:firstLineChars="200"/>
              <w:jc w:val="left"/>
              <w:rPr>
                <w:rFonts w:hint="eastAsia" w:ascii="宋体" w:hAnsi="宋体"/>
                <w:sz w:val="24"/>
                <w:highlight w:val="none"/>
                <w:lang w:eastAsia="zh-CN"/>
              </w:rPr>
            </w:pPr>
            <w:r>
              <w:rPr>
                <w:rFonts w:hint="eastAsia" w:ascii="宋体" w:hAnsi="宋体"/>
                <w:sz w:val="24"/>
                <w:highlight w:val="none"/>
                <w:lang w:val="en-US" w:eastAsia="zh-CN"/>
              </w:rPr>
              <w:t>3.5 提供供应商企业、法定代表人、项目经理无行贿犯罪记录，在中国裁判文书网查询（提供网页查询截图）或供应商自行承诺（查询日期必须在公告发布之日之后）；</w:t>
            </w:r>
          </w:p>
          <w:p w14:paraId="77EAEBA1">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w:t>
            </w:r>
            <w:r>
              <w:rPr>
                <w:rFonts w:hint="eastAsia" w:ascii="宋体" w:hAnsi="宋体"/>
                <w:sz w:val="24"/>
                <w:highlight w:val="none"/>
                <w:lang w:val="en-US" w:eastAsia="zh-CN"/>
              </w:rPr>
              <w:t>6</w:t>
            </w:r>
            <w:r>
              <w:rPr>
                <w:rFonts w:hint="eastAsia" w:ascii="宋体" w:hAnsi="宋体"/>
                <w:sz w:val="24"/>
                <w:highlight w:val="none"/>
              </w:rPr>
              <w:t xml:space="preserve"> </w:t>
            </w:r>
            <w:r>
              <w:rPr>
                <w:rFonts w:hint="eastAsia" w:ascii="宋体" w:hAnsi="宋体"/>
                <w:sz w:val="24"/>
                <w:highlight w:val="none"/>
                <w:lang w:val="en-US" w:eastAsia="zh-CN"/>
              </w:rPr>
              <w:t>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r>
              <w:rPr>
                <w:rFonts w:hint="eastAsia" w:ascii="宋体" w:hAnsi="宋体"/>
                <w:sz w:val="24"/>
                <w:highlight w:val="none"/>
              </w:rPr>
              <w:t>；</w:t>
            </w:r>
          </w:p>
          <w:p w14:paraId="3F7D5E75">
            <w:pPr>
              <w:widowControl/>
              <w:shd w:val="clear" w:color="auto" w:fill="auto"/>
              <w:spacing w:line="360" w:lineRule="auto"/>
              <w:ind w:firstLine="480" w:firstLineChars="200"/>
              <w:jc w:val="left"/>
              <w:rPr>
                <w:rFonts w:ascii="宋体" w:hAnsi="宋体"/>
                <w:sz w:val="24"/>
                <w:highlight w:val="none"/>
              </w:rPr>
            </w:pPr>
            <w:r>
              <w:rPr>
                <w:rFonts w:hint="eastAsia" w:ascii="宋体" w:hAnsi="宋体"/>
                <w:sz w:val="24"/>
                <w:highlight w:val="none"/>
              </w:rPr>
              <w:t>3.</w:t>
            </w:r>
            <w:r>
              <w:rPr>
                <w:rFonts w:hint="eastAsia" w:ascii="宋体" w:hAnsi="宋体"/>
                <w:sz w:val="24"/>
                <w:highlight w:val="none"/>
                <w:lang w:val="en-US" w:eastAsia="zh-CN"/>
              </w:rPr>
              <w:t xml:space="preserve">7 </w:t>
            </w:r>
            <w:r>
              <w:rPr>
                <w:rFonts w:hint="eastAsia" w:ascii="宋体" w:hAnsi="宋体"/>
                <w:sz w:val="24"/>
                <w:highlight w:val="none"/>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w:t>
            </w:r>
            <w:r>
              <w:rPr>
                <w:rFonts w:hint="eastAsia" w:ascii="宋体" w:hAnsi="宋体"/>
                <w:sz w:val="24"/>
                <w:highlight w:val="none"/>
                <w:lang w:val="en-US" w:eastAsia="zh-CN"/>
              </w:rPr>
              <w:t>（查询时间自公告发布之日起）</w:t>
            </w:r>
            <w:r>
              <w:rPr>
                <w:rFonts w:hint="eastAsia" w:ascii="宋体" w:hAnsi="宋体"/>
                <w:sz w:val="24"/>
                <w:highlight w:val="none"/>
              </w:rPr>
              <w:t>；</w:t>
            </w:r>
          </w:p>
          <w:p w14:paraId="18054246">
            <w:pPr>
              <w:widowControl/>
              <w:shd w:val="clear" w:color="auto" w:fill="auto"/>
              <w:spacing w:line="360" w:lineRule="auto"/>
              <w:ind w:firstLine="480" w:firstLineChars="200"/>
              <w:jc w:val="left"/>
              <w:rPr>
                <w:rFonts w:hint="eastAsia" w:ascii="宋体" w:hAnsi="宋体"/>
                <w:sz w:val="24"/>
                <w:highlight w:val="none"/>
              </w:rPr>
            </w:pPr>
            <w:r>
              <w:rPr>
                <w:rFonts w:hint="eastAsia" w:ascii="宋体" w:hAnsi="宋体"/>
                <w:sz w:val="24"/>
                <w:highlight w:val="none"/>
              </w:rPr>
              <w:t>3.</w:t>
            </w:r>
            <w:r>
              <w:rPr>
                <w:rFonts w:hint="eastAsia" w:ascii="宋体" w:hAnsi="宋体"/>
                <w:sz w:val="24"/>
                <w:highlight w:val="none"/>
                <w:lang w:val="en-US" w:eastAsia="zh-CN"/>
              </w:rPr>
              <w:t>8</w:t>
            </w:r>
            <w:r>
              <w:rPr>
                <w:rFonts w:hint="eastAsia" w:ascii="宋体" w:hAnsi="宋体"/>
                <w:sz w:val="24"/>
                <w:highlight w:val="none"/>
              </w:rPr>
              <w:t xml:space="preserve"> 本项目不接受联合体投标；</w:t>
            </w:r>
          </w:p>
          <w:p w14:paraId="35A74928">
            <w:pPr>
              <w:shd w:val="clear" w:color="auto" w:fill="auto"/>
              <w:wordWrap w:val="0"/>
              <w:spacing w:line="360" w:lineRule="auto"/>
              <w:ind w:firstLine="480" w:firstLineChars="200"/>
              <w:jc w:val="left"/>
              <w:rPr>
                <w:rFonts w:hint="eastAsia" w:ascii="宋体" w:hAnsi="宋体" w:cs="宋体"/>
                <w:sz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val="en-US" w:eastAsia="zh-CN"/>
              </w:rPr>
              <w:t xml:space="preserve">9 </w:t>
            </w:r>
            <w:r>
              <w:rPr>
                <w:rFonts w:hint="eastAsia" w:ascii="宋体" w:hAnsi="宋体" w:cs="宋体"/>
                <w:color w:val="auto"/>
                <w:sz w:val="24"/>
                <w:szCs w:val="24"/>
                <w:highlight w:val="none"/>
              </w:rPr>
              <w:t>本次招标实行资格后审，资格审查的具体要求见竞争性磋商文件。</w:t>
            </w:r>
          </w:p>
        </w:tc>
      </w:tr>
      <w:tr w14:paraId="7A894FB6">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C3F0DFD">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12</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4AD71C3B">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投标预备会</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3E345902">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不召开</w:t>
            </w:r>
          </w:p>
        </w:tc>
      </w:tr>
      <w:tr w14:paraId="2D973588">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C72AB52">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13</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4E044981">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分包</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1B79B89B">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不允许</w:t>
            </w:r>
          </w:p>
        </w:tc>
      </w:tr>
      <w:tr w14:paraId="126BB366">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24B086C">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14</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3F99440">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偏离</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0E6C7E5E">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不允许</w:t>
            </w:r>
          </w:p>
        </w:tc>
      </w:tr>
      <w:tr w14:paraId="2145B491">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5FBE1E8">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15</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8B1F22E">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供应商提出问题的截止时间</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5A0001B6">
            <w:pPr>
              <w:keepNext w:val="0"/>
              <w:pageBreakBefore w:val="0"/>
              <w:widowControl/>
              <w:shd w:val="clear" w:color="auto" w:fill="auto"/>
              <w:kinsoku/>
              <w:overflowPunct/>
              <w:topLinePunct w:val="0"/>
              <w:bidi w:val="0"/>
              <w:snapToGrid/>
              <w:spacing w:line="360" w:lineRule="auto"/>
              <w:ind w:firstLine="0" w:firstLine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供应商认为磋商文件、磋商过程、成交结果使自己的权益受到损害的，可以在知道或者应知其权益受到损害之日起7个工作日内，以书面形式向招标人、招标代理机构提出质疑。</w:t>
            </w:r>
          </w:p>
          <w:p w14:paraId="1A59AC75">
            <w:pPr>
              <w:shd w:val="clear" w:color="auto" w:fill="auto"/>
              <w:spacing w:line="450" w:lineRule="exact"/>
              <w:rPr>
                <w:rFonts w:hint="eastAsia" w:ascii="宋体" w:hAnsi="宋体" w:cs="宋体"/>
                <w:sz w:val="24"/>
                <w:highlight w:val="none"/>
              </w:rPr>
            </w:pPr>
            <w:r>
              <w:rPr>
                <w:rFonts w:hint="eastAsia" w:ascii="宋体" w:hAnsi="宋体" w:cs="宋体"/>
                <w:color w:val="auto"/>
                <w:sz w:val="24"/>
                <w:szCs w:val="24"/>
                <w:highlight w:val="none"/>
              </w:rPr>
              <w:t>要求供应商在法定质疑期内一次性提出针对同一磋商程序环节的质疑。</w:t>
            </w:r>
          </w:p>
        </w:tc>
      </w:tr>
      <w:tr w14:paraId="4C9832C4">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AEBE570">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16</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950DBE9">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采购人书面澄清或修改的时间</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2C57046C">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响应性文件递交截止时间5天前，不足5日的，顺延提交磋商响应文件的截止时间。</w:t>
            </w:r>
          </w:p>
        </w:tc>
      </w:tr>
      <w:tr w14:paraId="6F63A9B3">
        <w:tblPrEx>
          <w:tblCellMar>
            <w:top w:w="0" w:type="dxa"/>
            <w:left w:w="108" w:type="dxa"/>
            <w:bottom w:w="0" w:type="dxa"/>
            <w:right w:w="108" w:type="dxa"/>
          </w:tblCellMar>
        </w:tblPrEx>
        <w:trPr>
          <w:trHeight w:val="759"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68E92D9">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17</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8AA0D53">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响应性文件递交截止时间</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CBF5264">
            <w:pPr>
              <w:shd w:val="clear" w:color="auto" w:fill="auto"/>
              <w:spacing w:line="450" w:lineRule="exact"/>
              <w:rPr>
                <w:rFonts w:hint="eastAsia" w:ascii="宋体" w:hAnsi="宋体" w:eastAsia="宋体" w:cs="宋体"/>
                <w:sz w:val="24"/>
                <w:highlight w:val="none"/>
                <w:lang w:eastAsia="zh-CN"/>
              </w:rPr>
            </w:pPr>
            <w:r>
              <w:rPr>
                <w:rFonts w:hint="eastAsia" w:ascii="宋体" w:hAnsi="宋体" w:cs="宋体"/>
                <w:kern w:val="0"/>
                <w:sz w:val="24"/>
                <w:highlight w:val="none"/>
                <w:lang w:eastAsia="zh-CN"/>
              </w:rPr>
              <w:t>2026年</w:t>
            </w:r>
            <w:r>
              <w:rPr>
                <w:rFonts w:hint="eastAsia" w:ascii="宋体" w:hAnsi="宋体" w:cs="宋体"/>
                <w:kern w:val="0"/>
                <w:sz w:val="24"/>
                <w:highlight w:val="none"/>
                <w:lang w:val="en-US" w:eastAsia="zh-CN"/>
              </w:rPr>
              <w:t>9</w:t>
            </w:r>
            <w:r>
              <w:rPr>
                <w:rFonts w:hint="eastAsia" w:ascii="宋体" w:hAnsi="宋体" w:cs="宋体"/>
                <w:kern w:val="0"/>
                <w:sz w:val="24"/>
                <w:highlight w:val="none"/>
                <w:lang w:eastAsia="zh-CN"/>
              </w:rPr>
              <w:t>月</w:t>
            </w:r>
            <w:r>
              <w:rPr>
                <w:rFonts w:hint="eastAsia" w:ascii="宋体" w:hAnsi="宋体" w:cs="宋体"/>
                <w:kern w:val="0"/>
                <w:sz w:val="24"/>
                <w:highlight w:val="none"/>
                <w:lang w:val="en-US" w:eastAsia="zh-CN"/>
              </w:rPr>
              <w:t>7</w:t>
            </w:r>
            <w:bookmarkStart w:id="1555" w:name="_GoBack"/>
            <w:bookmarkEnd w:id="1555"/>
            <w:r>
              <w:rPr>
                <w:rFonts w:hint="eastAsia" w:ascii="宋体" w:hAnsi="宋体" w:cs="宋体"/>
                <w:kern w:val="0"/>
                <w:sz w:val="24"/>
                <w:highlight w:val="none"/>
                <w:lang w:eastAsia="zh-CN"/>
              </w:rPr>
              <w:t>日8时30分</w:t>
            </w:r>
          </w:p>
        </w:tc>
      </w:tr>
      <w:tr w14:paraId="379363A7">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0DA42FD">
            <w:pPr>
              <w:numPr>
                <w:ilvl w:val="0"/>
                <w:numId w:val="0"/>
              </w:numPr>
              <w:shd w:val="clear" w:color="auto" w:fill="auto"/>
              <w:spacing w:line="450" w:lineRule="exact"/>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18</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4728DB0">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供应商确认收到竞争性磋商文件的澄清或修改时间</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770DF997">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三门峡市公共资源交易中心网发布变更公告，不再发纸质的变更信息。提醒供应商随时注意网上发布的信息。如因供应商自身原因未看到信息，因此造成的一切后果由供应商自行承担。</w:t>
            </w:r>
          </w:p>
        </w:tc>
      </w:tr>
      <w:tr w14:paraId="1393E9E5">
        <w:tblPrEx>
          <w:tblCellMar>
            <w:top w:w="0" w:type="dxa"/>
            <w:left w:w="108" w:type="dxa"/>
            <w:bottom w:w="0" w:type="dxa"/>
            <w:right w:w="108" w:type="dxa"/>
          </w:tblCellMar>
        </w:tblPrEx>
        <w:trPr>
          <w:trHeight w:val="62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D235122">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19</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6A2F524">
            <w:pPr>
              <w:shd w:val="clear" w:color="auto" w:fill="auto"/>
              <w:spacing w:line="450" w:lineRule="exact"/>
              <w:jc w:val="center"/>
              <w:rPr>
                <w:rFonts w:hint="eastAsia" w:ascii="宋体" w:hAnsi="宋体" w:cs="宋体"/>
                <w:sz w:val="24"/>
                <w:highlight w:val="none"/>
              </w:rPr>
            </w:pPr>
            <w:r>
              <w:rPr>
                <w:rFonts w:hint="eastAsia" w:ascii="宋体" w:hAnsi="宋体" w:cs="宋体"/>
                <w:sz w:val="24"/>
                <w:highlight w:val="none"/>
              </w:rPr>
              <w:t>投标有效期</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090E2D27">
            <w:pPr>
              <w:shd w:val="clear" w:color="auto" w:fill="auto"/>
              <w:spacing w:line="450" w:lineRule="exact"/>
              <w:rPr>
                <w:rFonts w:hint="eastAsia" w:ascii="宋体" w:hAnsi="宋体" w:cs="宋体"/>
                <w:sz w:val="24"/>
                <w:highlight w:val="none"/>
              </w:rPr>
            </w:pPr>
            <w:r>
              <w:rPr>
                <w:rFonts w:hint="eastAsia" w:ascii="宋体" w:hAnsi="宋体" w:cs="宋体"/>
                <w:sz w:val="24"/>
                <w:highlight w:val="none"/>
              </w:rPr>
              <w:t>响应文件递交截止之日起60日历天</w:t>
            </w:r>
          </w:p>
        </w:tc>
      </w:tr>
      <w:tr w14:paraId="59EA5A6C">
        <w:tblPrEx>
          <w:tblCellMar>
            <w:top w:w="0" w:type="dxa"/>
            <w:left w:w="108" w:type="dxa"/>
            <w:bottom w:w="0" w:type="dxa"/>
            <w:right w:w="108" w:type="dxa"/>
          </w:tblCellMar>
        </w:tblPrEx>
        <w:trPr>
          <w:trHeight w:val="62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3920D8E2">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20</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F3E1668">
            <w:pPr>
              <w:widowControl/>
              <w:spacing w:line="360" w:lineRule="auto"/>
              <w:jc w:val="center"/>
              <w:rPr>
                <w:rFonts w:hint="eastAsia" w:ascii="宋体" w:hAnsi="宋体" w:cs="宋体"/>
                <w:sz w:val="24"/>
                <w:highlight w:val="none"/>
              </w:rPr>
            </w:pPr>
            <w:r>
              <w:rPr>
                <w:rFonts w:hint="eastAsia" w:ascii="宋体" w:hAnsi="宋体" w:cs="宋体"/>
                <w:color w:val="auto"/>
                <w:sz w:val="24"/>
                <w:szCs w:val="24"/>
                <w:highlight w:val="none"/>
              </w:rPr>
              <w:t>近年财务状况的年份要求</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0F87C492">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cs="宋体"/>
                <w:sz w:val="24"/>
                <w:highlight w:val="none"/>
              </w:rPr>
            </w:pPr>
            <w:r>
              <w:rPr>
                <w:rFonts w:hint="eastAsia" w:ascii="宋体" w:hAnsi="宋体" w:cs="宋体"/>
                <w:color w:val="auto"/>
                <w:sz w:val="24"/>
                <w:szCs w:val="24"/>
                <w:highlight w:val="none"/>
                <w:u w:val="single"/>
                <w:lang w:eastAsia="zh-CN"/>
              </w:rPr>
              <w:t>近</w:t>
            </w:r>
            <w:r>
              <w:rPr>
                <w:rFonts w:hint="eastAsia" w:ascii="宋体" w:hAnsi="宋体" w:cs="宋体"/>
                <w:color w:val="auto"/>
                <w:sz w:val="24"/>
                <w:szCs w:val="24"/>
                <w:highlight w:val="none"/>
                <w:u w:val="single"/>
              </w:rPr>
              <w:t>三</w:t>
            </w:r>
            <w:r>
              <w:rPr>
                <w:rFonts w:hint="eastAsia" w:ascii="宋体" w:hAnsi="宋体" w:cs="宋体"/>
                <w:color w:val="auto"/>
                <w:sz w:val="24"/>
                <w:szCs w:val="24"/>
                <w:highlight w:val="none"/>
              </w:rPr>
              <w:t>年，指202</w:t>
            </w: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年度、202</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年度、202</w:t>
            </w: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年度的经第三方会计师事务所或审计机构出具的审计报告（公司成立不足三年的，以公司成立年份计算）。</w:t>
            </w:r>
          </w:p>
        </w:tc>
      </w:tr>
      <w:tr w14:paraId="4E503DC4">
        <w:tblPrEx>
          <w:tblCellMar>
            <w:top w:w="0" w:type="dxa"/>
            <w:left w:w="108" w:type="dxa"/>
            <w:bottom w:w="0" w:type="dxa"/>
            <w:right w:w="108" w:type="dxa"/>
          </w:tblCellMar>
        </w:tblPrEx>
        <w:trPr>
          <w:trHeight w:val="62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8E99C3D">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21</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507D8DC">
            <w:pPr>
              <w:widowControl/>
              <w:spacing w:line="360" w:lineRule="auto"/>
              <w:jc w:val="center"/>
              <w:rPr>
                <w:rFonts w:hint="eastAsia" w:ascii="宋体" w:hAnsi="宋体" w:cs="宋体"/>
                <w:sz w:val="24"/>
                <w:highlight w:val="none"/>
              </w:rPr>
            </w:pPr>
            <w:r>
              <w:rPr>
                <w:rFonts w:hint="eastAsia" w:ascii="宋体" w:hAnsi="宋体" w:cs="宋体"/>
                <w:color w:val="auto"/>
                <w:sz w:val="24"/>
                <w:szCs w:val="24"/>
                <w:highlight w:val="none"/>
              </w:rPr>
              <w:t>近年完成的类似项目的年份要求</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0A1ABC19">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cs="宋体"/>
                <w:sz w:val="24"/>
                <w:highlight w:val="none"/>
              </w:rPr>
            </w:pPr>
            <w:r>
              <w:rPr>
                <w:rFonts w:hint="eastAsia" w:ascii="宋体" w:hAnsi="宋体" w:cs="宋体"/>
                <w:color w:val="auto"/>
                <w:kern w:val="44"/>
                <w:sz w:val="24"/>
                <w:szCs w:val="24"/>
                <w:highlight w:val="none"/>
              </w:rPr>
              <w:t>202</w:t>
            </w:r>
            <w:r>
              <w:rPr>
                <w:rFonts w:hint="eastAsia" w:ascii="宋体" w:hAnsi="宋体" w:cs="宋体"/>
                <w:color w:val="auto"/>
                <w:kern w:val="44"/>
                <w:sz w:val="24"/>
                <w:szCs w:val="24"/>
                <w:highlight w:val="none"/>
                <w:lang w:val="en-US" w:eastAsia="zh-CN"/>
              </w:rPr>
              <w:t>3</w:t>
            </w:r>
            <w:r>
              <w:rPr>
                <w:rFonts w:hint="eastAsia" w:ascii="宋体" w:hAnsi="宋体" w:cs="宋体"/>
                <w:color w:val="auto"/>
                <w:kern w:val="44"/>
                <w:sz w:val="24"/>
                <w:szCs w:val="24"/>
                <w:highlight w:val="none"/>
              </w:rPr>
              <w:t>年1月1日以来</w:t>
            </w:r>
          </w:p>
        </w:tc>
      </w:tr>
      <w:tr w14:paraId="7B80A512">
        <w:tblPrEx>
          <w:tblCellMar>
            <w:top w:w="0" w:type="dxa"/>
            <w:left w:w="108" w:type="dxa"/>
            <w:bottom w:w="0" w:type="dxa"/>
            <w:right w:w="108" w:type="dxa"/>
          </w:tblCellMar>
        </w:tblPrEx>
        <w:trPr>
          <w:trHeight w:val="62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AC6CA71">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22</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18D7F3E">
            <w:pPr>
              <w:widowControl/>
              <w:spacing w:line="360" w:lineRule="auto"/>
              <w:jc w:val="center"/>
              <w:rPr>
                <w:rFonts w:hint="eastAsia" w:ascii="宋体" w:hAnsi="宋体" w:cs="宋体"/>
                <w:sz w:val="24"/>
                <w:highlight w:val="none"/>
              </w:rPr>
            </w:pPr>
            <w:r>
              <w:rPr>
                <w:rFonts w:hint="eastAsia" w:ascii="宋体" w:hAnsi="宋体" w:cs="宋体"/>
                <w:color w:val="auto"/>
                <w:sz w:val="24"/>
                <w:szCs w:val="24"/>
                <w:highlight w:val="none"/>
              </w:rPr>
              <w:t>近年发生的诉讼及仲裁情况的年份要求</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363E31A6">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cs="宋体"/>
                <w:sz w:val="24"/>
                <w:highlight w:val="none"/>
              </w:rPr>
            </w:pPr>
            <w:r>
              <w:rPr>
                <w:rFonts w:hint="eastAsia" w:ascii="宋体" w:hAnsi="宋体" w:cs="宋体"/>
                <w:color w:val="auto"/>
                <w:kern w:val="44"/>
                <w:sz w:val="24"/>
                <w:szCs w:val="24"/>
                <w:highlight w:val="none"/>
              </w:rPr>
              <w:t>202</w:t>
            </w:r>
            <w:r>
              <w:rPr>
                <w:rFonts w:hint="eastAsia" w:ascii="宋体" w:hAnsi="宋体" w:cs="宋体"/>
                <w:color w:val="auto"/>
                <w:kern w:val="44"/>
                <w:sz w:val="24"/>
                <w:szCs w:val="24"/>
                <w:highlight w:val="none"/>
                <w:lang w:val="en-US" w:eastAsia="zh-CN"/>
              </w:rPr>
              <w:t>3</w:t>
            </w:r>
            <w:r>
              <w:rPr>
                <w:rFonts w:hint="eastAsia" w:ascii="宋体" w:hAnsi="宋体" w:cs="宋体"/>
                <w:color w:val="auto"/>
                <w:kern w:val="44"/>
                <w:sz w:val="24"/>
                <w:szCs w:val="24"/>
                <w:highlight w:val="none"/>
              </w:rPr>
              <w:t>年1月1日以来</w:t>
            </w:r>
          </w:p>
        </w:tc>
      </w:tr>
      <w:tr w14:paraId="587A137A">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2CB75C72">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23</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17997D1">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磋商保证金</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55234AEB">
            <w:pPr>
              <w:shd w:val="clear" w:color="auto" w:fill="auto"/>
              <w:spacing w:line="360" w:lineRule="auto"/>
              <w:rPr>
                <w:rFonts w:hint="eastAsia" w:ascii="宋体" w:hAnsi="宋体" w:cs="宋体"/>
                <w:sz w:val="24"/>
                <w:highlight w:val="none"/>
              </w:rPr>
            </w:pPr>
            <w:r>
              <w:rPr>
                <w:rFonts w:hint="eastAsia" w:ascii="宋体" w:hAnsi="宋体" w:cs="宋体"/>
                <w:sz w:val="24"/>
                <w:highlight w:val="none"/>
              </w:rPr>
              <w:t>按照《河南省财政厅关于优化政府采购营商环境有关问题的通知》（豫财购[2019]4号文）的要求本项目不再收取投标保证金。</w:t>
            </w:r>
          </w:p>
        </w:tc>
      </w:tr>
      <w:tr w14:paraId="4CBD4B64">
        <w:tblPrEx>
          <w:tblCellMar>
            <w:top w:w="0" w:type="dxa"/>
            <w:left w:w="108" w:type="dxa"/>
            <w:bottom w:w="0" w:type="dxa"/>
            <w:right w:w="108" w:type="dxa"/>
          </w:tblCellMar>
        </w:tblPrEx>
        <w:trPr>
          <w:trHeight w:val="484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687E104">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24</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E90EAF6">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签字或盖章要求</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36DF217B">
            <w:pPr>
              <w:shd w:val="clear" w:color="auto" w:fill="auto"/>
              <w:spacing w:line="400" w:lineRule="exact"/>
              <w:rPr>
                <w:rFonts w:ascii="宋体" w:hAnsi="宋体" w:cs="宋体"/>
                <w:sz w:val="24"/>
                <w:highlight w:val="none"/>
              </w:rPr>
            </w:pPr>
            <w:r>
              <w:rPr>
                <w:rFonts w:hint="eastAsia" w:ascii="宋体" w:hAnsi="宋体" w:cs="宋体"/>
                <w:sz w:val="24"/>
                <w:highlight w:val="none"/>
              </w:rPr>
              <w:t>1、供应商在生成电子化响应文件后，应对电子化响应文件进行签章，未对电子化文件进行签章的视为无效投标。</w:t>
            </w:r>
          </w:p>
          <w:p w14:paraId="4AD7D898">
            <w:pPr>
              <w:shd w:val="clear" w:color="auto" w:fill="auto"/>
              <w:spacing w:line="400" w:lineRule="exact"/>
              <w:rPr>
                <w:rFonts w:ascii="宋体" w:hAnsi="宋体" w:cs="宋体"/>
                <w:sz w:val="24"/>
                <w:highlight w:val="none"/>
              </w:rPr>
            </w:pPr>
            <w:r>
              <w:rPr>
                <w:rFonts w:hint="eastAsia" w:ascii="宋体" w:hAnsi="宋体" w:cs="宋体"/>
                <w:sz w:val="24"/>
                <w:highlight w:val="none"/>
              </w:rPr>
              <w:t>2、竞争性磋商文件中要求法定代表人或授权委托人签字或盖章的，供应商在进行电子化响应文件签章时，以签盖法定代表人电子签章为准。（电子化响应文件具体制作教材请供应商通过CA证书登录三门峡市公共资源电子化交易系统在右上角“组件下载”中查看）</w:t>
            </w:r>
          </w:p>
          <w:p w14:paraId="4A03C17B">
            <w:pPr>
              <w:shd w:val="clear" w:color="auto" w:fill="auto"/>
              <w:spacing w:line="400" w:lineRule="exact"/>
              <w:rPr>
                <w:rFonts w:hint="eastAsia" w:ascii="宋体" w:hAnsi="宋体" w:cs="宋体"/>
                <w:sz w:val="24"/>
                <w:highlight w:val="none"/>
              </w:rPr>
            </w:pPr>
            <w:r>
              <w:rPr>
                <w:rFonts w:hint="eastAsia" w:ascii="宋体" w:hAnsi="宋体" w:cs="宋体"/>
                <w:sz w:val="24"/>
                <w:highlight w:val="none"/>
              </w:rPr>
              <w:t>3、本项目为电子化、无纸化交易项目，响应文件是供应商通过中心投标文件制作系统制作，并经过电子签章和加密后生成的电子版投标文件。供应商投标时，将不再接受任何纸质文件资料</w:t>
            </w:r>
          </w:p>
          <w:p w14:paraId="2F78F937">
            <w:pPr>
              <w:shd w:val="clear" w:color="auto" w:fill="auto"/>
              <w:spacing w:line="400" w:lineRule="exact"/>
              <w:rPr>
                <w:rFonts w:hint="eastAsia"/>
                <w:highlight w:val="none"/>
              </w:rPr>
            </w:pPr>
            <w:r>
              <w:rPr>
                <w:rFonts w:hint="eastAsia" w:ascii="宋体" w:hAnsi="宋体" w:cs="宋体"/>
                <w:sz w:val="24"/>
                <w:highlight w:val="none"/>
              </w:rPr>
              <w:t>4、成交单位领取成交通知书时提交三份纸质响应文件。</w:t>
            </w:r>
          </w:p>
        </w:tc>
      </w:tr>
      <w:tr w14:paraId="61AB841A">
        <w:tblPrEx>
          <w:tblCellMar>
            <w:top w:w="0" w:type="dxa"/>
            <w:left w:w="108" w:type="dxa"/>
            <w:bottom w:w="0" w:type="dxa"/>
            <w:right w:w="108" w:type="dxa"/>
          </w:tblCellMar>
        </w:tblPrEx>
        <w:trPr>
          <w:trHeight w:val="1101"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6B03F0EA">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25</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3393441">
            <w:pPr>
              <w:widowControl/>
              <w:shd w:val="clear" w:color="auto" w:fill="auto"/>
              <w:spacing w:line="259" w:lineRule="auto"/>
              <w:rPr>
                <w:rFonts w:ascii="宋体" w:hAnsi="宋体" w:cs="宋体"/>
                <w:kern w:val="0"/>
                <w:sz w:val="24"/>
                <w:highlight w:val="none"/>
              </w:rPr>
            </w:pPr>
            <w:r>
              <w:rPr>
                <w:rFonts w:hint="eastAsia" w:ascii="宋体" w:hAnsi="宋体" w:cs="宋体"/>
                <w:sz w:val="24"/>
                <w:highlight w:val="none"/>
              </w:rPr>
              <w:t>递交响应文件地点</w:t>
            </w:r>
          </w:p>
        </w:tc>
        <w:tc>
          <w:tcPr>
            <w:tcW w:w="6739" w:type="dxa"/>
            <w:tcBorders>
              <w:top w:val="single" w:color="auto" w:sz="4" w:space="0"/>
              <w:left w:val="single" w:color="auto" w:sz="4" w:space="0"/>
              <w:bottom w:val="single" w:color="auto" w:sz="4" w:space="0"/>
              <w:right w:val="single" w:color="auto" w:sz="4" w:space="0"/>
            </w:tcBorders>
            <w:noWrap w:val="0"/>
            <w:vAlign w:val="top"/>
          </w:tcPr>
          <w:p w14:paraId="4DEC9E91">
            <w:pPr>
              <w:widowControl/>
              <w:shd w:val="clear" w:color="auto" w:fill="auto"/>
              <w:spacing w:line="259" w:lineRule="auto"/>
              <w:ind w:right="105" w:rightChars="50"/>
              <w:jc w:val="left"/>
              <w:rPr>
                <w:rFonts w:ascii="宋体" w:hAnsi="宋体" w:cs="宋体"/>
                <w:kern w:val="0"/>
                <w:sz w:val="24"/>
                <w:highlight w:val="none"/>
              </w:rPr>
            </w:pPr>
            <w:r>
              <w:rPr>
                <w:rFonts w:hint="eastAsia" w:ascii="宋体" w:hAnsi="宋体" w:cs="宋体"/>
                <w:bCs/>
                <w:sz w:val="24"/>
                <w:highlight w:val="none"/>
              </w:rPr>
              <w:t>本项目为不见面开标项目，开标当日供应商无需到开标现场参加开标会议，供应商应当在投标截止时间前，登陆不见面开标大厅选择登陆三门峡市公共资源电子招投标系统进行操作。</w:t>
            </w:r>
          </w:p>
        </w:tc>
      </w:tr>
      <w:tr w14:paraId="79C6C21A">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324E4678">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26</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8A6FAF2">
            <w:pPr>
              <w:shd w:val="clear" w:color="auto" w:fill="auto"/>
              <w:spacing w:line="276" w:lineRule="auto"/>
              <w:jc w:val="center"/>
              <w:rPr>
                <w:rFonts w:hint="eastAsia" w:ascii="宋体" w:hAnsi="宋体" w:cs="宋体"/>
                <w:color w:val="000000"/>
                <w:kern w:val="10"/>
                <w:sz w:val="24"/>
                <w:highlight w:val="none"/>
              </w:rPr>
            </w:pPr>
            <w:r>
              <w:rPr>
                <w:rFonts w:hint="eastAsia" w:ascii="宋体" w:hAnsi="宋体" w:cs="宋体"/>
                <w:color w:val="000000"/>
                <w:kern w:val="10"/>
                <w:sz w:val="24"/>
                <w:highlight w:val="none"/>
              </w:rPr>
              <w:t>是否允许递交备选投标方案</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43778198">
            <w:pPr>
              <w:shd w:val="clear" w:color="auto" w:fill="auto"/>
              <w:spacing w:line="360" w:lineRule="auto"/>
              <w:rPr>
                <w:rFonts w:hint="eastAsia" w:ascii="宋体" w:hAnsi="宋体" w:cs="宋体"/>
                <w:color w:val="000000"/>
                <w:kern w:val="10"/>
                <w:sz w:val="24"/>
                <w:highlight w:val="none"/>
              </w:rPr>
            </w:pPr>
            <w:r>
              <w:rPr>
                <w:rFonts w:hint="eastAsia" w:ascii="宋体" w:hAnsi="宋体" w:cs="宋体"/>
                <w:color w:val="000000"/>
                <w:kern w:val="10"/>
                <w:sz w:val="24"/>
                <w:highlight w:val="none"/>
              </w:rPr>
              <w:t>不允许</w:t>
            </w:r>
          </w:p>
        </w:tc>
      </w:tr>
      <w:tr w14:paraId="742179E8">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EADCB60">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27</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687BB40">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是否退还响应性文件</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4EC8E64A">
            <w:pPr>
              <w:shd w:val="clear" w:color="auto" w:fill="auto"/>
              <w:spacing w:line="360" w:lineRule="auto"/>
              <w:rPr>
                <w:rFonts w:hint="eastAsia" w:ascii="宋体" w:hAnsi="宋体" w:cs="宋体"/>
                <w:sz w:val="24"/>
                <w:highlight w:val="none"/>
              </w:rPr>
            </w:pPr>
            <w:r>
              <w:rPr>
                <w:rFonts w:hint="eastAsia" w:ascii="宋体" w:hAnsi="宋体" w:cs="宋体"/>
                <w:sz w:val="24"/>
                <w:highlight w:val="none"/>
              </w:rPr>
              <w:t>否</w:t>
            </w:r>
          </w:p>
        </w:tc>
      </w:tr>
      <w:tr w14:paraId="6A8280D9">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3CB45EE3">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28</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94B8259">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磋商时间和地点</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200E7BB7">
            <w:pPr>
              <w:shd w:val="clear" w:color="auto" w:fill="auto"/>
              <w:spacing w:line="360" w:lineRule="auto"/>
              <w:rPr>
                <w:rFonts w:hint="eastAsia" w:ascii="宋体" w:hAnsi="宋体" w:cs="宋体"/>
                <w:sz w:val="24"/>
                <w:highlight w:val="none"/>
              </w:rPr>
            </w:pPr>
            <w:r>
              <w:rPr>
                <w:rFonts w:hint="eastAsia" w:ascii="宋体" w:hAnsi="宋体" w:cs="宋体"/>
                <w:sz w:val="24"/>
                <w:highlight w:val="none"/>
              </w:rPr>
              <w:t>磋商时间：同递交响应性文件截止时间</w:t>
            </w:r>
          </w:p>
          <w:p w14:paraId="6369D453">
            <w:pPr>
              <w:shd w:val="clear" w:color="auto" w:fill="auto"/>
              <w:spacing w:line="360" w:lineRule="auto"/>
              <w:rPr>
                <w:rFonts w:hint="eastAsia" w:ascii="宋体" w:hAnsi="宋体" w:cs="宋体"/>
                <w:sz w:val="24"/>
                <w:highlight w:val="none"/>
              </w:rPr>
            </w:pPr>
            <w:r>
              <w:rPr>
                <w:rFonts w:hint="eastAsia" w:ascii="宋体" w:hAnsi="宋体" w:cs="宋体"/>
                <w:sz w:val="24"/>
                <w:highlight w:val="none"/>
              </w:rPr>
              <w:t>磋商地点：同递交响应性文件地点</w:t>
            </w:r>
          </w:p>
        </w:tc>
      </w:tr>
      <w:tr w14:paraId="0F56B0BE">
        <w:tblPrEx>
          <w:tblCellMar>
            <w:top w:w="0" w:type="dxa"/>
            <w:left w:w="108" w:type="dxa"/>
            <w:bottom w:w="0" w:type="dxa"/>
            <w:right w:w="108" w:type="dxa"/>
          </w:tblCellMar>
        </w:tblPrEx>
        <w:trPr>
          <w:trHeight w:val="564"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36F2C239">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29</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FF71687">
            <w:pPr>
              <w:widowControl/>
              <w:shd w:val="clear" w:color="auto" w:fill="auto"/>
              <w:spacing w:line="259" w:lineRule="auto"/>
              <w:ind w:left="90"/>
              <w:jc w:val="center"/>
              <w:rPr>
                <w:rFonts w:ascii="宋体" w:hAnsi="宋体" w:cs="宋体"/>
                <w:kern w:val="0"/>
                <w:sz w:val="24"/>
                <w:highlight w:val="none"/>
              </w:rPr>
            </w:pPr>
            <w:r>
              <w:rPr>
                <w:rFonts w:ascii="宋体" w:hAnsi="宋体" w:cs="宋体"/>
                <w:kern w:val="0"/>
                <w:sz w:val="24"/>
                <w:highlight w:val="none"/>
              </w:rPr>
              <w:t>开标顺序</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11AEED7A">
            <w:pPr>
              <w:widowControl/>
              <w:shd w:val="clear" w:color="auto" w:fill="auto"/>
              <w:spacing w:line="259" w:lineRule="auto"/>
              <w:ind w:left="1"/>
              <w:jc w:val="both"/>
              <w:rPr>
                <w:rFonts w:ascii="宋体" w:hAnsi="宋体" w:cs="宋体"/>
                <w:kern w:val="0"/>
                <w:sz w:val="24"/>
                <w:highlight w:val="none"/>
              </w:rPr>
            </w:pPr>
            <w:r>
              <w:rPr>
                <w:rFonts w:ascii="宋体" w:hAnsi="宋体" w:cs="宋体"/>
                <w:kern w:val="0"/>
                <w:sz w:val="24"/>
                <w:highlight w:val="none"/>
              </w:rPr>
              <w:t>按电子响应文件上传的顺序开标</w:t>
            </w:r>
          </w:p>
        </w:tc>
      </w:tr>
      <w:tr w14:paraId="49C7333D">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336C8135">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30</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BA17AEA">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磋商小组</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BA3334E">
            <w:pPr>
              <w:keepNext w:val="0"/>
              <w:pageBreakBefore w:val="0"/>
              <w:widowControl/>
              <w:shd w:val="clear" w:color="auto" w:fill="auto"/>
              <w:kinsoku/>
              <w:overflowPunct/>
              <w:topLinePunct w:val="0"/>
              <w:bidi w:val="0"/>
              <w:snapToGrid/>
              <w:spacing w:line="360" w:lineRule="auto"/>
              <w:ind w:firstLine="0" w:firstLineChars="0"/>
              <w:textAlignment w:val="auto"/>
              <w:rPr>
                <w:rFonts w:hint="eastAsia" w:ascii="宋体" w:hAnsi="宋体" w:cs="Calibri"/>
                <w:color w:val="auto"/>
                <w:sz w:val="24"/>
                <w:szCs w:val="24"/>
                <w:highlight w:val="none"/>
              </w:rPr>
            </w:pPr>
            <w:r>
              <w:rPr>
                <w:rFonts w:hint="eastAsia" w:ascii="宋体" w:hAnsi="宋体" w:cs="Calibri"/>
                <w:color w:val="auto"/>
                <w:sz w:val="24"/>
                <w:szCs w:val="24"/>
                <w:highlight w:val="none"/>
              </w:rPr>
              <w:t>磋商小组构成：由</w:t>
            </w:r>
            <w:r>
              <w:rPr>
                <w:rFonts w:hint="eastAsia" w:ascii="宋体" w:hAnsi="宋体" w:cs="Calibri"/>
                <w:color w:val="auto"/>
                <w:sz w:val="24"/>
                <w:szCs w:val="24"/>
                <w:highlight w:val="none"/>
                <w:lang w:val="en-US" w:eastAsia="zh-CN"/>
              </w:rPr>
              <w:t>采购人代表和</w:t>
            </w:r>
            <w:r>
              <w:rPr>
                <w:rFonts w:hint="eastAsia" w:ascii="宋体" w:hAnsi="宋体" w:cs="Calibri"/>
                <w:color w:val="auto"/>
                <w:sz w:val="24"/>
                <w:szCs w:val="24"/>
                <w:highlight w:val="none"/>
              </w:rPr>
              <w:t>有关经济、技术等方面的专家共3人组成，其中</w:t>
            </w:r>
            <w:r>
              <w:rPr>
                <w:rFonts w:hint="eastAsia" w:ascii="宋体" w:hAnsi="宋体" w:cs="Calibri"/>
                <w:color w:val="auto"/>
                <w:sz w:val="24"/>
                <w:szCs w:val="24"/>
                <w:highlight w:val="none"/>
                <w:lang w:val="en-US" w:eastAsia="zh-CN"/>
              </w:rPr>
              <w:t>采购人代表1人、技术</w:t>
            </w:r>
            <w:r>
              <w:rPr>
                <w:rFonts w:hint="eastAsia" w:ascii="宋体" w:hAnsi="宋体" w:cs="Calibri"/>
                <w:color w:val="auto"/>
                <w:sz w:val="24"/>
                <w:szCs w:val="24"/>
                <w:highlight w:val="none"/>
              </w:rPr>
              <w:t>有关方面的专家</w:t>
            </w:r>
            <w:r>
              <w:rPr>
                <w:rFonts w:hint="eastAsia" w:ascii="宋体" w:hAnsi="宋体" w:cs="Calibri"/>
                <w:color w:val="auto"/>
                <w:sz w:val="24"/>
                <w:szCs w:val="24"/>
                <w:highlight w:val="none"/>
                <w:lang w:val="en-US" w:eastAsia="zh-CN"/>
              </w:rPr>
              <w:t>1人</w:t>
            </w:r>
            <w:r>
              <w:rPr>
                <w:rFonts w:hint="eastAsia" w:ascii="宋体" w:hAnsi="宋体" w:cs="Calibri"/>
                <w:color w:val="auto"/>
                <w:sz w:val="24"/>
                <w:szCs w:val="24"/>
                <w:highlight w:val="none"/>
              </w:rPr>
              <w:t>、</w:t>
            </w:r>
            <w:r>
              <w:rPr>
                <w:rFonts w:hint="eastAsia" w:ascii="宋体" w:hAnsi="宋体" w:cs="Calibri"/>
                <w:color w:val="auto"/>
                <w:sz w:val="24"/>
                <w:szCs w:val="24"/>
                <w:highlight w:val="none"/>
                <w:lang w:val="en-US" w:eastAsia="zh-CN"/>
              </w:rPr>
              <w:t>经济</w:t>
            </w:r>
            <w:r>
              <w:rPr>
                <w:rFonts w:hint="eastAsia" w:ascii="宋体" w:hAnsi="宋体" w:cs="Calibri"/>
                <w:color w:val="auto"/>
                <w:sz w:val="24"/>
                <w:szCs w:val="24"/>
                <w:highlight w:val="none"/>
              </w:rPr>
              <w:t>有关方面的专家1人</w:t>
            </w:r>
            <w:r>
              <w:rPr>
                <w:rFonts w:hint="eastAsia" w:ascii="宋体" w:hAnsi="宋体" w:cs="Calibri"/>
                <w:color w:val="auto"/>
                <w:sz w:val="24"/>
                <w:szCs w:val="24"/>
                <w:highlight w:val="none"/>
                <w:lang w:eastAsia="zh-CN"/>
              </w:rPr>
              <w:t>，</w:t>
            </w:r>
            <w:r>
              <w:rPr>
                <w:rFonts w:hint="eastAsia" w:ascii="宋体" w:hAnsi="宋体" w:cs="Calibri"/>
                <w:color w:val="auto"/>
                <w:sz w:val="24"/>
                <w:szCs w:val="24"/>
                <w:highlight w:val="none"/>
                <w:lang w:val="en-US" w:eastAsia="zh-CN"/>
              </w:rPr>
              <w:t>共3人组成</w:t>
            </w:r>
            <w:r>
              <w:rPr>
                <w:rFonts w:hint="eastAsia" w:ascii="宋体" w:hAnsi="宋体" w:cs="Calibri"/>
                <w:color w:val="auto"/>
                <w:sz w:val="24"/>
                <w:szCs w:val="24"/>
                <w:highlight w:val="none"/>
              </w:rPr>
              <w:t>。评标专家确定方式：参加评标的专家在</w:t>
            </w:r>
            <w:r>
              <w:rPr>
                <w:rFonts w:hint="eastAsia" w:ascii="宋体" w:hAnsi="宋体" w:cs="Calibri"/>
                <w:color w:val="auto"/>
                <w:sz w:val="24"/>
                <w:szCs w:val="24"/>
                <w:highlight w:val="none"/>
                <w:lang w:val="en-US" w:eastAsia="zh-CN"/>
              </w:rPr>
              <w:t>河南政府采购网抽取终端</w:t>
            </w:r>
            <w:r>
              <w:rPr>
                <w:rFonts w:hint="eastAsia" w:ascii="宋体" w:hAnsi="宋体" w:cs="Calibri"/>
                <w:color w:val="auto"/>
                <w:sz w:val="24"/>
                <w:szCs w:val="24"/>
                <w:highlight w:val="none"/>
              </w:rPr>
              <w:t>随机抽取确定。</w:t>
            </w:r>
          </w:p>
          <w:p w14:paraId="13E6E1A8">
            <w:pPr>
              <w:shd w:val="clear" w:color="auto" w:fill="auto"/>
              <w:spacing w:line="360" w:lineRule="auto"/>
              <w:rPr>
                <w:rFonts w:hint="eastAsia" w:ascii="宋体" w:hAnsi="宋体" w:cs="宋体"/>
                <w:sz w:val="24"/>
                <w:highlight w:val="none"/>
              </w:rPr>
            </w:pPr>
            <w:r>
              <w:rPr>
                <w:rFonts w:hint="eastAsia" w:ascii="宋体" w:hAnsi="宋体" w:cs="Calibri"/>
                <w:color w:val="auto"/>
                <w:sz w:val="24"/>
                <w:szCs w:val="24"/>
                <w:highlight w:val="none"/>
                <w:lang w:val="en-US" w:eastAsia="zh-CN"/>
              </w:rPr>
              <w:t>业主评委无费用。</w:t>
            </w:r>
          </w:p>
        </w:tc>
      </w:tr>
      <w:tr w14:paraId="68B5C104">
        <w:tblPrEx>
          <w:tblCellMar>
            <w:top w:w="0" w:type="dxa"/>
            <w:left w:w="108" w:type="dxa"/>
            <w:bottom w:w="0" w:type="dxa"/>
            <w:right w:w="108" w:type="dxa"/>
          </w:tblCellMar>
        </w:tblPrEx>
        <w:trPr>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A8DD659">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31</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0553687">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是否授权磋商小组确定成交供应商</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DC1FB09">
            <w:pPr>
              <w:shd w:val="clear" w:color="auto" w:fill="auto"/>
              <w:spacing w:line="360" w:lineRule="auto"/>
              <w:rPr>
                <w:rFonts w:hint="eastAsia" w:ascii="宋体" w:hAnsi="宋体" w:cs="宋体"/>
                <w:sz w:val="24"/>
                <w:highlight w:val="none"/>
              </w:rPr>
            </w:pPr>
            <w:r>
              <w:rPr>
                <w:rFonts w:hint="eastAsia" w:ascii="宋体" w:hAnsi="宋体" w:cs="宋体"/>
                <w:sz w:val="24"/>
                <w:highlight w:val="none"/>
              </w:rPr>
              <w:t>否，推荐成交候选人数：3人</w:t>
            </w:r>
          </w:p>
        </w:tc>
      </w:tr>
      <w:tr w14:paraId="1DDFF26A">
        <w:tblPrEx>
          <w:tblCellMar>
            <w:top w:w="0" w:type="dxa"/>
            <w:left w:w="108" w:type="dxa"/>
            <w:bottom w:w="0" w:type="dxa"/>
            <w:right w:w="108" w:type="dxa"/>
          </w:tblCellMar>
        </w:tblPrEx>
        <w:trPr>
          <w:trHeight w:val="888"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7324DFB">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32</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9C16449">
            <w:pPr>
              <w:shd w:val="clear" w:color="auto" w:fill="auto"/>
              <w:spacing w:line="360" w:lineRule="auto"/>
              <w:jc w:val="center"/>
              <w:rPr>
                <w:rFonts w:hint="eastAsia" w:ascii="宋体" w:hAnsi="宋体" w:cs="宋体"/>
                <w:sz w:val="24"/>
                <w:highlight w:val="none"/>
              </w:rPr>
            </w:pPr>
            <w:r>
              <w:rPr>
                <w:rFonts w:hint="eastAsia" w:ascii="宋体" w:hAnsi="宋体"/>
                <w:sz w:val="24"/>
                <w:highlight w:val="none"/>
              </w:rPr>
              <w:t>履约担保</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45B9E3FD">
            <w:pPr>
              <w:widowControl/>
              <w:shd w:val="clear" w:color="auto" w:fill="auto"/>
              <w:spacing w:line="420" w:lineRule="exact"/>
              <w:jc w:val="left"/>
              <w:rPr>
                <w:rFonts w:hint="eastAsia" w:ascii="宋体" w:hAnsi="宋体"/>
                <w:sz w:val="24"/>
                <w:highlight w:val="none"/>
              </w:rPr>
            </w:pPr>
            <w:r>
              <w:rPr>
                <w:rFonts w:hint="eastAsia" w:ascii="宋体" w:hAnsi="宋体"/>
                <w:sz w:val="24"/>
                <w:highlight w:val="none"/>
              </w:rPr>
              <w:t>根据三门峡市财政局三财购【2021】14号文的规定，本项目不收取履约保证金。</w:t>
            </w:r>
          </w:p>
        </w:tc>
      </w:tr>
      <w:tr w14:paraId="1FABFF74">
        <w:tblPrEx>
          <w:tblCellMar>
            <w:top w:w="0" w:type="dxa"/>
            <w:left w:w="108" w:type="dxa"/>
            <w:bottom w:w="0" w:type="dxa"/>
            <w:right w:w="108" w:type="dxa"/>
          </w:tblCellMar>
        </w:tblPrEx>
        <w:trPr>
          <w:trHeight w:val="1772"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DEFE6AA">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33</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07D7E98">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采购控制价</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1E7099B8">
            <w:pPr>
              <w:widowControl/>
              <w:shd w:val="clear" w:color="auto" w:fill="auto"/>
              <w:spacing w:line="420" w:lineRule="exact"/>
              <w:jc w:val="left"/>
              <w:rPr>
                <w:rFonts w:hint="eastAsia" w:ascii="宋体" w:hAnsi="宋体"/>
                <w:sz w:val="24"/>
                <w:highlight w:val="none"/>
                <w:lang w:eastAsia="zh-CN"/>
              </w:rPr>
            </w:pPr>
            <w:r>
              <w:rPr>
                <w:rFonts w:hint="eastAsia" w:ascii="宋体" w:hAnsi="宋体"/>
                <w:sz w:val="24"/>
                <w:highlight w:val="none"/>
              </w:rPr>
              <w:t>人民币</w:t>
            </w:r>
            <w:r>
              <w:rPr>
                <w:rFonts w:hint="eastAsia" w:ascii="宋体" w:hAnsi="宋体"/>
                <w:sz w:val="24"/>
                <w:highlight w:val="none"/>
                <w:lang w:eastAsia="zh-CN"/>
              </w:rPr>
              <w:t>：96</w:t>
            </w:r>
            <w:r>
              <w:rPr>
                <w:rFonts w:hint="eastAsia" w:ascii="宋体" w:hAnsi="宋体"/>
                <w:sz w:val="24"/>
                <w:highlight w:val="none"/>
                <w:lang w:val="en-US" w:eastAsia="zh-CN"/>
              </w:rPr>
              <w:t>.</w:t>
            </w:r>
            <w:r>
              <w:rPr>
                <w:rFonts w:hint="eastAsia" w:ascii="宋体" w:hAnsi="宋体"/>
                <w:sz w:val="24"/>
                <w:highlight w:val="none"/>
                <w:lang w:eastAsia="zh-CN"/>
              </w:rPr>
              <w:t>833246万元</w:t>
            </w:r>
          </w:p>
          <w:p w14:paraId="7FC23F48">
            <w:pPr>
              <w:widowControl/>
              <w:shd w:val="clear" w:color="auto" w:fill="auto"/>
              <w:spacing w:line="420" w:lineRule="exact"/>
              <w:jc w:val="left"/>
              <w:rPr>
                <w:rFonts w:hint="eastAsia"/>
                <w:highlight w:val="none"/>
              </w:rPr>
            </w:pPr>
            <w:r>
              <w:rPr>
                <w:rFonts w:hint="eastAsia" w:ascii="宋体" w:hAnsi="宋体" w:eastAsia="宋体" w:cs="Times New Roman"/>
                <w:sz w:val="24"/>
                <w:highlight w:val="none"/>
              </w:rPr>
              <w:t>本次竞争性磋商分为两轮报价。磋商供应商响应性文件中的报价作为第一次报价，不得高于项目预算金额且不公开；第二轮报价不得高于第一轮报价，参与评标报价以最终报价为准。</w:t>
            </w:r>
          </w:p>
        </w:tc>
      </w:tr>
      <w:tr w14:paraId="780C3A25">
        <w:tblPrEx>
          <w:tblCellMar>
            <w:top w:w="0" w:type="dxa"/>
            <w:left w:w="108" w:type="dxa"/>
            <w:bottom w:w="0" w:type="dxa"/>
            <w:right w:w="108" w:type="dxa"/>
          </w:tblCellMar>
        </w:tblPrEx>
        <w:trPr>
          <w:trHeight w:val="59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15D87F7">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34</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41C024C">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付款方式</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1E5D4555">
            <w:pPr>
              <w:shd w:val="clear" w:color="auto" w:fill="auto"/>
              <w:spacing w:line="360" w:lineRule="auto"/>
              <w:rPr>
                <w:rFonts w:hint="eastAsia" w:ascii="宋体" w:hAnsi="宋体" w:cs="宋体"/>
                <w:sz w:val="24"/>
                <w:highlight w:val="none"/>
              </w:rPr>
            </w:pPr>
            <w:r>
              <w:rPr>
                <w:rFonts w:hint="eastAsia" w:ascii="宋体" w:hAnsi="宋体"/>
                <w:kern w:val="0"/>
                <w:sz w:val="24"/>
                <w:highlight w:val="none"/>
                <w:lang w:val="en-US" w:eastAsia="zh-CN" w:bidi="en-US"/>
              </w:rPr>
              <w:t>根据形象进度付款，</w:t>
            </w:r>
            <w:r>
              <w:rPr>
                <w:rFonts w:hint="eastAsia" w:ascii="宋体" w:hAnsi="宋体" w:cs="宋体"/>
                <w:kern w:val="44"/>
                <w:sz w:val="24"/>
                <w:szCs w:val="24"/>
                <w:highlight w:val="none"/>
                <w:lang w:bidi="en-US"/>
              </w:rPr>
              <w:t>具体付款方式中标后甲乙双方协商</w:t>
            </w:r>
            <w:r>
              <w:rPr>
                <w:rFonts w:hint="eastAsia" w:ascii="宋体" w:hAnsi="宋体" w:cs="宋体"/>
                <w:kern w:val="44"/>
                <w:sz w:val="24"/>
                <w:szCs w:val="24"/>
                <w:highlight w:val="none"/>
                <w:lang w:val="en-US" w:eastAsia="zh-CN" w:bidi="en-US"/>
              </w:rPr>
              <w:t>确定</w:t>
            </w:r>
            <w:r>
              <w:rPr>
                <w:rFonts w:hint="eastAsia" w:ascii="宋体" w:hAnsi="宋体" w:cs="宋体"/>
                <w:kern w:val="44"/>
                <w:sz w:val="24"/>
                <w:szCs w:val="24"/>
                <w:highlight w:val="none"/>
              </w:rPr>
              <w:t>。</w:t>
            </w:r>
          </w:p>
        </w:tc>
      </w:tr>
      <w:tr w14:paraId="1F6E931C">
        <w:tblPrEx>
          <w:tblCellMar>
            <w:top w:w="0" w:type="dxa"/>
            <w:left w:w="108" w:type="dxa"/>
            <w:bottom w:w="0" w:type="dxa"/>
            <w:right w:w="108" w:type="dxa"/>
          </w:tblCellMar>
        </w:tblPrEx>
        <w:trPr>
          <w:trHeight w:val="3196"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3E18ADB">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35</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1C9A9BB7">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采购代理费</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3D6E8600">
            <w:pPr>
              <w:shd w:val="clear" w:color="auto" w:fill="auto"/>
              <w:spacing w:line="480" w:lineRule="exact"/>
              <w:rPr>
                <w:rFonts w:hint="eastAsia" w:ascii="宋体" w:hAnsi="宋体" w:cs="宋体"/>
                <w:sz w:val="24"/>
                <w:highlight w:val="none"/>
                <w:shd w:val="clear" w:color="050000" w:fill="auto"/>
              </w:rPr>
            </w:pPr>
            <w:r>
              <w:rPr>
                <w:rFonts w:hint="eastAsia" w:ascii="宋体" w:hAnsi="宋体" w:cs="宋体"/>
                <w:sz w:val="24"/>
                <w:highlight w:val="none"/>
                <w:shd w:val="clear" w:color="050000" w:fill="auto"/>
              </w:rPr>
              <w:t>本项目招标代理费由中标单位承担，收费标准参照豫招协【2023】002号文件所规定的收费标准收取，代理费由成交单位承担。此费由投标人综合考虑到投标报价中，不再单独列项。</w:t>
            </w:r>
          </w:p>
          <w:p w14:paraId="048DEF72">
            <w:pPr>
              <w:shd w:val="clear" w:color="auto" w:fill="auto"/>
              <w:spacing w:line="360" w:lineRule="auto"/>
              <w:rPr>
                <w:rFonts w:hint="eastAsia" w:ascii="宋体" w:hAnsi="宋体" w:eastAsia="宋体" w:cs="宋体"/>
                <w:sz w:val="24"/>
                <w:highlight w:val="none"/>
                <w:lang w:eastAsia="zh-CN"/>
              </w:rPr>
            </w:pPr>
            <w:r>
              <w:rPr>
                <w:rFonts w:hint="eastAsia" w:ascii="宋体" w:hAnsi="宋体" w:cs="宋体"/>
                <w:sz w:val="24"/>
                <w:highlight w:val="none"/>
              </w:rPr>
              <w:t>单位名称:</w:t>
            </w:r>
            <w:r>
              <w:rPr>
                <w:rFonts w:hint="eastAsia" w:ascii="宋体" w:hAnsi="宋体" w:cs="宋体"/>
                <w:sz w:val="24"/>
                <w:highlight w:val="none"/>
                <w:lang w:val="en-US" w:eastAsia="zh-CN"/>
              </w:rPr>
              <w:t>中瑞建园工程管理有限公司三门峡分公司</w:t>
            </w:r>
          </w:p>
          <w:p w14:paraId="23033B9C">
            <w:pPr>
              <w:shd w:val="clear" w:color="auto" w:fill="auto"/>
              <w:spacing w:line="360" w:lineRule="auto"/>
              <w:rPr>
                <w:rFonts w:hint="eastAsia" w:ascii="宋体" w:hAnsi="宋体" w:cs="宋体"/>
                <w:sz w:val="24"/>
                <w:highlight w:val="none"/>
              </w:rPr>
            </w:pPr>
            <w:r>
              <w:rPr>
                <w:rFonts w:hint="eastAsia" w:ascii="宋体" w:hAnsi="宋体" w:cs="宋体"/>
                <w:sz w:val="24"/>
                <w:highlight w:val="none"/>
              </w:rPr>
              <w:t>开户行:中国工商银行股份有限公司三门峡商务中心区支行</w:t>
            </w:r>
          </w:p>
          <w:p w14:paraId="44544813">
            <w:pPr>
              <w:shd w:val="clear" w:color="auto" w:fill="auto"/>
              <w:spacing w:line="360" w:lineRule="auto"/>
              <w:rPr>
                <w:rFonts w:hint="eastAsia" w:ascii="宋体" w:hAnsi="宋体" w:cs="宋体"/>
                <w:sz w:val="24"/>
                <w:highlight w:val="none"/>
              </w:rPr>
            </w:pPr>
            <w:r>
              <w:rPr>
                <w:rFonts w:hint="eastAsia" w:ascii="宋体" w:hAnsi="宋体" w:cs="宋体"/>
                <w:sz w:val="24"/>
                <w:highlight w:val="none"/>
              </w:rPr>
              <w:t>账号:1713020309200190984</w:t>
            </w:r>
          </w:p>
        </w:tc>
      </w:tr>
      <w:tr w14:paraId="6EC68693">
        <w:tblPrEx>
          <w:tblCellMar>
            <w:top w:w="0" w:type="dxa"/>
            <w:left w:w="108" w:type="dxa"/>
            <w:bottom w:w="0" w:type="dxa"/>
            <w:right w:w="108" w:type="dxa"/>
          </w:tblCellMar>
        </w:tblPrEx>
        <w:trPr>
          <w:trHeight w:val="2480"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1D74D60">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36</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590498E">
            <w:pPr>
              <w:shd w:val="clear" w:color="auto" w:fill="auto"/>
              <w:spacing w:line="360" w:lineRule="auto"/>
              <w:rPr>
                <w:rFonts w:hint="eastAsia" w:ascii="宋体" w:hAnsi="宋体" w:cs="宋体"/>
                <w:sz w:val="24"/>
                <w:highlight w:val="none"/>
              </w:rPr>
            </w:pPr>
            <w:r>
              <w:rPr>
                <w:rFonts w:hint="eastAsia" w:ascii="宋体" w:hAnsi="宋体" w:cs="宋体"/>
                <w:kern w:val="44"/>
                <w:sz w:val="24"/>
                <w:highlight w:val="none"/>
              </w:rPr>
              <w:t>农民工工资保证金</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71039336">
            <w:pPr>
              <w:shd w:val="clear" w:color="auto" w:fill="auto"/>
              <w:spacing w:line="360" w:lineRule="auto"/>
              <w:rPr>
                <w:rFonts w:hint="eastAsia" w:ascii="宋体" w:hAnsi="宋体" w:cs="宋体"/>
                <w:sz w:val="24"/>
                <w:highlight w:val="none"/>
              </w:rPr>
            </w:pPr>
            <w:r>
              <w:rPr>
                <w:rFonts w:hint="eastAsia" w:ascii="宋体" w:hAnsi="宋体" w:cs="宋体"/>
                <w:kern w:val="44"/>
                <w:sz w:val="24"/>
                <w:highlight w:val="none"/>
              </w:rPr>
              <w:t>根据《中华人民共和国劳动法》、《建筑领域农民工工资支付暂行办法》等法律法规规定，成交单位成交后能够及时、足额存入农民工工资保障金或工资保函，保障金为成交价的2%。</w:t>
            </w:r>
            <w:r>
              <w:rPr>
                <w:rFonts w:hint="eastAsia" w:ascii="宋体" w:hAnsi="宋体" w:eastAsia="宋体" w:cs="宋体"/>
                <w:color w:val="auto"/>
                <w:sz w:val="24"/>
                <w:szCs w:val="24"/>
                <w:highlight w:val="none"/>
                <w:lang w:eastAsia="zh-CN"/>
              </w:rPr>
              <w:t>一旦其承包的建筑工程项目中出现拖欠农民工工资情况的，可由人力资源社会保障行政部门从农民工工资保障金中先予划支。</w:t>
            </w:r>
          </w:p>
        </w:tc>
      </w:tr>
      <w:tr w14:paraId="712BF3CE">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32ADD66B">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37</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E817849">
            <w:pPr>
              <w:shd w:val="clear" w:color="auto" w:fill="auto"/>
              <w:spacing w:line="360" w:lineRule="auto"/>
              <w:jc w:val="center"/>
              <w:rPr>
                <w:rFonts w:hint="eastAsia" w:ascii="宋体" w:hAnsi="宋体" w:cs="宋体"/>
                <w:color w:val="000000"/>
                <w:kern w:val="10"/>
                <w:sz w:val="24"/>
                <w:highlight w:val="none"/>
              </w:rPr>
            </w:pPr>
            <w:r>
              <w:rPr>
                <w:rFonts w:hint="eastAsia" w:ascii="宋体" w:hAnsi="宋体" w:cs="宋体"/>
                <w:color w:val="000000"/>
                <w:kern w:val="10"/>
                <w:sz w:val="24"/>
                <w:highlight w:val="none"/>
                <w:lang w:val="en-US" w:eastAsia="zh-CN"/>
              </w:rPr>
              <w:t>成交</w:t>
            </w:r>
            <w:r>
              <w:rPr>
                <w:rFonts w:hint="eastAsia" w:ascii="宋体" w:hAnsi="宋体" w:cs="宋体"/>
                <w:color w:val="000000"/>
                <w:kern w:val="10"/>
                <w:sz w:val="24"/>
                <w:highlight w:val="none"/>
              </w:rPr>
              <w:t>结果</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06A47D6A">
            <w:pPr>
              <w:shd w:val="clear" w:color="auto" w:fill="auto"/>
              <w:spacing w:line="360" w:lineRule="auto"/>
              <w:rPr>
                <w:rFonts w:hint="eastAsia" w:ascii="宋体" w:hAnsi="宋体" w:cs="宋体"/>
                <w:color w:val="000000"/>
                <w:kern w:val="10"/>
                <w:sz w:val="24"/>
                <w:highlight w:val="none"/>
              </w:rPr>
            </w:pPr>
            <w:r>
              <w:rPr>
                <w:rFonts w:hint="eastAsia" w:ascii="宋体" w:hAnsi="宋体"/>
                <w:sz w:val="24"/>
                <w:highlight w:val="none"/>
              </w:rPr>
              <w:t>在</w:t>
            </w:r>
            <w:r>
              <w:rPr>
                <w:rFonts w:hint="eastAsia" w:ascii="宋体" w:hAnsi="宋体"/>
                <w:sz w:val="24"/>
                <w:highlight w:val="none"/>
                <w:lang w:eastAsia="zh-CN"/>
              </w:rPr>
              <w:t>《</w:t>
            </w:r>
            <w:r>
              <w:rPr>
                <w:rFonts w:hint="eastAsia" w:ascii="宋体" w:hAnsi="宋体"/>
                <w:sz w:val="24"/>
                <w:highlight w:val="none"/>
                <w:lang w:val="en-US" w:eastAsia="zh-CN"/>
              </w:rPr>
              <w:t>河南省政府采购网</w:t>
            </w:r>
            <w:r>
              <w:rPr>
                <w:rFonts w:hint="eastAsia" w:ascii="宋体" w:hAnsi="宋体"/>
                <w:sz w:val="24"/>
                <w:highlight w:val="none"/>
                <w:lang w:eastAsia="zh-CN"/>
              </w:rPr>
              <w:t>》、</w:t>
            </w:r>
            <w:r>
              <w:rPr>
                <w:rFonts w:hint="eastAsia" w:ascii="宋体" w:hAnsi="宋体"/>
                <w:sz w:val="24"/>
                <w:highlight w:val="none"/>
              </w:rPr>
              <w:t>《中国</w:t>
            </w:r>
            <w:r>
              <w:rPr>
                <w:rFonts w:hint="eastAsia" w:ascii="宋体" w:hAnsi="宋体"/>
                <w:sz w:val="24"/>
                <w:highlight w:val="none"/>
                <w:lang w:val="en-US" w:eastAsia="zh-CN"/>
              </w:rPr>
              <w:t>采购与招标网</w:t>
            </w:r>
            <w:r>
              <w:rPr>
                <w:rFonts w:hint="eastAsia" w:ascii="宋体" w:hAnsi="宋体"/>
                <w:sz w:val="24"/>
                <w:highlight w:val="none"/>
              </w:rPr>
              <w:t>》和《三门峡市公共资源交易中心网》等网站同步发布。</w:t>
            </w:r>
          </w:p>
        </w:tc>
      </w:tr>
      <w:tr w14:paraId="0943D06D">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F6EA97A">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38</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70B28444">
            <w:pPr>
              <w:widowControl/>
              <w:spacing w:line="360" w:lineRule="auto"/>
              <w:jc w:val="center"/>
              <w:rPr>
                <w:rFonts w:hint="eastAsia" w:ascii="宋体" w:hAnsi="宋体" w:cs="宋体"/>
                <w:color w:val="auto"/>
                <w:sz w:val="24"/>
                <w:szCs w:val="24"/>
                <w:highlight w:val="none"/>
              </w:rPr>
            </w:pPr>
            <w:r>
              <w:rPr>
                <w:rFonts w:hint="eastAsia" w:ascii="宋体" w:hAnsi="宋体" w:cs="宋体"/>
                <w:color w:val="auto"/>
                <w:sz w:val="24"/>
                <w:szCs w:val="24"/>
                <w:highlight w:val="none"/>
              </w:rPr>
              <w:t>工程款支付</w:t>
            </w:r>
          </w:p>
          <w:p w14:paraId="6AF4C864">
            <w:pPr>
              <w:widowControl/>
              <w:spacing w:line="360" w:lineRule="auto"/>
              <w:jc w:val="center"/>
              <w:rPr>
                <w:rFonts w:hint="eastAsia" w:ascii="宋体" w:hAnsi="宋体" w:cs="宋体"/>
                <w:color w:val="000000"/>
                <w:kern w:val="10"/>
                <w:sz w:val="24"/>
                <w:highlight w:val="none"/>
                <w:lang w:val="en-US" w:eastAsia="zh-CN"/>
              </w:rPr>
            </w:pPr>
            <w:r>
              <w:rPr>
                <w:rFonts w:hint="eastAsia" w:ascii="宋体" w:hAnsi="宋体" w:cs="宋体"/>
                <w:color w:val="auto"/>
                <w:sz w:val="24"/>
                <w:szCs w:val="24"/>
                <w:highlight w:val="none"/>
              </w:rPr>
              <w:t>方式</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2237E94E">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sz w:val="24"/>
                <w:highlight w:val="none"/>
              </w:rPr>
            </w:pPr>
            <w:r>
              <w:rPr>
                <w:rFonts w:hint="eastAsia" w:ascii="宋体" w:hAnsi="宋体" w:cs="宋体"/>
                <w:color w:val="auto"/>
                <w:kern w:val="44"/>
                <w:sz w:val="24"/>
                <w:szCs w:val="24"/>
                <w:highlight w:val="none"/>
              </w:rPr>
              <w:t>按灵宝市财政投资建设项目资金拨付程序付款。</w:t>
            </w:r>
          </w:p>
        </w:tc>
      </w:tr>
      <w:tr w14:paraId="7F5B6F50">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3717C24C">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39</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DB2FD2C">
            <w:pPr>
              <w:widowControl/>
              <w:spacing w:line="360" w:lineRule="auto"/>
              <w:jc w:val="center"/>
              <w:rPr>
                <w:rFonts w:hint="eastAsia" w:ascii="宋体" w:hAnsi="宋体" w:cs="宋体"/>
                <w:color w:val="000000"/>
                <w:kern w:val="10"/>
                <w:sz w:val="24"/>
                <w:highlight w:val="none"/>
                <w:lang w:val="en-US" w:eastAsia="zh-CN"/>
              </w:rPr>
            </w:pPr>
            <w:r>
              <w:rPr>
                <w:rFonts w:hint="eastAsia" w:ascii="宋体" w:hAnsi="宋体" w:cs="宋体"/>
                <w:color w:val="auto"/>
                <w:sz w:val="24"/>
                <w:szCs w:val="24"/>
                <w:highlight w:val="none"/>
              </w:rPr>
              <w:t>是否实行计算机辅助评标</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149BDDB3">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ascii="宋体" w:hAnsi="宋体" w:cs="宋体"/>
                <w:color w:val="auto"/>
                <w:sz w:val="24"/>
                <w:szCs w:val="24"/>
                <w:highlight w:val="none"/>
              </w:rPr>
            </w:pPr>
            <w:r>
              <w:rPr>
                <w:rFonts w:hint="eastAsia" w:ascii="宋体" w:hAnsi="宋体" w:cs="宋体"/>
                <w:color w:val="auto"/>
                <w:sz w:val="24"/>
                <w:szCs w:val="24"/>
                <w:highlight w:val="none"/>
              </w:rPr>
              <w:t>是。</w:t>
            </w:r>
          </w:p>
          <w:p w14:paraId="08A85AA0">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sz w:val="24"/>
                <w:highlight w:val="none"/>
              </w:rPr>
            </w:pPr>
            <w:r>
              <w:rPr>
                <w:rFonts w:hint="eastAsia" w:ascii="宋体" w:hAnsi="宋体" w:cs="宋体"/>
                <w:color w:val="auto"/>
                <w:sz w:val="24"/>
                <w:szCs w:val="24"/>
                <w:highlight w:val="none"/>
              </w:rPr>
              <w:t>供应商须独立制作、修改和上传响应文件，若因“响应文件制作机器码”与其他供应商一致，机器码一致的所有响应文件按无效文件处理，所造成的不良后果由供应商自行承担。</w:t>
            </w:r>
          </w:p>
        </w:tc>
      </w:tr>
      <w:tr w14:paraId="031DB219">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3A03120">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40</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2C07576">
            <w:pPr>
              <w:widowControl/>
              <w:spacing w:line="360" w:lineRule="auto"/>
              <w:jc w:val="center"/>
              <w:rPr>
                <w:rFonts w:hint="eastAsia" w:ascii="宋体" w:hAnsi="宋体" w:cs="宋体"/>
                <w:color w:val="000000"/>
                <w:kern w:val="10"/>
                <w:sz w:val="24"/>
                <w:highlight w:val="none"/>
                <w:lang w:val="en-US" w:eastAsia="zh-CN"/>
              </w:rPr>
            </w:pPr>
            <w:r>
              <w:rPr>
                <w:rFonts w:hint="eastAsia" w:ascii="宋体" w:hAnsi="宋体" w:cs="宋体"/>
                <w:color w:val="auto"/>
                <w:sz w:val="24"/>
                <w:szCs w:val="24"/>
                <w:highlight w:val="none"/>
              </w:rPr>
              <w:t>竞争性磋商文件的解释</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5DF0CD5A">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sz w:val="24"/>
                <w:highlight w:val="none"/>
              </w:rPr>
            </w:pPr>
            <w:r>
              <w:rPr>
                <w:rFonts w:hint="eastAsia" w:ascii="宋体" w:hAnsi="宋体" w:cs="宋体"/>
                <w:color w:val="auto"/>
                <w:kern w:val="44"/>
                <w:sz w:val="24"/>
                <w:szCs w:val="24"/>
                <w:highlight w:val="none"/>
              </w:rPr>
              <w:t>在符合相关法律法规的前提下，竞争性磋商文件的解释权归</w:t>
            </w:r>
            <w:r>
              <w:rPr>
                <w:rFonts w:hint="eastAsia" w:ascii="宋体" w:hAnsi="宋体" w:cs="宋体"/>
                <w:color w:val="auto"/>
                <w:kern w:val="44"/>
                <w:sz w:val="24"/>
                <w:szCs w:val="24"/>
                <w:highlight w:val="none"/>
                <w:lang w:eastAsia="zh-CN"/>
              </w:rPr>
              <w:t>采购人</w:t>
            </w:r>
            <w:r>
              <w:rPr>
                <w:rFonts w:hint="eastAsia" w:ascii="宋体" w:hAnsi="宋体" w:cs="宋体"/>
                <w:color w:val="auto"/>
                <w:kern w:val="44"/>
                <w:sz w:val="24"/>
                <w:szCs w:val="24"/>
                <w:highlight w:val="none"/>
              </w:rPr>
              <w:t>所有。</w:t>
            </w:r>
          </w:p>
        </w:tc>
      </w:tr>
      <w:tr w14:paraId="536D56F9">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9DE03DE">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41</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066E4CFB">
            <w:pPr>
              <w:widowControl/>
              <w:spacing w:line="360" w:lineRule="auto"/>
              <w:jc w:val="center"/>
              <w:rPr>
                <w:rFonts w:hint="eastAsia" w:ascii="宋体" w:hAnsi="宋体" w:cs="宋体"/>
                <w:color w:val="000000"/>
                <w:kern w:val="10"/>
                <w:sz w:val="24"/>
                <w:highlight w:val="none"/>
                <w:lang w:val="en-US" w:eastAsia="zh-CN"/>
              </w:rPr>
            </w:pPr>
            <w:r>
              <w:rPr>
                <w:rFonts w:hint="eastAsia" w:ascii="宋体" w:hAnsi="宋体" w:cs="宋体"/>
                <w:color w:val="auto"/>
                <w:sz w:val="24"/>
                <w:szCs w:val="24"/>
                <w:highlight w:val="none"/>
              </w:rPr>
              <w:t>相关费用</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46A7CD33">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sz w:val="24"/>
                <w:highlight w:val="none"/>
              </w:rPr>
            </w:pPr>
            <w:r>
              <w:rPr>
                <w:rFonts w:hint="eastAsia" w:ascii="宋体" w:hAnsi="宋体" w:cs="宋体"/>
                <w:color w:val="auto"/>
                <w:kern w:val="0"/>
                <w:sz w:val="24"/>
                <w:szCs w:val="24"/>
                <w:highlight w:val="none"/>
              </w:rPr>
              <w:t>竞争性磋商文件费</w:t>
            </w:r>
            <w:r>
              <w:rPr>
                <w:rFonts w:hint="eastAsia" w:ascii="宋体" w:hAnsi="宋体" w:cs="宋体"/>
                <w:color w:val="auto"/>
                <w:sz w:val="24"/>
                <w:szCs w:val="24"/>
                <w:highlight w:val="none"/>
              </w:rPr>
              <w:t>：本项目为全电子招标，不收取竞争性磋商文件费；</w:t>
            </w:r>
          </w:p>
        </w:tc>
      </w:tr>
      <w:tr w14:paraId="03B28ABE">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1430150">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42</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4FF9F43A">
            <w:pPr>
              <w:widowControl/>
              <w:spacing w:line="360" w:lineRule="auto"/>
              <w:jc w:val="center"/>
              <w:rPr>
                <w:rFonts w:hint="eastAsia" w:ascii="宋体" w:hAnsi="宋体" w:cs="宋体"/>
                <w:color w:val="000000"/>
                <w:kern w:val="10"/>
                <w:sz w:val="24"/>
                <w:highlight w:val="none"/>
                <w:lang w:val="en-US" w:eastAsia="zh-CN"/>
              </w:rPr>
            </w:pPr>
            <w:r>
              <w:rPr>
                <w:rFonts w:hint="eastAsia" w:ascii="宋体" w:hAnsi="宋体" w:cs="宋体"/>
                <w:color w:val="auto"/>
                <w:sz w:val="24"/>
                <w:szCs w:val="24"/>
                <w:highlight w:val="none"/>
              </w:rPr>
              <w:t>不良行为记录</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493B0CC">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sz w:val="24"/>
                <w:highlight w:val="none"/>
              </w:rPr>
            </w:pPr>
            <w:r>
              <w:rPr>
                <w:rFonts w:hint="eastAsia" w:ascii="宋体" w:hAnsi="宋体" w:cs="宋体"/>
                <w:color w:val="auto"/>
                <w:kern w:val="44"/>
                <w:sz w:val="24"/>
                <w:szCs w:val="24"/>
                <w:highlight w:val="none"/>
              </w:rPr>
              <w:t>在以往建设项目中，因质量、安全、节能及交易活动受通报批评或记入不良行为记录。</w:t>
            </w:r>
          </w:p>
        </w:tc>
      </w:tr>
      <w:tr w14:paraId="44EB6732">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2892702">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43</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25AC636A">
            <w:pPr>
              <w:widowControl/>
              <w:spacing w:line="360" w:lineRule="auto"/>
              <w:jc w:val="center"/>
              <w:rPr>
                <w:rFonts w:hint="eastAsia" w:ascii="宋体" w:hAnsi="宋体" w:cs="宋体"/>
                <w:color w:val="000000"/>
                <w:kern w:val="10"/>
                <w:sz w:val="24"/>
                <w:highlight w:val="none"/>
                <w:lang w:val="en-US" w:eastAsia="zh-CN"/>
              </w:rPr>
            </w:pPr>
            <w:r>
              <w:rPr>
                <w:rFonts w:hint="eastAsia" w:ascii="宋体" w:hAnsi="宋体" w:cs="宋体"/>
                <w:color w:val="auto"/>
                <w:sz w:val="24"/>
                <w:szCs w:val="24"/>
                <w:highlight w:val="none"/>
              </w:rPr>
              <w:t>知识产权</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08111902">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sz w:val="24"/>
                <w:highlight w:val="none"/>
              </w:rPr>
            </w:pPr>
            <w:r>
              <w:rPr>
                <w:rFonts w:hint="eastAsia" w:ascii="宋体" w:hAnsi="宋体" w:cs="宋体"/>
                <w:color w:val="auto"/>
                <w:sz w:val="24"/>
                <w:szCs w:val="24"/>
                <w:highlight w:val="none"/>
              </w:rPr>
              <w:t>构成本竞争性磋商文件各个组成部分的文件，未经</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书面同意，</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rPr>
              <w:t>不得擅自复印和用于非本招标项目所需的其他目的。</w:t>
            </w:r>
            <w:r>
              <w:rPr>
                <w:rFonts w:hint="eastAsia" w:ascii="宋体" w:hAnsi="宋体" w:cs="宋体"/>
                <w:color w:val="auto"/>
                <w:sz w:val="24"/>
                <w:szCs w:val="24"/>
                <w:highlight w:val="none"/>
                <w:lang w:eastAsia="zh-CN"/>
              </w:rPr>
              <w:t>采购人</w:t>
            </w:r>
            <w:r>
              <w:rPr>
                <w:rFonts w:hint="eastAsia" w:ascii="宋体" w:hAnsi="宋体" w:cs="宋体"/>
                <w:color w:val="auto"/>
                <w:sz w:val="24"/>
                <w:szCs w:val="24"/>
                <w:highlight w:val="none"/>
              </w:rPr>
              <w:t>全部或者部分使用未成交人投标文件中的技术成果或技术方案时，需征得其书面同意，并不得擅自复印或提供给第三人</w:t>
            </w:r>
          </w:p>
        </w:tc>
      </w:tr>
      <w:tr w14:paraId="6A6921BD">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FAB10CD">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44</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32EAACD9">
            <w:pPr>
              <w:widowControl/>
              <w:spacing w:line="360" w:lineRule="auto"/>
              <w:jc w:val="center"/>
              <w:rPr>
                <w:rFonts w:hint="eastAsia" w:ascii="宋体" w:hAnsi="宋体" w:cs="宋体"/>
                <w:color w:val="000000"/>
                <w:kern w:val="10"/>
                <w:sz w:val="24"/>
                <w:highlight w:val="none"/>
                <w:lang w:val="en-US" w:eastAsia="zh-CN"/>
              </w:rPr>
            </w:pPr>
            <w:r>
              <w:rPr>
                <w:rFonts w:hint="eastAsia" w:ascii="宋体" w:hAnsi="宋体" w:cs="宋体"/>
                <w:color w:val="auto"/>
                <w:sz w:val="24"/>
                <w:szCs w:val="24"/>
                <w:highlight w:val="none"/>
              </w:rPr>
              <w:t>监督</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107F36CB">
            <w:pPr>
              <w:keepNext w:val="0"/>
              <w:keepLines w:val="0"/>
              <w:pageBreakBefore w:val="0"/>
              <w:widowControl w:val="0"/>
              <w:kinsoku/>
              <w:wordWrap w:val="0"/>
              <w:overflowPunct/>
              <w:topLinePunct/>
              <w:autoSpaceDE/>
              <w:autoSpaceDN/>
              <w:bidi w:val="0"/>
              <w:adjustRightInd/>
              <w:snapToGrid/>
              <w:spacing w:line="360" w:lineRule="auto"/>
              <w:ind w:firstLine="0" w:firstLineChars="0"/>
              <w:jc w:val="left"/>
              <w:textAlignment w:val="auto"/>
              <w:rPr>
                <w:rFonts w:hint="eastAsia" w:ascii="宋体" w:hAnsi="宋体"/>
                <w:sz w:val="24"/>
                <w:highlight w:val="none"/>
              </w:rPr>
            </w:pPr>
            <w:r>
              <w:rPr>
                <w:rFonts w:hint="eastAsia" w:ascii="宋体" w:hAnsi="宋体" w:cs="宋体"/>
                <w:color w:val="auto"/>
                <w:sz w:val="24"/>
                <w:szCs w:val="24"/>
                <w:highlight w:val="none"/>
              </w:rPr>
              <w:t>本项目的招标投标活动及其相关当事人应当接受有管辖权的建设工程招标投标行政监督部门依法实施的监督</w:t>
            </w:r>
          </w:p>
        </w:tc>
      </w:tr>
      <w:tr w14:paraId="7080C420">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7BB57A5D">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45</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E2E576B">
            <w:pPr>
              <w:shd w:val="clear" w:color="auto" w:fill="auto"/>
              <w:spacing w:line="360" w:lineRule="auto"/>
              <w:jc w:val="center"/>
              <w:rPr>
                <w:rFonts w:hint="eastAsia" w:ascii="宋体" w:hAnsi="宋体" w:cs="宋体"/>
                <w:sz w:val="24"/>
                <w:highlight w:val="none"/>
              </w:rPr>
            </w:pPr>
            <w:r>
              <w:rPr>
                <w:rFonts w:hint="eastAsia" w:ascii="宋体" w:hAnsi="宋体" w:cs="宋体"/>
                <w:color w:val="000000"/>
                <w:kern w:val="10"/>
                <w:sz w:val="24"/>
                <w:highlight w:val="none"/>
              </w:rPr>
              <w:t>磋商文件解释</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513B27F7">
            <w:pPr>
              <w:numPr>
                <w:ilvl w:val="0"/>
                <w:numId w:val="2"/>
              </w:numPr>
              <w:shd w:val="clear" w:color="auto" w:fill="auto"/>
              <w:spacing w:line="360" w:lineRule="auto"/>
              <w:rPr>
                <w:rFonts w:hint="eastAsia" w:ascii="宋体" w:hAnsi="宋体" w:cs="宋体"/>
                <w:color w:val="000000"/>
                <w:kern w:val="10"/>
                <w:sz w:val="24"/>
                <w:highlight w:val="none"/>
              </w:rPr>
            </w:pPr>
            <w:r>
              <w:rPr>
                <w:rFonts w:hint="eastAsia" w:ascii="宋体" w:hAnsi="宋体" w:cs="宋体"/>
                <w:color w:val="000000"/>
                <w:kern w:val="10"/>
                <w:sz w:val="24"/>
                <w:highlight w:val="none"/>
              </w:rPr>
              <w:t>构成本磋商文件的各个组成文件应互为解释，互为说明；如有不明确或不一致，构成合同文件组成内容的，以合同文件约定内容为准，除磋商文件中有特别规定外，仅适用于采购阶段的规定，按磋商公告、供应商须知、评分方法、响应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p w14:paraId="0508B547">
            <w:pPr>
              <w:shd w:val="clear" w:color="auto" w:fill="auto"/>
              <w:spacing w:line="360" w:lineRule="auto"/>
              <w:rPr>
                <w:rFonts w:hint="eastAsia" w:ascii="宋体" w:hAnsi="宋体" w:cs="宋体"/>
                <w:sz w:val="24"/>
                <w:highlight w:val="none"/>
              </w:rPr>
            </w:pPr>
            <w:r>
              <w:rPr>
                <w:rFonts w:hint="eastAsia" w:ascii="宋体" w:hAnsi="宋体" w:cs="宋体"/>
                <w:color w:val="000000"/>
                <w:kern w:val="10"/>
                <w:sz w:val="24"/>
                <w:highlight w:val="none"/>
              </w:rPr>
              <w:t>2、本文件中“磋商文件”、“采购文件”所表述的为同一内容；本文件中“磋商公告”、“采购公告”所表述的为同一内容；本文件中“招标人”、“采购人”所表述的为同一内容；本文件中“投标人”、“供应商”所表述的为同一内容；本文件中“中标人”、“成交人”所表述的为同一内容；本文件中“响应性文件”、“投标文件”所表述的为同一内容；本文件中“合同履行期限”、“交货期”、“交货及完工期”“完成期限”所表述的为同一内容，本文件中“货物名称”、 “投标货物名称”“产品名称”、“投标产品名称”所表述的为同一内容。</w:t>
            </w:r>
          </w:p>
        </w:tc>
      </w:tr>
      <w:tr w14:paraId="3FD74FCF">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1C3A0808">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46</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F865FD5">
            <w:pPr>
              <w:shd w:val="clear" w:color="auto" w:fill="auto"/>
              <w:spacing w:line="360" w:lineRule="auto"/>
              <w:jc w:val="center"/>
              <w:rPr>
                <w:rFonts w:hint="eastAsia" w:ascii="宋体" w:hAnsi="宋体" w:cs="宋体"/>
                <w:sz w:val="24"/>
                <w:highlight w:val="none"/>
              </w:rPr>
            </w:pPr>
            <w:r>
              <w:rPr>
                <w:rFonts w:hint="eastAsia" w:ascii="宋体" w:hAnsi="宋体" w:cs="宋体"/>
                <w:kern w:val="44"/>
                <w:sz w:val="24"/>
                <w:highlight w:val="none"/>
              </w:rPr>
              <w:t>磋商文件的约束力</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8E01272">
            <w:pPr>
              <w:shd w:val="clear" w:color="auto" w:fill="auto"/>
              <w:spacing w:line="360" w:lineRule="auto"/>
              <w:rPr>
                <w:rFonts w:hint="eastAsia" w:ascii="宋体" w:hAnsi="宋体" w:cs="宋体"/>
                <w:sz w:val="24"/>
                <w:highlight w:val="none"/>
              </w:rPr>
            </w:pPr>
            <w:r>
              <w:rPr>
                <w:rFonts w:hint="eastAsia" w:ascii="宋体" w:hAnsi="宋体" w:cs="宋体"/>
                <w:kern w:val="44"/>
                <w:sz w:val="24"/>
                <w:highlight w:val="none"/>
              </w:rPr>
              <w:t>投标人一旦获取了本磋商文件并参加投标，即被认为对本磋商文件中的所有条件和规定均无异议。</w:t>
            </w:r>
          </w:p>
        </w:tc>
      </w:tr>
      <w:tr w14:paraId="27AFB98D">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4485541">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47</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611374E9">
            <w:pPr>
              <w:shd w:val="clear" w:color="auto" w:fill="auto"/>
              <w:spacing w:line="360" w:lineRule="auto"/>
              <w:jc w:val="center"/>
              <w:rPr>
                <w:rFonts w:hint="eastAsia" w:ascii="宋体" w:hAnsi="宋体" w:cs="宋体"/>
                <w:sz w:val="24"/>
                <w:highlight w:val="none"/>
              </w:rPr>
            </w:pPr>
            <w:r>
              <w:rPr>
                <w:rFonts w:hint="eastAsia" w:ascii="宋体" w:hAnsi="宋体" w:cs="宋体"/>
                <w:sz w:val="24"/>
                <w:highlight w:val="none"/>
              </w:rPr>
              <w:t>需要补充的其他内容</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68EF4310">
            <w:pPr>
              <w:shd w:val="clear" w:color="auto" w:fill="auto"/>
              <w:spacing w:line="360" w:lineRule="auto"/>
              <w:rPr>
                <w:rFonts w:hint="eastAsia" w:ascii="宋体" w:hAnsi="宋体" w:eastAsia="宋体" w:cs="宋体"/>
                <w:sz w:val="24"/>
                <w:highlight w:val="none"/>
                <w:lang w:eastAsia="zh-CN"/>
              </w:rPr>
            </w:pPr>
            <w:r>
              <w:rPr>
                <w:rFonts w:hint="eastAsia" w:ascii="宋体" w:hAnsi="宋体" w:cs="宋体"/>
                <w:sz w:val="24"/>
                <w:highlight w:val="none"/>
                <w:lang w:val="en-US" w:eastAsia="zh-CN"/>
              </w:rPr>
              <w:t>1</w:t>
            </w:r>
            <w:r>
              <w:rPr>
                <w:rFonts w:hint="eastAsia" w:ascii="宋体" w:hAnsi="宋体" w:cs="宋体"/>
                <w:sz w:val="24"/>
                <w:highlight w:val="none"/>
              </w:rPr>
              <w:t>、</w:t>
            </w:r>
            <w:r>
              <w:rPr>
                <w:rFonts w:ascii="宋体" w:hAnsi="宋体" w:cs="宋体"/>
                <w:sz w:val="24"/>
                <w:highlight w:val="none"/>
              </w:rPr>
              <w:t>采购人严格按三财购【2021】9号文要求的时限发布中标结果公告，发出中标通知书，签订采购合同，上传采购合同</w:t>
            </w:r>
            <w:r>
              <w:rPr>
                <w:rFonts w:hint="eastAsia" w:ascii="宋体" w:hAnsi="宋体" w:cs="宋体"/>
                <w:sz w:val="24"/>
                <w:highlight w:val="none"/>
                <w:lang w:eastAsia="zh-CN"/>
              </w:rPr>
              <w:t>；</w:t>
            </w:r>
          </w:p>
          <w:p w14:paraId="5B790A3F">
            <w:pPr>
              <w:shd w:val="clear" w:color="auto" w:fill="auto"/>
              <w:spacing w:line="360" w:lineRule="auto"/>
              <w:rPr>
                <w:rFonts w:hint="eastAsia" w:ascii="宋体" w:hAnsi="宋体" w:eastAsia="宋体" w:cs="宋体"/>
                <w:sz w:val="24"/>
                <w:highlight w:val="none"/>
                <w:lang w:eastAsia="zh-CN"/>
              </w:rPr>
            </w:pPr>
            <w:r>
              <w:rPr>
                <w:rFonts w:hint="eastAsia" w:ascii="宋体" w:hAnsi="宋体" w:cs="宋体"/>
                <w:sz w:val="24"/>
                <w:highlight w:val="none"/>
                <w:lang w:val="en-US" w:eastAsia="zh-CN"/>
              </w:rPr>
              <w:t>2</w:t>
            </w:r>
            <w:r>
              <w:rPr>
                <w:rFonts w:hint="eastAsia" w:ascii="宋体" w:hAnsi="宋体" w:cs="宋体"/>
                <w:sz w:val="24"/>
                <w:highlight w:val="none"/>
              </w:rPr>
              <w:t>、其它未尽事宜，按国家有关法律、法规执行</w:t>
            </w:r>
            <w:r>
              <w:rPr>
                <w:rFonts w:hint="eastAsia" w:ascii="宋体" w:hAnsi="宋体" w:cs="宋体"/>
                <w:sz w:val="24"/>
                <w:highlight w:val="none"/>
                <w:lang w:eastAsia="zh-CN"/>
              </w:rPr>
              <w:t>；</w:t>
            </w:r>
          </w:p>
          <w:p w14:paraId="2CEC6030">
            <w:pPr>
              <w:shd w:val="clear" w:color="auto" w:fill="auto"/>
              <w:spacing w:line="360" w:lineRule="auto"/>
              <w:rPr>
                <w:rFonts w:hint="eastAsia" w:ascii="宋体" w:hAnsi="宋体" w:cs="宋体"/>
                <w:sz w:val="24"/>
                <w:highlight w:val="none"/>
              </w:rPr>
            </w:pPr>
            <w:r>
              <w:rPr>
                <w:rFonts w:hint="eastAsia" w:ascii="宋体" w:hAnsi="宋体" w:cs="宋体"/>
                <w:sz w:val="24"/>
                <w:highlight w:val="none"/>
                <w:lang w:val="en-US" w:eastAsia="zh-CN"/>
              </w:rPr>
              <w:t>3</w:t>
            </w:r>
            <w:r>
              <w:rPr>
                <w:rFonts w:hint="eastAsia" w:ascii="宋体" w:hAnsi="宋体" w:cs="宋体"/>
                <w:sz w:val="24"/>
                <w:highlight w:val="none"/>
              </w:rPr>
              <w:t>、技术咨询电</w:t>
            </w:r>
            <w:r>
              <w:rPr>
                <w:rFonts w:hint="eastAsia" w:ascii="宋体" w:hAnsi="宋体" w:eastAsia="宋体" w:cs="宋体"/>
                <w:sz w:val="24"/>
                <w:highlight w:val="none"/>
              </w:rPr>
              <w:t>话：0512-58188538</w:t>
            </w:r>
          </w:p>
        </w:tc>
      </w:tr>
      <w:tr w14:paraId="3F447ED1">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05441C4A">
            <w:pPr>
              <w:numPr>
                <w:ilvl w:val="0"/>
                <w:numId w:val="0"/>
              </w:numPr>
              <w:shd w:val="clear" w:color="auto" w:fill="auto"/>
              <w:spacing w:line="360" w:lineRule="auto"/>
              <w:jc w:val="both"/>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48</w:t>
            </w:r>
          </w:p>
        </w:tc>
        <w:tc>
          <w:tcPr>
            <w:tcW w:w="2211" w:type="dxa"/>
            <w:tcBorders>
              <w:top w:val="single" w:color="auto" w:sz="4" w:space="0"/>
              <w:left w:val="single" w:color="auto" w:sz="4" w:space="0"/>
              <w:bottom w:val="single" w:color="auto" w:sz="4" w:space="0"/>
              <w:right w:val="single" w:color="auto" w:sz="4" w:space="0"/>
            </w:tcBorders>
            <w:noWrap w:val="0"/>
            <w:vAlign w:val="center"/>
          </w:tcPr>
          <w:p w14:paraId="5403D48F">
            <w:pPr>
              <w:shd w:val="clear" w:color="auto" w:fill="auto"/>
              <w:spacing w:line="360" w:lineRule="auto"/>
              <w:jc w:val="center"/>
              <w:rPr>
                <w:rFonts w:hint="eastAsia" w:ascii="宋体" w:hAnsi="宋体" w:cs="宋体"/>
                <w:sz w:val="24"/>
                <w:highlight w:val="none"/>
              </w:rPr>
            </w:pPr>
            <w:r>
              <w:rPr>
                <w:rFonts w:hint="eastAsia" w:ascii="宋体" w:hAnsi="宋体"/>
                <w:sz w:val="24"/>
                <w:highlight w:val="none"/>
              </w:rPr>
              <w:t>政府采购政策</w:t>
            </w:r>
          </w:p>
        </w:tc>
        <w:tc>
          <w:tcPr>
            <w:tcW w:w="6739" w:type="dxa"/>
            <w:tcBorders>
              <w:top w:val="single" w:color="auto" w:sz="4" w:space="0"/>
              <w:left w:val="single" w:color="auto" w:sz="4" w:space="0"/>
              <w:bottom w:val="single" w:color="auto" w:sz="4" w:space="0"/>
              <w:right w:val="single" w:color="auto" w:sz="4" w:space="0"/>
            </w:tcBorders>
            <w:noWrap w:val="0"/>
            <w:vAlign w:val="center"/>
          </w:tcPr>
          <w:p w14:paraId="116F19F1">
            <w:pPr>
              <w:shd w:val="clear" w:color="auto" w:fill="auto"/>
              <w:spacing w:line="400" w:lineRule="exact"/>
              <w:ind w:left="142"/>
              <w:rPr>
                <w:rFonts w:hint="eastAsia" w:ascii="宋体" w:hAnsi="宋体" w:cs="Calibri"/>
                <w:color w:val="auto"/>
                <w:sz w:val="24"/>
                <w:szCs w:val="24"/>
                <w:highlight w:val="none"/>
              </w:rPr>
            </w:pPr>
            <w:r>
              <w:rPr>
                <w:rFonts w:hint="eastAsia" w:ascii="宋体" w:hAnsi="宋体" w:cs="Calibri"/>
                <w:color w:val="auto"/>
                <w:sz w:val="24"/>
                <w:szCs w:val="24"/>
                <w:highlight w:val="none"/>
                <w:lang w:val="en-US" w:eastAsia="zh-CN"/>
              </w:rPr>
              <w:t>1</w:t>
            </w:r>
            <w:r>
              <w:rPr>
                <w:rFonts w:hint="eastAsia" w:ascii="宋体" w:hAnsi="宋体" w:cs="Calibri"/>
                <w:color w:val="auto"/>
                <w:sz w:val="24"/>
                <w:szCs w:val="24"/>
                <w:highlight w:val="none"/>
              </w:rPr>
              <w:t>.划定标准为：《工业和信息化部、国家统计局、国家发展和改革委员会、财政部关于印发&lt;中小企业划型标准规定的通知&gt;（工信部联企业〔2011〕300号）规定的划分标准为依据。</w:t>
            </w:r>
          </w:p>
          <w:p w14:paraId="3CC34ED6">
            <w:pPr>
              <w:shd w:val="clear" w:color="auto" w:fill="auto"/>
              <w:spacing w:line="400" w:lineRule="exact"/>
              <w:ind w:left="142"/>
              <w:rPr>
                <w:rFonts w:ascii="宋体" w:hAnsi="宋体" w:cs="Calibri"/>
                <w:b/>
                <w:color w:val="auto"/>
                <w:sz w:val="24"/>
                <w:szCs w:val="24"/>
                <w:highlight w:val="none"/>
              </w:rPr>
            </w:pPr>
            <w:r>
              <w:rPr>
                <w:rFonts w:hint="eastAsia" w:ascii="宋体" w:hAnsi="宋体" w:cs="Calibri"/>
                <w:color w:val="auto"/>
                <w:sz w:val="24"/>
                <w:szCs w:val="24"/>
                <w:highlight w:val="none"/>
              </w:rPr>
              <w:t>本项目采购标的属于</w:t>
            </w:r>
            <w:r>
              <w:rPr>
                <w:rFonts w:hint="eastAsia" w:ascii="宋体" w:hAnsi="宋体" w:cs="Calibri"/>
                <w:b/>
                <w:color w:val="auto"/>
                <w:sz w:val="24"/>
                <w:szCs w:val="24"/>
                <w:highlight w:val="none"/>
              </w:rPr>
              <w:t>建筑业</w:t>
            </w:r>
            <w:r>
              <w:rPr>
                <w:rFonts w:hint="eastAsia" w:ascii="宋体" w:hAnsi="宋体" w:cs="Calibri"/>
                <w:color w:val="auto"/>
                <w:sz w:val="24"/>
                <w:szCs w:val="24"/>
                <w:highlight w:val="none"/>
              </w:rPr>
              <w:t>；</w:t>
            </w:r>
          </w:p>
          <w:p w14:paraId="0CF4931E">
            <w:pPr>
              <w:shd w:val="clear" w:color="auto" w:fill="auto"/>
              <w:spacing w:line="400" w:lineRule="exact"/>
              <w:ind w:left="142"/>
              <w:rPr>
                <w:rFonts w:hint="eastAsia" w:ascii="宋体" w:hAnsi="宋体" w:cs="Calibri"/>
                <w:color w:val="auto"/>
                <w:sz w:val="24"/>
                <w:szCs w:val="24"/>
                <w:highlight w:val="none"/>
              </w:rPr>
            </w:pPr>
            <w:r>
              <w:rPr>
                <w:rFonts w:hint="eastAsia" w:ascii="宋体" w:hAnsi="宋体" w:cs="Calibri"/>
                <w:color w:val="auto"/>
                <w:sz w:val="24"/>
                <w:szCs w:val="24"/>
                <w:highlight w:val="none"/>
                <w:lang w:val="en-US" w:eastAsia="zh-CN"/>
              </w:rPr>
              <w:t>2</w:t>
            </w:r>
            <w:r>
              <w:rPr>
                <w:rFonts w:hint="eastAsia" w:ascii="宋体" w:hAnsi="宋体" w:cs="Calibri"/>
                <w:color w:val="auto"/>
                <w:sz w:val="24"/>
                <w:szCs w:val="24"/>
                <w:highlight w:val="none"/>
              </w:rPr>
              <w:t>.小微企业的认定标准详见《关于印发《政府采购促进中小企业发展管理办法》的通知》（财库〔2020〕46号）。</w:t>
            </w:r>
          </w:p>
          <w:p w14:paraId="3123DB5E">
            <w:pPr>
              <w:shd w:val="clear" w:color="auto" w:fill="auto"/>
              <w:spacing w:line="400" w:lineRule="exact"/>
              <w:ind w:firstLine="482"/>
              <w:rPr>
                <w:rFonts w:hint="eastAsia" w:ascii="宋体" w:hAnsi="宋体" w:cs="Calibri"/>
                <w:color w:val="auto"/>
                <w:sz w:val="24"/>
                <w:szCs w:val="24"/>
                <w:highlight w:val="none"/>
              </w:rPr>
            </w:pPr>
            <w:r>
              <w:rPr>
                <w:rFonts w:hint="eastAsia" w:ascii="宋体" w:hAnsi="宋体" w:cs="Calibri"/>
                <w:color w:val="auto"/>
                <w:sz w:val="24"/>
                <w:szCs w:val="24"/>
                <w:highlight w:val="none"/>
              </w:rPr>
              <w:t>（1）小微企业认定标准：出具《中小企业声明函》。</w:t>
            </w:r>
          </w:p>
          <w:p w14:paraId="662C4728">
            <w:pPr>
              <w:shd w:val="clear" w:color="auto" w:fill="auto"/>
              <w:spacing w:line="400" w:lineRule="exact"/>
              <w:ind w:firstLine="482"/>
              <w:rPr>
                <w:rFonts w:hint="eastAsia" w:ascii="宋体" w:hAnsi="宋体" w:cs="Calibri"/>
                <w:color w:val="auto"/>
                <w:sz w:val="24"/>
                <w:szCs w:val="24"/>
                <w:highlight w:val="none"/>
              </w:rPr>
            </w:pPr>
            <w:r>
              <w:rPr>
                <w:rFonts w:hint="eastAsia" w:ascii="宋体" w:hAnsi="宋体" w:cs="Calibri"/>
                <w:color w:val="auto"/>
                <w:sz w:val="24"/>
                <w:szCs w:val="24"/>
                <w:highlight w:val="none"/>
              </w:rPr>
              <w:t>（2）残疾人福利性单位认定标准：出具《残疾人福利性单位声明函》。</w:t>
            </w:r>
          </w:p>
          <w:p w14:paraId="04C0D4D5">
            <w:pPr>
              <w:shd w:val="clear" w:color="auto" w:fill="auto"/>
              <w:spacing w:line="400" w:lineRule="exact"/>
              <w:ind w:firstLine="482"/>
              <w:rPr>
                <w:rFonts w:hint="eastAsia" w:ascii="宋体" w:hAnsi="宋体" w:cs="Calibri"/>
                <w:color w:val="auto"/>
                <w:sz w:val="24"/>
                <w:szCs w:val="24"/>
                <w:highlight w:val="none"/>
              </w:rPr>
            </w:pPr>
            <w:r>
              <w:rPr>
                <w:rFonts w:hint="eastAsia" w:ascii="宋体" w:hAnsi="宋体" w:cs="Calibri"/>
                <w:color w:val="auto"/>
                <w:sz w:val="24"/>
                <w:szCs w:val="24"/>
                <w:highlight w:val="none"/>
              </w:rPr>
              <w:t>（3）监狱企业的认定标准：省级以上监狱管理局、戒毒管理局（含新疆生产建设兵团）出具的属于监狱企业的证明文件。</w:t>
            </w:r>
          </w:p>
          <w:p w14:paraId="0219825D">
            <w:pPr>
              <w:shd w:val="clear" w:color="auto" w:fill="auto"/>
              <w:spacing w:line="360" w:lineRule="auto"/>
              <w:ind w:firstLine="482" w:firstLineChars="200"/>
              <w:rPr>
                <w:rFonts w:hint="eastAsia" w:ascii="宋体" w:hAnsi="宋体" w:cs="Calibri"/>
                <w:color w:val="auto"/>
                <w:sz w:val="24"/>
                <w:szCs w:val="24"/>
                <w:highlight w:val="none"/>
              </w:rPr>
            </w:pPr>
            <w:r>
              <w:rPr>
                <w:rFonts w:hint="eastAsia" w:ascii="宋体" w:hAnsi="宋体" w:cs="宋体"/>
                <w:b/>
                <w:bCs/>
                <w:color w:val="auto"/>
                <w:kern w:val="0"/>
                <w:sz w:val="24"/>
                <w:szCs w:val="24"/>
                <w:highlight w:val="none"/>
              </w:rPr>
              <w:t>残疾人福利性单位</w:t>
            </w:r>
            <w:r>
              <w:rPr>
                <w:rFonts w:hint="eastAsia" w:ascii="宋体" w:hAnsi="宋体" w:cs="宋体"/>
                <w:b/>
                <w:bCs/>
                <w:color w:val="auto"/>
                <w:kern w:val="0"/>
                <w:sz w:val="24"/>
                <w:szCs w:val="24"/>
                <w:highlight w:val="none"/>
                <w:lang w:eastAsia="zh-CN"/>
              </w:rPr>
              <w:t>、</w:t>
            </w:r>
            <w:r>
              <w:rPr>
                <w:rFonts w:hint="eastAsia" w:ascii="宋体" w:hAnsi="宋体" w:cs="宋体"/>
                <w:b/>
                <w:bCs/>
                <w:color w:val="auto"/>
                <w:kern w:val="0"/>
                <w:sz w:val="24"/>
                <w:szCs w:val="24"/>
                <w:highlight w:val="none"/>
              </w:rPr>
              <w:t>监狱企业视同小型、微型企业</w:t>
            </w:r>
            <w:r>
              <w:rPr>
                <w:rFonts w:hint="eastAsia" w:ascii="宋体" w:hAnsi="宋体" w:cs="宋体"/>
                <w:b/>
                <w:bCs/>
                <w:color w:val="auto"/>
                <w:kern w:val="0"/>
                <w:sz w:val="24"/>
                <w:szCs w:val="24"/>
                <w:highlight w:val="none"/>
                <w:lang w:eastAsia="zh-CN"/>
              </w:rPr>
              <w:t>。</w:t>
            </w:r>
          </w:p>
          <w:p w14:paraId="7D6DE559">
            <w:pPr>
              <w:shd w:val="clear" w:color="auto" w:fill="auto"/>
              <w:spacing w:line="360" w:lineRule="auto"/>
              <w:rPr>
                <w:rFonts w:hint="eastAsia" w:ascii="宋体" w:hAnsi="宋体" w:eastAsia="宋体"/>
                <w:sz w:val="24"/>
                <w:highlight w:val="none"/>
                <w:lang w:eastAsia="zh-CN"/>
              </w:rPr>
            </w:pPr>
            <w:r>
              <w:rPr>
                <w:rFonts w:hint="eastAsia" w:ascii="宋体" w:hAnsi="宋体" w:cs="Calibri"/>
                <w:color w:val="auto"/>
                <w:sz w:val="24"/>
                <w:szCs w:val="24"/>
                <w:highlight w:val="none"/>
              </w:rPr>
              <w:t>相关风险：提供虚假证明材料后果：投标人为取得上述身份而提供虚假证明材料，在评审过程中发现的，按无效标处理；已取得中标资格的，无论该行为是否影响中标，均取消其中标资格；该投标人还应承担由此引起的其他经济、法律责任。出现此种情形时，招标人、招标代理机构将有关情况上报政府采购监管部门，由监管部门按有关规定对其进行相应处罚。</w:t>
            </w:r>
          </w:p>
        </w:tc>
      </w:tr>
      <w:tr w14:paraId="71FC4CDE">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43885835">
            <w:pPr>
              <w:numPr>
                <w:ilvl w:val="0"/>
                <w:numId w:val="0"/>
              </w:numPr>
              <w:shd w:val="clear" w:color="auto" w:fill="auto"/>
              <w:spacing w:line="360" w:lineRule="auto"/>
              <w:jc w:val="center"/>
              <w:rPr>
                <w:rFonts w:hint="default" w:ascii="宋体" w:hAnsi="宋体" w:eastAsia="宋体" w:cs="宋体"/>
                <w:sz w:val="24"/>
                <w:highlight w:val="none"/>
                <w:lang w:val="en-US" w:eastAsia="zh-CN"/>
              </w:rPr>
            </w:pPr>
            <w:r>
              <w:rPr>
                <w:rFonts w:hint="eastAsia" w:ascii="宋体" w:hAnsi="宋体" w:cs="宋体"/>
                <w:sz w:val="24"/>
                <w:highlight w:val="none"/>
                <w:lang w:val="en-US" w:eastAsia="zh-CN"/>
              </w:rPr>
              <w:t>49</w:t>
            </w:r>
          </w:p>
        </w:tc>
        <w:tc>
          <w:tcPr>
            <w:tcW w:w="8950" w:type="dxa"/>
            <w:gridSpan w:val="2"/>
            <w:tcBorders>
              <w:top w:val="single" w:color="auto" w:sz="4" w:space="0"/>
              <w:left w:val="single" w:color="auto" w:sz="4" w:space="0"/>
              <w:bottom w:val="single" w:color="auto" w:sz="4" w:space="0"/>
              <w:right w:val="single" w:color="auto" w:sz="4" w:space="0"/>
            </w:tcBorders>
            <w:noWrap w:val="0"/>
            <w:vAlign w:val="center"/>
          </w:tcPr>
          <w:p w14:paraId="75828FBE">
            <w:pPr>
              <w:shd w:val="clear" w:color="auto" w:fill="auto"/>
              <w:spacing w:line="360" w:lineRule="auto"/>
              <w:rPr>
                <w:rFonts w:hint="eastAsia" w:ascii="宋体" w:hAnsi="宋体" w:cs="宋体"/>
                <w:sz w:val="24"/>
                <w:szCs w:val="22"/>
                <w:highlight w:val="none"/>
              </w:rPr>
            </w:pPr>
            <w:r>
              <w:rPr>
                <w:rFonts w:hint="eastAsia" w:ascii="宋体" w:hAnsi="宋体" w:cs="宋体"/>
                <w:sz w:val="24"/>
                <w:szCs w:val="22"/>
                <w:highlight w:val="none"/>
              </w:rPr>
              <w:t>电子化交易注意事项：</w:t>
            </w:r>
          </w:p>
          <w:p w14:paraId="067479F0">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本项目为电子化、无纸化交易项目，投标文件是供应商、供应商（以下简称“供应商”）通过中心投标文件制作系统制作，并经过电子签章和加密后生成的电子版投标文件。供应商投标时，将不再接受任何纸质文件资料。为保证您能投标成功，请需仔细阅读以下条款：</w:t>
            </w:r>
          </w:p>
          <w:p w14:paraId="44A41107">
            <w:pPr>
              <w:shd w:val="clear" w:color="auto" w:fill="auto"/>
              <w:spacing w:line="360" w:lineRule="auto"/>
              <w:rPr>
                <w:rFonts w:ascii="宋体" w:hAnsi="宋体" w:cs="宋体"/>
                <w:sz w:val="24"/>
                <w:szCs w:val="22"/>
                <w:highlight w:val="none"/>
              </w:rPr>
            </w:pPr>
            <w:r>
              <w:rPr>
                <w:rFonts w:hint="eastAsia" w:ascii="宋体" w:hAnsi="宋体" w:cs="宋体"/>
                <w:sz w:val="24"/>
                <w:szCs w:val="22"/>
                <w:highlight w:val="none"/>
              </w:rPr>
              <w:t>（一）电子化投标文件的签章</w:t>
            </w:r>
          </w:p>
          <w:p w14:paraId="217E675B">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1、供应商在生成电子化投标文件后，应对电子化投标文件进行签章，未进行签章的视为无效投标。</w:t>
            </w:r>
          </w:p>
          <w:p w14:paraId="15846E1D">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2、招标文件中要求法定代表人或授权委托人签字或盖章的，供应商在进行电子化投标文件签章时，以签盖法定代表人签章为准。</w:t>
            </w:r>
          </w:p>
          <w:p w14:paraId="0E3ECF8A">
            <w:pPr>
              <w:shd w:val="clear" w:color="auto" w:fill="auto"/>
              <w:spacing w:line="360" w:lineRule="auto"/>
              <w:rPr>
                <w:rFonts w:ascii="宋体" w:hAnsi="宋体" w:cs="宋体"/>
                <w:sz w:val="24"/>
                <w:szCs w:val="22"/>
                <w:highlight w:val="none"/>
              </w:rPr>
            </w:pPr>
            <w:r>
              <w:rPr>
                <w:rFonts w:hint="eastAsia" w:ascii="宋体" w:hAnsi="宋体" w:cs="宋体"/>
                <w:sz w:val="24"/>
                <w:szCs w:val="22"/>
                <w:highlight w:val="none"/>
              </w:rPr>
              <w:t>（二）电子化投标文件的格式及上传投标</w:t>
            </w:r>
          </w:p>
          <w:p w14:paraId="6839394C">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1、供应商所上传的电子化投标文件，应是通过中心投标文件制作系统制作的，经过签章和加密后生成的电子版投标文件。其中包含用于投标文件上传的主文件（后缀为.smxtf）和用于应急补救的投标文件备份文件（后缀为.nsmxtf）。备份文件主要用于电子化开标出现技术问题后的补救，请供应商随身携带。</w:t>
            </w:r>
          </w:p>
          <w:p w14:paraId="0DEB2B4E">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注：供应商投报多个标段的，每个标段均要生成独立的电子投标文件。</w:t>
            </w:r>
          </w:p>
          <w:p w14:paraId="2F5651DA">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2、电子化投标文件应在投标截止时间前成功上传至三门峡市公共资源电子化交易系统。至投标截止时间止，仍未上传成功的电子化投标文件将不予接收。</w:t>
            </w:r>
          </w:p>
          <w:p w14:paraId="635B93C8">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注：如按照电子化投标操作教材制作完成的电子化投标文件无法上传的，供应商应在投标截止时间前尽早的联系中心技术人员，以便有充分的时间进行处理。供应商应充分考虑到处理技术问题和上传数据等工作所需的时间问题，投标文件未在投标截止时间前成功上传的，其投标文件不予接收。技术联系电话：0398-3117871</w:t>
            </w:r>
          </w:p>
          <w:p w14:paraId="285E6A36">
            <w:pPr>
              <w:shd w:val="clear" w:color="auto" w:fill="auto"/>
              <w:spacing w:line="360" w:lineRule="auto"/>
              <w:rPr>
                <w:rFonts w:ascii="宋体" w:hAnsi="宋体" w:cs="宋体"/>
                <w:sz w:val="24"/>
                <w:szCs w:val="22"/>
                <w:highlight w:val="none"/>
              </w:rPr>
            </w:pPr>
            <w:r>
              <w:rPr>
                <w:rFonts w:hint="eastAsia" w:ascii="宋体" w:hAnsi="宋体" w:cs="宋体"/>
                <w:sz w:val="24"/>
                <w:szCs w:val="22"/>
                <w:highlight w:val="none"/>
              </w:rPr>
              <w:t>（三）电子化项目开标、解密、唱标、评标</w:t>
            </w:r>
          </w:p>
          <w:p w14:paraId="57419561">
            <w:pPr>
              <w:shd w:val="clear" w:color="auto" w:fill="auto"/>
              <w:spacing w:line="360" w:lineRule="auto"/>
              <w:ind w:firstLine="573"/>
              <w:jc w:val="left"/>
              <w:rPr>
                <w:rFonts w:hint="eastAsia" w:ascii="宋体" w:hAnsi="宋体" w:cs="宋体"/>
                <w:sz w:val="24"/>
                <w:szCs w:val="22"/>
                <w:highlight w:val="none"/>
              </w:rPr>
            </w:pPr>
            <w:r>
              <w:rPr>
                <w:rFonts w:hint="eastAsia" w:ascii="宋体" w:hAnsi="宋体" w:cs="宋体"/>
                <w:sz w:val="24"/>
                <w:szCs w:val="22"/>
                <w:highlight w:val="none"/>
              </w:rPr>
              <w:t>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投标文件解密等</w:t>
            </w:r>
          </w:p>
          <w:p w14:paraId="69E5E2BE">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2、电子化投标文件采用一次加密方式。开标时，供应商使用供应商CA证书在规定时间内对其电子化投标文件进行解密。每位供应商的解密时间为开标时间起30分钟内，如在规定时间内未完成解密的，其投标文件不予开标、唱标。</w:t>
            </w:r>
          </w:p>
          <w:p w14:paraId="6CBC1416">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3、电子化投标文件异常情况的处理</w:t>
            </w:r>
          </w:p>
          <w:p w14:paraId="457F5380">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如出现供应商的电子投标文件无法解密等异常情况，供应商应及时致电中介服务机构说明。投标文件异常，按以下步骤进行处理：</w:t>
            </w:r>
          </w:p>
          <w:p w14:paraId="15C928AC">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（1）首先由技术人员进行问题排查。</w:t>
            </w:r>
          </w:p>
          <w:p w14:paraId="53A82557">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（2）经技术人员排查后，是供应商文件自身问题导致投标文件无法解密的，该投标文件将不予接收、解密和唱标。开标会议继续进行。</w:t>
            </w:r>
          </w:p>
          <w:p w14:paraId="1DEF9837">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1E71FB21">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4、待所有供应商投标文件解密完成后，由中介服务机构操作，对所有已解密投标文件进行唱标。</w:t>
            </w:r>
          </w:p>
          <w:p w14:paraId="31929C85">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供应商应保证在开标期间电话、电脑、网络能够正常工作，供应商因停电、电脑病毒、网络堵塞等原因，未在规定的解密时间内对投标文件进行解密的，其投标文件不予接收、唱标。</w:t>
            </w:r>
          </w:p>
          <w:p w14:paraId="7791EE25">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5、开标时供应商可登录到交易系统中在开标大厅中点击开标一览表查看自己的投标报价。如对自己的唱标内容有异议的，应在唱标内容显示后10分钟内向中介服务机构质疑。供应商未在规定时间内提出质疑的，视为认可唱标内容。</w:t>
            </w:r>
          </w:p>
          <w:p w14:paraId="72F81AD4">
            <w:pPr>
              <w:shd w:val="clear" w:color="auto" w:fill="auto"/>
              <w:spacing w:line="360" w:lineRule="auto"/>
              <w:ind w:firstLine="573"/>
              <w:rPr>
                <w:rFonts w:ascii="宋体" w:hAnsi="宋体" w:cs="宋体"/>
                <w:sz w:val="24"/>
                <w:szCs w:val="22"/>
                <w:highlight w:val="none"/>
              </w:rPr>
            </w:pPr>
            <w:r>
              <w:rPr>
                <w:rFonts w:hint="eastAsia" w:ascii="宋体" w:hAnsi="宋体" w:cs="宋体"/>
                <w:sz w:val="24"/>
                <w:szCs w:val="22"/>
                <w:highlight w:val="none"/>
              </w:rPr>
              <w:t>6、评标时，评标委员会对电子化投标文件有质疑的，将通过电子化交易系统对供应商发起质疑，并在监督人员的监督下，用免提模式致电需要答复的供应商进行详细质询。质疑回复内容确认后，供应商的回复文件必须以经过供应商和其法定代表人签章的PDF格式文件为准，并通过电子化交易系统提交至评标委员会。</w:t>
            </w:r>
          </w:p>
          <w:p w14:paraId="5645DCBA">
            <w:pPr>
              <w:shd w:val="clear" w:color="auto" w:fill="auto"/>
              <w:spacing w:line="360" w:lineRule="auto"/>
              <w:ind w:firstLine="573"/>
              <w:rPr>
                <w:rFonts w:hint="eastAsia" w:ascii="宋体" w:hAnsi="宋体" w:cs="宋体"/>
                <w:sz w:val="24"/>
                <w:szCs w:val="22"/>
                <w:highlight w:val="none"/>
              </w:rPr>
            </w:pPr>
            <w:r>
              <w:rPr>
                <w:rFonts w:hint="eastAsia" w:ascii="宋体" w:hAnsi="宋体" w:cs="宋体"/>
                <w:sz w:val="24"/>
                <w:szCs w:val="22"/>
                <w:highlight w:val="none"/>
              </w:rPr>
              <w:t>7、如评标委员会对需要回复的供应商连续三次致电未接通的，视为供应商放弃回复，评标委员会将自行对需要回复的内容进行认定。</w:t>
            </w:r>
          </w:p>
          <w:p w14:paraId="0B8A2184">
            <w:pPr>
              <w:shd w:val="clear" w:color="auto" w:fill="auto"/>
              <w:spacing w:line="360" w:lineRule="auto"/>
              <w:rPr>
                <w:rFonts w:hint="eastAsia" w:ascii="宋体" w:hAnsi="宋体" w:eastAsia="宋体" w:cs="宋体"/>
                <w:sz w:val="24"/>
                <w:highlight w:val="none"/>
              </w:rPr>
            </w:pPr>
            <w:r>
              <w:rPr>
                <w:rFonts w:hint="eastAsia" w:ascii="宋体" w:hAnsi="宋体" w:cs="宋体"/>
                <w:sz w:val="24"/>
                <w:szCs w:val="22"/>
                <w:highlight w:val="none"/>
              </w:rPr>
              <w:t>提示：本项目为电子化、无纸化交易项目，投标人时不再接受任何纸质资料，为保证您能投标成功，请需仔细阅读以上条款。</w:t>
            </w:r>
          </w:p>
        </w:tc>
      </w:tr>
      <w:tr w14:paraId="42FFDBB7">
        <w:tblPrEx>
          <w:tblCellMar>
            <w:top w:w="0" w:type="dxa"/>
            <w:left w:w="108" w:type="dxa"/>
            <w:bottom w:w="0" w:type="dxa"/>
            <w:right w:w="108" w:type="dxa"/>
          </w:tblCellMar>
        </w:tblPrEx>
        <w:trPr>
          <w:trHeight w:val="633" w:hRule="atLeast"/>
          <w:jc w:val="center"/>
        </w:trPr>
        <w:tc>
          <w:tcPr>
            <w:tcW w:w="993" w:type="dxa"/>
            <w:tcBorders>
              <w:top w:val="single" w:color="auto" w:sz="4" w:space="0"/>
              <w:left w:val="single" w:color="auto" w:sz="4" w:space="0"/>
              <w:bottom w:val="single" w:color="auto" w:sz="4" w:space="0"/>
              <w:right w:val="single" w:color="auto" w:sz="4" w:space="0"/>
            </w:tcBorders>
            <w:noWrap w:val="0"/>
            <w:vAlign w:val="center"/>
          </w:tcPr>
          <w:p w14:paraId="5E3772FF">
            <w:pPr>
              <w:shd w:val="clear" w:color="auto" w:fill="auto"/>
              <w:spacing w:line="360" w:lineRule="auto"/>
              <w:jc w:val="center"/>
              <w:rPr>
                <w:rFonts w:hint="default" w:ascii="宋体" w:hAnsi="宋体" w:cs="宋体"/>
                <w:sz w:val="24"/>
                <w:highlight w:val="none"/>
                <w:lang w:val="en-US" w:eastAsia="zh-CN"/>
              </w:rPr>
            </w:pPr>
            <w:r>
              <w:rPr>
                <w:rFonts w:hint="eastAsia" w:ascii="宋体" w:hAnsi="宋体" w:cs="宋体"/>
                <w:sz w:val="24"/>
                <w:highlight w:val="none"/>
                <w:lang w:val="en-US" w:eastAsia="zh-CN"/>
              </w:rPr>
              <w:t>50</w:t>
            </w:r>
          </w:p>
        </w:tc>
        <w:tc>
          <w:tcPr>
            <w:tcW w:w="8950" w:type="dxa"/>
            <w:gridSpan w:val="2"/>
            <w:tcBorders>
              <w:top w:val="single" w:color="auto" w:sz="4" w:space="0"/>
              <w:left w:val="single" w:color="auto" w:sz="4" w:space="0"/>
              <w:bottom w:val="single" w:color="auto" w:sz="4" w:space="0"/>
              <w:right w:val="single" w:color="auto" w:sz="4" w:space="0"/>
            </w:tcBorders>
            <w:noWrap w:val="0"/>
            <w:vAlign w:val="center"/>
          </w:tcPr>
          <w:p w14:paraId="29F4DC88">
            <w:pPr>
              <w:shd w:val="clear" w:color="auto" w:fill="auto"/>
              <w:spacing w:line="360" w:lineRule="auto"/>
              <w:rPr>
                <w:rFonts w:ascii="宋体" w:hAnsi="宋体" w:eastAsia="宋体" w:cs="宋体"/>
                <w:b/>
                <w:bCs/>
                <w:sz w:val="24"/>
                <w:szCs w:val="24"/>
                <w:highlight w:val="none"/>
              </w:rPr>
            </w:pPr>
            <w:r>
              <w:rPr>
                <w:rFonts w:ascii="宋体" w:hAnsi="宋体" w:eastAsia="宋体" w:cs="宋体"/>
                <w:b/>
                <w:bCs/>
                <w:sz w:val="24"/>
                <w:szCs w:val="24"/>
                <w:highlight w:val="none"/>
              </w:rPr>
              <w:t>河南省政府采购合同融资政策告知函</w:t>
            </w:r>
          </w:p>
          <w:p w14:paraId="26E94E61">
            <w:pPr>
              <w:shd w:val="clear" w:color="auto" w:fill="auto"/>
              <w:spacing w:line="360" w:lineRule="auto"/>
              <w:rPr>
                <w:rFonts w:hint="eastAsia" w:ascii="宋体" w:hAnsi="宋体" w:eastAsia="宋体" w:cs="宋体"/>
                <w:sz w:val="24"/>
                <w:szCs w:val="24"/>
                <w:highlight w:val="none"/>
              </w:rPr>
            </w:pPr>
            <w:r>
              <w:rPr>
                <w:rFonts w:ascii="宋体" w:hAnsi="宋体" w:eastAsia="宋体" w:cs="宋体"/>
                <w:b/>
                <w:bCs/>
                <w:sz w:val="24"/>
                <w:szCs w:val="24"/>
                <w:highlight w:val="none"/>
              </w:rPr>
              <w:t>各供应商： 欢迎贵公司参与河南省政府采购活动！ 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实施方案》（豫财购〔2017〕10 号），按照双方自愿的原则提供便捷、优惠的贷款服务。 贷款渠道和提供贷款的金融机构，可在河南省政府采购网“河南省政府采购合同融资平台”查询联系。</w:t>
            </w:r>
          </w:p>
        </w:tc>
      </w:tr>
    </w:tbl>
    <w:p w14:paraId="2E6B670B">
      <w:pPr>
        <w:shd w:val="clear" w:color="auto" w:fill="auto"/>
        <w:spacing w:line="400" w:lineRule="exact"/>
        <w:ind w:firstLine="480"/>
        <w:rPr>
          <w:rFonts w:hint="eastAsia" w:ascii="宋体" w:hAnsi="宋体" w:cs="宋体"/>
          <w:b/>
          <w:bCs/>
          <w:color w:val="auto"/>
          <w:kern w:val="28"/>
          <w:sz w:val="24"/>
          <w:szCs w:val="24"/>
          <w:highlight w:val="none"/>
        </w:rPr>
      </w:pPr>
      <w:bookmarkStart w:id="15" w:name="_Toc144974497"/>
      <w:bookmarkStart w:id="16" w:name="_Toc179632546"/>
      <w:bookmarkStart w:id="17" w:name="_Toc246996175"/>
      <w:bookmarkStart w:id="18" w:name="_Toc246996918"/>
      <w:bookmarkStart w:id="19" w:name="_Toc152045529"/>
      <w:bookmarkStart w:id="20" w:name="_Toc247085689"/>
      <w:bookmarkStart w:id="21" w:name="_Toc152042305"/>
      <w:bookmarkStart w:id="22" w:name="_Toc296602420"/>
      <w:bookmarkStart w:id="23" w:name="_Toc16520166"/>
      <w:bookmarkStart w:id="24" w:name="_Toc16520678"/>
      <w:bookmarkStart w:id="25" w:name="_Toc495647412"/>
      <w:bookmarkStart w:id="26" w:name="_Toc508179885"/>
      <w:bookmarkStart w:id="27" w:name="_Toc523220934"/>
    </w:p>
    <w:p w14:paraId="22E78759">
      <w:pPr>
        <w:shd w:val="clear" w:color="auto" w:fill="auto"/>
        <w:spacing w:line="400" w:lineRule="exact"/>
        <w:ind w:firstLine="480"/>
        <w:rPr>
          <w:rFonts w:hint="eastAsia" w:ascii="宋体" w:hAnsi="宋体" w:cs="宋体"/>
          <w:b/>
          <w:bCs/>
          <w:color w:val="auto"/>
          <w:kern w:val="28"/>
          <w:sz w:val="24"/>
          <w:szCs w:val="24"/>
          <w:highlight w:val="none"/>
        </w:rPr>
      </w:pPr>
      <w:r>
        <w:rPr>
          <w:rFonts w:hint="eastAsia" w:ascii="宋体" w:hAnsi="宋体" w:cs="宋体"/>
          <w:b/>
          <w:bCs/>
          <w:color w:val="auto"/>
          <w:kern w:val="28"/>
          <w:sz w:val="24"/>
          <w:szCs w:val="24"/>
          <w:highlight w:val="none"/>
        </w:rPr>
        <w:t>1. 总则</w:t>
      </w:r>
      <w:bookmarkEnd w:id="15"/>
      <w:bookmarkEnd w:id="16"/>
      <w:bookmarkEnd w:id="17"/>
      <w:bookmarkEnd w:id="18"/>
      <w:bookmarkEnd w:id="19"/>
      <w:bookmarkEnd w:id="20"/>
      <w:bookmarkEnd w:id="21"/>
      <w:bookmarkEnd w:id="22"/>
    </w:p>
    <w:p w14:paraId="22B7D380">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8" w:name="_Toc11983"/>
      <w:bookmarkStart w:id="29" w:name="_Toc247085690"/>
      <w:bookmarkStart w:id="30" w:name="_Toc77586913"/>
      <w:bookmarkStart w:id="31" w:name="_Toc30894"/>
      <w:bookmarkStart w:id="32" w:name="_Toc246996919"/>
      <w:bookmarkStart w:id="33" w:name="_Toc152045530"/>
      <w:bookmarkStart w:id="34" w:name="_Toc296602421"/>
      <w:bookmarkStart w:id="35" w:name="_Toc144974498"/>
      <w:bookmarkStart w:id="36" w:name="_Toc77586820"/>
      <w:bookmarkStart w:id="37" w:name="_Toc152042306"/>
      <w:bookmarkStart w:id="38" w:name="_Toc246996176"/>
      <w:bookmarkStart w:id="39" w:name="_Toc179632547"/>
      <w:r>
        <w:rPr>
          <w:rFonts w:hint="eastAsia" w:ascii="宋体" w:hAnsi="宋体" w:cs="宋体"/>
          <w:b/>
          <w:bCs/>
          <w:color w:val="auto"/>
          <w:kern w:val="28"/>
          <w:sz w:val="24"/>
          <w:szCs w:val="24"/>
          <w:highlight w:val="none"/>
        </w:rPr>
        <w:t>1.1 项目概况</w:t>
      </w:r>
      <w:bookmarkEnd w:id="28"/>
      <w:bookmarkEnd w:id="29"/>
      <w:bookmarkEnd w:id="30"/>
      <w:bookmarkEnd w:id="31"/>
      <w:bookmarkEnd w:id="32"/>
      <w:bookmarkEnd w:id="33"/>
      <w:bookmarkEnd w:id="34"/>
      <w:bookmarkEnd w:id="35"/>
      <w:bookmarkEnd w:id="36"/>
      <w:bookmarkEnd w:id="37"/>
      <w:bookmarkEnd w:id="38"/>
      <w:bookmarkEnd w:id="39"/>
    </w:p>
    <w:p w14:paraId="04AB5883">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1.1.1根据《政府采购竞争性磋商采购方式管理暂行办法》等有关法律、法规和规章的规定，本磋商项目已具备磋商条件，现对本项目施工进行竞争性磋商。</w:t>
      </w:r>
    </w:p>
    <w:p w14:paraId="4E17DA76">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1.1.2 本磋商项目招标人：见投标人须知前附表。</w:t>
      </w:r>
    </w:p>
    <w:p w14:paraId="056B4DEB">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1.1.3 本磋商项目招标代理机构：见投标人须知前附表。</w:t>
      </w:r>
    </w:p>
    <w:p w14:paraId="2EF5DB9F">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1.1.4 本磋商项目名称：见投标人须知前附表。</w:t>
      </w:r>
    </w:p>
    <w:p w14:paraId="07E99104">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0" w:name="_Toc296602422"/>
      <w:bookmarkStart w:id="41" w:name="_Toc246996920"/>
      <w:bookmarkStart w:id="42" w:name="_Toc16641"/>
      <w:bookmarkStart w:id="43" w:name="_Toc179632548"/>
      <w:bookmarkStart w:id="44" w:name="_Toc144974499"/>
      <w:bookmarkStart w:id="45" w:name="_Toc77586914"/>
      <w:bookmarkStart w:id="46" w:name="_Toc247085691"/>
      <w:bookmarkStart w:id="47" w:name="_Toc77586821"/>
      <w:bookmarkStart w:id="48" w:name="_Toc152045531"/>
      <w:bookmarkStart w:id="49" w:name="_Toc246996177"/>
      <w:bookmarkStart w:id="50" w:name="_Toc2179"/>
      <w:bookmarkStart w:id="51" w:name="_Toc152042307"/>
      <w:r>
        <w:rPr>
          <w:rFonts w:hint="eastAsia" w:ascii="宋体" w:hAnsi="宋体" w:cs="宋体"/>
          <w:b/>
          <w:bCs/>
          <w:color w:val="auto"/>
          <w:kern w:val="28"/>
          <w:sz w:val="24"/>
          <w:szCs w:val="24"/>
          <w:highlight w:val="none"/>
        </w:rPr>
        <w:t>1.2 资金来源和落实情况</w:t>
      </w:r>
      <w:bookmarkEnd w:id="40"/>
      <w:bookmarkEnd w:id="41"/>
      <w:bookmarkEnd w:id="42"/>
      <w:bookmarkEnd w:id="43"/>
      <w:bookmarkEnd w:id="44"/>
      <w:bookmarkEnd w:id="45"/>
      <w:bookmarkEnd w:id="46"/>
      <w:bookmarkEnd w:id="47"/>
      <w:bookmarkEnd w:id="48"/>
      <w:bookmarkEnd w:id="49"/>
      <w:bookmarkEnd w:id="50"/>
      <w:bookmarkEnd w:id="51"/>
    </w:p>
    <w:p w14:paraId="214D372A">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1.2.1 本磋商项目的资金来源及出资比例：见投标人须知前附表。</w:t>
      </w:r>
    </w:p>
    <w:p w14:paraId="2701FA97">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1.2.2 本磋商项目的资金落实情况：见投标人须知前附表。</w:t>
      </w:r>
    </w:p>
    <w:p w14:paraId="6D593F01">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52" w:name="_Toc179632549"/>
      <w:bookmarkStart w:id="53" w:name="_Toc77586822"/>
      <w:bookmarkStart w:id="54" w:name="_Toc247085692"/>
      <w:bookmarkStart w:id="55" w:name="_Toc144974500"/>
      <w:bookmarkStart w:id="56" w:name="_Toc152045532"/>
      <w:bookmarkStart w:id="57" w:name="_Toc246996921"/>
      <w:bookmarkStart w:id="58" w:name="_Toc152042308"/>
      <w:bookmarkStart w:id="59" w:name="_Toc296602423"/>
      <w:bookmarkStart w:id="60" w:name="_Toc246996178"/>
      <w:bookmarkStart w:id="61" w:name="_Toc30647"/>
      <w:bookmarkStart w:id="62" w:name="_Toc77586915"/>
      <w:bookmarkStart w:id="63" w:name="_Toc2409"/>
      <w:r>
        <w:rPr>
          <w:rFonts w:hint="eastAsia" w:ascii="宋体" w:hAnsi="宋体" w:cs="宋体"/>
          <w:b/>
          <w:bCs/>
          <w:color w:val="auto"/>
          <w:kern w:val="28"/>
          <w:sz w:val="24"/>
          <w:szCs w:val="24"/>
          <w:highlight w:val="none"/>
        </w:rPr>
        <w:t>1.3 磋商范围、工期、质量要求</w:t>
      </w:r>
      <w:bookmarkEnd w:id="52"/>
      <w:bookmarkEnd w:id="53"/>
      <w:bookmarkEnd w:id="54"/>
      <w:bookmarkEnd w:id="55"/>
      <w:bookmarkEnd w:id="56"/>
      <w:bookmarkEnd w:id="57"/>
      <w:bookmarkEnd w:id="58"/>
      <w:bookmarkEnd w:id="59"/>
      <w:bookmarkEnd w:id="60"/>
      <w:bookmarkEnd w:id="61"/>
      <w:bookmarkEnd w:id="62"/>
      <w:bookmarkEnd w:id="63"/>
    </w:p>
    <w:p w14:paraId="20482479">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1.3.1 本次磋商范围：见投标人须知前附表。</w:t>
      </w:r>
    </w:p>
    <w:p w14:paraId="29BBE0D0">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1.3.2 本磋商项目的工期：见投标人须知前附表。</w:t>
      </w:r>
    </w:p>
    <w:p w14:paraId="0E0AB12F">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1.3.3 本磋商项目的质量要求：见投标人须知前附表。</w:t>
      </w:r>
    </w:p>
    <w:p w14:paraId="7972DD00">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64" w:name="_Toc152042310"/>
      <w:bookmarkStart w:id="65" w:name="_Toc246996922"/>
      <w:bookmarkStart w:id="66" w:name="_Toc1703"/>
      <w:bookmarkStart w:id="67" w:name="_Toc296602424"/>
      <w:bookmarkStart w:id="68" w:name="_Toc246996179"/>
      <w:bookmarkStart w:id="69" w:name="_Toc77586823"/>
      <w:bookmarkStart w:id="70" w:name="_Toc4279"/>
      <w:bookmarkStart w:id="71" w:name="_Toc247085693"/>
      <w:bookmarkStart w:id="72" w:name="_Toc152045534"/>
      <w:bookmarkStart w:id="73" w:name="_Toc179632551"/>
      <w:bookmarkStart w:id="74" w:name="_Toc77586916"/>
      <w:bookmarkStart w:id="75" w:name="_Toc144974502"/>
      <w:r>
        <w:rPr>
          <w:rFonts w:hint="eastAsia" w:ascii="宋体" w:hAnsi="宋体" w:cs="宋体"/>
          <w:b/>
          <w:bCs/>
          <w:color w:val="auto"/>
          <w:kern w:val="28"/>
          <w:sz w:val="24"/>
          <w:szCs w:val="24"/>
          <w:highlight w:val="none"/>
        </w:rPr>
        <w:t>1.4 投标人资格要求</w:t>
      </w:r>
      <w:bookmarkEnd w:id="64"/>
      <w:bookmarkEnd w:id="65"/>
      <w:bookmarkEnd w:id="66"/>
      <w:bookmarkEnd w:id="67"/>
      <w:bookmarkEnd w:id="68"/>
      <w:bookmarkEnd w:id="69"/>
      <w:bookmarkEnd w:id="70"/>
      <w:bookmarkEnd w:id="71"/>
      <w:bookmarkEnd w:id="72"/>
      <w:bookmarkEnd w:id="73"/>
      <w:bookmarkEnd w:id="74"/>
      <w:bookmarkEnd w:id="75"/>
    </w:p>
    <w:p w14:paraId="5DAC64C4">
      <w:pPr>
        <w:shd w:val="clear" w:color="auto" w:fill="auto"/>
        <w:spacing w:line="400" w:lineRule="exact"/>
        <w:ind w:firstLine="283" w:firstLineChars="118"/>
        <w:rPr>
          <w:rFonts w:hint="eastAsia" w:ascii="宋体" w:hAnsi="宋体"/>
          <w:color w:val="auto"/>
          <w:sz w:val="24"/>
          <w:szCs w:val="28"/>
          <w:highlight w:val="none"/>
        </w:rPr>
      </w:pPr>
      <w:r>
        <w:rPr>
          <w:rFonts w:hint="eastAsia" w:ascii="宋体" w:hAnsi="宋体"/>
          <w:color w:val="auto"/>
          <w:sz w:val="24"/>
          <w:szCs w:val="28"/>
          <w:highlight w:val="none"/>
        </w:rPr>
        <w:t>1.4.1 本磋商项目的资格要求：</w:t>
      </w:r>
      <w:r>
        <w:rPr>
          <w:rFonts w:hint="eastAsia" w:ascii="宋体" w:hAnsi="宋体" w:cs="宋体"/>
          <w:color w:val="auto"/>
          <w:sz w:val="24"/>
          <w:szCs w:val="24"/>
          <w:highlight w:val="none"/>
        </w:rPr>
        <w:t>见投标人须知前附表。</w:t>
      </w:r>
      <w:r>
        <w:rPr>
          <w:rFonts w:hint="eastAsia" w:ascii="宋体" w:hAnsi="宋体"/>
          <w:color w:val="auto"/>
          <w:sz w:val="24"/>
          <w:szCs w:val="28"/>
          <w:highlight w:val="none"/>
        </w:rPr>
        <w:t>。</w:t>
      </w:r>
    </w:p>
    <w:p w14:paraId="734172D3">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1.4.2 投标人不得存在下列情形之一：</w:t>
      </w:r>
    </w:p>
    <w:p w14:paraId="657B2303">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（1）为招标人不具有独立法人资格的附属机构（单位）；</w:t>
      </w:r>
    </w:p>
    <w:p w14:paraId="179FF529">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（2）为本磋商项目前期准备提供设计或咨询服务的； </w:t>
      </w:r>
    </w:p>
    <w:p w14:paraId="2D8CA9F2">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（3）为本磋商项目的监理人；</w:t>
      </w:r>
    </w:p>
    <w:p w14:paraId="1D9F6E60">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（4）为本磋商项目的代建人； </w:t>
      </w:r>
    </w:p>
    <w:p w14:paraId="16C67741">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（5）为本磋商项目提供招标代理服务的； </w:t>
      </w:r>
    </w:p>
    <w:p w14:paraId="1954CA57">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（6）与本磋商项目的监理人或代建人或招标代理机构同为一个法定代表人的；</w:t>
      </w:r>
    </w:p>
    <w:p w14:paraId="1D35F826">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（7）与本磋商项目的监理人或代建人或招标代理机构相互控股或参股的；</w:t>
      </w:r>
    </w:p>
    <w:p w14:paraId="60DB4042">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（8）与本磋商项目的监理人或代建人或招标代理机构相互任职或工作的；</w:t>
      </w:r>
    </w:p>
    <w:p w14:paraId="5637AE9B">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（9）被责令停业的； </w:t>
      </w:r>
    </w:p>
    <w:p w14:paraId="5BCFC2A7">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（10）被暂停或取消投标资格的； </w:t>
      </w:r>
    </w:p>
    <w:p w14:paraId="670E0524">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（11）财产被接管或冻结的；</w:t>
      </w:r>
    </w:p>
    <w:p w14:paraId="7D2F5D97">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（12）在最近三年内有骗取成交或严重违约或重大工程质量问题的。</w:t>
      </w:r>
    </w:p>
    <w:p w14:paraId="3EE520D6">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76" w:name="_Toc144974503"/>
      <w:bookmarkStart w:id="77" w:name="_Toc20796"/>
      <w:bookmarkStart w:id="78" w:name="_Toc179632552"/>
      <w:bookmarkStart w:id="79" w:name="_Toc77586824"/>
      <w:bookmarkStart w:id="80" w:name="_Toc2510"/>
      <w:bookmarkStart w:id="81" w:name="_Toc152045535"/>
      <w:bookmarkStart w:id="82" w:name="_Toc77586917"/>
      <w:bookmarkStart w:id="83" w:name="_Toc152042311"/>
      <w:r>
        <w:rPr>
          <w:rFonts w:hint="eastAsia" w:ascii="宋体" w:hAnsi="宋体" w:cs="宋体"/>
          <w:b/>
          <w:bCs/>
          <w:color w:val="auto"/>
          <w:kern w:val="28"/>
          <w:sz w:val="24"/>
          <w:szCs w:val="24"/>
          <w:highlight w:val="none"/>
        </w:rPr>
        <w:t>1.5 费用承担</w:t>
      </w:r>
      <w:bookmarkEnd w:id="76"/>
      <w:bookmarkEnd w:id="77"/>
      <w:bookmarkEnd w:id="78"/>
      <w:bookmarkEnd w:id="79"/>
      <w:bookmarkEnd w:id="80"/>
      <w:bookmarkEnd w:id="81"/>
      <w:bookmarkEnd w:id="82"/>
      <w:bookmarkEnd w:id="83"/>
    </w:p>
    <w:p w14:paraId="2FF949D6">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投标人准备和参加投标活动发生的费用自理。</w:t>
      </w:r>
    </w:p>
    <w:p w14:paraId="79D669C5">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84" w:name="_Toc6528"/>
      <w:bookmarkStart w:id="85" w:name="_Toc10866"/>
      <w:bookmarkStart w:id="86" w:name="_Toc296602426"/>
      <w:bookmarkStart w:id="87" w:name="_Toc77586825"/>
      <w:bookmarkStart w:id="88" w:name="_Toc246996181"/>
      <w:bookmarkStart w:id="89" w:name="_Toc77586918"/>
      <w:bookmarkStart w:id="90" w:name="_Toc246996924"/>
      <w:bookmarkStart w:id="91" w:name="_Toc152045536"/>
      <w:bookmarkStart w:id="92" w:name="_Toc144974504"/>
      <w:bookmarkStart w:id="93" w:name="_Toc247085695"/>
      <w:bookmarkStart w:id="94" w:name="_Toc179632553"/>
      <w:bookmarkStart w:id="95" w:name="_Toc152042312"/>
      <w:r>
        <w:rPr>
          <w:rFonts w:hint="eastAsia" w:ascii="宋体" w:hAnsi="宋体" w:cs="宋体"/>
          <w:b/>
          <w:bCs/>
          <w:color w:val="auto"/>
          <w:kern w:val="28"/>
          <w:sz w:val="24"/>
          <w:szCs w:val="24"/>
          <w:highlight w:val="none"/>
        </w:rPr>
        <w:t>1.6 保密</w:t>
      </w:r>
      <w:bookmarkEnd w:id="84"/>
      <w:bookmarkEnd w:id="85"/>
      <w:bookmarkEnd w:id="86"/>
      <w:bookmarkEnd w:id="87"/>
      <w:bookmarkEnd w:id="88"/>
      <w:bookmarkEnd w:id="89"/>
      <w:bookmarkEnd w:id="90"/>
      <w:bookmarkEnd w:id="91"/>
      <w:bookmarkEnd w:id="92"/>
      <w:bookmarkEnd w:id="93"/>
      <w:bookmarkEnd w:id="94"/>
      <w:bookmarkEnd w:id="95"/>
    </w:p>
    <w:p w14:paraId="641660E2">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参与招标投标活动的各方应对竞争性磋商文件和磋商响应文件中的商业和技术等秘密保密，违者应对由此造成的后果承担法律责任。 </w:t>
      </w:r>
    </w:p>
    <w:p w14:paraId="70A26626">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96" w:name="_Toc144974505"/>
      <w:bookmarkStart w:id="97" w:name="_Toc179632554"/>
      <w:bookmarkStart w:id="98" w:name="_Toc247085696"/>
      <w:bookmarkStart w:id="99" w:name="_Toc77586826"/>
      <w:bookmarkStart w:id="100" w:name="_Toc15324"/>
      <w:bookmarkStart w:id="101" w:name="_Toc246996925"/>
      <w:bookmarkStart w:id="102" w:name="_Toc23615"/>
      <w:bookmarkStart w:id="103" w:name="_Toc246996182"/>
      <w:bookmarkStart w:id="104" w:name="_Toc77586919"/>
      <w:bookmarkStart w:id="105" w:name="_Toc296602427"/>
      <w:bookmarkStart w:id="106" w:name="_Toc152045537"/>
      <w:bookmarkStart w:id="107" w:name="_Toc152042313"/>
      <w:r>
        <w:rPr>
          <w:rFonts w:hint="eastAsia" w:ascii="宋体" w:hAnsi="宋体" w:cs="宋体"/>
          <w:b/>
          <w:bCs/>
          <w:color w:val="auto"/>
          <w:kern w:val="28"/>
          <w:sz w:val="24"/>
          <w:szCs w:val="24"/>
          <w:highlight w:val="none"/>
        </w:rPr>
        <w:t>1.7 语言</w:t>
      </w:r>
      <w:bookmarkEnd w:id="96"/>
      <w:r>
        <w:rPr>
          <w:rFonts w:hint="eastAsia" w:ascii="宋体" w:hAnsi="宋体" w:cs="宋体"/>
          <w:b/>
          <w:bCs/>
          <w:color w:val="auto"/>
          <w:kern w:val="28"/>
          <w:sz w:val="24"/>
          <w:szCs w:val="24"/>
          <w:highlight w:val="none"/>
        </w:rPr>
        <w:t>文字</w:t>
      </w:r>
      <w:bookmarkEnd w:id="97"/>
      <w:bookmarkEnd w:id="98"/>
      <w:bookmarkEnd w:id="99"/>
      <w:bookmarkEnd w:id="100"/>
      <w:bookmarkEnd w:id="101"/>
      <w:bookmarkEnd w:id="102"/>
      <w:bookmarkEnd w:id="103"/>
      <w:bookmarkEnd w:id="104"/>
      <w:bookmarkEnd w:id="105"/>
      <w:bookmarkEnd w:id="106"/>
      <w:bookmarkEnd w:id="107"/>
    </w:p>
    <w:p w14:paraId="6F55FFDB">
      <w:pPr>
        <w:shd w:val="clear" w:color="auto" w:fill="auto"/>
        <w:spacing w:line="400" w:lineRule="exact"/>
        <w:ind w:firstLine="480" w:firstLineChars="200"/>
        <w:rPr>
          <w:rFonts w:hint="eastAsia" w:ascii="宋体" w:hAnsi="宋体" w:cs="宋体"/>
          <w:color w:val="auto"/>
          <w:sz w:val="24"/>
          <w:szCs w:val="24"/>
          <w:highlight w:val="none"/>
        </w:rPr>
      </w:pPr>
      <w:bookmarkStart w:id="108" w:name="_Toc152042314"/>
      <w:bookmarkStart w:id="109" w:name="_Toc246996183"/>
      <w:bookmarkStart w:id="110" w:name="_Toc144974506"/>
      <w:bookmarkStart w:id="111" w:name="_Toc152045538"/>
      <w:bookmarkStart w:id="112" w:name="_Toc246996926"/>
      <w:bookmarkStart w:id="113" w:name="_Toc179632555"/>
      <w:bookmarkStart w:id="114" w:name="_Toc247085697"/>
      <w:r>
        <w:rPr>
          <w:rFonts w:hint="eastAsia" w:ascii="宋体" w:hAnsi="宋体" w:cs="宋体"/>
          <w:color w:val="auto"/>
          <w:sz w:val="24"/>
          <w:szCs w:val="24"/>
          <w:highlight w:val="none"/>
        </w:rPr>
        <w:t>招标磋商响应文件使用的语言文字为中文。专用术语使用外文的，应附有中文注释。</w:t>
      </w:r>
    </w:p>
    <w:p w14:paraId="2DD44164">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15" w:name="_Toc296602428"/>
      <w:bookmarkStart w:id="116" w:name="_Toc77586920"/>
      <w:bookmarkStart w:id="117" w:name="_Toc9560"/>
      <w:bookmarkStart w:id="118" w:name="_Toc77586827"/>
      <w:bookmarkStart w:id="119" w:name="_Toc18882"/>
      <w:r>
        <w:rPr>
          <w:rFonts w:hint="eastAsia" w:ascii="宋体" w:hAnsi="宋体" w:cs="宋体"/>
          <w:b/>
          <w:bCs/>
          <w:color w:val="auto"/>
          <w:kern w:val="28"/>
          <w:sz w:val="24"/>
          <w:szCs w:val="24"/>
          <w:highlight w:val="none"/>
        </w:rPr>
        <w:t>1.8 计量单位</w:t>
      </w:r>
      <w:bookmarkEnd w:id="108"/>
      <w:bookmarkEnd w:id="109"/>
      <w:bookmarkEnd w:id="110"/>
      <w:bookmarkEnd w:id="111"/>
      <w:bookmarkEnd w:id="112"/>
      <w:bookmarkEnd w:id="113"/>
      <w:bookmarkEnd w:id="114"/>
      <w:bookmarkEnd w:id="115"/>
      <w:bookmarkEnd w:id="116"/>
      <w:bookmarkEnd w:id="117"/>
      <w:bookmarkEnd w:id="118"/>
      <w:bookmarkEnd w:id="119"/>
    </w:p>
    <w:p w14:paraId="446C5073">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所有计量均采用中华人民共和国法定计量单位。</w:t>
      </w:r>
    </w:p>
    <w:p w14:paraId="1627834D">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20" w:name="_Toc77586828"/>
      <w:bookmarkStart w:id="121" w:name="_Toc247592876"/>
      <w:bookmarkStart w:id="122" w:name="_Toc296602429"/>
      <w:bookmarkStart w:id="123" w:name="_Toc247513962"/>
      <w:bookmarkStart w:id="124" w:name="_Toc19917"/>
      <w:bookmarkStart w:id="125" w:name="_Toc152045539"/>
      <w:bookmarkStart w:id="126" w:name="_Toc247527563"/>
      <w:bookmarkStart w:id="127" w:name="_Toc152042315"/>
      <w:bookmarkStart w:id="128" w:name="_Toc144974507"/>
      <w:bookmarkStart w:id="129" w:name="_Toc77586921"/>
      <w:bookmarkStart w:id="130" w:name="_Toc8575"/>
      <w:r>
        <w:rPr>
          <w:rFonts w:hint="eastAsia" w:ascii="宋体" w:hAnsi="宋体" w:cs="宋体"/>
          <w:b/>
          <w:bCs/>
          <w:color w:val="auto"/>
          <w:kern w:val="28"/>
          <w:sz w:val="24"/>
          <w:szCs w:val="24"/>
          <w:highlight w:val="none"/>
        </w:rPr>
        <w:t>1.9 踏勘现场</w:t>
      </w:r>
      <w:bookmarkEnd w:id="120"/>
      <w:bookmarkEnd w:id="121"/>
      <w:bookmarkEnd w:id="122"/>
      <w:bookmarkEnd w:id="123"/>
      <w:bookmarkEnd w:id="124"/>
      <w:bookmarkEnd w:id="125"/>
      <w:bookmarkEnd w:id="126"/>
      <w:bookmarkEnd w:id="127"/>
      <w:bookmarkEnd w:id="128"/>
      <w:bookmarkEnd w:id="129"/>
      <w:bookmarkEnd w:id="130"/>
    </w:p>
    <w:p w14:paraId="52C67434">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1.9.1 招标人不组织现场踏勘，由投标人自行踏勘。 </w:t>
      </w:r>
    </w:p>
    <w:p w14:paraId="34E8AE74">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1.9.2 投标人踏勘现场发生的费用自理。</w:t>
      </w:r>
    </w:p>
    <w:p w14:paraId="4FBBEF5D">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1.9.3 投标人自行负责在踏勘现场中所发生的人员伤亡和财产损失。</w:t>
      </w:r>
    </w:p>
    <w:p w14:paraId="7491DE21">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1.9.4 投标人在踏勘现场中看到的工程场地和相关的周边环境情况，供投标人在编制磋商响应文件时参考，招标人不对投标人据此作出的判断和决策负责。</w:t>
      </w:r>
    </w:p>
    <w:p w14:paraId="2AF28198">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31" w:name="_Toc77586829"/>
      <w:bookmarkStart w:id="132" w:name="_Toc247592877"/>
      <w:bookmarkStart w:id="133" w:name="_Toc152042316"/>
      <w:bookmarkStart w:id="134" w:name="_Toc21093"/>
      <w:bookmarkStart w:id="135" w:name="_Toc247513963"/>
      <w:bookmarkStart w:id="136" w:name="_Toc247527564"/>
      <w:bookmarkStart w:id="137" w:name="_Toc3560"/>
      <w:bookmarkStart w:id="138" w:name="_Toc77586922"/>
      <w:bookmarkStart w:id="139" w:name="_Toc152045540"/>
      <w:bookmarkStart w:id="140" w:name="_Toc144974508"/>
      <w:bookmarkStart w:id="141" w:name="_Toc296602430"/>
      <w:r>
        <w:rPr>
          <w:rFonts w:hint="eastAsia" w:ascii="宋体" w:hAnsi="宋体" w:cs="宋体"/>
          <w:b/>
          <w:bCs/>
          <w:color w:val="auto"/>
          <w:kern w:val="28"/>
          <w:sz w:val="24"/>
          <w:szCs w:val="24"/>
          <w:highlight w:val="none"/>
        </w:rPr>
        <w:t>1.10 投标预备会</w:t>
      </w:r>
      <w:bookmarkEnd w:id="131"/>
      <w:bookmarkEnd w:id="132"/>
      <w:bookmarkEnd w:id="133"/>
      <w:bookmarkEnd w:id="134"/>
      <w:bookmarkEnd w:id="135"/>
      <w:bookmarkEnd w:id="136"/>
      <w:bookmarkEnd w:id="137"/>
      <w:bookmarkEnd w:id="138"/>
      <w:bookmarkEnd w:id="139"/>
      <w:bookmarkEnd w:id="140"/>
      <w:bookmarkEnd w:id="141"/>
      <w:bookmarkStart w:id="142" w:name="_Toc296602431"/>
    </w:p>
    <w:p w14:paraId="08FD75B5">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不召开</w:t>
      </w:r>
    </w:p>
    <w:p w14:paraId="787EABA8">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43" w:name="_Toc12414"/>
      <w:bookmarkStart w:id="144" w:name="_Toc77586923"/>
      <w:bookmarkStart w:id="145" w:name="_Toc77586830"/>
      <w:bookmarkStart w:id="146" w:name="_Toc1192"/>
      <w:r>
        <w:rPr>
          <w:rFonts w:hint="eastAsia" w:ascii="宋体" w:hAnsi="宋体" w:cs="宋体"/>
          <w:b/>
          <w:bCs/>
          <w:color w:val="auto"/>
          <w:kern w:val="28"/>
          <w:sz w:val="24"/>
          <w:szCs w:val="24"/>
          <w:highlight w:val="none"/>
        </w:rPr>
        <w:t xml:space="preserve">1.11 </w:t>
      </w:r>
      <w:bookmarkEnd w:id="142"/>
      <w:r>
        <w:rPr>
          <w:rFonts w:hint="eastAsia" w:ascii="宋体" w:hAnsi="宋体" w:cs="宋体"/>
          <w:b/>
          <w:bCs/>
          <w:color w:val="auto"/>
          <w:kern w:val="28"/>
          <w:sz w:val="24"/>
          <w:szCs w:val="24"/>
          <w:highlight w:val="none"/>
        </w:rPr>
        <w:t>分包</w:t>
      </w:r>
      <w:bookmarkEnd w:id="143"/>
      <w:bookmarkEnd w:id="144"/>
      <w:bookmarkEnd w:id="145"/>
      <w:bookmarkEnd w:id="146"/>
    </w:p>
    <w:p w14:paraId="46C2CA86">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不允许</w:t>
      </w:r>
    </w:p>
    <w:p w14:paraId="03C3068C">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47" w:name="_Toc152042318"/>
      <w:bookmarkStart w:id="148" w:name="_Toc12796"/>
      <w:bookmarkStart w:id="149" w:name="_Toc77586924"/>
      <w:bookmarkStart w:id="150" w:name="_Toc247085701"/>
      <w:bookmarkStart w:id="151" w:name="_Toc246996187"/>
      <w:bookmarkStart w:id="152" w:name="_Toc246996930"/>
      <w:bookmarkStart w:id="153" w:name="_Toc152045542"/>
      <w:bookmarkStart w:id="154" w:name="_Toc5930"/>
      <w:bookmarkStart w:id="155" w:name="_Toc179632560"/>
      <w:bookmarkStart w:id="156" w:name="_Toc296602432"/>
      <w:bookmarkStart w:id="157" w:name="_Toc77586831"/>
      <w:bookmarkStart w:id="158" w:name="_Toc144974510"/>
      <w:r>
        <w:rPr>
          <w:rFonts w:hint="eastAsia" w:ascii="宋体" w:hAnsi="宋体" w:cs="宋体"/>
          <w:b/>
          <w:bCs/>
          <w:color w:val="auto"/>
          <w:kern w:val="28"/>
          <w:sz w:val="24"/>
          <w:szCs w:val="24"/>
          <w:highlight w:val="none"/>
        </w:rPr>
        <w:t>2. 竞争性磋商文件</w:t>
      </w:r>
      <w:bookmarkEnd w:id="147"/>
      <w:bookmarkEnd w:id="148"/>
      <w:bookmarkEnd w:id="149"/>
      <w:bookmarkEnd w:id="150"/>
      <w:bookmarkEnd w:id="151"/>
      <w:bookmarkEnd w:id="152"/>
      <w:bookmarkEnd w:id="153"/>
      <w:bookmarkEnd w:id="154"/>
      <w:bookmarkEnd w:id="155"/>
      <w:bookmarkEnd w:id="156"/>
      <w:bookmarkEnd w:id="157"/>
      <w:bookmarkEnd w:id="158"/>
    </w:p>
    <w:p w14:paraId="237D9295">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59" w:name="_Toc247085702"/>
      <w:bookmarkStart w:id="160" w:name="_Toc20404"/>
      <w:bookmarkStart w:id="161" w:name="_Toc246996931"/>
      <w:bookmarkStart w:id="162" w:name="_Toc26477"/>
      <w:bookmarkStart w:id="163" w:name="_Toc296602433"/>
      <w:bookmarkStart w:id="164" w:name="_Toc246996188"/>
      <w:bookmarkStart w:id="165" w:name="_Toc77586832"/>
      <w:bookmarkStart w:id="166" w:name="_Toc179632561"/>
      <w:bookmarkStart w:id="167" w:name="_Toc77586925"/>
      <w:bookmarkStart w:id="168" w:name="_Toc144974511"/>
      <w:bookmarkStart w:id="169" w:name="_Toc152042319"/>
      <w:bookmarkStart w:id="170" w:name="_Toc152045543"/>
      <w:r>
        <w:rPr>
          <w:rFonts w:hint="eastAsia" w:ascii="宋体" w:hAnsi="宋体" w:cs="宋体"/>
          <w:b/>
          <w:bCs/>
          <w:color w:val="auto"/>
          <w:kern w:val="28"/>
          <w:sz w:val="24"/>
          <w:szCs w:val="24"/>
          <w:highlight w:val="none"/>
        </w:rPr>
        <w:t>2.1 竞争性磋商文件的组成</w:t>
      </w:r>
      <w:bookmarkEnd w:id="159"/>
      <w:bookmarkEnd w:id="160"/>
      <w:bookmarkEnd w:id="161"/>
      <w:bookmarkEnd w:id="162"/>
      <w:bookmarkEnd w:id="163"/>
      <w:bookmarkEnd w:id="164"/>
      <w:bookmarkEnd w:id="165"/>
      <w:bookmarkEnd w:id="166"/>
      <w:bookmarkEnd w:id="167"/>
      <w:bookmarkEnd w:id="168"/>
      <w:bookmarkEnd w:id="169"/>
      <w:bookmarkEnd w:id="170"/>
    </w:p>
    <w:p w14:paraId="13740EED">
      <w:pPr>
        <w:shd w:val="clear" w:color="auto" w:fill="auto"/>
        <w:spacing w:line="400" w:lineRule="exact"/>
        <w:ind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2.1.1 本竞争性磋商文件包括：</w:t>
      </w:r>
    </w:p>
    <w:p w14:paraId="4EA725FC">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（1）竞争性磋商公告；</w:t>
      </w:r>
    </w:p>
    <w:p w14:paraId="57E0FA44">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（2）投标人须知；</w:t>
      </w:r>
    </w:p>
    <w:p w14:paraId="4BB3CC0D">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（3）评标办法；</w:t>
      </w:r>
    </w:p>
    <w:p w14:paraId="2D0DC576">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（4）合同条款及格式；</w:t>
      </w:r>
    </w:p>
    <w:p w14:paraId="267EBD41">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（5）工程量清单</w:t>
      </w:r>
      <w:r>
        <w:rPr>
          <w:rFonts w:hint="eastAsia" w:ascii="宋体" w:hAnsi="宋体" w:cs="宋体"/>
          <w:color w:val="auto"/>
          <w:sz w:val="24"/>
          <w:szCs w:val="24"/>
          <w:highlight w:val="none"/>
          <w:lang w:val="en-US" w:eastAsia="zh-CN"/>
        </w:rPr>
        <w:t>及图纸</w:t>
      </w:r>
      <w:r>
        <w:rPr>
          <w:rFonts w:hint="eastAsia" w:ascii="宋体" w:hAnsi="宋体" w:cs="宋体"/>
          <w:color w:val="auto"/>
          <w:sz w:val="24"/>
          <w:szCs w:val="24"/>
          <w:highlight w:val="none"/>
        </w:rPr>
        <w:t xml:space="preserve">（另附）； </w:t>
      </w:r>
    </w:p>
    <w:p w14:paraId="700F15AB">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（6）技术标准和要求； </w:t>
      </w:r>
    </w:p>
    <w:p w14:paraId="45B8A335">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（7）磋商响应文件格式。</w:t>
      </w:r>
    </w:p>
    <w:p w14:paraId="1C646684">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2.1.2根据本章第2.2款和第2.3款对竞争性磋商文件所作的澄清、修改，构成竞争性磋商文件的组成部分。</w:t>
      </w:r>
    </w:p>
    <w:p w14:paraId="62709ED0">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71" w:name="_Toc246996932"/>
      <w:bookmarkStart w:id="172" w:name="_Toc296602434"/>
      <w:bookmarkStart w:id="173" w:name="_Toc246996189"/>
      <w:bookmarkStart w:id="174" w:name="_Toc77586833"/>
      <w:bookmarkStart w:id="175" w:name="_Toc152045544"/>
      <w:bookmarkStart w:id="176" w:name="_Toc247085703"/>
      <w:bookmarkStart w:id="177" w:name="_Toc179632562"/>
      <w:bookmarkStart w:id="178" w:name="_Toc5180"/>
      <w:bookmarkStart w:id="179" w:name="_Toc152042320"/>
      <w:bookmarkStart w:id="180" w:name="_Toc144974512"/>
      <w:bookmarkStart w:id="181" w:name="_Toc77586926"/>
      <w:bookmarkStart w:id="182" w:name="_Toc13856"/>
      <w:r>
        <w:rPr>
          <w:rFonts w:hint="eastAsia" w:ascii="宋体" w:hAnsi="宋体" w:cs="宋体"/>
          <w:b/>
          <w:bCs/>
          <w:color w:val="auto"/>
          <w:kern w:val="28"/>
          <w:sz w:val="24"/>
          <w:szCs w:val="24"/>
          <w:highlight w:val="none"/>
        </w:rPr>
        <w:t>2.2 竞争性磋商文件的澄清</w:t>
      </w:r>
      <w:bookmarkEnd w:id="171"/>
      <w:bookmarkEnd w:id="172"/>
      <w:bookmarkEnd w:id="173"/>
      <w:bookmarkEnd w:id="174"/>
      <w:bookmarkEnd w:id="175"/>
      <w:bookmarkEnd w:id="176"/>
      <w:bookmarkEnd w:id="177"/>
      <w:bookmarkEnd w:id="178"/>
      <w:bookmarkEnd w:id="179"/>
      <w:bookmarkEnd w:id="180"/>
      <w:bookmarkEnd w:id="181"/>
      <w:bookmarkEnd w:id="182"/>
    </w:p>
    <w:p w14:paraId="2F58F2A7">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2.2.1 投标人应仔细阅读和检查竞争性磋商文件的全部内容。如发现缺页或附件不全，应及时向招标人提出，以便补齐。如有疑问，应在投标人须知前附表规定的时间前以书面的形式，要求招标人对竞争性磋商文件予以澄清。</w:t>
      </w:r>
    </w:p>
    <w:p w14:paraId="3C1FC8AA">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2.2.2竞争性磋商文件的澄清将以公告形式发布到网上，但不指明澄清问题的来源。如果澄清发出的时间距投标人须知前附表规定的投标截止时间不足5天，并且澄清内容影响磋商响应文件编制的，将相应延长磋商截止时间。 </w:t>
      </w:r>
    </w:p>
    <w:p w14:paraId="743241E0">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83" w:name="_Toc247085704"/>
      <w:bookmarkStart w:id="184" w:name="_Toc179632563"/>
      <w:bookmarkStart w:id="185" w:name="_Toc152045545"/>
      <w:bookmarkStart w:id="186" w:name="_Toc4495"/>
      <w:bookmarkStart w:id="187" w:name="_Toc246996933"/>
      <w:bookmarkStart w:id="188" w:name="_Toc152042321"/>
      <w:bookmarkStart w:id="189" w:name="_Toc77586927"/>
      <w:bookmarkStart w:id="190" w:name="_Toc144974513"/>
      <w:bookmarkStart w:id="191" w:name="_Toc296602435"/>
      <w:bookmarkStart w:id="192" w:name="_Toc246996190"/>
      <w:bookmarkStart w:id="193" w:name="_Toc22075"/>
      <w:bookmarkStart w:id="194" w:name="_Toc77586834"/>
      <w:r>
        <w:rPr>
          <w:rFonts w:hint="eastAsia" w:ascii="宋体" w:hAnsi="宋体" w:cs="宋体"/>
          <w:b/>
          <w:bCs/>
          <w:color w:val="auto"/>
          <w:kern w:val="28"/>
          <w:sz w:val="24"/>
          <w:szCs w:val="24"/>
          <w:highlight w:val="none"/>
        </w:rPr>
        <w:t>2.3 竞争性磋商文件的修改</w:t>
      </w:r>
      <w:bookmarkEnd w:id="183"/>
      <w:bookmarkEnd w:id="184"/>
      <w:bookmarkEnd w:id="185"/>
      <w:bookmarkEnd w:id="186"/>
      <w:bookmarkEnd w:id="187"/>
      <w:bookmarkEnd w:id="188"/>
      <w:bookmarkEnd w:id="189"/>
      <w:bookmarkEnd w:id="190"/>
      <w:bookmarkEnd w:id="191"/>
      <w:bookmarkEnd w:id="192"/>
      <w:bookmarkEnd w:id="193"/>
      <w:bookmarkEnd w:id="194"/>
    </w:p>
    <w:p w14:paraId="4DEBFAD7">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2.3.1招标人可以书面形式修改竞争性磋商文件，但如果修改竞争性磋商文件的时间距投标截止时间不足5天，并且修改内容影响磋商响应文件编制的，将相应延长磋商截止时间。</w:t>
      </w:r>
    </w:p>
    <w:p w14:paraId="4BA46F54">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195" w:name="_Toc4969"/>
      <w:bookmarkStart w:id="196" w:name="_Toc77586928"/>
      <w:bookmarkStart w:id="197" w:name="_Toc77586835"/>
      <w:bookmarkStart w:id="198" w:name="_Toc152045546"/>
      <w:bookmarkStart w:id="199" w:name="_Toc10972"/>
      <w:bookmarkStart w:id="200" w:name="_Toc152042322"/>
      <w:bookmarkStart w:id="201" w:name="_Toc144974514"/>
      <w:bookmarkStart w:id="202" w:name="_Toc247085705"/>
      <w:bookmarkStart w:id="203" w:name="_Toc246996191"/>
      <w:bookmarkStart w:id="204" w:name="_Toc296602436"/>
      <w:bookmarkStart w:id="205" w:name="_Toc179632564"/>
      <w:bookmarkStart w:id="206" w:name="_Toc246996934"/>
      <w:r>
        <w:rPr>
          <w:rFonts w:hint="eastAsia" w:ascii="宋体" w:hAnsi="宋体" w:cs="宋体"/>
          <w:b/>
          <w:bCs/>
          <w:color w:val="auto"/>
          <w:kern w:val="28"/>
          <w:sz w:val="24"/>
          <w:szCs w:val="24"/>
          <w:highlight w:val="none"/>
        </w:rPr>
        <w:t>3. 竞争性磋商响应文件</w:t>
      </w:r>
      <w:bookmarkEnd w:id="195"/>
      <w:bookmarkEnd w:id="196"/>
      <w:bookmarkEnd w:id="197"/>
      <w:bookmarkEnd w:id="198"/>
      <w:bookmarkEnd w:id="199"/>
      <w:bookmarkEnd w:id="200"/>
      <w:bookmarkEnd w:id="201"/>
      <w:bookmarkEnd w:id="202"/>
      <w:bookmarkEnd w:id="203"/>
      <w:bookmarkEnd w:id="204"/>
      <w:bookmarkEnd w:id="205"/>
      <w:bookmarkEnd w:id="206"/>
    </w:p>
    <w:p w14:paraId="533FA951">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07" w:name="_Toc77586836"/>
      <w:bookmarkStart w:id="208" w:name="_Toc144974515"/>
      <w:bookmarkStart w:id="209" w:name="_Toc77586929"/>
      <w:bookmarkStart w:id="210" w:name="_Toc247085706"/>
      <w:bookmarkStart w:id="211" w:name="_Toc296602437"/>
      <w:bookmarkStart w:id="212" w:name="_Toc152042323"/>
      <w:bookmarkStart w:id="213" w:name="_Toc32015"/>
      <w:bookmarkStart w:id="214" w:name="_Toc5400"/>
      <w:bookmarkStart w:id="215" w:name="_Toc246996935"/>
      <w:bookmarkStart w:id="216" w:name="_Toc179632565"/>
      <w:bookmarkStart w:id="217" w:name="_Toc152045547"/>
      <w:bookmarkStart w:id="218" w:name="_Toc246996192"/>
      <w:r>
        <w:rPr>
          <w:rFonts w:hint="eastAsia" w:ascii="宋体" w:hAnsi="宋体" w:cs="宋体"/>
          <w:b/>
          <w:bCs/>
          <w:color w:val="auto"/>
          <w:kern w:val="28"/>
          <w:sz w:val="24"/>
          <w:szCs w:val="24"/>
          <w:highlight w:val="none"/>
        </w:rPr>
        <w:t>3.1 竞争性磋商响应文件的组成</w:t>
      </w:r>
      <w:bookmarkEnd w:id="207"/>
      <w:bookmarkEnd w:id="208"/>
      <w:bookmarkEnd w:id="209"/>
      <w:bookmarkEnd w:id="210"/>
      <w:bookmarkEnd w:id="211"/>
      <w:bookmarkEnd w:id="212"/>
      <w:bookmarkEnd w:id="213"/>
      <w:bookmarkEnd w:id="214"/>
      <w:bookmarkEnd w:id="215"/>
      <w:bookmarkEnd w:id="216"/>
      <w:bookmarkEnd w:id="217"/>
      <w:bookmarkEnd w:id="218"/>
    </w:p>
    <w:p w14:paraId="371D0D02">
      <w:pPr>
        <w:shd w:val="clear" w:color="auto" w:fill="auto"/>
        <w:spacing w:line="400" w:lineRule="exact"/>
        <w:ind w:firstLine="410" w:firstLineChars="171"/>
        <w:rPr>
          <w:rFonts w:hint="eastAsia" w:ascii="宋体" w:hAnsi="宋体" w:cs="宋体"/>
          <w:color w:val="auto"/>
          <w:sz w:val="24"/>
          <w:szCs w:val="24"/>
          <w:highlight w:val="none"/>
        </w:rPr>
      </w:pPr>
      <w:bookmarkStart w:id="219" w:name="_Toc152045548"/>
      <w:bookmarkStart w:id="220" w:name="_Toc246996193"/>
      <w:bookmarkStart w:id="221" w:name="_Toc247085707"/>
      <w:bookmarkStart w:id="222" w:name="_Toc246996936"/>
      <w:bookmarkStart w:id="223" w:name="_Toc296602438"/>
      <w:bookmarkStart w:id="224" w:name="_Toc152042324"/>
      <w:bookmarkStart w:id="225" w:name="_Toc144974516"/>
      <w:bookmarkStart w:id="226" w:name="_Toc179632566"/>
      <w:r>
        <w:rPr>
          <w:rFonts w:hint="eastAsia" w:ascii="宋体" w:hAnsi="宋体" w:cs="宋体"/>
          <w:color w:val="auto"/>
          <w:sz w:val="24"/>
          <w:szCs w:val="24"/>
          <w:highlight w:val="none"/>
        </w:rPr>
        <w:t>一、磋商响应函</w:t>
      </w:r>
    </w:p>
    <w:p w14:paraId="5E1CEAF6">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二、首次报价一览表</w:t>
      </w:r>
    </w:p>
    <w:p w14:paraId="72B66EA2">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三、法定代表人身份证明及授权委托书</w:t>
      </w:r>
    </w:p>
    <w:p w14:paraId="6C0F2575">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四、投标承诺函</w:t>
      </w:r>
    </w:p>
    <w:p w14:paraId="7E27EC53">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五、已标价工程量清单</w:t>
      </w:r>
    </w:p>
    <w:p w14:paraId="47BD92F4">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六、施工组织设计</w:t>
      </w:r>
    </w:p>
    <w:p w14:paraId="1DD8EDBF">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七、项目管理机构</w:t>
      </w:r>
    </w:p>
    <w:p w14:paraId="61E12E83">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八、资格审查资料</w:t>
      </w:r>
    </w:p>
    <w:p w14:paraId="3705F2C6">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九、供应商认为应附的其他资料。</w:t>
      </w:r>
    </w:p>
    <w:p w14:paraId="469798E7">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27" w:name="_Toc77586930"/>
      <w:bookmarkStart w:id="228" w:name="_Toc77586837"/>
      <w:bookmarkStart w:id="229" w:name="_Toc18730"/>
      <w:bookmarkStart w:id="230" w:name="_Toc7295"/>
      <w:r>
        <w:rPr>
          <w:rFonts w:hint="eastAsia" w:ascii="宋体" w:hAnsi="宋体" w:cs="宋体"/>
          <w:b/>
          <w:bCs/>
          <w:color w:val="auto"/>
          <w:kern w:val="28"/>
          <w:sz w:val="24"/>
          <w:szCs w:val="24"/>
          <w:highlight w:val="none"/>
        </w:rPr>
        <w:t>3.2 磋商报价</w:t>
      </w:r>
      <w:bookmarkEnd w:id="219"/>
      <w:bookmarkEnd w:id="220"/>
      <w:bookmarkEnd w:id="221"/>
      <w:bookmarkEnd w:id="222"/>
      <w:bookmarkEnd w:id="223"/>
      <w:bookmarkEnd w:id="224"/>
      <w:bookmarkEnd w:id="225"/>
      <w:bookmarkEnd w:id="226"/>
      <w:bookmarkEnd w:id="227"/>
      <w:bookmarkEnd w:id="228"/>
      <w:bookmarkEnd w:id="229"/>
      <w:bookmarkEnd w:id="230"/>
    </w:p>
    <w:p w14:paraId="2A096C27">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3.2.1 根据竞争性磋商文件规定的工程内容，投标人应对本次招标工程的全部工作内容进行报价。磋商报价应是竞争性磋商文件所确定的磋商范围内的全部工作内容的价格体现。 </w:t>
      </w:r>
    </w:p>
    <w:p w14:paraId="3F2B5C22">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3.2.2磋商报价应包括竞争性磋商文件及技术规范等规定的，实施和完成招标工程直至竣工验收合格，及达到质量和工期目标、安全文明、环境保护等要求,正式交付招标人使用前所需的全部费用。</w:t>
      </w:r>
    </w:p>
    <w:p w14:paraId="44850427">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3.2.3投标人的磋商报价根据竞争性磋商文件、工程量清单、答疑等，充分考虑市场价格、风险因素，在合理范围内自主报价，但不得低于企业实际成本。</w:t>
      </w:r>
    </w:p>
    <w:p w14:paraId="75FD71B7">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3.2.4投标人应结合自身条件，并充分考虑本工程施工难度、工期的要求、质量要求以及市场因素、现场环境因素、社会因素、市场价格调整因素等各方面原因合理报价。磋商报价将被认为已综合考虑了在施工全过程中可能发生的全部不可预见费用。成交人无权再以任何理由提出延长工期、增加价款或索赔等要求。</w:t>
      </w:r>
    </w:p>
    <w:p w14:paraId="18188B40">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3.2.5投标人在磋商报价前可踏勘施工现场，充分考虑工地现状条件可能影响到工程正常施工的所有风险因素。无论投标人是否进行了上述现场踏勘工作，其磋商报价中均将被认为已包含有工地现状在施工作业期间发生的全部不可预见的风险费用，投标人成交后则无权因此要求任何工期或费用上的索赔。</w:t>
      </w:r>
    </w:p>
    <w:p w14:paraId="09D935E9">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3.3.6施工期间由于工程条件发生变化或投标人原因造成施工方案的更改，所增加的措施费用及工期一概不予调整，相应的费用投标人应在谈判报价中充分考虑，招标人不再另行支付。</w:t>
      </w:r>
    </w:p>
    <w:p w14:paraId="2206FB34">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3.2.7磋商报价要求</w:t>
      </w:r>
    </w:p>
    <w:p w14:paraId="5E60B404">
      <w:pPr>
        <w:numPr>
          <w:ilvl w:val="0"/>
          <w:numId w:val="3"/>
        </w:num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各投标人在投标时必须在磋商响应文件中提供一份完整的工程量清单；</w:t>
      </w:r>
    </w:p>
    <w:p w14:paraId="0C999EDA">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（2）各投标人作为有经验的承包商，应充分考虑该工程实施时的各种风险，并将其考虑在本次投标报价各清单项目的综合单价中，结算时综合单价不做调整（合同另有约定的除外）；</w:t>
      </w:r>
    </w:p>
    <w:p w14:paraId="0A9CEFD1">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（3）本次磋商的最终投标总报价不得高于磋商控制价，高于磋商控制价的报价将不再评审；</w:t>
      </w:r>
    </w:p>
    <w:p w14:paraId="386BBC67">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（4）磋商响应文件报价中的单价和总价全部采用人民币表示。 </w:t>
      </w:r>
    </w:p>
    <w:p w14:paraId="7BCA118A">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（5）本项目为竞争性磋商方式，允许二次报价。</w:t>
      </w:r>
    </w:p>
    <w:p w14:paraId="55667B4F">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3.2.8</w:t>
      </w:r>
      <w:r>
        <w:rPr>
          <w:rFonts w:hint="eastAsia" w:ascii="宋体" w:hAnsi="宋体" w:eastAsia="宋体" w:cs="宋体"/>
          <w:color w:val="auto"/>
          <w:sz w:val="24"/>
          <w:szCs w:val="24"/>
          <w:highlight w:val="none"/>
        </w:rPr>
        <w:t>执行关于推动解决政府采购异常低价问题的通知（财库〔2026〕2 号）</w:t>
      </w:r>
    </w:p>
    <w:p w14:paraId="0B02E1A5">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政府采购评审中出现下列情形之一的，评审委员会应当启动异常低价投标（响应）审查程序：</w:t>
      </w:r>
    </w:p>
    <w:p w14:paraId="309ACE55">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投标（响应）报价低于全部通过符合性审查供应商投标（响应）报价平均值50%的，即投标（响应）报价&lt;全部通过符合性审查供应商投标（响应）报价平均值×50%；</w:t>
      </w:r>
    </w:p>
    <w:p w14:paraId="55839084">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投标（响应）报价低于通过符合性审查的次低报价供应商投标（响应）报价50%的，即投标（响应）报价&lt;通过符合性审查的次低报价供应商投标（响应）报价×50%；</w:t>
      </w:r>
    </w:p>
    <w:p w14:paraId="59A10096">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投标（响应）报价低于采购项目最高限价</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%的，即投标（响应）报价&lt;采购项目最高限价×</w:t>
      </w:r>
      <w:r>
        <w:rPr>
          <w:rFonts w:hint="eastAsia" w:ascii="宋体" w:hAnsi="宋体" w:eastAsia="宋体" w:cs="宋体"/>
          <w:color w:val="auto"/>
          <w:sz w:val="24"/>
          <w:szCs w:val="24"/>
          <w:highlight w:val="none"/>
          <w:lang w:val="en-US" w:eastAsia="zh-CN"/>
        </w:rPr>
        <w:t>50</w:t>
      </w:r>
      <w:r>
        <w:rPr>
          <w:rFonts w:hint="eastAsia" w:ascii="宋体" w:hAnsi="宋体" w:eastAsia="宋体" w:cs="宋体"/>
          <w:color w:val="auto"/>
          <w:sz w:val="24"/>
          <w:szCs w:val="24"/>
          <w:highlight w:val="none"/>
        </w:rPr>
        <w:t>%；</w:t>
      </w:r>
    </w:p>
    <w:p w14:paraId="00C23314">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评审委员会基于专业判断，认为供应商报价过低，有可能影响产品质量或者不能诚信履约的其他情形。</w:t>
      </w:r>
    </w:p>
    <w:p w14:paraId="65ED6FD2">
      <w:pPr>
        <w:shd w:val="clear" w:color="auto" w:fill="auto"/>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相关法律法规对供应商报价有规定的，从其规定。</w:t>
      </w:r>
    </w:p>
    <w:p w14:paraId="602B2FF5">
      <w:pPr>
        <w:shd w:val="clear" w:color="auto" w:fill="auto"/>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二）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7D4A3D9">
      <w:pPr>
        <w:shd w:val="clear" w:color="auto" w:fill="auto"/>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30B9CF3F">
      <w:pPr>
        <w:shd w:val="clear" w:color="auto" w:fill="auto"/>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769EEAD1">
      <w:pPr>
        <w:shd w:val="clear" w:color="auto" w:fill="auto"/>
        <w:spacing w:line="400" w:lineRule="exact"/>
        <w:ind w:firstLine="480" w:firstLineChars="200"/>
        <w:rPr>
          <w:rFonts w:hint="default"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异常低价投标（响应）审查的启动原因、审查意见和审查结果应当在评审报告中记录，并随供应商提供的相关书面说明及证明材料，以及评审委员会有关互联网浏览、查询历史一并归档。</w:t>
      </w:r>
    </w:p>
    <w:p w14:paraId="500365FF">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31" w:name="_Toc21780"/>
      <w:bookmarkStart w:id="232" w:name="_Toc246996937"/>
      <w:bookmarkStart w:id="233" w:name="_Toc296602439"/>
      <w:bookmarkStart w:id="234" w:name="_Toc246996194"/>
      <w:bookmarkStart w:id="235" w:name="_Toc152042325"/>
      <w:bookmarkStart w:id="236" w:name="_Toc179632567"/>
      <w:bookmarkStart w:id="237" w:name="_Toc77586838"/>
      <w:bookmarkStart w:id="238" w:name="_Toc77586931"/>
      <w:bookmarkStart w:id="239" w:name="_Toc247085708"/>
      <w:bookmarkStart w:id="240" w:name="_Toc10553"/>
      <w:bookmarkStart w:id="241" w:name="_Toc144974517"/>
      <w:bookmarkStart w:id="242" w:name="_Toc152045549"/>
      <w:r>
        <w:rPr>
          <w:rFonts w:hint="eastAsia" w:ascii="宋体" w:hAnsi="宋体" w:cs="宋体"/>
          <w:b/>
          <w:bCs/>
          <w:color w:val="auto"/>
          <w:kern w:val="28"/>
          <w:sz w:val="24"/>
          <w:szCs w:val="24"/>
          <w:highlight w:val="none"/>
        </w:rPr>
        <w:t>3.3 磋商有效期</w:t>
      </w:r>
      <w:bookmarkEnd w:id="231"/>
      <w:bookmarkEnd w:id="232"/>
      <w:bookmarkEnd w:id="233"/>
      <w:bookmarkEnd w:id="234"/>
      <w:bookmarkEnd w:id="235"/>
      <w:bookmarkEnd w:id="236"/>
      <w:bookmarkEnd w:id="237"/>
      <w:bookmarkEnd w:id="238"/>
      <w:bookmarkEnd w:id="239"/>
      <w:bookmarkEnd w:id="240"/>
      <w:bookmarkEnd w:id="241"/>
      <w:bookmarkEnd w:id="242"/>
    </w:p>
    <w:p w14:paraId="5A3C1DF7">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3.3.1 磋商有效期为</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0日历天。</w:t>
      </w:r>
    </w:p>
    <w:p w14:paraId="48116BF5">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3.3.2在磋商有效期内，投标人撤销或修改其磋商响应文件的，应承担磋商文件和法律规定的责任。</w:t>
      </w:r>
    </w:p>
    <w:p w14:paraId="06B4FBD4">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3.3.3出现特殊情况需要延长投标有效期的，招标人以书面形式通知所有投标人延长投标有效期。</w:t>
      </w:r>
    </w:p>
    <w:p w14:paraId="7BF6DFA9">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43" w:name="_Toc152042326"/>
      <w:bookmarkStart w:id="244" w:name="_Toc246996938"/>
      <w:bookmarkStart w:id="245" w:name="_Toc152045550"/>
      <w:bookmarkStart w:id="246" w:name="_Toc144974518"/>
      <w:bookmarkStart w:id="247" w:name="_Toc247085709"/>
      <w:bookmarkStart w:id="248" w:name="_Toc296602440"/>
      <w:bookmarkStart w:id="249" w:name="_Toc246996195"/>
      <w:bookmarkStart w:id="250" w:name="_Toc179632568"/>
      <w:bookmarkStart w:id="251" w:name="_Toc77586839"/>
      <w:bookmarkStart w:id="252" w:name="_Toc77586932"/>
      <w:bookmarkStart w:id="253" w:name="_Toc30629"/>
      <w:bookmarkStart w:id="254" w:name="_Toc351"/>
      <w:r>
        <w:rPr>
          <w:rFonts w:hint="eastAsia" w:ascii="宋体" w:hAnsi="宋体" w:cs="宋体"/>
          <w:b/>
          <w:bCs/>
          <w:color w:val="auto"/>
          <w:kern w:val="28"/>
          <w:sz w:val="24"/>
          <w:szCs w:val="24"/>
          <w:highlight w:val="none"/>
        </w:rPr>
        <w:t xml:space="preserve">3.4 </w:t>
      </w:r>
      <w:bookmarkEnd w:id="243"/>
      <w:bookmarkEnd w:id="244"/>
      <w:bookmarkEnd w:id="245"/>
      <w:bookmarkEnd w:id="246"/>
      <w:bookmarkEnd w:id="247"/>
      <w:bookmarkEnd w:id="248"/>
      <w:bookmarkEnd w:id="249"/>
      <w:bookmarkEnd w:id="250"/>
      <w:r>
        <w:rPr>
          <w:rFonts w:hint="eastAsia" w:ascii="宋体" w:hAnsi="宋体" w:cs="宋体"/>
          <w:b/>
          <w:bCs/>
          <w:color w:val="auto"/>
          <w:kern w:val="28"/>
          <w:sz w:val="24"/>
          <w:szCs w:val="24"/>
          <w:highlight w:val="none"/>
        </w:rPr>
        <w:t>磋商保证金</w:t>
      </w:r>
      <w:bookmarkEnd w:id="251"/>
      <w:bookmarkEnd w:id="252"/>
      <w:bookmarkEnd w:id="253"/>
      <w:bookmarkEnd w:id="254"/>
    </w:p>
    <w:p w14:paraId="32C506E0">
      <w:pPr>
        <w:shd w:val="clear" w:color="auto" w:fill="auto"/>
        <w:spacing w:line="400" w:lineRule="exact"/>
        <w:ind w:firstLine="240" w:firstLineChars="100"/>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本项目不收取磋商保证金。</w:t>
      </w:r>
    </w:p>
    <w:p w14:paraId="61A904B8">
      <w:pPr>
        <w:shd w:val="clear" w:color="auto" w:fill="auto"/>
        <w:spacing w:line="400" w:lineRule="exact"/>
        <w:ind w:firstLine="241" w:firstLineChars="100"/>
        <w:rPr>
          <w:rFonts w:hint="eastAsia" w:ascii="宋体" w:hAnsi="宋体" w:cs="宋体"/>
          <w:color w:val="auto"/>
          <w:sz w:val="24"/>
          <w:szCs w:val="24"/>
          <w:highlight w:val="none"/>
        </w:rPr>
      </w:pPr>
      <w:r>
        <w:rPr>
          <w:rFonts w:hint="eastAsia" w:ascii="宋体" w:hAnsi="宋体" w:cs="宋体"/>
          <w:b/>
          <w:bCs/>
          <w:color w:val="auto"/>
          <w:sz w:val="24"/>
          <w:szCs w:val="24"/>
          <w:highlight w:val="none"/>
        </w:rPr>
        <w:t>3.5 投标人基本情况表</w:t>
      </w:r>
      <w:bookmarkStart w:id="255" w:name="_Toc296602442"/>
      <w:bookmarkStart w:id="256" w:name="_Toc152042329"/>
      <w:bookmarkStart w:id="257" w:name="_Toc179632571"/>
      <w:bookmarkStart w:id="258" w:name="_Toc246996197"/>
      <w:bookmarkStart w:id="259" w:name="_Toc246996940"/>
      <w:bookmarkStart w:id="260" w:name="_Toc144974521"/>
      <w:bookmarkStart w:id="261" w:name="_Toc247085711"/>
      <w:bookmarkStart w:id="262" w:name="_Toc152045553"/>
    </w:p>
    <w:p w14:paraId="43CD2B73">
      <w:pPr>
        <w:shd w:val="clear" w:color="auto" w:fill="auto"/>
        <w:spacing w:line="4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3.5.1 “近年财务状况表”可附财务会计报表，具体年份要求见投标人须知前附表。</w:t>
      </w:r>
    </w:p>
    <w:p w14:paraId="0B865607">
      <w:pPr>
        <w:shd w:val="clear" w:color="auto" w:fill="auto"/>
        <w:spacing w:line="4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3.5.2 “近年完成的类似项目情况表” 须提供中标通知书和施工合同，时间以签订施工合同为准，否则不得分。每张表格只填写一个项目，并标明序号。</w:t>
      </w:r>
    </w:p>
    <w:p w14:paraId="1E95CA43">
      <w:pPr>
        <w:shd w:val="clear" w:color="auto" w:fill="auto"/>
        <w:spacing w:line="4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3.5.4 “正在施工和新承接的项目情况表”具体要求见评分办法，可附证明材料扫描件。每张表格只填写一个项目，并标明序号。</w:t>
      </w:r>
    </w:p>
    <w:p w14:paraId="67983BF6">
      <w:pPr>
        <w:shd w:val="clear" w:color="auto" w:fill="auto"/>
        <w:spacing w:line="400" w:lineRule="exact"/>
        <w:ind w:firstLine="484" w:firstLineChars="202"/>
        <w:rPr>
          <w:rFonts w:hint="eastAsia" w:ascii="宋体" w:hAnsi="宋体" w:cs="宋体"/>
          <w:color w:val="auto"/>
          <w:sz w:val="24"/>
          <w:szCs w:val="24"/>
          <w:highlight w:val="none"/>
        </w:rPr>
      </w:pPr>
      <w:r>
        <w:rPr>
          <w:rFonts w:hint="eastAsia" w:ascii="宋体" w:hAnsi="宋体" w:cs="宋体"/>
          <w:color w:val="auto"/>
          <w:sz w:val="24"/>
          <w:szCs w:val="24"/>
          <w:highlight w:val="none"/>
        </w:rPr>
        <w:t>3.5.5 “近年发生的诉讼及仲裁情况”应说明相关情况，可附法院或仲裁机构作出的判决、裁决等有关法律文书扫描件，具体年份要求见投标人须知前附表。</w:t>
      </w:r>
    </w:p>
    <w:p w14:paraId="3A10E4E8">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63" w:name="_Toc32672"/>
      <w:bookmarkStart w:id="264" w:name="_Toc77586840"/>
      <w:bookmarkStart w:id="265" w:name="_Toc16626"/>
      <w:bookmarkStart w:id="266" w:name="_Toc77586933"/>
      <w:r>
        <w:rPr>
          <w:rFonts w:hint="eastAsia" w:ascii="宋体" w:hAnsi="宋体" w:cs="宋体"/>
          <w:b/>
          <w:bCs/>
          <w:color w:val="auto"/>
          <w:kern w:val="28"/>
          <w:sz w:val="24"/>
          <w:szCs w:val="24"/>
          <w:highlight w:val="none"/>
        </w:rPr>
        <w:t>3.6磋商响应文件的</w:t>
      </w:r>
      <w:bookmarkEnd w:id="255"/>
      <w:r>
        <w:rPr>
          <w:rFonts w:hint="eastAsia" w:ascii="宋体" w:hAnsi="宋体" w:cs="宋体"/>
          <w:b/>
          <w:bCs/>
          <w:color w:val="auto"/>
          <w:kern w:val="28"/>
          <w:sz w:val="24"/>
          <w:szCs w:val="24"/>
          <w:highlight w:val="none"/>
        </w:rPr>
        <w:t>编制</w:t>
      </w:r>
      <w:bookmarkEnd w:id="263"/>
      <w:bookmarkEnd w:id="264"/>
      <w:bookmarkEnd w:id="265"/>
      <w:bookmarkEnd w:id="266"/>
    </w:p>
    <w:bookmarkEnd w:id="256"/>
    <w:bookmarkEnd w:id="257"/>
    <w:bookmarkEnd w:id="258"/>
    <w:bookmarkEnd w:id="259"/>
    <w:bookmarkEnd w:id="260"/>
    <w:bookmarkEnd w:id="261"/>
    <w:bookmarkEnd w:id="262"/>
    <w:p w14:paraId="6422707A">
      <w:pPr>
        <w:shd w:val="clear" w:color="auto" w:fill="auto"/>
        <w:spacing w:line="400" w:lineRule="exact"/>
        <w:ind w:firstLine="480" w:firstLineChars="200"/>
        <w:rPr>
          <w:rFonts w:hint="eastAsia" w:ascii="宋体" w:hAnsi="宋体" w:cs="宋体"/>
          <w:color w:val="auto"/>
          <w:sz w:val="24"/>
          <w:szCs w:val="24"/>
          <w:highlight w:val="none"/>
        </w:rPr>
      </w:pPr>
      <w:bookmarkStart w:id="267" w:name="_Toc296602443"/>
      <w:bookmarkStart w:id="268" w:name="_Toc246996942"/>
      <w:bookmarkStart w:id="269" w:name="_Toc152042331"/>
      <w:bookmarkStart w:id="270" w:name="_Toc144974523"/>
      <w:bookmarkStart w:id="271" w:name="_Toc246996199"/>
      <w:bookmarkStart w:id="272" w:name="_Toc179632573"/>
      <w:bookmarkStart w:id="273" w:name="_Toc152045555"/>
      <w:bookmarkStart w:id="274" w:name="_Toc247085713"/>
      <w:r>
        <w:rPr>
          <w:rFonts w:hint="eastAsia" w:ascii="宋体" w:hAnsi="宋体" w:cs="宋体"/>
          <w:color w:val="auto"/>
          <w:sz w:val="24"/>
          <w:szCs w:val="24"/>
          <w:highlight w:val="none"/>
        </w:rPr>
        <w:t>3.6.1磋商响应文件可按第八章“磋商响应文件格式”进行编写，如有必要，可以增加附页作为磋商响应文件的组成部分。其中，投标函附录在满足竞争性磋商文件实质性要求的基础上，可以提出比竞争性磋商文件要求更有利于招标人的承诺。</w:t>
      </w:r>
    </w:p>
    <w:p w14:paraId="15D8B723">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3.6.2 磋商响应文件应当对竞争性磋商文件有关项目实施周期、投标有效期、质量要求、招标范围等实质性内容作出响应。</w:t>
      </w:r>
    </w:p>
    <w:p w14:paraId="18CD617A">
      <w:pPr>
        <w:shd w:val="clear" w:color="auto" w:fill="auto"/>
        <w:spacing w:line="400" w:lineRule="exact"/>
        <w:ind w:firstLine="480" w:firstLineChars="200"/>
        <w:jc w:val="left"/>
        <w:rPr>
          <w:rFonts w:hint="eastAsia" w:ascii="宋体" w:hAnsi="宋体"/>
          <w:color w:val="auto"/>
          <w:sz w:val="24"/>
          <w:szCs w:val="24"/>
          <w:highlight w:val="none"/>
        </w:rPr>
      </w:pPr>
      <w:r>
        <w:rPr>
          <w:rFonts w:hint="eastAsia" w:ascii="宋体" w:hAnsi="宋体" w:cs="宋体"/>
          <w:color w:val="auto"/>
          <w:sz w:val="24"/>
          <w:szCs w:val="24"/>
          <w:highlight w:val="none"/>
        </w:rPr>
        <w:t>3.6.3</w:t>
      </w:r>
      <w:r>
        <w:rPr>
          <w:rFonts w:hint="eastAsia" w:ascii="宋体" w:hAnsi="宋体"/>
          <w:color w:val="auto"/>
          <w:sz w:val="24"/>
          <w:szCs w:val="24"/>
          <w:highlight w:val="none"/>
        </w:rPr>
        <w:t>投标人所上传的电子化</w:t>
      </w:r>
      <w:r>
        <w:rPr>
          <w:rFonts w:hint="eastAsia" w:ascii="宋体" w:hAnsi="宋体" w:cs="宋体"/>
          <w:color w:val="auto"/>
          <w:sz w:val="24"/>
          <w:szCs w:val="24"/>
          <w:highlight w:val="none"/>
        </w:rPr>
        <w:t>磋商响应</w:t>
      </w:r>
      <w:r>
        <w:rPr>
          <w:rFonts w:hint="eastAsia" w:ascii="宋体" w:hAnsi="宋体"/>
          <w:color w:val="auto"/>
          <w:sz w:val="24"/>
          <w:szCs w:val="24"/>
          <w:highlight w:val="none"/>
        </w:rPr>
        <w:t>文件，应是通过中心投标文件制作系统制作的（投标文件制作工具下载地址：https://download.bqpoint.com/download/downloaddetail.html?SourceFrom=Ztb&amp;ZtbSoftXiaQuCode=1506&amp;ZtbSoftType=tballinclusive），经过签章和加密后生成的电子版磋商响应文件。其中包含用于</w:t>
      </w:r>
      <w:r>
        <w:rPr>
          <w:rFonts w:hint="eastAsia" w:ascii="宋体" w:hAnsi="宋体" w:cs="宋体"/>
          <w:color w:val="auto"/>
          <w:sz w:val="24"/>
          <w:szCs w:val="24"/>
          <w:highlight w:val="none"/>
        </w:rPr>
        <w:t>磋商响应</w:t>
      </w:r>
      <w:r>
        <w:rPr>
          <w:rFonts w:hint="eastAsia" w:ascii="宋体" w:hAnsi="宋体"/>
          <w:color w:val="auto"/>
          <w:sz w:val="24"/>
          <w:szCs w:val="24"/>
          <w:highlight w:val="none"/>
        </w:rPr>
        <w:t>文件上传的主文件（后缀为.smxtf）和用于应急补救的</w:t>
      </w:r>
      <w:r>
        <w:rPr>
          <w:rFonts w:hint="eastAsia" w:ascii="宋体" w:hAnsi="宋体" w:cs="宋体"/>
          <w:color w:val="auto"/>
          <w:sz w:val="24"/>
          <w:szCs w:val="24"/>
          <w:highlight w:val="none"/>
        </w:rPr>
        <w:t>磋商响应</w:t>
      </w:r>
      <w:r>
        <w:rPr>
          <w:rFonts w:hint="eastAsia" w:ascii="宋体" w:hAnsi="宋体"/>
          <w:color w:val="auto"/>
          <w:sz w:val="24"/>
          <w:szCs w:val="24"/>
          <w:highlight w:val="none"/>
        </w:rPr>
        <w:t>文件备份文件（后缀为.nsmxtf）。</w:t>
      </w:r>
    </w:p>
    <w:p w14:paraId="5FD3F62B">
      <w:pPr>
        <w:shd w:val="clear" w:color="auto" w:fill="auto"/>
        <w:spacing w:line="400" w:lineRule="exact"/>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电子化投标文件具体制作教材请投标人点击以下链接学习</w:t>
      </w:r>
      <w:r>
        <w:rPr>
          <w:rFonts w:hint="eastAsia" w:ascii="宋体" w:hAnsi="宋体"/>
          <w:color w:val="auto"/>
          <w:sz w:val="24"/>
          <w:szCs w:val="24"/>
          <w:highlight w:val="none"/>
        </w:rPr>
        <w:t>http://gzjy.smx.gov.cn/bzzx/008001/20200325/4a2f9fa3-b923-4ddd-bd6f-138a0b63f7d1.html</w:t>
      </w:r>
    </w:p>
    <w:p w14:paraId="32D7B353">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75" w:name="_Toc77586934"/>
      <w:bookmarkStart w:id="276" w:name="_Toc1597"/>
      <w:bookmarkStart w:id="277" w:name="_Toc77586841"/>
      <w:bookmarkStart w:id="278" w:name="_Toc11191"/>
      <w:r>
        <w:rPr>
          <w:rFonts w:hint="eastAsia" w:ascii="宋体" w:hAnsi="宋体" w:cs="宋体"/>
          <w:b/>
          <w:bCs/>
          <w:color w:val="auto"/>
          <w:kern w:val="28"/>
          <w:sz w:val="24"/>
          <w:szCs w:val="24"/>
          <w:highlight w:val="none"/>
        </w:rPr>
        <w:t>3.7备选投标方案</w:t>
      </w:r>
      <w:bookmarkEnd w:id="275"/>
      <w:bookmarkEnd w:id="276"/>
      <w:bookmarkEnd w:id="277"/>
      <w:bookmarkEnd w:id="278"/>
    </w:p>
    <w:p w14:paraId="007A837F">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不允许投标人递交备选投标方案。</w:t>
      </w:r>
    </w:p>
    <w:p w14:paraId="1BA2F8A1">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79" w:name="_Toc30262"/>
      <w:bookmarkStart w:id="280" w:name="_Toc77586842"/>
      <w:bookmarkStart w:id="281" w:name="_Toc77586935"/>
      <w:bookmarkStart w:id="282" w:name="_Toc16915"/>
      <w:r>
        <w:rPr>
          <w:rFonts w:hint="eastAsia" w:ascii="宋体" w:hAnsi="宋体" w:cs="宋体"/>
          <w:b/>
          <w:bCs/>
          <w:color w:val="auto"/>
          <w:kern w:val="28"/>
          <w:sz w:val="24"/>
          <w:szCs w:val="24"/>
          <w:highlight w:val="none"/>
        </w:rPr>
        <w:t>4. 投标</w:t>
      </w:r>
      <w:bookmarkEnd w:id="267"/>
      <w:bookmarkEnd w:id="268"/>
      <w:bookmarkEnd w:id="269"/>
      <w:bookmarkEnd w:id="270"/>
      <w:bookmarkEnd w:id="271"/>
      <w:bookmarkEnd w:id="272"/>
      <w:bookmarkEnd w:id="273"/>
      <w:bookmarkEnd w:id="274"/>
      <w:bookmarkEnd w:id="279"/>
      <w:bookmarkEnd w:id="280"/>
      <w:bookmarkEnd w:id="281"/>
      <w:bookmarkEnd w:id="282"/>
    </w:p>
    <w:p w14:paraId="1E56AA98">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283" w:name="_Toc246996200"/>
      <w:bookmarkStart w:id="284" w:name="_Toc179632574"/>
      <w:bookmarkStart w:id="285" w:name="_Toc152042332"/>
      <w:bookmarkStart w:id="286" w:name="_Toc152045556"/>
      <w:bookmarkStart w:id="287" w:name="_Toc144974524"/>
      <w:bookmarkStart w:id="288" w:name="_Toc247085714"/>
      <w:bookmarkStart w:id="289" w:name="_Toc296602444"/>
      <w:bookmarkStart w:id="290" w:name="_Toc246996943"/>
      <w:bookmarkStart w:id="291" w:name="_Toc77586936"/>
      <w:bookmarkStart w:id="292" w:name="_Toc16776"/>
      <w:bookmarkStart w:id="293" w:name="_Toc15470"/>
      <w:bookmarkStart w:id="294" w:name="_Toc77586843"/>
      <w:r>
        <w:rPr>
          <w:rFonts w:hint="eastAsia" w:ascii="宋体" w:hAnsi="宋体" w:cs="宋体"/>
          <w:b/>
          <w:bCs/>
          <w:color w:val="auto"/>
          <w:kern w:val="28"/>
          <w:sz w:val="24"/>
          <w:szCs w:val="24"/>
          <w:highlight w:val="none"/>
        </w:rPr>
        <w:t>4.1 磋商响应文件的</w:t>
      </w:r>
      <w:bookmarkEnd w:id="283"/>
      <w:bookmarkEnd w:id="284"/>
      <w:bookmarkEnd w:id="285"/>
      <w:bookmarkEnd w:id="286"/>
      <w:bookmarkEnd w:id="287"/>
      <w:bookmarkEnd w:id="288"/>
      <w:bookmarkEnd w:id="289"/>
      <w:bookmarkEnd w:id="290"/>
      <w:r>
        <w:rPr>
          <w:rFonts w:hint="eastAsia" w:ascii="宋体" w:hAnsi="宋体" w:cs="宋体"/>
          <w:b/>
          <w:bCs/>
          <w:color w:val="auto"/>
          <w:kern w:val="28"/>
          <w:sz w:val="24"/>
          <w:szCs w:val="24"/>
          <w:highlight w:val="none"/>
        </w:rPr>
        <w:t>签署</w:t>
      </w:r>
      <w:bookmarkEnd w:id="291"/>
      <w:bookmarkEnd w:id="292"/>
      <w:bookmarkEnd w:id="293"/>
      <w:bookmarkEnd w:id="294"/>
    </w:p>
    <w:p w14:paraId="368CC3E0">
      <w:pPr>
        <w:shd w:val="clear" w:color="auto" w:fill="auto"/>
        <w:spacing w:line="400" w:lineRule="exact"/>
        <w:ind w:firstLine="482"/>
        <w:rPr>
          <w:rFonts w:hint="eastAsia" w:ascii="宋体" w:hAnsi="宋体" w:cs="宋体"/>
          <w:color w:val="auto"/>
          <w:sz w:val="24"/>
          <w:szCs w:val="24"/>
          <w:highlight w:val="none"/>
        </w:rPr>
      </w:pPr>
      <w:bookmarkStart w:id="295" w:name="_Toc246996944"/>
      <w:bookmarkStart w:id="296" w:name="_Toc247085715"/>
      <w:bookmarkStart w:id="297" w:name="_Toc152042333"/>
      <w:bookmarkStart w:id="298" w:name="_Toc152045557"/>
      <w:bookmarkStart w:id="299" w:name="_Toc144974525"/>
      <w:bookmarkStart w:id="300" w:name="_Toc246996201"/>
      <w:bookmarkStart w:id="301" w:name="_Toc179632575"/>
      <w:bookmarkStart w:id="302" w:name="_Toc296602445"/>
      <w:r>
        <w:rPr>
          <w:rFonts w:hint="eastAsia" w:ascii="宋体" w:hAnsi="宋体" w:cs="宋体"/>
          <w:bCs/>
          <w:color w:val="auto"/>
          <w:sz w:val="24"/>
          <w:szCs w:val="24"/>
          <w:highlight w:val="none"/>
        </w:rPr>
        <w:t>4.1.1投标人在进行电子化磋商响应文件签章时，竞争性磋商文件中要求投标人盖章的，以签盖单位章为准；要求法定代表人签章的，以签盖法定代表人签章为准</w:t>
      </w:r>
      <w:r>
        <w:rPr>
          <w:rFonts w:hint="eastAsia" w:ascii="宋体" w:hAnsi="宋体" w:cs="宋体"/>
          <w:color w:val="auto"/>
          <w:sz w:val="24"/>
          <w:szCs w:val="24"/>
          <w:highlight w:val="none"/>
        </w:rPr>
        <w:t>。电子化磋商响应文件具体制作教材请投标人通过CA证书登录三门峡市公共资源电子化交易系统在右上角“组件下载”中查看。</w:t>
      </w:r>
    </w:p>
    <w:p w14:paraId="0FB23E16">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03" w:name="_Toc77586937"/>
      <w:bookmarkStart w:id="304" w:name="_Toc1081"/>
      <w:bookmarkStart w:id="305" w:name="_Toc77586844"/>
      <w:bookmarkStart w:id="306" w:name="_Toc26188"/>
      <w:r>
        <w:rPr>
          <w:rFonts w:hint="eastAsia" w:ascii="宋体" w:hAnsi="宋体" w:cs="宋体"/>
          <w:b/>
          <w:bCs/>
          <w:color w:val="auto"/>
          <w:kern w:val="28"/>
          <w:sz w:val="24"/>
          <w:szCs w:val="24"/>
          <w:highlight w:val="none"/>
        </w:rPr>
        <w:t>4.2 磋商响应文件的上传</w:t>
      </w:r>
      <w:bookmarkEnd w:id="303"/>
      <w:bookmarkEnd w:id="304"/>
      <w:bookmarkEnd w:id="305"/>
      <w:bookmarkEnd w:id="306"/>
    </w:p>
    <w:p w14:paraId="3A4BAB19">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电子化磋商响应文件应在投标截止时间前成功上传至三门峡市公共资源电子化交易系统。至投标截止时间止，仍未上传成功的电子化</w:t>
      </w:r>
      <w:r>
        <w:rPr>
          <w:rFonts w:hint="eastAsia" w:ascii="宋体" w:hAnsi="宋体" w:cs="宋体"/>
          <w:color w:val="auto"/>
          <w:sz w:val="24"/>
          <w:szCs w:val="24"/>
          <w:highlight w:val="none"/>
        </w:rPr>
        <w:t>磋商响应</w:t>
      </w:r>
      <w:r>
        <w:rPr>
          <w:rFonts w:hint="eastAsia" w:ascii="宋体" w:hAnsi="宋体"/>
          <w:color w:val="auto"/>
          <w:sz w:val="24"/>
          <w:szCs w:val="24"/>
          <w:highlight w:val="none"/>
        </w:rPr>
        <w:t>文件将不予接收。</w:t>
      </w:r>
    </w:p>
    <w:p w14:paraId="612F909F">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注：如按照电子化投标操作教材制作完成的电子化</w:t>
      </w:r>
      <w:r>
        <w:rPr>
          <w:rFonts w:hint="eastAsia" w:ascii="宋体" w:hAnsi="宋体" w:cs="宋体"/>
          <w:color w:val="auto"/>
          <w:sz w:val="24"/>
          <w:szCs w:val="24"/>
          <w:highlight w:val="none"/>
        </w:rPr>
        <w:t>磋商响应</w:t>
      </w:r>
      <w:r>
        <w:rPr>
          <w:rFonts w:hint="eastAsia" w:ascii="宋体" w:hAnsi="宋体"/>
          <w:color w:val="auto"/>
          <w:sz w:val="24"/>
          <w:szCs w:val="24"/>
          <w:highlight w:val="none"/>
        </w:rPr>
        <w:t>文件无法上传的，投标人应在</w:t>
      </w:r>
      <w:r>
        <w:rPr>
          <w:rFonts w:hint="eastAsia" w:ascii="宋体" w:hAnsi="宋体"/>
          <w:b/>
          <w:color w:val="auto"/>
          <w:sz w:val="24"/>
          <w:szCs w:val="24"/>
          <w:highlight w:val="none"/>
        </w:rPr>
        <w:t>投标截止时间前尽早的</w:t>
      </w:r>
      <w:r>
        <w:rPr>
          <w:rFonts w:hint="eastAsia" w:ascii="宋体" w:hAnsi="宋体"/>
          <w:color w:val="auto"/>
          <w:sz w:val="24"/>
          <w:szCs w:val="24"/>
          <w:highlight w:val="none"/>
        </w:rPr>
        <w:t>联系中心技术人员，以便有充分的时间进行处理。</w:t>
      </w:r>
      <w:r>
        <w:rPr>
          <w:rFonts w:hint="eastAsia" w:ascii="宋体" w:hAnsi="宋体"/>
          <w:b/>
          <w:color w:val="auto"/>
          <w:sz w:val="24"/>
          <w:szCs w:val="24"/>
          <w:highlight w:val="none"/>
        </w:rPr>
        <w:t>投标人应充分考虑到处理技术问题和上传数据等工作所需的时间问题，电子化磋商响应文件未在投标截止时间前成功上传的，其磋商响应文件不予接收。</w:t>
      </w:r>
    </w:p>
    <w:p w14:paraId="4CDC23CE">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07" w:name="_Toc77586845"/>
      <w:bookmarkStart w:id="308" w:name="_Toc7908"/>
      <w:bookmarkStart w:id="309" w:name="_Toc30286"/>
      <w:bookmarkStart w:id="310" w:name="_Toc77586938"/>
      <w:r>
        <w:rPr>
          <w:rFonts w:hint="eastAsia" w:ascii="宋体" w:hAnsi="宋体" w:cs="宋体"/>
          <w:b/>
          <w:bCs/>
          <w:color w:val="auto"/>
          <w:kern w:val="28"/>
          <w:sz w:val="24"/>
          <w:szCs w:val="24"/>
          <w:highlight w:val="none"/>
        </w:rPr>
        <w:t>4.3 磋商响应文件的修改与撤回</w:t>
      </w:r>
      <w:bookmarkEnd w:id="307"/>
      <w:bookmarkEnd w:id="308"/>
      <w:bookmarkEnd w:id="309"/>
      <w:bookmarkEnd w:id="310"/>
    </w:p>
    <w:p w14:paraId="55177C06">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4.3.1在投标截止时间之后，投标人不得补充、修改电子化磋商响应文件。</w:t>
      </w:r>
    </w:p>
    <w:bookmarkEnd w:id="295"/>
    <w:bookmarkEnd w:id="296"/>
    <w:bookmarkEnd w:id="297"/>
    <w:bookmarkEnd w:id="298"/>
    <w:bookmarkEnd w:id="299"/>
    <w:bookmarkEnd w:id="300"/>
    <w:bookmarkEnd w:id="301"/>
    <w:bookmarkEnd w:id="302"/>
    <w:p w14:paraId="1060B4ED">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11" w:name="_Toc246996203"/>
      <w:bookmarkStart w:id="312" w:name="_Toc179632577"/>
      <w:bookmarkStart w:id="313" w:name="_Toc247085717"/>
      <w:bookmarkStart w:id="314" w:name="_Toc144974527"/>
      <w:bookmarkStart w:id="315" w:name="_Toc246996946"/>
      <w:bookmarkStart w:id="316" w:name="_Toc152045559"/>
      <w:bookmarkStart w:id="317" w:name="_Toc296602447"/>
      <w:bookmarkStart w:id="318" w:name="_Toc152042335"/>
      <w:bookmarkStart w:id="319" w:name="_Toc77586846"/>
      <w:bookmarkStart w:id="320" w:name="_Toc77586939"/>
      <w:bookmarkStart w:id="321" w:name="_Toc21479"/>
      <w:bookmarkStart w:id="322" w:name="_Toc29915"/>
      <w:r>
        <w:rPr>
          <w:rFonts w:hint="eastAsia" w:ascii="宋体" w:hAnsi="宋体" w:cs="宋体"/>
          <w:b/>
          <w:bCs/>
          <w:color w:val="auto"/>
          <w:kern w:val="28"/>
          <w:sz w:val="24"/>
          <w:szCs w:val="24"/>
          <w:highlight w:val="none"/>
        </w:rPr>
        <w:t xml:space="preserve">5. </w:t>
      </w:r>
      <w:bookmarkEnd w:id="311"/>
      <w:bookmarkEnd w:id="312"/>
      <w:bookmarkEnd w:id="313"/>
      <w:bookmarkEnd w:id="314"/>
      <w:bookmarkEnd w:id="315"/>
      <w:bookmarkEnd w:id="316"/>
      <w:bookmarkEnd w:id="317"/>
      <w:bookmarkEnd w:id="318"/>
      <w:r>
        <w:rPr>
          <w:rFonts w:hint="eastAsia" w:ascii="宋体" w:hAnsi="宋体" w:cs="宋体"/>
          <w:b/>
          <w:bCs/>
          <w:color w:val="auto"/>
          <w:kern w:val="28"/>
          <w:sz w:val="24"/>
          <w:szCs w:val="24"/>
          <w:highlight w:val="none"/>
        </w:rPr>
        <w:t>磋商</w:t>
      </w:r>
      <w:bookmarkEnd w:id="319"/>
      <w:bookmarkEnd w:id="320"/>
      <w:bookmarkEnd w:id="321"/>
      <w:bookmarkEnd w:id="322"/>
    </w:p>
    <w:p w14:paraId="481E957F">
      <w:pPr>
        <w:shd w:val="clear" w:color="auto" w:fill="auto"/>
        <w:spacing w:line="400" w:lineRule="exact"/>
        <w:ind w:firstLine="422" w:firstLineChars="176"/>
        <w:rPr>
          <w:rFonts w:hint="eastAsia" w:ascii="宋体" w:hAnsi="宋体"/>
          <w:color w:val="auto"/>
          <w:sz w:val="24"/>
          <w:szCs w:val="24"/>
          <w:highlight w:val="none"/>
        </w:rPr>
      </w:pPr>
      <w:bookmarkStart w:id="323" w:name="_Toc152042338"/>
      <w:bookmarkStart w:id="324" w:name="_Toc152042337"/>
      <w:bookmarkStart w:id="325" w:name="_Toc152045561"/>
      <w:bookmarkStart w:id="326" w:name="_Toc246996949"/>
      <w:bookmarkStart w:id="327" w:name="_Toc246996206"/>
      <w:bookmarkStart w:id="328" w:name="_Toc247085720"/>
      <w:bookmarkStart w:id="329" w:name="_Toc144974530"/>
      <w:bookmarkStart w:id="330" w:name="_Toc179632580"/>
      <w:bookmarkStart w:id="331" w:name="_Toc152045562"/>
      <w:bookmarkStart w:id="332" w:name="_Toc296602451"/>
      <w:bookmarkStart w:id="333" w:name="_Toc144974529"/>
      <w:bookmarkStart w:id="334" w:name="_Toc179632579"/>
      <w:r>
        <w:rPr>
          <w:rFonts w:hint="eastAsia" w:ascii="宋体" w:hAnsi="宋体"/>
          <w:color w:val="auto"/>
          <w:sz w:val="24"/>
          <w:szCs w:val="24"/>
          <w:highlight w:val="none"/>
        </w:rPr>
        <w:t>5.1本项目采用电子化、无纸化进行招标，开标当日，投标人无需到开标现场参加开标会议，投标人应当在投标截止时间前，登陆不见面开标大厅选择登陆三门峡市公共资源电子招投标系统进行登陆（网址为http://120.194.249.36:10094/BidOpening/bidopeninghallaction/hall/login）,在线准时参加开标活动并进行磋商响应文件解密等。</w:t>
      </w:r>
    </w:p>
    <w:p w14:paraId="0AA6789C">
      <w:pPr>
        <w:shd w:val="clear" w:color="auto" w:fill="auto"/>
        <w:spacing w:line="400" w:lineRule="exact"/>
        <w:ind w:firstLine="422" w:firstLineChars="176"/>
        <w:rPr>
          <w:rFonts w:hint="eastAsia" w:ascii="宋体" w:hAnsi="宋体"/>
          <w:color w:val="auto"/>
          <w:sz w:val="24"/>
          <w:szCs w:val="24"/>
          <w:highlight w:val="none"/>
        </w:rPr>
      </w:pPr>
      <w:r>
        <w:rPr>
          <w:rFonts w:hint="eastAsia" w:ascii="宋体" w:hAnsi="宋体"/>
          <w:color w:val="auto"/>
          <w:sz w:val="24"/>
          <w:szCs w:val="24"/>
          <w:highlight w:val="none"/>
        </w:rPr>
        <w:t>5.2 电子化磋商响应文件采用一次加密方式。开标时，由投标人使用CA 证书，在规定时间内对其电子化</w:t>
      </w:r>
      <w:r>
        <w:rPr>
          <w:rFonts w:hint="eastAsia" w:ascii="宋体" w:hAnsi="宋体" w:cs="宋体"/>
          <w:color w:val="auto"/>
          <w:sz w:val="24"/>
          <w:szCs w:val="24"/>
          <w:highlight w:val="none"/>
        </w:rPr>
        <w:t>磋商响应</w:t>
      </w:r>
      <w:r>
        <w:rPr>
          <w:rFonts w:hint="eastAsia" w:ascii="宋体" w:hAnsi="宋体"/>
          <w:color w:val="auto"/>
          <w:sz w:val="24"/>
          <w:szCs w:val="24"/>
          <w:highlight w:val="none"/>
        </w:rPr>
        <w:t>文件进行解密。每位投标人的解密时间为开标时间起30 分钟内，如在规定时间内未完成解密的，其</w:t>
      </w:r>
      <w:r>
        <w:rPr>
          <w:rFonts w:hint="eastAsia" w:ascii="宋体" w:hAnsi="宋体" w:cs="宋体"/>
          <w:color w:val="auto"/>
          <w:sz w:val="24"/>
          <w:szCs w:val="24"/>
          <w:highlight w:val="none"/>
        </w:rPr>
        <w:t>磋商响应</w:t>
      </w:r>
      <w:r>
        <w:rPr>
          <w:rFonts w:hint="eastAsia" w:ascii="宋体" w:hAnsi="宋体"/>
          <w:color w:val="auto"/>
          <w:sz w:val="24"/>
          <w:szCs w:val="24"/>
          <w:highlight w:val="none"/>
        </w:rPr>
        <w:t>文件不予开标、唱标。每位投标人的解密时间为开标时间起30分钟内完成。</w:t>
      </w:r>
    </w:p>
    <w:p w14:paraId="2D69C54C">
      <w:pPr>
        <w:shd w:val="clear" w:color="auto" w:fill="auto"/>
        <w:spacing w:line="400" w:lineRule="exact"/>
        <w:ind w:firstLine="241" w:firstLineChars="100"/>
        <w:rPr>
          <w:rFonts w:hint="eastAsia" w:ascii="宋体" w:hAnsi="宋体"/>
          <w:b/>
          <w:color w:val="auto"/>
          <w:sz w:val="24"/>
          <w:szCs w:val="24"/>
          <w:highlight w:val="none"/>
        </w:rPr>
      </w:pPr>
      <w:r>
        <w:rPr>
          <w:rFonts w:hint="eastAsia" w:ascii="宋体" w:hAnsi="宋体"/>
          <w:b/>
          <w:color w:val="auto"/>
          <w:sz w:val="24"/>
          <w:szCs w:val="24"/>
          <w:highlight w:val="none"/>
        </w:rPr>
        <w:t>5.3 电子化磋商响应文件解密异常的处理</w:t>
      </w:r>
    </w:p>
    <w:p w14:paraId="3996A582">
      <w:pPr>
        <w:shd w:val="clear" w:color="auto" w:fill="auto"/>
        <w:spacing w:line="400" w:lineRule="exact"/>
        <w:ind w:firstLine="422" w:firstLineChars="176"/>
        <w:rPr>
          <w:rFonts w:hint="eastAsia" w:ascii="宋体" w:hAnsi="宋体"/>
          <w:color w:val="auto"/>
          <w:sz w:val="24"/>
          <w:szCs w:val="24"/>
          <w:highlight w:val="none"/>
        </w:rPr>
      </w:pPr>
      <w:r>
        <w:rPr>
          <w:rFonts w:hint="eastAsia" w:ascii="宋体" w:hAnsi="宋体"/>
          <w:color w:val="auto"/>
          <w:sz w:val="24"/>
          <w:szCs w:val="24"/>
          <w:highlight w:val="none"/>
        </w:rPr>
        <w:t>如出现投标人的电子磋商响应文件无法解密等异常情况，投标人应及时致电中介服务机构说明。磋商响应文件异常，按以下步骤进行处理：</w:t>
      </w:r>
    </w:p>
    <w:p w14:paraId="145A2A43">
      <w:pPr>
        <w:shd w:val="clear" w:color="auto" w:fill="auto"/>
        <w:spacing w:line="400" w:lineRule="exact"/>
        <w:ind w:firstLine="422" w:firstLineChars="176"/>
        <w:rPr>
          <w:rFonts w:hint="eastAsia" w:ascii="宋体" w:hAnsi="宋体"/>
          <w:color w:val="auto"/>
          <w:sz w:val="24"/>
          <w:szCs w:val="24"/>
          <w:highlight w:val="none"/>
        </w:rPr>
      </w:pPr>
      <w:r>
        <w:rPr>
          <w:rFonts w:hint="eastAsia" w:ascii="宋体" w:hAnsi="宋体"/>
          <w:color w:val="auto"/>
          <w:sz w:val="24"/>
          <w:szCs w:val="24"/>
          <w:highlight w:val="none"/>
        </w:rPr>
        <w:t>（1）首先由技术人员进行问题排查。</w:t>
      </w:r>
    </w:p>
    <w:p w14:paraId="27EB46DA">
      <w:pPr>
        <w:shd w:val="clear" w:color="auto" w:fill="auto"/>
        <w:spacing w:line="400" w:lineRule="exact"/>
        <w:ind w:firstLine="422" w:firstLineChars="176"/>
        <w:rPr>
          <w:rFonts w:hint="eastAsia" w:ascii="宋体" w:hAnsi="宋体"/>
          <w:color w:val="auto"/>
          <w:sz w:val="24"/>
          <w:szCs w:val="24"/>
          <w:highlight w:val="none"/>
        </w:rPr>
      </w:pPr>
      <w:r>
        <w:rPr>
          <w:rFonts w:hint="eastAsia" w:ascii="宋体" w:hAnsi="宋体"/>
          <w:color w:val="auto"/>
          <w:sz w:val="24"/>
          <w:szCs w:val="24"/>
          <w:highlight w:val="none"/>
        </w:rPr>
        <w:t>（2）经技术人员排查后，是投标人文件自身问题导致磋商响应文件无法解密的，该磋商响应文件将不予接收、解密和唱标。开标会议继续进行。</w:t>
      </w:r>
    </w:p>
    <w:p w14:paraId="76473E0A">
      <w:pPr>
        <w:shd w:val="clear" w:color="auto" w:fill="auto"/>
        <w:spacing w:line="400" w:lineRule="exact"/>
        <w:ind w:firstLine="422" w:firstLineChars="176"/>
        <w:rPr>
          <w:rFonts w:hint="eastAsia" w:ascii="宋体" w:hAnsi="宋体"/>
          <w:color w:val="auto"/>
          <w:sz w:val="24"/>
          <w:szCs w:val="24"/>
          <w:highlight w:val="none"/>
        </w:rPr>
      </w:pPr>
      <w:r>
        <w:rPr>
          <w:rFonts w:hint="eastAsia" w:ascii="宋体" w:hAnsi="宋体"/>
          <w:color w:val="auto"/>
          <w:sz w:val="24"/>
          <w:szCs w:val="24"/>
          <w:highlight w:val="none"/>
        </w:rPr>
        <w:t>（3）经技术人员排查后，如果是电子化交易系统问题造成磋商响应文件无法解密的，将由技术人员对问题进行处理。如短时间内问题无法解决的，将由中介服务机构向监督部门申请，经监督部门同意后，暂停开标会议，待问题解决后继续开标。</w:t>
      </w:r>
    </w:p>
    <w:bookmarkEnd w:id="323"/>
    <w:bookmarkEnd w:id="324"/>
    <w:bookmarkEnd w:id="325"/>
    <w:bookmarkEnd w:id="326"/>
    <w:bookmarkEnd w:id="327"/>
    <w:bookmarkEnd w:id="328"/>
    <w:bookmarkEnd w:id="329"/>
    <w:bookmarkEnd w:id="330"/>
    <w:bookmarkEnd w:id="331"/>
    <w:bookmarkEnd w:id="332"/>
    <w:bookmarkEnd w:id="333"/>
    <w:bookmarkEnd w:id="334"/>
    <w:p w14:paraId="384D0D48">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35" w:name="_Toc152042339"/>
      <w:bookmarkStart w:id="336" w:name="_Toc12014"/>
      <w:bookmarkStart w:id="337" w:name="_Toc296602452"/>
      <w:bookmarkStart w:id="338" w:name="_Toc247085721"/>
      <w:bookmarkStart w:id="339" w:name="_Toc179632581"/>
      <w:bookmarkStart w:id="340" w:name="_Toc77586847"/>
      <w:bookmarkStart w:id="341" w:name="_Toc77586940"/>
      <w:bookmarkStart w:id="342" w:name="_Toc246996950"/>
      <w:bookmarkStart w:id="343" w:name="_Toc152045563"/>
      <w:bookmarkStart w:id="344" w:name="_Toc246996207"/>
      <w:bookmarkStart w:id="345" w:name="_Toc144974531"/>
      <w:bookmarkStart w:id="346" w:name="_Toc22146"/>
      <w:r>
        <w:rPr>
          <w:rFonts w:hint="eastAsia" w:ascii="宋体" w:hAnsi="宋体" w:cs="宋体"/>
          <w:b/>
          <w:bCs/>
          <w:color w:val="auto"/>
          <w:kern w:val="28"/>
          <w:sz w:val="24"/>
          <w:szCs w:val="24"/>
          <w:highlight w:val="none"/>
        </w:rPr>
        <w:t>5.4 磋商小组</w:t>
      </w:r>
      <w:bookmarkEnd w:id="335"/>
      <w:bookmarkEnd w:id="336"/>
      <w:bookmarkEnd w:id="337"/>
      <w:bookmarkEnd w:id="338"/>
      <w:bookmarkEnd w:id="339"/>
      <w:bookmarkEnd w:id="340"/>
      <w:bookmarkEnd w:id="341"/>
      <w:bookmarkEnd w:id="342"/>
      <w:bookmarkEnd w:id="343"/>
      <w:bookmarkEnd w:id="344"/>
      <w:bookmarkEnd w:id="345"/>
      <w:bookmarkEnd w:id="346"/>
    </w:p>
    <w:p w14:paraId="0890BCD0">
      <w:pPr>
        <w:widowControl/>
        <w:shd w:val="clear" w:color="auto" w:fill="auto"/>
        <w:spacing w:line="400" w:lineRule="exact"/>
        <w:ind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5.4.1 </w:t>
      </w:r>
      <w:r>
        <w:rPr>
          <w:rFonts w:hint="eastAsia" w:ascii="宋体" w:hAnsi="宋体" w:cs="宋体"/>
          <w:color w:val="auto"/>
          <w:kern w:val="44"/>
          <w:sz w:val="24"/>
          <w:szCs w:val="24"/>
          <w:highlight w:val="none"/>
        </w:rPr>
        <w:t>磋商小组由3人组成:磋商小组构成：由采购人代表和有关经济、技术等方面的专家共3人组成，其中采购人代表1人、技术有关方面的专家1人、经济有关方面的专家1人，共3人组成。评标专家确定方式：参加评标的专家在河南政府采购网抽取终端随机抽取确定</w:t>
      </w:r>
      <w:r>
        <w:rPr>
          <w:rFonts w:hint="eastAsia" w:ascii="宋体" w:hAnsi="宋体" w:cs="宋体"/>
          <w:color w:val="auto"/>
          <w:sz w:val="24"/>
          <w:szCs w:val="24"/>
          <w:highlight w:val="none"/>
        </w:rPr>
        <w:t>。</w:t>
      </w:r>
    </w:p>
    <w:p w14:paraId="6585B8DB">
      <w:pPr>
        <w:widowControl/>
        <w:shd w:val="clear" w:color="auto" w:fill="auto"/>
        <w:spacing w:line="400" w:lineRule="exact"/>
        <w:ind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5.4.2磋商小组对所有投标人的磋商响应文件进行评审，按评审后得分由高到低顺序排列，递交给招标人。</w:t>
      </w:r>
    </w:p>
    <w:p w14:paraId="6D38BB41">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5.4.3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14:paraId="34F32299">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5.4.3磋商小组成员和评审工作有关人员不得干预或者影响正常评审工作，不得明示或者暗示其倾向性、引导性意见，不得修改磋商文件确定的评审程序、评审方法，不得征询招标人代表的倾向性意见，不得记录、复制或带走任何评审资料。成交候选人确定后，磋商小组不得修改评审结果或者要求重新评审，但因初步审查认定错误或价格计算错误需依法重新评审的除外。应在评审报告中明确记载。</w:t>
      </w:r>
    </w:p>
    <w:p w14:paraId="2F209590">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5.4.4磋商小组成员有下列情形之一的，应当回避：</w:t>
      </w:r>
    </w:p>
    <w:p w14:paraId="72269319">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（1）投标人或投标人主要负责人的近亲属；</w:t>
      </w:r>
    </w:p>
    <w:p w14:paraId="29D4C677">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（2）项目主管部门或者行政监督部门的人员；</w:t>
      </w:r>
    </w:p>
    <w:p w14:paraId="6271830F">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（3）与投标人有经济利益关系；</w:t>
      </w:r>
    </w:p>
    <w:p w14:paraId="0B962BF4">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（4）曾因在招标、评标以及其他与招标投标有关活动中从事违法行为而受过行政处罚或刑事处罚的；</w:t>
      </w:r>
    </w:p>
    <w:p w14:paraId="4520CE42">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（5）与投标人有其他利害关系。</w:t>
      </w:r>
    </w:p>
    <w:p w14:paraId="0D4AD99A">
      <w:pPr>
        <w:shd w:val="clear" w:color="auto" w:fill="auto"/>
        <w:spacing w:line="400" w:lineRule="exact"/>
        <w:ind w:firstLine="241" w:firstLineChars="100"/>
        <w:rPr>
          <w:rFonts w:hint="eastAsia" w:ascii="宋体" w:hAnsi="宋体" w:cs="宋体"/>
          <w:b/>
          <w:bCs/>
          <w:color w:val="auto"/>
          <w:sz w:val="24"/>
          <w:szCs w:val="24"/>
          <w:highlight w:val="none"/>
        </w:rPr>
      </w:pPr>
      <w:bookmarkStart w:id="347" w:name="_Toc152045564"/>
      <w:bookmarkStart w:id="348" w:name="_Toc179632582"/>
      <w:bookmarkStart w:id="349" w:name="_Toc246996208"/>
      <w:bookmarkStart w:id="350" w:name="_Toc247085722"/>
      <w:bookmarkStart w:id="351" w:name="_Toc246996951"/>
      <w:bookmarkStart w:id="352" w:name="_Toc296602453"/>
      <w:bookmarkStart w:id="353" w:name="_Toc152042340"/>
      <w:bookmarkStart w:id="354" w:name="_Toc144974532"/>
      <w:r>
        <w:rPr>
          <w:rFonts w:hint="eastAsia" w:ascii="宋体" w:hAnsi="宋体" w:cs="宋体"/>
          <w:b/>
          <w:bCs/>
          <w:color w:val="auto"/>
          <w:sz w:val="24"/>
          <w:szCs w:val="24"/>
          <w:highlight w:val="none"/>
        </w:rPr>
        <w:t>5.5磋商原则和方法</w:t>
      </w:r>
    </w:p>
    <w:p w14:paraId="5E652069">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5.5.1坚持公开、公平、公正的原则。</w:t>
      </w:r>
    </w:p>
    <w:p w14:paraId="3DA7C079">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5.5.2磋商在磋商小组应当集中与单一投标人分别进行磋商，磋商小组将遵照磋商原则，公正、平等地对待所有投标人。</w:t>
      </w:r>
    </w:p>
    <w:p w14:paraId="5C6669F4">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5.5.3评审方法</w:t>
      </w:r>
    </w:p>
    <w:p w14:paraId="00105BE0">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（1）初步评审（是否响应竞争性磋商文件的要求），确定合格的投标人。</w:t>
      </w:r>
    </w:p>
    <w:p w14:paraId="1026E4EF">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  （2）各投标人依据各自情况进行最后报价。</w:t>
      </w:r>
    </w:p>
    <w:p w14:paraId="5AA06FBB">
      <w:pPr>
        <w:shd w:val="clear" w:color="auto" w:fill="auto"/>
        <w:spacing w:line="400" w:lineRule="exact"/>
        <w:ind w:firstLine="410" w:firstLineChars="171"/>
        <w:rPr>
          <w:rFonts w:hint="eastAsia" w:ascii="宋体" w:hAnsi="宋体" w:cs="宋体"/>
          <w:b/>
          <w:bCs/>
          <w:color w:val="auto"/>
          <w:kern w:val="28"/>
          <w:sz w:val="24"/>
          <w:szCs w:val="24"/>
          <w:highlight w:val="none"/>
        </w:rPr>
      </w:pPr>
      <w:r>
        <w:rPr>
          <w:rFonts w:hint="eastAsia" w:ascii="宋体" w:hAnsi="宋体" w:cs="宋体"/>
          <w:color w:val="auto"/>
          <w:sz w:val="24"/>
          <w:szCs w:val="24"/>
          <w:highlight w:val="none"/>
        </w:rPr>
        <w:t xml:space="preserve">  （3）磋商小组采用综合评分法对提交最后报价的投标人的响应文件和最后报价进行综合评分。</w:t>
      </w:r>
    </w:p>
    <w:p w14:paraId="09CD828D">
      <w:pPr>
        <w:shd w:val="clear" w:color="auto" w:fill="auto"/>
        <w:spacing w:line="400" w:lineRule="exact"/>
        <w:ind w:firstLine="241" w:firstLineChars="100"/>
        <w:rPr>
          <w:rFonts w:hint="eastAsia" w:ascii="宋体" w:hAnsi="宋体" w:cs="宋体"/>
          <w:b/>
          <w:bCs/>
          <w:color w:val="auto"/>
          <w:kern w:val="28"/>
          <w:sz w:val="24"/>
          <w:szCs w:val="24"/>
          <w:highlight w:val="none"/>
        </w:rPr>
      </w:pPr>
      <w:r>
        <w:rPr>
          <w:rFonts w:hint="eastAsia" w:ascii="宋体" w:hAnsi="宋体" w:cs="宋体"/>
          <w:b/>
          <w:bCs/>
          <w:color w:val="auto"/>
          <w:kern w:val="28"/>
          <w:sz w:val="24"/>
          <w:szCs w:val="24"/>
          <w:highlight w:val="none"/>
        </w:rPr>
        <w:t>5.6对投标人的评价</w:t>
      </w:r>
    </w:p>
    <w:p w14:paraId="1D346C68">
      <w:pPr>
        <w:shd w:val="clear" w:color="auto" w:fill="auto"/>
        <w:tabs>
          <w:tab w:val="left" w:pos="0"/>
          <w:tab w:val="left" w:pos="851"/>
        </w:tabs>
        <w:autoSpaceDE w:val="0"/>
        <w:autoSpaceDN w:val="0"/>
        <w:adjustRightInd w:val="0"/>
        <w:spacing w:line="400" w:lineRule="exact"/>
        <w:ind w:firstLine="480" w:firstLineChars="200"/>
        <w:rPr>
          <w:rFonts w:hint="eastAsia" w:ascii="宋体" w:hAnsi="宋体" w:cs="黑体"/>
          <w:color w:val="auto"/>
          <w:kern w:val="0"/>
          <w:sz w:val="24"/>
          <w:szCs w:val="24"/>
          <w:highlight w:val="none"/>
        </w:rPr>
      </w:pPr>
      <w:r>
        <w:rPr>
          <w:rFonts w:hint="eastAsia" w:ascii="宋体" w:hAnsi="宋体" w:cs="黑体"/>
          <w:color w:val="auto"/>
          <w:kern w:val="0"/>
          <w:sz w:val="24"/>
          <w:szCs w:val="24"/>
          <w:highlight w:val="none"/>
        </w:rPr>
        <w:t>在初审阶段,响应文件出现以下情况之一者，属于重大偏差，为未能对磋商文件作出实质性响应，作无效标处理：</w:t>
      </w:r>
    </w:p>
    <w:p w14:paraId="69DD4C53">
      <w:pPr>
        <w:shd w:val="clear" w:color="auto" w:fill="auto"/>
        <w:spacing w:line="400" w:lineRule="exact"/>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（1）响应文件未按规定的格式填写、内容不全的；</w:t>
      </w:r>
    </w:p>
    <w:p w14:paraId="0AC1F894">
      <w:pPr>
        <w:shd w:val="clear" w:color="auto" w:fill="auto"/>
        <w:spacing w:line="400" w:lineRule="exact"/>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（2）响应文件中无报价、无工期、无质量等级或工期、质量达不到磋商文件要求的；</w:t>
      </w:r>
    </w:p>
    <w:p w14:paraId="0C381C26">
      <w:pPr>
        <w:shd w:val="clear" w:color="auto" w:fill="auto"/>
        <w:spacing w:line="400" w:lineRule="exact"/>
        <w:ind w:firstLine="482" w:firstLineChars="200"/>
        <w:rPr>
          <w:rFonts w:hint="eastAsia" w:ascii="宋体" w:hAnsi="宋体"/>
          <w:b/>
          <w:color w:val="auto"/>
          <w:sz w:val="24"/>
          <w:szCs w:val="24"/>
          <w:highlight w:val="none"/>
        </w:rPr>
      </w:pPr>
      <w:r>
        <w:rPr>
          <w:rFonts w:hint="eastAsia" w:ascii="宋体" w:hAnsi="宋体"/>
          <w:b/>
          <w:color w:val="auto"/>
          <w:sz w:val="24"/>
          <w:szCs w:val="24"/>
          <w:highlight w:val="none"/>
        </w:rPr>
        <w:t>（3）响应文件有保留或合同草案有招标人不可接受条件；</w:t>
      </w:r>
    </w:p>
    <w:p w14:paraId="17967C73">
      <w:pPr>
        <w:shd w:val="clear" w:color="auto" w:fill="auto"/>
        <w:spacing w:line="400" w:lineRule="exact"/>
        <w:ind w:firstLine="412" w:firstLineChars="171"/>
        <w:rPr>
          <w:rFonts w:hint="eastAsia" w:ascii="宋体" w:hAnsi="宋体" w:cs="宋体"/>
          <w:color w:val="auto"/>
          <w:sz w:val="24"/>
          <w:szCs w:val="24"/>
          <w:highlight w:val="none"/>
        </w:rPr>
      </w:pPr>
      <w:r>
        <w:rPr>
          <w:rFonts w:hint="eastAsia" w:ascii="宋体" w:hAnsi="宋体"/>
          <w:b/>
          <w:color w:val="auto"/>
          <w:sz w:val="24"/>
          <w:szCs w:val="24"/>
          <w:highlight w:val="none"/>
        </w:rPr>
        <w:t>（4）资格证明文件不全，或不满足磋商文件规定的供应商资质要求的；</w:t>
      </w:r>
    </w:p>
    <w:p w14:paraId="2C089403">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5.6.1磋商小组只对已判定为实质性响应且通过初步审查的磋商响应文件进行详细评价和比较。</w:t>
      </w:r>
    </w:p>
    <w:p w14:paraId="6525E958">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5.6.2磋商小组所有成员应当集中与单一投标人分别进行磋商，并给予所有参加磋商的投标人平等的磋商机会。磋商完成后，要求其在规定时间内提交最后报价，提交最后报价的投标人可以为两家。</w:t>
      </w:r>
    </w:p>
    <w:p w14:paraId="278E2DDE">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5.6.3经磋商确定最终工程需求和提交最后报价的投标人后，磋商小组采用综合评分法对提交最后报价的投标人的磋商响应文件和最后报价进行综合评分。</w:t>
      </w:r>
    </w:p>
    <w:p w14:paraId="3F91737B">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5.6.4磋商小组根据综合评分情况，按评审得分由高到低的顺序确定成交候选人，并编写评审报告。评审得分相同的，按照最后报价由低到高的顺序确定，评审得分且最后报价相同的，按照技术指标优劣顺序确定成交候选人。评审报告由磋商小组全体人员签字。磋商小组成员对评审报告有异议的，磋商小组按照少数服从多数的原则推荐成交候选人，磋商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6BCA896">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5.6.5如果第一名投标人放弃成交资格或因不可抗力提出不能履行合同、竞争性磋商文件规定应当提交履约担保而在规定的期限内未能提交的，或者被查实存在影响成交结果的违法行为等情形、不符合成交条件的，采购人可以按照磋商小组提出的成交候选人名单排序依次确定其他成交候选人为成交供应商，也可以重新开展采购活动。</w:t>
      </w:r>
    </w:p>
    <w:bookmarkEnd w:id="347"/>
    <w:bookmarkEnd w:id="348"/>
    <w:bookmarkEnd w:id="349"/>
    <w:bookmarkEnd w:id="350"/>
    <w:bookmarkEnd w:id="351"/>
    <w:bookmarkEnd w:id="352"/>
    <w:bookmarkEnd w:id="353"/>
    <w:bookmarkEnd w:id="354"/>
    <w:p w14:paraId="420EFA9F">
      <w:pPr>
        <w:shd w:val="clear" w:color="auto" w:fill="auto"/>
        <w:spacing w:line="400" w:lineRule="exact"/>
        <w:ind w:firstLine="241" w:firstLineChars="100"/>
        <w:rPr>
          <w:rFonts w:hint="eastAsia" w:ascii="宋体" w:hAnsi="宋体" w:cs="宋体"/>
          <w:b/>
          <w:bCs/>
          <w:color w:val="auto"/>
          <w:sz w:val="24"/>
          <w:szCs w:val="24"/>
          <w:highlight w:val="none"/>
        </w:rPr>
      </w:pPr>
      <w:bookmarkStart w:id="355" w:name="_Toc152042342"/>
      <w:bookmarkStart w:id="356" w:name="_Toc179632584"/>
      <w:bookmarkStart w:id="357" w:name="_Toc246996953"/>
      <w:bookmarkStart w:id="358" w:name="_Toc247085724"/>
      <w:bookmarkStart w:id="359" w:name="_Toc152045566"/>
      <w:bookmarkStart w:id="360" w:name="_Toc296602455"/>
      <w:bookmarkStart w:id="361" w:name="_Toc144974534"/>
      <w:bookmarkStart w:id="362" w:name="_Toc246996210"/>
      <w:r>
        <w:rPr>
          <w:rFonts w:hint="eastAsia" w:ascii="宋体" w:hAnsi="宋体" w:cs="宋体"/>
          <w:b/>
          <w:bCs/>
          <w:color w:val="auto"/>
          <w:sz w:val="24"/>
          <w:szCs w:val="24"/>
          <w:highlight w:val="none"/>
        </w:rPr>
        <w:t>5.7确定成交人</w:t>
      </w:r>
    </w:p>
    <w:p w14:paraId="3C4F79A4">
      <w:pPr>
        <w:shd w:val="clear" w:color="auto" w:fill="auto"/>
        <w:spacing w:line="400" w:lineRule="exact"/>
        <w:ind w:firstLine="410" w:firstLineChars="171"/>
        <w:rPr>
          <w:rFonts w:hint="eastAsia" w:ascii="宋体" w:hAnsi="宋体" w:cs="宋体"/>
          <w:color w:val="auto"/>
          <w:sz w:val="24"/>
          <w:szCs w:val="24"/>
          <w:highlight w:val="none"/>
        </w:rPr>
      </w:pPr>
      <w:r>
        <w:rPr>
          <w:rFonts w:hint="eastAsia" w:ascii="宋体" w:hAnsi="宋体" w:cs="宋体"/>
          <w:color w:val="auto"/>
          <w:sz w:val="24"/>
          <w:szCs w:val="24"/>
          <w:highlight w:val="none"/>
        </w:rPr>
        <w:t>磋商小组应当根据综合评分情况，按照评审有高到低的顺序推荐成交候选人，并编写评标报告。</w:t>
      </w:r>
    </w:p>
    <w:p w14:paraId="5ED724D2">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63" w:name="_Toc77586848"/>
      <w:bookmarkStart w:id="364" w:name="_Toc18074"/>
      <w:bookmarkStart w:id="365" w:name="_Toc77586941"/>
      <w:bookmarkStart w:id="366" w:name="_Toc11348"/>
      <w:r>
        <w:rPr>
          <w:rFonts w:hint="eastAsia" w:ascii="宋体" w:hAnsi="宋体" w:cs="宋体"/>
          <w:b/>
          <w:bCs/>
          <w:color w:val="auto"/>
          <w:kern w:val="28"/>
          <w:sz w:val="24"/>
          <w:szCs w:val="24"/>
          <w:highlight w:val="none"/>
        </w:rPr>
        <w:t>6. 合同授予</w:t>
      </w:r>
      <w:bookmarkEnd w:id="355"/>
      <w:bookmarkEnd w:id="356"/>
      <w:bookmarkEnd w:id="357"/>
      <w:bookmarkEnd w:id="358"/>
      <w:bookmarkEnd w:id="359"/>
      <w:bookmarkEnd w:id="360"/>
      <w:bookmarkEnd w:id="361"/>
      <w:bookmarkEnd w:id="362"/>
      <w:bookmarkEnd w:id="363"/>
      <w:bookmarkEnd w:id="364"/>
      <w:bookmarkEnd w:id="365"/>
      <w:bookmarkEnd w:id="366"/>
    </w:p>
    <w:p w14:paraId="3702F0F1">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67" w:name="_Toc296602456"/>
      <w:bookmarkStart w:id="368" w:name="_Toc246996954"/>
      <w:bookmarkStart w:id="369" w:name="_Toc152045567"/>
      <w:bookmarkStart w:id="370" w:name="_Toc77586942"/>
      <w:bookmarkStart w:id="371" w:name="_Toc246996211"/>
      <w:bookmarkStart w:id="372" w:name="_Toc14367"/>
      <w:bookmarkStart w:id="373" w:name="_Toc2785"/>
      <w:bookmarkStart w:id="374" w:name="_Toc247085725"/>
      <w:bookmarkStart w:id="375" w:name="_Toc77586849"/>
      <w:bookmarkStart w:id="376" w:name="_Toc179632585"/>
      <w:bookmarkStart w:id="377" w:name="_Toc144974535"/>
      <w:bookmarkStart w:id="378" w:name="_Toc152042343"/>
      <w:r>
        <w:rPr>
          <w:rFonts w:hint="eastAsia" w:ascii="宋体" w:hAnsi="宋体" w:cs="宋体"/>
          <w:b/>
          <w:bCs/>
          <w:color w:val="auto"/>
          <w:kern w:val="28"/>
          <w:sz w:val="24"/>
          <w:szCs w:val="24"/>
          <w:highlight w:val="none"/>
        </w:rPr>
        <w:t>6.1 定标方式</w:t>
      </w:r>
      <w:bookmarkEnd w:id="367"/>
      <w:bookmarkEnd w:id="368"/>
      <w:bookmarkEnd w:id="369"/>
      <w:bookmarkEnd w:id="370"/>
      <w:bookmarkEnd w:id="371"/>
      <w:bookmarkEnd w:id="372"/>
      <w:bookmarkEnd w:id="373"/>
      <w:bookmarkEnd w:id="374"/>
      <w:bookmarkEnd w:id="375"/>
      <w:bookmarkEnd w:id="376"/>
      <w:bookmarkEnd w:id="377"/>
      <w:bookmarkEnd w:id="378"/>
    </w:p>
    <w:p w14:paraId="149BB610">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招标人依据磋商小组推荐的成交候选人确定成交人。</w:t>
      </w:r>
    </w:p>
    <w:p w14:paraId="1FB53A16">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79" w:name="_Toc9322"/>
      <w:bookmarkStart w:id="380" w:name="_Toc23383"/>
      <w:bookmarkStart w:id="381" w:name="_Toc77586943"/>
      <w:bookmarkStart w:id="382" w:name="_Toc296602457"/>
      <w:bookmarkStart w:id="383" w:name="_Toc77586850"/>
      <w:r>
        <w:rPr>
          <w:rFonts w:hint="eastAsia" w:ascii="宋体" w:hAnsi="宋体" w:cs="宋体"/>
          <w:b/>
          <w:bCs/>
          <w:color w:val="auto"/>
          <w:kern w:val="28"/>
          <w:sz w:val="24"/>
          <w:szCs w:val="24"/>
          <w:highlight w:val="none"/>
        </w:rPr>
        <w:t>6.2 成交候选人公示</w:t>
      </w:r>
      <w:bookmarkEnd w:id="379"/>
      <w:bookmarkEnd w:id="380"/>
      <w:bookmarkEnd w:id="381"/>
      <w:bookmarkEnd w:id="382"/>
      <w:bookmarkEnd w:id="383"/>
    </w:p>
    <w:p w14:paraId="68AF4845">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招标人在投标人须知前附表规定的媒介公示成交候选人。</w:t>
      </w:r>
    </w:p>
    <w:p w14:paraId="01CBE9BC">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84" w:name="_Toc77586851"/>
      <w:bookmarkStart w:id="385" w:name="_Toc152045568"/>
      <w:bookmarkStart w:id="386" w:name="_Toc77586944"/>
      <w:bookmarkStart w:id="387" w:name="_Toc19436"/>
      <w:bookmarkStart w:id="388" w:name="_Toc4809"/>
      <w:bookmarkStart w:id="389" w:name="_Toc246996212"/>
      <w:bookmarkStart w:id="390" w:name="_Toc144974536"/>
      <w:bookmarkStart w:id="391" w:name="_Toc152042344"/>
      <w:bookmarkStart w:id="392" w:name="_Toc247085726"/>
      <w:bookmarkStart w:id="393" w:name="_Toc296602458"/>
      <w:bookmarkStart w:id="394" w:name="_Toc179632586"/>
      <w:bookmarkStart w:id="395" w:name="_Toc246996955"/>
      <w:r>
        <w:rPr>
          <w:rFonts w:hint="eastAsia" w:ascii="宋体" w:hAnsi="宋体" w:cs="宋体"/>
          <w:b/>
          <w:bCs/>
          <w:color w:val="auto"/>
          <w:kern w:val="28"/>
          <w:sz w:val="24"/>
          <w:szCs w:val="24"/>
          <w:highlight w:val="none"/>
        </w:rPr>
        <w:t>6.3 成交通知</w:t>
      </w:r>
      <w:bookmarkEnd w:id="384"/>
      <w:bookmarkEnd w:id="385"/>
      <w:bookmarkEnd w:id="386"/>
      <w:bookmarkEnd w:id="387"/>
      <w:bookmarkEnd w:id="388"/>
      <w:bookmarkEnd w:id="389"/>
      <w:bookmarkEnd w:id="390"/>
      <w:bookmarkEnd w:id="391"/>
      <w:bookmarkEnd w:id="392"/>
      <w:bookmarkEnd w:id="393"/>
      <w:bookmarkEnd w:id="394"/>
      <w:bookmarkEnd w:id="395"/>
    </w:p>
    <w:p w14:paraId="0F006651">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在本章第3.3款规定的投标有效期内，招标人以书面形式向成交人发出成交通知书，同时将成交结果通知未成交的投标人。</w:t>
      </w:r>
    </w:p>
    <w:p w14:paraId="4E5714B3">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396" w:name="_Toc77586945"/>
      <w:bookmarkStart w:id="397" w:name="_Toc247085727"/>
      <w:bookmarkStart w:id="398" w:name="_Toc179632587"/>
      <w:bookmarkStart w:id="399" w:name="_Toc152045569"/>
      <w:bookmarkStart w:id="400" w:name="_Toc246996956"/>
      <w:bookmarkStart w:id="401" w:name="_Toc144974537"/>
      <w:bookmarkStart w:id="402" w:name="_Toc32258"/>
      <w:bookmarkStart w:id="403" w:name="_Toc246996213"/>
      <w:bookmarkStart w:id="404" w:name="_Toc296602459"/>
      <w:bookmarkStart w:id="405" w:name="_Toc12244"/>
      <w:bookmarkStart w:id="406" w:name="_Toc77586852"/>
      <w:bookmarkStart w:id="407" w:name="_Toc152042345"/>
      <w:r>
        <w:rPr>
          <w:rFonts w:hint="eastAsia" w:ascii="宋体" w:hAnsi="宋体" w:cs="宋体"/>
          <w:b/>
          <w:bCs/>
          <w:color w:val="auto"/>
          <w:kern w:val="28"/>
          <w:sz w:val="24"/>
          <w:szCs w:val="24"/>
          <w:highlight w:val="none"/>
        </w:rPr>
        <w:t>6.4 履约、支付担保</w:t>
      </w:r>
      <w:bookmarkEnd w:id="396"/>
      <w:bookmarkEnd w:id="397"/>
      <w:bookmarkEnd w:id="398"/>
      <w:bookmarkEnd w:id="399"/>
      <w:bookmarkEnd w:id="400"/>
      <w:bookmarkEnd w:id="401"/>
      <w:bookmarkEnd w:id="402"/>
      <w:bookmarkEnd w:id="403"/>
      <w:bookmarkEnd w:id="404"/>
      <w:bookmarkEnd w:id="405"/>
      <w:bookmarkEnd w:id="406"/>
      <w:bookmarkEnd w:id="407"/>
    </w:p>
    <w:p w14:paraId="17E62134">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6.4.1履约担保金额：见投标人须知前附表，与前附表一致。</w:t>
      </w:r>
    </w:p>
    <w:p w14:paraId="373F7E22">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6.4.2招标人支付担保的提交与释放程序：见投标人须知前附表，与前附表一致。</w:t>
      </w:r>
    </w:p>
    <w:p w14:paraId="61AEC0E2">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6.4.3 成交人不能按投标人须知前附表第6.4.1项要求提交履约担保的，视为放弃成交，给招标人造成的损失应当予以赔偿。</w:t>
      </w:r>
    </w:p>
    <w:p w14:paraId="207103A4">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08" w:name="_Toc77586853"/>
      <w:bookmarkStart w:id="409" w:name="_Toc152045570"/>
      <w:bookmarkStart w:id="410" w:name="_Toc296602460"/>
      <w:bookmarkStart w:id="411" w:name="_Toc23166"/>
      <w:bookmarkStart w:id="412" w:name="_Toc246996957"/>
      <w:bookmarkStart w:id="413" w:name="_Toc246996214"/>
      <w:bookmarkStart w:id="414" w:name="_Toc7968"/>
      <w:bookmarkStart w:id="415" w:name="_Toc247085728"/>
      <w:bookmarkStart w:id="416" w:name="_Toc144974538"/>
      <w:bookmarkStart w:id="417" w:name="_Toc179632588"/>
      <w:bookmarkStart w:id="418" w:name="_Toc77586946"/>
      <w:bookmarkStart w:id="419" w:name="_Toc152042346"/>
      <w:r>
        <w:rPr>
          <w:rFonts w:hint="eastAsia" w:ascii="宋体" w:hAnsi="宋体" w:cs="宋体"/>
          <w:b/>
          <w:bCs/>
          <w:color w:val="auto"/>
          <w:kern w:val="28"/>
          <w:sz w:val="24"/>
          <w:szCs w:val="24"/>
          <w:highlight w:val="none"/>
        </w:rPr>
        <w:t>6.5 签订合同</w:t>
      </w:r>
      <w:bookmarkEnd w:id="408"/>
      <w:bookmarkEnd w:id="409"/>
      <w:bookmarkEnd w:id="410"/>
      <w:bookmarkEnd w:id="411"/>
      <w:bookmarkEnd w:id="412"/>
      <w:bookmarkEnd w:id="413"/>
      <w:bookmarkEnd w:id="414"/>
      <w:bookmarkEnd w:id="415"/>
      <w:bookmarkEnd w:id="416"/>
      <w:bookmarkEnd w:id="417"/>
      <w:bookmarkEnd w:id="418"/>
      <w:bookmarkEnd w:id="419"/>
    </w:p>
    <w:p w14:paraId="3720373A">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6.5.1招标人和成交人应当自成交通知书发出之日起30天内，根据竞争性磋商文件和成交人的磋商响应文件订立书面合同。成交人无正当理由拒签合同的，招标人取消其成交资格，给招标人造成的损失应当予以赔偿。</w:t>
      </w:r>
    </w:p>
    <w:p w14:paraId="55122D86">
      <w:pPr>
        <w:widowControl/>
        <w:shd w:val="clear" w:color="auto" w:fill="auto"/>
        <w:suppressAutoHyphens/>
        <w:adjustRightInd w:val="0"/>
        <w:spacing w:line="400" w:lineRule="exact"/>
        <w:ind w:firstLine="241" w:firstLineChars="100"/>
        <w:jc w:val="left"/>
        <w:outlineLvl w:val="1"/>
        <w:rPr>
          <w:rFonts w:hint="eastAsia" w:ascii="宋体" w:hAnsi="宋体" w:eastAsia="宋体" w:cs="宋体"/>
          <w:b/>
          <w:bCs/>
          <w:color w:val="auto"/>
          <w:kern w:val="28"/>
          <w:sz w:val="24"/>
          <w:szCs w:val="24"/>
          <w:highlight w:val="none"/>
          <w:lang w:val="en-US" w:eastAsia="zh-CN"/>
        </w:rPr>
      </w:pPr>
      <w:bookmarkStart w:id="420" w:name="_Toc16918"/>
      <w:r>
        <w:rPr>
          <w:rFonts w:hint="eastAsia" w:ascii="宋体" w:hAnsi="宋体" w:eastAsia="宋体" w:cs="宋体"/>
          <w:b/>
          <w:bCs/>
          <w:color w:val="auto"/>
          <w:kern w:val="28"/>
          <w:sz w:val="24"/>
          <w:szCs w:val="24"/>
          <w:highlight w:val="none"/>
          <w:lang w:val="en-US" w:eastAsia="zh-CN"/>
        </w:rPr>
        <w:t>6.6合同补充变更</w:t>
      </w:r>
      <w:bookmarkEnd w:id="420"/>
    </w:p>
    <w:p w14:paraId="25940573">
      <w:pPr>
        <w:shd w:val="clear" w:color="auto" w:fill="auto"/>
        <w:spacing w:line="400" w:lineRule="exact"/>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6.6</w:t>
      </w:r>
      <w:r>
        <w:rPr>
          <w:rFonts w:ascii="宋体" w:hAnsi="宋体" w:eastAsia="宋体" w:cs="宋体"/>
          <w:sz w:val="24"/>
          <w:szCs w:val="24"/>
          <w:highlight w:val="none"/>
        </w:rPr>
        <w:t xml:space="preserve">.1 政府采购合同履行中，采购人需追加或减少与合同标的相同的货物、工程和服务的（即追加或减少原合同标的数量），在不改变合同条款（包括原合同单价）的前提下，双方可以协商签订补充合同，但所有补充合同总金额不得超过原合同采购金额的10%，不得调增原合同单价，不得超出项目预算，超过原合同采购金额的10%，应重新组织采购活动。 </w:t>
      </w:r>
    </w:p>
    <w:p w14:paraId="0ADF4A68">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21" w:name="_Toc77586947"/>
      <w:bookmarkStart w:id="422" w:name="_Toc77586854"/>
      <w:bookmarkStart w:id="423" w:name="_Toc246"/>
      <w:bookmarkStart w:id="424" w:name="_Toc12628"/>
      <w:bookmarkStart w:id="425" w:name="_Toc296602461"/>
      <w:r>
        <w:rPr>
          <w:rFonts w:hint="eastAsia" w:ascii="宋体" w:hAnsi="宋体" w:cs="宋体"/>
          <w:b/>
          <w:bCs/>
          <w:color w:val="auto"/>
          <w:kern w:val="28"/>
          <w:sz w:val="24"/>
          <w:szCs w:val="24"/>
          <w:highlight w:val="none"/>
        </w:rPr>
        <w:t>7. 纪律和监督</w:t>
      </w:r>
      <w:bookmarkEnd w:id="421"/>
      <w:bookmarkEnd w:id="422"/>
      <w:bookmarkEnd w:id="423"/>
      <w:bookmarkEnd w:id="424"/>
      <w:bookmarkEnd w:id="425"/>
    </w:p>
    <w:p w14:paraId="21F1ED16">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26" w:name="_Toc144974543"/>
      <w:bookmarkStart w:id="427" w:name="_Toc77586948"/>
      <w:bookmarkStart w:id="428" w:name="_Toc3882"/>
      <w:bookmarkStart w:id="429" w:name="_Toc77586855"/>
      <w:bookmarkStart w:id="430" w:name="_Toc246996962"/>
      <w:bookmarkStart w:id="431" w:name="_Toc246996219"/>
      <w:bookmarkStart w:id="432" w:name="_Toc296590983"/>
      <w:bookmarkStart w:id="433" w:name="_Toc13637"/>
      <w:bookmarkStart w:id="434" w:name="_Toc152045575"/>
      <w:bookmarkStart w:id="435" w:name="_Toc152042351"/>
      <w:bookmarkStart w:id="436" w:name="_Toc179632593"/>
      <w:bookmarkStart w:id="437" w:name="_Toc247085733"/>
      <w:bookmarkStart w:id="438" w:name="_Toc296602462"/>
      <w:r>
        <w:rPr>
          <w:rFonts w:hint="eastAsia" w:ascii="宋体" w:hAnsi="宋体" w:cs="宋体"/>
          <w:b/>
          <w:bCs/>
          <w:color w:val="auto"/>
          <w:kern w:val="28"/>
          <w:sz w:val="24"/>
          <w:szCs w:val="24"/>
          <w:highlight w:val="none"/>
        </w:rPr>
        <w:t>7.1 对招标人的纪律要求</w:t>
      </w:r>
      <w:bookmarkEnd w:id="426"/>
      <w:bookmarkEnd w:id="427"/>
      <w:bookmarkEnd w:id="428"/>
      <w:bookmarkEnd w:id="429"/>
      <w:bookmarkEnd w:id="430"/>
      <w:bookmarkEnd w:id="431"/>
      <w:bookmarkEnd w:id="432"/>
      <w:bookmarkEnd w:id="433"/>
      <w:bookmarkEnd w:id="434"/>
      <w:bookmarkEnd w:id="435"/>
      <w:bookmarkEnd w:id="436"/>
      <w:bookmarkEnd w:id="437"/>
      <w:bookmarkEnd w:id="438"/>
    </w:p>
    <w:p w14:paraId="6698B681">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招标人不得泄漏招标投标活动中应当保密的情况和资料，不得与投标人串通损害国家利益、社会公共利益或者他人合法权益。</w:t>
      </w:r>
    </w:p>
    <w:p w14:paraId="1CB95DCA">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39" w:name="_Toc77586949"/>
      <w:bookmarkStart w:id="440" w:name="_Toc246996963"/>
      <w:bookmarkStart w:id="441" w:name="_Toc296602463"/>
      <w:bookmarkStart w:id="442" w:name="_Toc152042352"/>
      <w:bookmarkStart w:id="443" w:name="_Toc152045576"/>
      <w:bookmarkStart w:id="444" w:name="_Toc246996220"/>
      <w:bookmarkStart w:id="445" w:name="_Toc179632594"/>
      <w:bookmarkStart w:id="446" w:name="_Toc77586856"/>
      <w:bookmarkStart w:id="447" w:name="_Toc144974544"/>
      <w:bookmarkStart w:id="448" w:name="_Toc13655"/>
      <w:bookmarkStart w:id="449" w:name="_Toc15672"/>
      <w:bookmarkStart w:id="450" w:name="_Toc247085734"/>
      <w:r>
        <w:rPr>
          <w:rFonts w:hint="eastAsia" w:ascii="宋体" w:hAnsi="宋体" w:cs="宋体"/>
          <w:b/>
          <w:bCs/>
          <w:color w:val="auto"/>
          <w:kern w:val="28"/>
          <w:sz w:val="24"/>
          <w:szCs w:val="24"/>
          <w:highlight w:val="none"/>
        </w:rPr>
        <w:t>7.2 对投标人的纪律要求</w:t>
      </w:r>
      <w:bookmarkEnd w:id="439"/>
      <w:bookmarkEnd w:id="440"/>
      <w:bookmarkEnd w:id="441"/>
      <w:bookmarkEnd w:id="442"/>
      <w:bookmarkEnd w:id="443"/>
      <w:bookmarkEnd w:id="444"/>
      <w:bookmarkEnd w:id="445"/>
      <w:bookmarkEnd w:id="446"/>
      <w:bookmarkEnd w:id="447"/>
      <w:bookmarkEnd w:id="448"/>
      <w:bookmarkEnd w:id="449"/>
      <w:bookmarkEnd w:id="450"/>
    </w:p>
    <w:p w14:paraId="2CDCB6C9">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投标人不得相互串通投标或者与招标人串通投标，不得向招标人或者磋商小组成员行贿谋取成交，不得以他人名义投标或者以其他方式弄虚作假骗取成交；投标人不得以任何方式干扰、影响评标工作。</w:t>
      </w:r>
    </w:p>
    <w:p w14:paraId="2CE6CA0D">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51" w:name="_Toc179632595"/>
      <w:bookmarkStart w:id="452" w:name="_Toc19260"/>
      <w:bookmarkStart w:id="453" w:name="_Toc152045577"/>
      <w:bookmarkStart w:id="454" w:name="_Toc77586950"/>
      <w:bookmarkStart w:id="455" w:name="_Toc144974545"/>
      <w:bookmarkStart w:id="456" w:name="_Toc7766"/>
      <w:bookmarkStart w:id="457" w:name="_Toc246996964"/>
      <w:bookmarkStart w:id="458" w:name="_Toc77586857"/>
      <w:bookmarkStart w:id="459" w:name="_Toc152042353"/>
      <w:bookmarkStart w:id="460" w:name="_Toc296602464"/>
      <w:bookmarkStart w:id="461" w:name="_Toc246996221"/>
      <w:bookmarkStart w:id="462" w:name="_Toc247085735"/>
      <w:r>
        <w:rPr>
          <w:rFonts w:hint="eastAsia" w:ascii="宋体" w:hAnsi="宋体" w:cs="宋体"/>
          <w:b/>
          <w:bCs/>
          <w:color w:val="auto"/>
          <w:kern w:val="28"/>
          <w:sz w:val="24"/>
          <w:szCs w:val="24"/>
          <w:highlight w:val="none"/>
        </w:rPr>
        <w:t>7.3 对磋商小组成员的纪律要求</w:t>
      </w:r>
      <w:bookmarkEnd w:id="451"/>
      <w:bookmarkEnd w:id="452"/>
      <w:bookmarkEnd w:id="453"/>
      <w:bookmarkEnd w:id="454"/>
      <w:bookmarkEnd w:id="455"/>
      <w:bookmarkEnd w:id="456"/>
      <w:bookmarkEnd w:id="457"/>
      <w:bookmarkEnd w:id="458"/>
      <w:bookmarkEnd w:id="459"/>
      <w:bookmarkEnd w:id="460"/>
      <w:bookmarkEnd w:id="461"/>
      <w:bookmarkEnd w:id="462"/>
    </w:p>
    <w:p w14:paraId="35EA2FAB">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磋商小组成员不得收受他人的财物或者其他好处，不得向他人透漏对磋商响应文件的评审和比较、成交候选人的推荐情况以及评标有关的其他情况。在评标活动中，磋商小组成员应当客观、公正地履行职责，遵守职业道德，不得擅离职守，影响评标程序正常进行，不得使用第三章“评标办法”没有规定的评审因素和标准进行评标。</w:t>
      </w:r>
    </w:p>
    <w:p w14:paraId="779B9191">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63" w:name="_Toc246996222"/>
      <w:bookmarkStart w:id="464" w:name="_Toc296602465"/>
      <w:bookmarkStart w:id="465" w:name="_Toc152042354"/>
      <w:bookmarkStart w:id="466" w:name="_Toc77586951"/>
      <w:bookmarkStart w:id="467" w:name="_Toc23478"/>
      <w:bookmarkStart w:id="468" w:name="_Toc247085736"/>
      <w:bookmarkStart w:id="469" w:name="_Toc28168"/>
      <w:bookmarkStart w:id="470" w:name="_Toc77586858"/>
      <w:bookmarkStart w:id="471" w:name="_Toc246996965"/>
      <w:bookmarkStart w:id="472" w:name="_Toc152045578"/>
      <w:bookmarkStart w:id="473" w:name="_Toc179632596"/>
      <w:bookmarkStart w:id="474" w:name="_Toc144974546"/>
      <w:r>
        <w:rPr>
          <w:rFonts w:hint="eastAsia" w:ascii="宋体" w:hAnsi="宋体" w:cs="宋体"/>
          <w:b/>
          <w:bCs/>
          <w:color w:val="auto"/>
          <w:kern w:val="28"/>
          <w:sz w:val="24"/>
          <w:szCs w:val="24"/>
          <w:highlight w:val="none"/>
        </w:rPr>
        <w:t>7.4 对与评标活动有关的工作人员的纪律要求</w:t>
      </w:r>
      <w:bookmarkEnd w:id="463"/>
      <w:bookmarkEnd w:id="464"/>
      <w:bookmarkEnd w:id="465"/>
      <w:bookmarkEnd w:id="466"/>
      <w:bookmarkEnd w:id="467"/>
      <w:bookmarkEnd w:id="468"/>
      <w:bookmarkEnd w:id="469"/>
      <w:bookmarkEnd w:id="470"/>
      <w:bookmarkEnd w:id="471"/>
      <w:bookmarkEnd w:id="472"/>
      <w:bookmarkEnd w:id="473"/>
    </w:p>
    <w:p w14:paraId="5F306B99">
      <w:pPr>
        <w:shd w:val="clear" w:color="auto" w:fill="auto"/>
        <w:spacing w:line="400" w:lineRule="exact"/>
        <w:ind w:firstLine="480" w:firstLineChars="200"/>
        <w:rPr>
          <w:rFonts w:hint="eastAsia" w:ascii="宋体" w:hAnsi="宋体" w:cs="宋体"/>
          <w:color w:val="auto"/>
          <w:sz w:val="24"/>
          <w:szCs w:val="24"/>
          <w:highlight w:val="none"/>
        </w:rPr>
      </w:pPr>
      <w:bookmarkStart w:id="475" w:name="_Toc152042355"/>
      <w:r>
        <w:rPr>
          <w:rFonts w:hint="eastAsia" w:ascii="宋体" w:hAnsi="宋体" w:cs="宋体"/>
          <w:color w:val="auto"/>
          <w:sz w:val="24"/>
          <w:szCs w:val="24"/>
          <w:highlight w:val="none"/>
        </w:rPr>
        <w:t>与评标活动有关的工作人员不得收受他人的财物或者其他好处，不得向他人透漏对磋商响应文件的评审和比较、成交候选人的推荐情况以及评标有关的其他情况。在评标活动中，与评标活动有关的工作人员不得擅离职守，影响评标程序正常进行。</w:t>
      </w:r>
      <w:bookmarkEnd w:id="475"/>
    </w:p>
    <w:p w14:paraId="4826DC08">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76" w:name="_Toc22957"/>
      <w:bookmarkStart w:id="477" w:name="_Toc77586859"/>
      <w:bookmarkStart w:id="478" w:name="_Toc9161"/>
      <w:bookmarkStart w:id="479" w:name="_Toc246996223"/>
      <w:bookmarkStart w:id="480" w:name="_Toc296602466"/>
      <w:bookmarkStart w:id="481" w:name="_Toc246996966"/>
      <w:bookmarkStart w:id="482" w:name="_Toc179632597"/>
      <w:bookmarkStart w:id="483" w:name="_Toc152045579"/>
      <w:bookmarkStart w:id="484" w:name="_Toc247085737"/>
      <w:bookmarkStart w:id="485" w:name="_Toc152042356"/>
      <w:bookmarkStart w:id="486" w:name="_Toc77586952"/>
      <w:r>
        <w:rPr>
          <w:rFonts w:hint="eastAsia" w:ascii="宋体" w:hAnsi="宋体" w:cs="宋体"/>
          <w:b/>
          <w:bCs/>
          <w:color w:val="auto"/>
          <w:kern w:val="28"/>
          <w:sz w:val="24"/>
          <w:szCs w:val="24"/>
          <w:highlight w:val="none"/>
        </w:rPr>
        <w:t>7.5 投诉</w:t>
      </w:r>
      <w:bookmarkEnd w:id="474"/>
      <w:bookmarkEnd w:id="476"/>
      <w:bookmarkEnd w:id="477"/>
      <w:bookmarkEnd w:id="478"/>
      <w:bookmarkEnd w:id="479"/>
      <w:bookmarkEnd w:id="480"/>
      <w:bookmarkEnd w:id="481"/>
      <w:bookmarkEnd w:id="482"/>
      <w:bookmarkEnd w:id="483"/>
      <w:bookmarkEnd w:id="484"/>
      <w:bookmarkEnd w:id="485"/>
      <w:bookmarkEnd w:id="486"/>
    </w:p>
    <w:p w14:paraId="6455800B">
      <w:pPr>
        <w:shd w:val="clear" w:color="auto" w:fill="auto"/>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投标人和其他利害关系人认为本次招标活动违反法律、法规和规章规定的，有权向有关行政监督部门投诉。</w:t>
      </w:r>
    </w:p>
    <w:p w14:paraId="03330395">
      <w:pPr>
        <w:widowControl/>
        <w:numPr>
          <w:ilvl w:val="0"/>
          <w:numId w:val="4"/>
        </w:numPr>
        <w:shd w:val="clear" w:color="auto" w:fill="auto"/>
        <w:suppressAutoHyphens/>
        <w:adjustRightInd w:val="0"/>
        <w:spacing w:line="400" w:lineRule="exact"/>
        <w:ind w:firstLine="241" w:firstLineChars="100"/>
        <w:jc w:val="left"/>
        <w:outlineLvl w:val="1"/>
        <w:rPr>
          <w:rFonts w:hint="default" w:ascii="宋体" w:hAnsi="宋体" w:eastAsia="宋体" w:cs="宋体"/>
          <w:b/>
          <w:bCs/>
          <w:color w:val="auto"/>
          <w:kern w:val="28"/>
          <w:sz w:val="24"/>
          <w:szCs w:val="24"/>
          <w:highlight w:val="none"/>
          <w:lang w:val="en-US" w:eastAsia="zh-CN"/>
        </w:rPr>
      </w:pPr>
      <w:bookmarkStart w:id="487" w:name="_Toc8181"/>
      <w:bookmarkStart w:id="488" w:name="_Toc296602467"/>
      <w:bookmarkStart w:id="489" w:name="_Toc246996967"/>
      <w:bookmarkStart w:id="490" w:name="_Toc77586860"/>
      <w:bookmarkStart w:id="491" w:name="_Toc152045580"/>
      <w:bookmarkStart w:id="492" w:name="_Toc144974547"/>
      <w:bookmarkStart w:id="493" w:name="_Toc179632598"/>
      <w:bookmarkStart w:id="494" w:name="_Toc246996224"/>
      <w:bookmarkStart w:id="495" w:name="_Toc152042357"/>
      <w:bookmarkStart w:id="496" w:name="_Toc23049"/>
      <w:bookmarkStart w:id="497" w:name="_Toc77586953"/>
      <w:bookmarkStart w:id="498" w:name="_Toc247085738"/>
      <w:r>
        <w:rPr>
          <w:rFonts w:hint="eastAsia" w:ascii="宋体" w:hAnsi="宋体" w:eastAsia="宋体" w:cs="宋体"/>
          <w:b/>
          <w:bCs/>
          <w:color w:val="auto"/>
          <w:kern w:val="28"/>
          <w:sz w:val="24"/>
          <w:szCs w:val="24"/>
          <w:highlight w:val="none"/>
        </w:rPr>
        <w:t>验收</w:t>
      </w:r>
      <w:bookmarkEnd w:id="487"/>
    </w:p>
    <w:p w14:paraId="309629E2">
      <w:pPr>
        <w:numPr>
          <w:ilvl w:val="1"/>
          <w:numId w:val="4"/>
        </w:numPr>
        <w:shd w:val="clear" w:color="auto" w:fill="auto"/>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验收时间：</w:t>
      </w:r>
      <w:r>
        <w:rPr>
          <w:rFonts w:hint="eastAsia" w:ascii="宋体" w:hAnsi="宋体" w:eastAsia="宋体" w:cs="宋体"/>
          <w:color w:val="auto"/>
          <w:sz w:val="24"/>
          <w:szCs w:val="24"/>
          <w:highlight w:val="none"/>
        </w:rPr>
        <w:t>项目完工达到验收条件时，由采购人成立验收工作组负责验收。技术复杂、社会影响较大的货物类项目，可以根据需要设置出厂检验、到货检验、安装调试检验、配套服务检验等多重验收环节；服务类项目，可根据项目特点对工期内的服务实施情况进行分期考核，结合考核情况和服务效果进行验收。</w:t>
      </w:r>
    </w:p>
    <w:p w14:paraId="5D9EFD8C">
      <w:pPr>
        <w:numPr>
          <w:ilvl w:val="1"/>
          <w:numId w:val="4"/>
        </w:numPr>
        <w:shd w:val="clear" w:color="auto" w:fill="auto"/>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验收工作组：</w:t>
      </w:r>
      <w:r>
        <w:rPr>
          <w:rFonts w:hint="eastAsia" w:ascii="宋体" w:hAnsi="宋体" w:eastAsia="宋体" w:cs="宋体"/>
          <w:color w:val="auto"/>
          <w:sz w:val="24"/>
          <w:szCs w:val="24"/>
          <w:highlight w:val="none"/>
        </w:rPr>
        <w:t>合同履约验收工作应成立验收工作组专门负责。直接参与该项目政府采购活动的主要负责人不得作为验收工作的主要负责人。对于采购人和使用人分离的采购项目，应当邀请实际使用人参与验收；政府向社会公众提供的公共服务项目，验收时应当邀请服务对象参与并出具意见，验收结果应当向社会公告。</w:t>
      </w:r>
    </w:p>
    <w:p w14:paraId="38B88336">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政府采购合同金额在 10 万元以下（含 10 万元）的项目，原则上可以不邀请评审专家参加，组织方成立验收小组自行验收。自行验收时，验收小组应仔细对照磋商文件及合同，对标的物的数量、质量、规格、型号等参数逐一核对，并编制验收报告。组织方认为不能独立完成验收任务的，可以邀请评审专家参与验收。</w:t>
      </w:r>
    </w:p>
    <w:p w14:paraId="38EECE78">
      <w:pPr>
        <w:shd w:val="clear" w:color="auto" w:fill="auto"/>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政府采购合同金额 50 万元以下的（含 50 万元）的项目，验收工作组应不少于三人；政府采购合同金额 50 万元以上的项目，验收工作组应由采购人领导牵头，财务、审计、监察、资产管理、技术等部门人员参与，成员不少于五人。验收工作原则上应当邀请采购评审专家参加验收；大型、复杂或者技术性很强的政府采购项目，应当邀请国家认可的质量检测机构参加验收工作；国家规定强制性检测的采购项目，采购人必须委托国家认可专业检测机构进行验收。 </w:t>
      </w:r>
    </w:p>
    <w:p w14:paraId="5024EB1C">
      <w:pPr>
        <w:shd w:val="clear" w:color="auto" w:fill="auto"/>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 xml:space="preserve">8.3 </w:t>
      </w:r>
      <w:r>
        <w:rPr>
          <w:rFonts w:hint="eastAsia" w:ascii="宋体" w:hAnsi="宋体" w:eastAsia="宋体" w:cs="宋体"/>
          <w:b/>
          <w:bCs/>
          <w:color w:val="auto"/>
          <w:sz w:val="24"/>
          <w:szCs w:val="24"/>
          <w:highlight w:val="none"/>
        </w:rPr>
        <w:t>验收时</w:t>
      </w:r>
      <w:r>
        <w:rPr>
          <w:rFonts w:hint="eastAsia" w:ascii="宋体" w:hAnsi="宋体" w:eastAsia="宋体" w:cs="宋体"/>
          <w:color w:val="auto"/>
          <w:sz w:val="24"/>
          <w:szCs w:val="24"/>
          <w:highlight w:val="none"/>
        </w:rPr>
        <w:t>，验收小组按照采购合同的约定对每一项技术、服务、安全标准的履约情况进行确认。验收时需要进行破坏性试验的，供应商应进行充分的配合并提供备品备件。工程质量必须达到对应专业现行的国家（行业）的技术标准、规范且符合相关环保要求。</w:t>
      </w:r>
    </w:p>
    <w:p w14:paraId="387E5BEC">
      <w:pPr>
        <w:shd w:val="clear" w:color="auto" w:fill="auto"/>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 xml:space="preserve">8.4 </w:t>
      </w:r>
      <w:r>
        <w:rPr>
          <w:rFonts w:hint="eastAsia" w:ascii="宋体" w:hAnsi="宋体" w:eastAsia="宋体" w:cs="宋体"/>
          <w:b/>
          <w:bCs/>
          <w:color w:val="auto"/>
          <w:sz w:val="24"/>
          <w:szCs w:val="24"/>
          <w:highlight w:val="none"/>
        </w:rPr>
        <w:t>验收报告：</w:t>
      </w:r>
      <w:r>
        <w:rPr>
          <w:rFonts w:hint="eastAsia" w:ascii="宋体" w:hAnsi="宋体" w:eastAsia="宋体" w:cs="宋体"/>
          <w:color w:val="auto"/>
          <w:sz w:val="24"/>
          <w:szCs w:val="24"/>
          <w:highlight w:val="none"/>
        </w:rPr>
        <w:t>验收后，由采购人及专家等出具验收报告（自行验收的，由采购人出具），国家规定强制性检测的采购项目应附国家认可的专业检测机构出具的验收报告。</w:t>
      </w:r>
    </w:p>
    <w:p w14:paraId="21702311">
      <w:pPr>
        <w:shd w:val="clear" w:color="auto" w:fill="auto"/>
        <w:spacing w:line="40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 xml:space="preserve">8.5 </w:t>
      </w:r>
      <w:r>
        <w:rPr>
          <w:rFonts w:hint="eastAsia" w:ascii="宋体" w:hAnsi="宋体" w:eastAsia="宋体" w:cs="宋体"/>
          <w:color w:val="auto"/>
          <w:sz w:val="24"/>
          <w:szCs w:val="24"/>
          <w:highlight w:val="none"/>
        </w:rPr>
        <w:t>验收中发现成交供应商未按合同约定的时间、地点或方式履约，提供的货物或服务的数量、质量、性能、功能达不到合同约定的，或者提供假冒伪劣产品等违反合同约定的，验收人员应在验收报告中注明违约情形和事项，并应及时通知财政部门。属假冒伪劣产品的，同时向工商管理、质量监督等行政执法部门举报。</w:t>
      </w:r>
    </w:p>
    <w:p w14:paraId="34B572DD">
      <w:pPr>
        <w:shd w:val="clear" w:color="auto" w:fill="auto"/>
        <w:spacing w:line="400" w:lineRule="exact"/>
        <w:ind w:firstLine="482"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rPr>
        <w:t>8.6 验收公告的时限：</w:t>
      </w:r>
      <w:r>
        <w:rPr>
          <w:rFonts w:hint="eastAsia" w:ascii="宋体" w:hAnsi="宋体" w:eastAsia="宋体" w:cs="宋体"/>
          <w:color w:val="auto"/>
          <w:sz w:val="24"/>
          <w:szCs w:val="24"/>
          <w:highlight w:val="none"/>
        </w:rPr>
        <w:t>采购人要在政府采购项目验收完成后1个工作日内登陆</w:t>
      </w:r>
      <w:r>
        <w:rPr>
          <w:rFonts w:hint="eastAsia" w:ascii="宋体" w:hAnsi="宋体" w:eastAsia="宋体" w:cs="宋体"/>
          <w:color w:val="auto"/>
          <w:sz w:val="24"/>
          <w:szCs w:val="24"/>
          <w:highlight w:val="none"/>
          <w:lang w:eastAsia="zh-CN"/>
        </w:rPr>
        <w:t>三门峡市</w:t>
      </w:r>
      <w:r>
        <w:rPr>
          <w:rFonts w:hint="eastAsia" w:ascii="宋体" w:hAnsi="宋体" w:eastAsia="宋体" w:cs="宋体"/>
          <w:color w:val="auto"/>
          <w:sz w:val="24"/>
          <w:szCs w:val="24"/>
          <w:highlight w:val="none"/>
        </w:rPr>
        <w:t>政府采购网进行验收公告。</w:t>
      </w:r>
    </w:p>
    <w:p w14:paraId="07CD4990">
      <w:pPr>
        <w:widowControl/>
        <w:shd w:val="clear" w:color="auto" w:fill="auto"/>
        <w:suppressAutoHyphens/>
        <w:adjustRightInd w:val="0"/>
        <w:spacing w:line="400" w:lineRule="exact"/>
        <w:ind w:firstLine="241" w:firstLineChars="100"/>
        <w:jc w:val="left"/>
        <w:outlineLvl w:val="1"/>
        <w:rPr>
          <w:rFonts w:hint="eastAsia" w:ascii="宋体" w:hAnsi="宋体" w:cs="宋体"/>
          <w:b/>
          <w:bCs/>
          <w:color w:val="auto"/>
          <w:kern w:val="28"/>
          <w:sz w:val="24"/>
          <w:szCs w:val="24"/>
          <w:highlight w:val="none"/>
        </w:rPr>
      </w:pPr>
      <w:bookmarkStart w:id="499" w:name="_Toc9538"/>
      <w:r>
        <w:rPr>
          <w:rFonts w:hint="eastAsia" w:ascii="宋体" w:hAnsi="宋体" w:cs="宋体"/>
          <w:b/>
          <w:bCs/>
          <w:color w:val="auto"/>
          <w:kern w:val="28"/>
          <w:sz w:val="24"/>
          <w:szCs w:val="24"/>
          <w:highlight w:val="none"/>
          <w:lang w:val="en-US" w:eastAsia="zh-CN"/>
        </w:rPr>
        <w:t>9</w:t>
      </w:r>
      <w:r>
        <w:rPr>
          <w:rFonts w:hint="eastAsia" w:ascii="宋体" w:hAnsi="宋体" w:cs="宋体"/>
          <w:b/>
          <w:bCs/>
          <w:color w:val="auto"/>
          <w:kern w:val="28"/>
          <w:sz w:val="24"/>
          <w:szCs w:val="24"/>
          <w:highlight w:val="none"/>
        </w:rPr>
        <w:t>.需要补充的其他内容</w:t>
      </w:r>
      <w:bookmarkEnd w:id="488"/>
      <w:bookmarkEnd w:id="489"/>
      <w:bookmarkEnd w:id="490"/>
      <w:bookmarkEnd w:id="491"/>
      <w:bookmarkEnd w:id="492"/>
      <w:bookmarkEnd w:id="493"/>
      <w:bookmarkEnd w:id="494"/>
      <w:bookmarkEnd w:id="495"/>
      <w:bookmarkEnd w:id="496"/>
      <w:bookmarkEnd w:id="497"/>
      <w:bookmarkEnd w:id="498"/>
      <w:bookmarkEnd w:id="499"/>
    </w:p>
    <w:p w14:paraId="7CE309B2">
      <w:pPr>
        <w:shd w:val="clear" w:color="auto" w:fill="auto"/>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需要补充的其他内容：见投标人须知前附表。</w:t>
      </w:r>
    </w:p>
    <w:p w14:paraId="00D30478">
      <w:pPr>
        <w:shd w:val="clear" w:color="auto" w:fill="auto"/>
        <w:spacing w:line="40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招标代理服务收费参照豫招协[2023]002号河南省招标投标协会关于印发《河南省招标代理服务收费指导意见》规定的收费标准收取中标服务费。</w:t>
      </w:r>
    </w:p>
    <w:p w14:paraId="22204534">
      <w:pPr>
        <w:shd w:val="clear" w:color="auto" w:fill="auto"/>
        <w:tabs>
          <w:tab w:val="left" w:pos="1341"/>
        </w:tabs>
        <w:autoSpaceDE w:val="0"/>
        <w:autoSpaceDN w:val="0"/>
        <w:rPr>
          <w:rFonts w:ascii="宋体" w:hAnsi="宋体" w:cs="宋体"/>
          <w:b/>
          <w:bCs/>
          <w:color w:val="auto"/>
          <w:spacing w:val="-1"/>
          <w:kern w:val="0"/>
          <w:sz w:val="24"/>
          <w:szCs w:val="22"/>
          <w:highlight w:val="none"/>
          <w:lang w:bidi="zh-CN"/>
        </w:rPr>
      </w:pPr>
    </w:p>
    <w:p w14:paraId="44406A5F">
      <w:pPr>
        <w:shd w:val="clear" w:color="auto" w:fill="auto"/>
        <w:tabs>
          <w:tab w:val="left" w:pos="1341"/>
        </w:tabs>
        <w:autoSpaceDE w:val="0"/>
        <w:autoSpaceDN w:val="0"/>
        <w:ind w:firstLine="717" w:firstLineChars="300"/>
        <w:rPr>
          <w:rFonts w:ascii="宋体" w:hAnsi="宋体" w:cs="宋体"/>
          <w:b/>
          <w:bCs/>
          <w:color w:val="auto"/>
          <w:spacing w:val="-1"/>
          <w:kern w:val="0"/>
          <w:sz w:val="24"/>
          <w:szCs w:val="22"/>
          <w:highlight w:val="none"/>
          <w:lang w:bidi="zh-CN"/>
        </w:rPr>
      </w:pPr>
      <w:r>
        <w:rPr>
          <w:rFonts w:hint="eastAsia" w:ascii="宋体" w:hAnsi="宋体" w:cs="宋体"/>
          <w:b/>
          <w:bCs/>
          <w:color w:val="auto"/>
          <w:spacing w:val="-1"/>
          <w:kern w:val="0"/>
          <w:sz w:val="24"/>
          <w:szCs w:val="22"/>
          <w:highlight w:val="none"/>
          <w:lang w:bidi="zh-CN"/>
        </w:rPr>
        <w:t>河南省招标代理服务费计算标准</w:t>
      </w:r>
    </w:p>
    <w:tbl>
      <w:tblPr>
        <w:tblStyle w:val="12"/>
        <w:tblpPr w:leftFromText="180" w:rightFromText="180" w:vertAnchor="text" w:horzAnchor="page" w:tblpX="1421" w:tblpY="481"/>
        <w:tblOverlap w:val="never"/>
        <w:tblW w:w="0" w:type="auto"/>
        <w:tblInd w:w="0" w:type="dxa"/>
        <w:tblLayout w:type="fixed"/>
        <w:tblCellMar>
          <w:top w:w="0" w:type="dxa"/>
          <w:left w:w="15" w:type="dxa"/>
          <w:bottom w:w="0" w:type="dxa"/>
          <w:right w:w="15" w:type="dxa"/>
        </w:tblCellMar>
      </w:tblPr>
      <w:tblGrid>
        <w:gridCol w:w="3994"/>
        <w:gridCol w:w="1642"/>
        <w:gridCol w:w="1433"/>
        <w:gridCol w:w="1711"/>
      </w:tblGrid>
      <w:tr w14:paraId="25F2F501">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7C8B52A">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项目类型/（金额万元）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51F89514">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工程</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5F1BBA3">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货物</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D240417">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服务</w:t>
            </w:r>
          </w:p>
        </w:tc>
      </w:tr>
      <w:tr w14:paraId="1D38FBD7">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D6C7CCF">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100万元以下（含100万元）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7E1FD22">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1.20%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BC28A16">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1.70%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D966AEA">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1.70%</w:t>
            </w:r>
          </w:p>
        </w:tc>
      </w:tr>
      <w:tr w14:paraId="43288860">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40FFABEF">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100-500万元（含500万元）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7B154C61">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173E8DD7">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1.20%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12EF9E1F">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1.20%</w:t>
            </w:r>
          </w:p>
        </w:tc>
      </w:tr>
      <w:tr w14:paraId="6D6ADB6B">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AA18AFC">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500-1000万元（含1000万元）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4E12497">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0.70%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44BDEA8">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0.80%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325CFA25">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0.70%</w:t>
            </w:r>
          </w:p>
        </w:tc>
      </w:tr>
      <w:tr w14:paraId="707312C5">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0522992">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1000-5000万元（含5000万元）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4D36C16E">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0.40%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34633606">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0.50%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A8A91AA">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0.40%</w:t>
            </w:r>
          </w:p>
        </w:tc>
      </w:tr>
      <w:tr w14:paraId="130459BA">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ABC2AA6">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5000万元--1亿元（含1亿元）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C815DAB">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0.25%</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0E98F9EB">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0.30%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55FE72BC">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0.25%</w:t>
            </w:r>
          </w:p>
        </w:tc>
      </w:tr>
      <w:tr w14:paraId="07C863CF">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0385CAA8">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1亿--5亿元（含5亿元）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0E1DEFBE">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77EDCAB3">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D03C761">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0.10%</w:t>
            </w:r>
          </w:p>
        </w:tc>
      </w:tr>
      <w:tr w14:paraId="4474E906">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right w:val="single" w:color="000000" w:sz="4" w:space="0"/>
            </w:tcBorders>
            <w:noWrap w:val="0"/>
            <w:vAlign w:val="center"/>
          </w:tcPr>
          <w:p w14:paraId="3B87A3E9">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5亿--10亿元（含10亿元）</w:t>
            </w:r>
          </w:p>
        </w:tc>
        <w:tc>
          <w:tcPr>
            <w:tcW w:w="1642" w:type="dxa"/>
            <w:tcBorders>
              <w:top w:val="single" w:color="000000" w:sz="4" w:space="0"/>
              <w:left w:val="single" w:color="000000" w:sz="4" w:space="0"/>
              <w:right w:val="single" w:color="000000" w:sz="4" w:space="0"/>
            </w:tcBorders>
            <w:noWrap w:val="0"/>
            <w:vAlign w:val="center"/>
          </w:tcPr>
          <w:p w14:paraId="45932ADC">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0.045%</w:t>
            </w:r>
          </w:p>
        </w:tc>
        <w:tc>
          <w:tcPr>
            <w:tcW w:w="1433" w:type="dxa"/>
            <w:tcBorders>
              <w:top w:val="single" w:color="000000" w:sz="4" w:space="0"/>
              <w:left w:val="single" w:color="000000" w:sz="4" w:space="0"/>
              <w:right w:val="single" w:color="000000" w:sz="4" w:space="0"/>
            </w:tcBorders>
            <w:noWrap w:val="0"/>
            <w:vAlign w:val="center"/>
          </w:tcPr>
          <w:p w14:paraId="7CAB5C88">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0.045%</w:t>
            </w:r>
          </w:p>
        </w:tc>
        <w:tc>
          <w:tcPr>
            <w:tcW w:w="1711" w:type="dxa"/>
            <w:tcBorders>
              <w:top w:val="single" w:color="000000" w:sz="4" w:space="0"/>
              <w:left w:val="single" w:color="000000" w:sz="4" w:space="0"/>
              <w:right w:val="single" w:color="000000" w:sz="4" w:space="0"/>
            </w:tcBorders>
            <w:noWrap w:val="0"/>
            <w:vAlign w:val="center"/>
          </w:tcPr>
          <w:p w14:paraId="6D16A348">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0.045%</w:t>
            </w:r>
          </w:p>
        </w:tc>
      </w:tr>
      <w:tr w14:paraId="640B5C31">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6656EC98">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10亿--50亿元（含50亿元）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6BAEBB35">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0.010%</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67889790">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0.010%</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2E1999B4">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0.010%</w:t>
            </w:r>
          </w:p>
        </w:tc>
      </w:tr>
      <w:tr w14:paraId="2A063DF6">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1634208A">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50亿--100亿元（含</w:t>
            </w:r>
            <w:r>
              <w:rPr>
                <w:rFonts w:hint="eastAsia" w:ascii="宋体" w:hAnsi="宋体" w:cs="宋体"/>
                <w:color w:val="auto"/>
                <w:kern w:val="0"/>
                <w:sz w:val="24"/>
                <w:szCs w:val="18"/>
                <w:highlight w:val="none"/>
                <w:lang w:bidi="zh-CN"/>
              </w:rPr>
              <w:t>100</w:t>
            </w:r>
            <w:r>
              <w:rPr>
                <w:rFonts w:ascii="宋体" w:hAnsi="宋体" w:cs="宋体"/>
                <w:color w:val="auto"/>
                <w:kern w:val="0"/>
                <w:sz w:val="24"/>
                <w:szCs w:val="18"/>
                <w:highlight w:val="none"/>
                <w:lang w:val="zh-CN" w:bidi="zh-CN"/>
              </w:rPr>
              <w:t>亿元）</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1B0CA7F6">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0.008%</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41100B0A">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0.008%</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0ED18CA4">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0.008%</w:t>
            </w:r>
          </w:p>
        </w:tc>
      </w:tr>
      <w:tr w14:paraId="04A3D5E0">
        <w:tblPrEx>
          <w:tblCellMar>
            <w:top w:w="0" w:type="dxa"/>
            <w:left w:w="15" w:type="dxa"/>
            <w:bottom w:w="0" w:type="dxa"/>
            <w:right w:w="15" w:type="dxa"/>
          </w:tblCellMar>
        </w:tblPrEx>
        <w:trPr>
          <w:trHeight w:val="679" w:hRule="atLeast"/>
        </w:trPr>
        <w:tc>
          <w:tcPr>
            <w:tcW w:w="3994" w:type="dxa"/>
            <w:tcBorders>
              <w:top w:val="single" w:color="000000" w:sz="4" w:space="0"/>
              <w:left w:val="single" w:color="000000" w:sz="4" w:space="0"/>
              <w:bottom w:val="single" w:color="000000" w:sz="4" w:space="0"/>
              <w:right w:val="single" w:color="000000" w:sz="4" w:space="0"/>
            </w:tcBorders>
            <w:noWrap w:val="0"/>
            <w:vAlign w:val="center"/>
          </w:tcPr>
          <w:p w14:paraId="3AC3A920">
            <w:pPr>
              <w:shd w:val="clear" w:color="auto" w:fill="auto"/>
              <w:autoSpaceDN w:val="0"/>
              <w:jc w:val="left"/>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100亿元以上</w:t>
            </w:r>
          </w:p>
        </w:tc>
        <w:tc>
          <w:tcPr>
            <w:tcW w:w="1642" w:type="dxa"/>
            <w:tcBorders>
              <w:top w:val="single" w:color="000000" w:sz="4" w:space="0"/>
              <w:left w:val="single" w:color="000000" w:sz="4" w:space="0"/>
              <w:bottom w:val="single" w:color="000000" w:sz="4" w:space="0"/>
              <w:right w:val="single" w:color="000000" w:sz="4" w:space="0"/>
            </w:tcBorders>
            <w:noWrap w:val="0"/>
            <w:vAlign w:val="center"/>
          </w:tcPr>
          <w:p w14:paraId="3FFDE286">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0.004%</w:t>
            </w:r>
          </w:p>
        </w:tc>
        <w:tc>
          <w:tcPr>
            <w:tcW w:w="1433" w:type="dxa"/>
            <w:tcBorders>
              <w:top w:val="single" w:color="000000" w:sz="4" w:space="0"/>
              <w:left w:val="single" w:color="000000" w:sz="4" w:space="0"/>
              <w:bottom w:val="single" w:color="000000" w:sz="4" w:space="0"/>
              <w:right w:val="single" w:color="000000" w:sz="4" w:space="0"/>
            </w:tcBorders>
            <w:noWrap w:val="0"/>
            <w:vAlign w:val="center"/>
          </w:tcPr>
          <w:p w14:paraId="564D90E7">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0.004%</w:t>
            </w:r>
          </w:p>
        </w:tc>
        <w:tc>
          <w:tcPr>
            <w:tcW w:w="1711" w:type="dxa"/>
            <w:tcBorders>
              <w:top w:val="single" w:color="000000" w:sz="4" w:space="0"/>
              <w:left w:val="single" w:color="000000" w:sz="4" w:space="0"/>
              <w:bottom w:val="single" w:color="000000" w:sz="4" w:space="0"/>
              <w:right w:val="single" w:color="000000" w:sz="4" w:space="0"/>
            </w:tcBorders>
            <w:noWrap w:val="0"/>
            <w:vAlign w:val="center"/>
          </w:tcPr>
          <w:p w14:paraId="4FA31107">
            <w:pPr>
              <w:shd w:val="clear" w:color="auto" w:fill="auto"/>
              <w:autoSpaceDN w:val="0"/>
              <w:jc w:val="center"/>
              <w:textAlignment w:val="center"/>
              <w:rPr>
                <w:rFonts w:ascii="宋体" w:hAnsi="宋体" w:cs="宋体"/>
                <w:color w:val="auto"/>
                <w:kern w:val="0"/>
                <w:sz w:val="24"/>
                <w:szCs w:val="18"/>
                <w:highlight w:val="none"/>
                <w:lang w:val="zh-CN" w:bidi="zh-CN"/>
              </w:rPr>
            </w:pPr>
            <w:r>
              <w:rPr>
                <w:rFonts w:ascii="宋体" w:hAnsi="宋体" w:cs="宋体"/>
                <w:color w:val="auto"/>
                <w:kern w:val="0"/>
                <w:sz w:val="24"/>
                <w:szCs w:val="18"/>
                <w:highlight w:val="none"/>
                <w:lang w:val="zh-CN" w:bidi="zh-CN"/>
              </w:rPr>
              <w:t>0.004%</w:t>
            </w:r>
          </w:p>
        </w:tc>
      </w:tr>
      <w:tr w14:paraId="3389CD5A">
        <w:tblPrEx>
          <w:tblCellMar>
            <w:top w:w="0" w:type="dxa"/>
            <w:left w:w="15" w:type="dxa"/>
            <w:bottom w:w="0" w:type="dxa"/>
            <w:right w:w="15" w:type="dxa"/>
          </w:tblCellMar>
        </w:tblPrEx>
        <w:trPr>
          <w:trHeight w:val="621" w:hRule="atLeast"/>
        </w:trPr>
        <w:tc>
          <w:tcPr>
            <w:tcW w:w="8780" w:type="dxa"/>
            <w:gridSpan w:val="4"/>
            <w:noWrap w:val="0"/>
            <w:vAlign w:val="center"/>
          </w:tcPr>
          <w:p w14:paraId="5C3E2F41">
            <w:pPr>
              <w:shd w:val="clear" w:color="auto" w:fill="auto"/>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注：1.按本表费率计算的收费金额为招标代理服务费的基准价格，不含工程量清单、最高投标限价（招标控制价）或标底的编制费用。</w:t>
            </w:r>
          </w:p>
          <w:p w14:paraId="7D78A888">
            <w:pPr>
              <w:shd w:val="clear" w:color="auto" w:fill="auto"/>
              <w:autoSpaceDN w:val="0"/>
              <w:spacing w:line="500" w:lineRule="exact"/>
              <w:jc w:val="left"/>
              <w:textAlignment w:val="center"/>
              <w:rPr>
                <w:rFonts w:ascii="宋体" w:hAnsi="宋体" w:cs="宋体"/>
                <w:color w:val="auto"/>
                <w:kern w:val="0"/>
                <w:sz w:val="24"/>
                <w:szCs w:val="24"/>
                <w:highlight w:val="none"/>
                <w:lang w:bidi="zh-CN"/>
              </w:rPr>
            </w:pPr>
            <w:r>
              <w:rPr>
                <w:rFonts w:hint="eastAsia" w:ascii="宋体" w:hAnsi="宋体" w:cs="宋体"/>
                <w:color w:val="auto"/>
                <w:kern w:val="0"/>
                <w:sz w:val="24"/>
                <w:szCs w:val="24"/>
                <w:highlight w:val="none"/>
                <w:lang w:bidi="zh-CN"/>
              </w:rPr>
              <w:t>2.招标代理服务收费按差额定率累进法计算。</w:t>
            </w:r>
          </w:p>
          <w:p w14:paraId="7E61215A">
            <w:pPr>
              <w:shd w:val="clear" w:color="auto" w:fill="auto"/>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例如: 某工程招标代理业务，项目预算金额（招标控制价）为10000 万元，招标代理服务收费计算如下:</w:t>
            </w:r>
          </w:p>
          <w:p w14:paraId="67D904A5">
            <w:pPr>
              <w:shd w:val="clear" w:color="auto" w:fill="auto"/>
              <w:autoSpaceDN w:val="0"/>
              <w:spacing w:line="500" w:lineRule="exact"/>
              <w:jc w:val="left"/>
              <w:textAlignment w:val="center"/>
              <w:rPr>
                <w:rFonts w:ascii="宋体" w:hAnsi="宋体" w:cs="宋体"/>
                <w:color w:val="auto"/>
                <w:kern w:val="0"/>
                <w:sz w:val="24"/>
                <w:szCs w:val="24"/>
                <w:highlight w:val="none"/>
                <w:lang w:val="zh-CN" w:bidi="zh-CN"/>
              </w:rPr>
            </w:pPr>
            <w:r>
              <w:rPr>
                <w:rFonts w:hint="eastAsia" w:ascii="宋体" w:hAnsi="宋体" w:cs="宋体"/>
                <w:color w:val="auto"/>
                <w:kern w:val="0"/>
                <w:sz w:val="24"/>
                <w:szCs w:val="24"/>
                <w:highlight w:val="none"/>
                <w:lang w:bidi="zh-CN"/>
              </w:rPr>
              <w:t xml:space="preserve"> </w:t>
            </w:r>
            <w:r>
              <w:rPr>
                <w:rFonts w:ascii="宋体" w:hAnsi="宋体" w:cs="宋体"/>
                <w:color w:val="auto"/>
                <w:kern w:val="0"/>
                <w:sz w:val="24"/>
                <w:szCs w:val="24"/>
                <w:highlight w:val="none"/>
                <w:lang w:val="zh-CN" w:bidi="zh-CN"/>
              </w:rPr>
              <w:t>100万元×1.2%=1.2万元</w:t>
            </w:r>
          </w:p>
          <w:p w14:paraId="1F18D215">
            <w:pPr>
              <w:shd w:val="clear" w:color="auto" w:fill="auto"/>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（500-100）万元×1.0%=4万元</w:t>
            </w:r>
          </w:p>
          <w:p w14:paraId="787FA3F4">
            <w:pPr>
              <w:shd w:val="clear" w:color="auto" w:fill="auto"/>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（1000-500）×0.7%=3.5万元</w:t>
            </w:r>
          </w:p>
          <w:p w14:paraId="325375F0">
            <w:pPr>
              <w:shd w:val="clear" w:color="auto" w:fill="auto"/>
              <w:autoSpaceDN w:val="0"/>
              <w:spacing w:line="500" w:lineRule="exact"/>
              <w:jc w:val="left"/>
              <w:textAlignment w:val="center"/>
              <w:rPr>
                <w:rFonts w:ascii="宋体" w:hAnsi="宋体" w:cs="宋体"/>
                <w:color w:val="auto"/>
                <w:kern w:val="0"/>
                <w:sz w:val="24"/>
                <w:szCs w:val="24"/>
                <w:highlight w:val="none"/>
                <w:lang w:val="zh-CN" w:bidi="zh-CN"/>
              </w:rPr>
            </w:pPr>
            <w:r>
              <w:rPr>
                <w:rFonts w:ascii="宋体" w:hAnsi="宋体" w:cs="宋体"/>
                <w:color w:val="auto"/>
                <w:kern w:val="0"/>
                <w:sz w:val="24"/>
                <w:szCs w:val="24"/>
                <w:highlight w:val="none"/>
                <w:lang w:val="zh-CN" w:bidi="zh-CN"/>
              </w:rPr>
              <w:t>（5000-1000）×0.4%=16万元</w:t>
            </w:r>
          </w:p>
          <w:p w14:paraId="059AC9CD">
            <w:pPr>
              <w:shd w:val="clear" w:color="auto" w:fill="auto"/>
              <w:autoSpaceDN w:val="0"/>
              <w:spacing w:line="500" w:lineRule="exact"/>
              <w:jc w:val="left"/>
              <w:textAlignment w:val="center"/>
              <w:rPr>
                <w:rFonts w:ascii="宋体" w:hAnsi="宋体" w:cs="宋体"/>
                <w:color w:val="auto"/>
                <w:kern w:val="0"/>
                <w:szCs w:val="18"/>
                <w:highlight w:val="none"/>
                <w:lang w:val="zh-CN" w:bidi="zh-CN"/>
              </w:rPr>
            </w:pPr>
            <w:r>
              <w:rPr>
                <w:rFonts w:ascii="宋体" w:hAnsi="宋体" w:cs="宋体"/>
                <w:color w:val="auto"/>
                <w:kern w:val="0"/>
                <w:sz w:val="24"/>
                <w:szCs w:val="24"/>
                <w:highlight w:val="none"/>
                <w:lang w:val="zh-CN" w:bidi="zh-CN"/>
              </w:rPr>
              <w:t>（10000-5000）×0.25%=12.5万元合计收费=1.2+4+3.5+16+12.5=37.2万元</w:t>
            </w:r>
          </w:p>
        </w:tc>
      </w:tr>
    </w:tbl>
    <w:p w14:paraId="29288CE3">
      <w:pPr>
        <w:shd w:val="clear" w:color="auto" w:fill="auto"/>
        <w:spacing w:line="400" w:lineRule="exact"/>
        <w:ind w:firstLine="482" w:firstLineChars="200"/>
        <w:rPr>
          <w:rFonts w:hint="eastAsia" w:ascii="宋体" w:hAnsi="宋体" w:cs="宋体"/>
          <w:b/>
          <w:color w:val="auto"/>
          <w:sz w:val="24"/>
          <w:szCs w:val="24"/>
          <w:highlight w:val="none"/>
        </w:rPr>
      </w:pPr>
    </w:p>
    <w:p w14:paraId="2A5EFFA0">
      <w:pPr>
        <w:shd w:val="clear" w:color="auto" w:fill="auto"/>
        <w:jc w:val="center"/>
        <w:outlineLvl w:val="0"/>
        <w:rPr>
          <w:rFonts w:hint="eastAsia" w:ascii="宋体" w:hAnsi="宋体"/>
          <w:b/>
          <w:bCs/>
          <w:sz w:val="32"/>
          <w:szCs w:val="32"/>
          <w:highlight w:val="none"/>
        </w:rPr>
      </w:pPr>
      <w:r>
        <w:rPr>
          <w:rFonts w:hint="eastAsia" w:ascii="宋体" w:hAnsi="宋体"/>
          <w:b/>
          <w:bCs/>
          <w:sz w:val="32"/>
          <w:szCs w:val="32"/>
          <w:highlight w:val="none"/>
        </w:rPr>
        <w:br w:type="page"/>
      </w:r>
      <w:bookmarkStart w:id="500" w:name="_Toc733"/>
      <w:r>
        <w:rPr>
          <w:rFonts w:hint="eastAsia" w:ascii="宋体" w:hAnsi="宋体"/>
          <w:b/>
          <w:bCs/>
          <w:sz w:val="32"/>
          <w:szCs w:val="32"/>
          <w:highlight w:val="none"/>
        </w:rPr>
        <w:t>第三章  评审办法</w:t>
      </w:r>
      <w:bookmarkEnd w:id="23"/>
      <w:bookmarkEnd w:id="24"/>
      <w:bookmarkEnd w:id="25"/>
      <w:bookmarkEnd w:id="500"/>
    </w:p>
    <w:p w14:paraId="624F16AF">
      <w:pPr>
        <w:shd w:val="clear" w:color="auto" w:fill="auto"/>
        <w:spacing w:line="360" w:lineRule="auto"/>
        <w:ind w:firstLine="482" w:firstLineChars="200"/>
        <w:rPr>
          <w:rFonts w:hint="eastAsia" w:ascii="宋体" w:hAnsi="宋体"/>
          <w:b/>
          <w:color w:val="000000"/>
          <w:sz w:val="24"/>
          <w:highlight w:val="none"/>
        </w:rPr>
      </w:pPr>
      <w:r>
        <w:rPr>
          <w:rFonts w:hint="eastAsia" w:ascii="宋体" w:hAnsi="宋体"/>
          <w:b/>
          <w:color w:val="000000"/>
          <w:sz w:val="24"/>
          <w:highlight w:val="none"/>
        </w:rPr>
        <w:t>一、评标方法</w:t>
      </w:r>
    </w:p>
    <w:p w14:paraId="69428C44">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本次评标采用综合评估法。磋商小组对满足磋商文件实质性要求的磋商文件，按照本章规定的评分标准进行打分，并按得分由高到低顺序推荐1-3名中标候选人。综合评分相等时，按投标报价由低到高顺序排列；投标报价也相等时，按技术得分由高到低顺序排列。排名第一的的供应商为第一中标候选人,排名第二的供应商为第二中标候选人，排名第三的供应商为第三中标候选人。</w:t>
      </w:r>
    </w:p>
    <w:p w14:paraId="5C4C001C">
      <w:pPr>
        <w:shd w:val="clear" w:color="auto" w:fill="auto"/>
        <w:spacing w:line="360" w:lineRule="auto"/>
        <w:ind w:firstLine="482" w:firstLineChars="200"/>
        <w:rPr>
          <w:rFonts w:hint="eastAsia" w:ascii="宋体" w:hAnsi="宋体"/>
          <w:b/>
          <w:color w:val="000000"/>
          <w:sz w:val="24"/>
          <w:highlight w:val="none"/>
        </w:rPr>
      </w:pPr>
      <w:r>
        <w:rPr>
          <w:rFonts w:hint="eastAsia" w:ascii="宋体" w:hAnsi="宋体"/>
          <w:b/>
          <w:color w:val="000000"/>
          <w:sz w:val="24"/>
          <w:highlight w:val="none"/>
        </w:rPr>
        <w:t>二、评标程序</w:t>
      </w:r>
    </w:p>
    <w:p w14:paraId="6E6022BA">
      <w:pPr>
        <w:shd w:val="clear" w:color="auto" w:fill="auto"/>
        <w:spacing w:line="360" w:lineRule="auto"/>
        <w:ind w:firstLine="480" w:firstLineChars="200"/>
        <w:rPr>
          <w:rFonts w:ascii="宋体" w:hAnsi="宋体"/>
          <w:color w:val="000000"/>
          <w:sz w:val="24"/>
          <w:highlight w:val="none"/>
        </w:rPr>
      </w:pPr>
      <w:r>
        <w:rPr>
          <w:rFonts w:hint="eastAsia" w:ascii="宋体" w:hAnsi="宋体"/>
          <w:color w:val="000000"/>
          <w:sz w:val="24"/>
          <w:highlight w:val="none"/>
        </w:rPr>
        <w:t>2.1、资格审查</w:t>
      </w:r>
    </w:p>
    <w:p w14:paraId="6497B7F8">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磋商响应性文件不能满足下列情形之一的，由磋商小组初审后将不进入下一轮评审。</w:t>
      </w:r>
    </w:p>
    <w:p w14:paraId="64228D7D">
      <w:pPr>
        <w:shd w:val="clear" w:color="auto" w:fill="auto"/>
        <w:spacing w:line="360" w:lineRule="auto"/>
        <w:rPr>
          <w:rFonts w:hint="eastAsia" w:ascii="宋体" w:hAnsi="宋体"/>
          <w:color w:val="000000"/>
          <w:sz w:val="24"/>
          <w:highlight w:val="none"/>
        </w:rPr>
      </w:pPr>
      <w:r>
        <w:rPr>
          <w:rFonts w:hint="eastAsia" w:ascii="宋体" w:hAnsi="宋体" w:cs="宋体"/>
          <w:b/>
          <w:bCs/>
          <w:sz w:val="24"/>
          <w:highlight w:val="none"/>
        </w:rPr>
        <w:t>（备注：</w:t>
      </w:r>
      <w:r>
        <w:rPr>
          <w:rFonts w:hint="eastAsia" w:ascii="宋体" w:hAnsi="宋体" w:cs="宋体"/>
          <w:b/>
          <w:sz w:val="24"/>
          <w:highlight w:val="none"/>
        </w:rPr>
        <w:t>资格评审以响应文件为准，其上传资料真实性由供应商自行承担</w:t>
      </w:r>
      <w:r>
        <w:rPr>
          <w:rFonts w:hint="eastAsia" w:ascii="宋体" w:hAnsi="宋体" w:cs="宋体"/>
          <w:b/>
          <w:bCs/>
          <w:sz w:val="24"/>
          <w:highlight w:val="none"/>
        </w:rPr>
        <w:t>）</w:t>
      </w:r>
    </w:p>
    <w:tbl>
      <w:tblPr>
        <w:tblStyle w:val="12"/>
        <w:tblW w:w="9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5"/>
        <w:gridCol w:w="1936"/>
        <w:gridCol w:w="5129"/>
      </w:tblGrid>
      <w:tr w14:paraId="75338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1A722C74">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条款号</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1426D9F8">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评审因素</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2ACAA270">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评审标准</w:t>
            </w:r>
          </w:p>
        </w:tc>
      </w:tr>
      <w:tr w14:paraId="66A79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2265" w:type="dxa"/>
            <w:vMerge w:val="restart"/>
            <w:tcBorders>
              <w:top w:val="single" w:color="auto" w:sz="4" w:space="0"/>
              <w:left w:val="single" w:color="auto" w:sz="4" w:space="0"/>
              <w:bottom w:val="single" w:color="auto" w:sz="4" w:space="0"/>
              <w:right w:val="single" w:color="auto" w:sz="4" w:space="0"/>
            </w:tcBorders>
            <w:noWrap w:val="0"/>
            <w:vAlign w:val="center"/>
          </w:tcPr>
          <w:p w14:paraId="142D1C7A">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形式评审</w:t>
            </w:r>
          </w:p>
          <w:p w14:paraId="74DE8EE7">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标   准</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0EE82C17">
            <w:pPr>
              <w:shd w:val="clear" w:color="auto" w:fill="auto"/>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投标人名称</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6FF0ACF4">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与营业执照、资质证书、安全生产许可证一致</w:t>
            </w:r>
          </w:p>
        </w:tc>
      </w:tr>
      <w:tr w14:paraId="3B19A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331C55A7">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742DD298">
            <w:pPr>
              <w:shd w:val="clear" w:color="auto" w:fill="auto"/>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签字盖章</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7D664C70">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有法定代表人签章和加盖单位公章</w:t>
            </w:r>
          </w:p>
        </w:tc>
      </w:tr>
      <w:tr w14:paraId="2A3522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7817657D">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7704F1BB">
            <w:pPr>
              <w:shd w:val="clear" w:color="auto" w:fill="auto"/>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报价唯一</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589C4A8C">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只能有一个有效报价</w:t>
            </w:r>
          </w:p>
        </w:tc>
      </w:tr>
      <w:tr w14:paraId="6A803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restart"/>
            <w:tcBorders>
              <w:top w:val="single" w:color="auto" w:sz="4" w:space="0"/>
              <w:left w:val="single" w:color="auto" w:sz="4" w:space="0"/>
              <w:bottom w:val="single" w:color="auto" w:sz="4" w:space="0"/>
              <w:right w:val="single" w:color="auto" w:sz="4" w:space="0"/>
            </w:tcBorders>
            <w:noWrap w:val="0"/>
            <w:vAlign w:val="center"/>
          </w:tcPr>
          <w:p w14:paraId="11C81842">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 xml:space="preserve">资格评审 </w:t>
            </w:r>
          </w:p>
          <w:p w14:paraId="13390711">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标  准</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18347F26">
            <w:pPr>
              <w:shd w:val="clear" w:color="auto" w:fill="auto"/>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营业执照</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3830E2CB">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供应商须具有有效的企业营业执照</w:t>
            </w:r>
          </w:p>
        </w:tc>
      </w:tr>
      <w:tr w14:paraId="6D4E7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5325FB9E">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4C3315C3">
            <w:pPr>
              <w:shd w:val="clear" w:color="auto" w:fill="auto"/>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资质等级</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37A276D1">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供应商须具备建设行政主管部门核发的市政公用工程施工总承包叁级及以上资质，具有有效的安全生产许可证；</w:t>
            </w:r>
          </w:p>
        </w:tc>
      </w:tr>
      <w:tr w14:paraId="2C79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051DA4FC">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371C1EC3">
            <w:pPr>
              <w:shd w:val="clear" w:color="auto" w:fill="auto"/>
              <w:spacing w:line="360" w:lineRule="auto"/>
              <w:jc w:val="left"/>
              <w:rPr>
                <w:rFonts w:ascii="宋体" w:hAnsi="宋体" w:cs="宋体"/>
                <w:color w:val="auto"/>
                <w:sz w:val="24"/>
                <w:szCs w:val="24"/>
                <w:highlight w:val="none"/>
              </w:rPr>
            </w:pPr>
            <w:r>
              <w:rPr>
                <w:rFonts w:hint="eastAsia" w:ascii="宋体" w:hAnsi="宋体" w:cs="宋体"/>
                <w:color w:val="auto"/>
                <w:sz w:val="24"/>
                <w:szCs w:val="24"/>
                <w:highlight w:val="none"/>
              </w:rPr>
              <w:t>项目经理</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4673E84D">
            <w:pPr>
              <w:shd w:val="clear" w:color="auto" w:fill="auto"/>
              <w:ind w:firstLine="240" w:firstLineChars="100"/>
              <w:rPr>
                <w:rFonts w:hint="eastAsia" w:ascii="宋体" w:hAnsi="宋体" w:eastAsia="宋体" w:cs="宋体"/>
                <w:color w:val="auto"/>
                <w:sz w:val="24"/>
                <w:szCs w:val="24"/>
                <w:highlight w:val="none"/>
                <w:lang w:eastAsia="zh-CN"/>
              </w:rPr>
            </w:pPr>
            <w:r>
              <w:rPr>
                <w:rFonts w:ascii="宋体" w:hAnsi="宋体"/>
                <w:sz w:val="24"/>
                <w:highlight w:val="none"/>
              </w:rPr>
              <w:t>拟派项目经理应具备</w:t>
            </w:r>
            <w:r>
              <w:rPr>
                <w:rFonts w:hint="eastAsia" w:ascii="宋体" w:hAnsi="宋体" w:eastAsia="宋体" w:cs="宋体"/>
                <w:sz w:val="24"/>
                <w:szCs w:val="24"/>
                <w:highlight w:val="none"/>
                <w:lang w:eastAsia="zh-CN"/>
              </w:rPr>
              <w:t>市政公用工程专业</w:t>
            </w:r>
            <w:r>
              <w:rPr>
                <w:rFonts w:hint="eastAsia" w:ascii="宋体" w:hAnsi="宋体" w:eastAsia="宋体" w:cs="宋体"/>
                <w:sz w:val="24"/>
                <w:szCs w:val="24"/>
                <w:highlight w:val="none"/>
              </w:rPr>
              <w:t>贰级（含贰级）及以上注册建造师资格</w:t>
            </w:r>
            <w:r>
              <w:rPr>
                <w:rFonts w:hint="eastAsia" w:ascii="宋体" w:hAnsi="宋体"/>
                <w:sz w:val="24"/>
                <w:highlight w:val="none"/>
              </w:rPr>
              <w:t>，</w:t>
            </w:r>
            <w:r>
              <w:rPr>
                <w:rFonts w:hint="eastAsia" w:ascii="宋体" w:hAnsi="宋体" w:eastAsia="宋体" w:cs="宋体"/>
                <w:sz w:val="24"/>
                <w:szCs w:val="24"/>
                <w:highlight w:val="none"/>
              </w:rPr>
              <w:t>须提供注册建造师证书、安全生产考核合格证书</w:t>
            </w:r>
            <w:r>
              <w:rPr>
                <w:rFonts w:hint="eastAsia" w:ascii="宋体" w:hAnsi="宋体" w:eastAsia="宋体" w:cs="宋体"/>
                <w:sz w:val="24"/>
                <w:szCs w:val="24"/>
                <w:highlight w:val="none"/>
                <w:lang w:eastAsia="zh-CN"/>
              </w:rPr>
              <w:t>，</w:t>
            </w:r>
            <w:r>
              <w:rPr>
                <w:rFonts w:hint="eastAsia" w:ascii="宋体" w:hAnsi="宋体"/>
                <w:sz w:val="24"/>
                <w:highlight w:val="none"/>
              </w:rPr>
              <w:t>且未在其他在建工程项目中担任项目经理，</w:t>
            </w:r>
            <w:r>
              <w:rPr>
                <w:rFonts w:hint="eastAsia" w:ascii="宋体" w:hAnsi="宋体" w:eastAsia="宋体" w:cs="Times New Roman"/>
                <w:sz w:val="24"/>
                <w:highlight w:val="none"/>
                <w:lang w:eastAsia="zh-CN"/>
              </w:rPr>
              <w:t>且</w:t>
            </w:r>
            <w:r>
              <w:rPr>
                <w:rFonts w:hint="eastAsia" w:ascii="宋体" w:hAnsi="宋体" w:eastAsia="宋体" w:cs="Times New Roman"/>
                <w:sz w:val="24"/>
                <w:highlight w:val="none"/>
                <w:lang w:val="en-US" w:eastAsia="zh-CN"/>
              </w:rPr>
              <w:t>须提供自2026年1月以来任意一个月在本单位的社保证明（以社保网络查询或社保中心出具的证明为准）</w:t>
            </w:r>
          </w:p>
        </w:tc>
      </w:tr>
      <w:tr w14:paraId="6DDB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45700699">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1814E06E">
            <w:pPr>
              <w:shd w:val="clear" w:color="auto" w:fill="auto"/>
              <w:spacing w:line="360" w:lineRule="auto"/>
              <w:jc w:val="both"/>
              <w:rPr>
                <w:rFonts w:ascii="宋体" w:hAnsi="宋体" w:cs="宋体"/>
                <w:color w:val="auto"/>
                <w:sz w:val="24"/>
                <w:szCs w:val="24"/>
                <w:highlight w:val="none"/>
              </w:rPr>
            </w:pPr>
            <w:r>
              <w:rPr>
                <w:rFonts w:hint="eastAsia" w:ascii="宋体" w:hAnsi="宋体" w:cs="宋体"/>
                <w:color w:val="auto"/>
                <w:sz w:val="24"/>
                <w:szCs w:val="24"/>
                <w:highlight w:val="none"/>
              </w:rPr>
              <w:t>其他要求</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02D945E6">
            <w:pPr>
              <w:widowControl/>
              <w:shd w:val="clear" w:color="auto" w:fill="auto"/>
              <w:spacing w:line="360" w:lineRule="auto"/>
              <w:jc w:val="left"/>
              <w:rPr>
                <w:rFonts w:hint="eastAsia" w:ascii="宋体" w:hAnsi="宋体"/>
                <w:sz w:val="24"/>
                <w:highlight w:val="none"/>
                <w:lang w:eastAsia="zh-CN"/>
              </w:rPr>
            </w:pPr>
            <w:r>
              <w:rPr>
                <w:rFonts w:hint="eastAsia" w:ascii="宋体" w:hAnsi="宋体"/>
                <w:sz w:val="24"/>
                <w:highlight w:val="none"/>
                <w:lang w:val="en-US" w:eastAsia="zh-CN"/>
              </w:rPr>
              <w:t>1、</w:t>
            </w:r>
            <w:r>
              <w:rPr>
                <w:rFonts w:hint="eastAsia" w:ascii="宋体" w:hAnsi="宋体"/>
                <w:sz w:val="24"/>
                <w:highlight w:val="none"/>
                <w:lang w:eastAsia="zh-CN"/>
              </w:rPr>
              <w:t>供应商自行出具本企业的无商业贿赂及无不正当竞争行为的承诺书；</w:t>
            </w:r>
          </w:p>
          <w:p w14:paraId="64BB4A5E">
            <w:pPr>
              <w:widowControl/>
              <w:shd w:val="clear" w:color="auto" w:fill="auto"/>
              <w:spacing w:line="360" w:lineRule="auto"/>
              <w:jc w:val="left"/>
              <w:rPr>
                <w:rFonts w:hint="eastAsia" w:ascii="宋体" w:hAnsi="宋体"/>
                <w:sz w:val="24"/>
                <w:highlight w:val="none"/>
                <w:lang w:eastAsia="zh-CN"/>
              </w:rPr>
            </w:pPr>
            <w:r>
              <w:rPr>
                <w:rFonts w:hint="eastAsia" w:ascii="宋体" w:hAnsi="宋体"/>
                <w:sz w:val="24"/>
                <w:highlight w:val="none"/>
                <w:lang w:val="en-US" w:eastAsia="zh-CN"/>
              </w:rPr>
              <w:t>2、提供供应商企业、法定代表人、项目经理无行贿犯罪记录，在中国裁判文书网查询（提供网页查询截图）或供应商自行承诺（查询日期必须在公告发布之日之后）；</w:t>
            </w:r>
          </w:p>
          <w:p w14:paraId="1E214B5E">
            <w:pPr>
              <w:widowControl/>
              <w:shd w:val="clear" w:color="auto" w:fill="auto"/>
              <w:spacing w:line="360" w:lineRule="auto"/>
              <w:jc w:val="left"/>
              <w:rPr>
                <w:rFonts w:ascii="宋体" w:hAnsi="宋体"/>
                <w:sz w:val="24"/>
                <w:highlight w:val="none"/>
              </w:rPr>
            </w:pPr>
            <w:r>
              <w:rPr>
                <w:rFonts w:hint="eastAsia" w:ascii="宋体" w:hAnsi="宋体"/>
                <w:sz w:val="24"/>
                <w:highlight w:val="none"/>
                <w:lang w:val="en-US" w:eastAsia="zh-CN"/>
              </w:rPr>
              <w:t>3、根据《关于在政府采购活动中查询及使用信用记录有关问题的通知》(财库[2016]125号)和豫财购【2016】15号的规定，企业没有被列入“中国执行信息公开网”网站的“失信被执行人”、“信用中国”网站的“重大税收违法失信主体”及“中国政府采购网”网站的“政府采购严重违法失信行为记录名单”，查询渠道：“中国执行信息公开网”网站（http://zxgk.court.gov.cn/shixin）“信用中国”网站（www.creditchina.gov.cn）、中国政府采购网（www.ccgp.gov.cn）；提供网站的查询信息截图（查询时间自公告发布之日起）</w:t>
            </w:r>
            <w:r>
              <w:rPr>
                <w:rFonts w:hint="eastAsia" w:ascii="宋体" w:hAnsi="宋体"/>
                <w:sz w:val="24"/>
                <w:highlight w:val="none"/>
              </w:rPr>
              <w:t>；</w:t>
            </w:r>
          </w:p>
          <w:p w14:paraId="295CB029">
            <w:pPr>
              <w:widowControl/>
              <w:shd w:val="clear" w:color="auto" w:fill="auto"/>
              <w:spacing w:line="360" w:lineRule="auto"/>
              <w:jc w:val="left"/>
              <w:rPr>
                <w:rFonts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w:t>
            </w:r>
            <w:r>
              <w:rPr>
                <w:rFonts w:hint="eastAsia" w:ascii="宋体" w:hAnsi="宋体"/>
                <w:sz w:val="24"/>
                <w:highlight w:val="none"/>
                <w:lang w:val="en-US" w:eastAsia="zh-CN"/>
              </w:rPr>
              <w:t>（查询时间自公告发布之日起）</w:t>
            </w:r>
            <w:r>
              <w:rPr>
                <w:rFonts w:hint="eastAsia" w:ascii="宋体" w:hAnsi="宋体"/>
                <w:sz w:val="24"/>
                <w:highlight w:val="none"/>
              </w:rPr>
              <w:t>；</w:t>
            </w:r>
          </w:p>
          <w:p w14:paraId="6A9FF026">
            <w:pPr>
              <w:widowControl/>
              <w:shd w:val="clear" w:color="auto" w:fill="auto"/>
              <w:spacing w:line="360" w:lineRule="auto"/>
              <w:jc w:val="left"/>
              <w:rPr>
                <w:rFonts w:hint="default" w:ascii="宋体" w:hAnsi="宋体" w:eastAsia="宋体" w:cs="宋体"/>
                <w:color w:val="auto"/>
                <w:sz w:val="24"/>
                <w:szCs w:val="24"/>
                <w:highlight w:val="none"/>
                <w:lang w:val="en-US" w:eastAsia="zh-CN"/>
              </w:rPr>
            </w:pPr>
            <w:r>
              <w:rPr>
                <w:rFonts w:hint="eastAsia" w:ascii="宋体" w:hAnsi="宋体"/>
                <w:sz w:val="24"/>
                <w:highlight w:val="none"/>
                <w:lang w:val="en-US" w:eastAsia="zh-CN"/>
              </w:rPr>
              <w:t>5、</w:t>
            </w:r>
            <w:r>
              <w:rPr>
                <w:rFonts w:hint="eastAsia" w:ascii="宋体" w:hAnsi="宋体"/>
                <w:sz w:val="24"/>
                <w:highlight w:val="none"/>
              </w:rPr>
              <w:t>本项目不接受联合体投标；</w:t>
            </w:r>
          </w:p>
        </w:tc>
      </w:tr>
      <w:tr w14:paraId="7904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238DB7BC">
            <w:pPr>
              <w:widowControl/>
              <w:shd w:val="clear" w:color="auto" w:fill="auto"/>
              <w:ind w:firstLine="482"/>
              <w:jc w:val="left"/>
              <w:rPr>
                <w:rFonts w:ascii="宋体" w:hAnsi="宋体" w:cs="宋体"/>
                <w:color w:val="auto"/>
                <w:sz w:val="24"/>
                <w:szCs w:val="24"/>
                <w:highlight w:val="none"/>
              </w:rPr>
            </w:pPr>
          </w:p>
        </w:tc>
        <w:tc>
          <w:tcPr>
            <w:tcW w:w="7065" w:type="dxa"/>
            <w:gridSpan w:val="2"/>
            <w:tcBorders>
              <w:top w:val="single" w:color="auto" w:sz="4" w:space="0"/>
              <w:left w:val="single" w:color="auto" w:sz="4" w:space="0"/>
              <w:bottom w:val="single" w:color="auto" w:sz="4" w:space="0"/>
              <w:right w:val="single" w:color="auto" w:sz="4" w:space="0"/>
            </w:tcBorders>
            <w:noWrap w:val="0"/>
            <w:vAlign w:val="center"/>
          </w:tcPr>
          <w:p w14:paraId="58182E49">
            <w:pPr>
              <w:shd w:val="clear" w:color="auto" w:fill="auto"/>
              <w:spacing w:line="360" w:lineRule="auto"/>
              <w:ind w:firstLine="480"/>
              <w:jc w:val="center"/>
              <w:rPr>
                <w:rFonts w:ascii="宋体" w:hAnsi="宋体" w:cs="宋体"/>
                <w:color w:val="auto"/>
                <w:sz w:val="24"/>
                <w:szCs w:val="24"/>
                <w:highlight w:val="none"/>
              </w:rPr>
            </w:pPr>
            <w:r>
              <w:rPr>
                <w:rFonts w:hint="eastAsia" w:ascii="宋体" w:hAnsi="宋体" w:cs="宋体"/>
                <w:b/>
                <w:bCs/>
                <w:color w:val="auto"/>
                <w:sz w:val="24"/>
                <w:szCs w:val="24"/>
                <w:highlight w:val="none"/>
              </w:rPr>
              <w:t>注：以上资格评审标准以投标文件为准。</w:t>
            </w:r>
          </w:p>
        </w:tc>
      </w:tr>
      <w:tr w14:paraId="7F65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restart"/>
            <w:tcBorders>
              <w:top w:val="single" w:color="auto" w:sz="4" w:space="0"/>
              <w:left w:val="single" w:color="auto" w:sz="4" w:space="0"/>
              <w:bottom w:val="single" w:color="auto" w:sz="4" w:space="0"/>
              <w:right w:val="single" w:color="auto" w:sz="4" w:space="0"/>
            </w:tcBorders>
            <w:noWrap w:val="0"/>
            <w:vAlign w:val="center"/>
          </w:tcPr>
          <w:p w14:paraId="0F9F1AC5">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响 应 性</w:t>
            </w:r>
          </w:p>
          <w:p w14:paraId="58B60CC1">
            <w:pPr>
              <w:shd w:val="clear" w:color="auto" w:fill="auto"/>
              <w:spacing w:line="360" w:lineRule="auto"/>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评审标准</w:t>
            </w:r>
          </w:p>
        </w:tc>
        <w:tc>
          <w:tcPr>
            <w:tcW w:w="1936" w:type="dxa"/>
            <w:tcBorders>
              <w:top w:val="single" w:color="auto" w:sz="4" w:space="0"/>
              <w:left w:val="single" w:color="auto" w:sz="4" w:space="0"/>
              <w:bottom w:val="single" w:color="auto" w:sz="4" w:space="0"/>
              <w:right w:val="single" w:color="auto" w:sz="4" w:space="0"/>
            </w:tcBorders>
            <w:noWrap w:val="0"/>
            <w:vAlign w:val="center"/>
          </w:tcPr>
          <w:p w14:paraId="16D7D2F4">
            <w:pPr>
              <w:shd w:val="clear" w:color="auto" w:fill="auto"/>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投标内容</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23454FF5">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符合第二章“投标人须知”规定</w:t>
            </w:r>
          </w:p>
        </w:tc>
      </w:tr>
      <w:tr w14:paraId="7B16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353A31C4">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58118BFB">
            <w:pPr>
              <w:shd w:val="clear" w:color="auto" w:fill="auto"/>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工期</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540D1110">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符合第二章“投标人须知”规定</w:t>
            </w:r>
          </w:p>
        </w:tc>
      </w:tr>
      <w:tr w14:paraId="44323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4AA15E07">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38766E2D">
            <w:pPr>
              <w:shd w:val="clear" w:color="auto" w:fill="auto"/>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28BB3CE2">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符合第二章“投标人须知”规定</w:t>
            </w:r>
          </w:p>
        </w:tc>
      </w:tr>
      <w:tr w14:paraId="379C9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4F91323C">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69510DA7">
            <w:pPr>
              <w:shd w:val="clear" w:color="auto" w:fill="auto"/>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磋商有效期</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0A02C7C2">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符合第二章“投标人须知”规定</w:t>
            </w:r>
          </w:p>
        </w:tc>
      </w:tr>
      <w:tr w14:paraId="6CD0D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746073DD">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579802A8">
            <w:pPr>
              <w:shd w:val="clear" w:color="auto" w:fill="auto"/>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已标价工程量清单</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00AF51F0">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符合 “工程量清单”给出的范围及数量，投标人不得擅自修改工程量清单上的工程项目和数量，否则其投标将予否决。</w:t>
            </w:r>
          </w:p>
        </w:tc>
      </w:tr>
      <w:tr w14:paraId="38CD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2553A64E">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093F656F">
            <w:pPr>
              <w:shd w:val="clear" w:color="auto" w:fill="auto"/>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投标价格</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3D4A956E">
            <w:pPr>
              <w:shd w:val="clear" w:color="auto" w:fill="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低于（含等于）招标控制价</w:t>
            </w:r>
          </w:p>
        </w:tc>
      </w:tr>
      <w:tr w14:paraId="03790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5" w:type="dxa"/>
            <w:vMerge w:val="continue"/>
            <w:tcBorders>
              <w:top w:val="single" w:color="auto" w:sz="4" w:space="0"/>
              <w:left w:val="single" w:color="auto" w:sz="4" w:space="0"/>
              <w:bottom w:val="single" w:color="auto" w:sz="4" w:space="0"/>
              <w:right w:val="single" w:color="auto" w:sz="4" w:space="0"/>
            </w:tcBorders>
            <w:noWrap w:val="0"/>
            <w:vAlign w:val="center"/>
          </w:tcPr>
          <w:p w14:paraId="165C1480">
            <w:pPr>
              <w:widowControl/>
              <w:shd w:val="clear" w:color="auto" w:fill="auto"/>
              <w:ind w:firstLine="482"/>
              <w:jc w:val="left"/>
              <w:rPr>
                <w:rFonts w:ascii="宋体" w:hAnsi="宋体" w:cs="宋体"/>
                <w:color w:val="auto"/>
                <w:sz w:val="24"/>
                <w:szCs w:val="24"/>
                <w:highlight w:val="none"/>
              </w:rPr>
            </w:pPr>
          </w:p>
        </w:tc>
        <w:tc>
          <w:tcPr>
            <w:tcW w:w="1936" w:type="dxa"/>
            <w:tcBorders>
              <w:top w:val="single" w:color="auto" w:sz="4" w:space="0"/>
              <w:left w:val="single" w:color="auto" w:sz="4" w:space="0"/>
              <w:bottom w:val="single" w:color="auto" w:sz="4" w:space="0"/>
              <w:right w:val="single" w:color="auto" w:sz="4" w:space="0"/>
            </w:tcBorders>
            <w:noWrap w:val="0"/>
            <w:vAlign w:val="center"/>
          </w:tcPr>
          <w:p w14:paraId="2CAFF46D">
            <w:pPr>
              <w:shd w:val="clear" w:color="auto" w:fill="auto"/>
              <w:spacing w:line="360" w:lineRule="auto"/>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《中小企业声明函》</w:t>
            </w:r>
          </w:p>
        </w:tc>
        <w:tc>
          <w:tcPr>
            <w:tcW w:w="5129" w:type="dxa"/>
            <w:tcBorders>
              <w:top w:val="single" w:color="auto" w:sz="4" w:space="0"/>
              <w:left w:val="single" w:color="auto" w:sz="4" w:space="0"/>
              <w:bottom w:val="single" w:color="auto" w:sz="4" w:space="0"/>
              <w:right w:val="single" w:color="auto" w:sz="4" w:space="0"/>
            </w:tcBorders>
            <w:noWrap w:val="0"/>
            <w:vAlign w:val="center"/>
          </w:tcPr>
          <w:p w14:paraId="09E634B4">
            <w:pPr>
              <w:shd w:val="clear" w:color="auto" w:fil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根据《政府采购促进中小企业发展管理办法》（财库〔2020〕46号）规定，本项目专门面向中小企业采购,同时供应商须提供《中小企业声明函》</w:t>
            </w:r>
          </w:p>
        </w:tc>
      </w:tr>
    </w:tbl>
    <w:p w14:paraId="6E801F56">
      <w:pPr>
        <w:widowControl/>
        <w:shd w:val="clear" w:color="auto" w:fill="auto"/>
        <w:jc w:val="left"/>
        <w:rPr>
          <w:rFonts w:hint="eastAsia"/>
          <w:highlight w:val="none"/>
        </w:rPr>
      </w:pPr>
    </w:p>
    <w:p w14:paraId="6C8F0B0B">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2.4、投标报价有算术错误的，磋商小组按以下原则对投标报价进行修正，修正的价格经供应商书面确认后具有约束力。供应商不接受修正价格的，其投标作废标处理。</w:t>
      </w:r>
    </w:p>
    <w:p w14:paraId="0148D674">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(1）磋商文件中的大写金额与小写金额不一致的，以大写金额为准；</w:t>
      </w:r>
    </w:p>
    <w:p w14:paraId="4CA2C051">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(2）总价金额与依据单价计算出的结果不一致的，以单价金额为准修正总价，但单价金额小数点有明显错误的除外。</w:t>
      </w:r>
    </w:p>
    <w:p w14:paraId="25736C91">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2.5、 详细评审</w:t>
      </w:r>
    </w:p>
    <w:p w14:paraId="03E4E73A">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2.5.1  对通过初步评审的磋商文件，磋商小组按本规定的量化因素和分值进行打分，并计算出综合评估得分。每个供应商最终得分为各评委打分的算术平均值。</w:t>
      </w:r>
    </w:p>
    <w:p w14:paraId="673ED9F3">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2.5.2  评标计分必须填计分卡，评委应签自已的姓名。</w:t>
      </w:r>
    </w:p>
    <w:p w14:paraId="519D604C">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2.5.3  评分计算均保留两位小数，两位小数后四舍五入。</w:t>
      </w:r>
    </w:p>
    <w:p w14:paraId="4F6F66D9">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2.5.4  有下列情况之一者，为无效分：</w:t>
      </w:r>
    </w:p>
    <w:p w14:paraId="100AE0C4">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（1）计分高出规定最高或最低分的，计分明显不合理的；</w:t>
      </w:r>
    </w:p>
    <w:p w14:paraId="6EA9B988">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（2）一个计分内容出现两个或两个以上计分的；</w:t>
      </w:r>
    </w:p>
    <w:p w14:paraId="3DE02D65">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（3）计分卡没有签编号或姓名的；</w:t>
      </w:r>
    </w:p>
    <w:p w14:paraId="09420DC4">
      <w:pPr>
        <w:shd w:val="clear" w:color="auto" w:fill="auto"/>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（4）其它未按本规定要求计分的。</w:t>
      </w:r>
    </w:p>
    <w:p w14:paraId="5D513659">
      <w:pPr>
        <w:shd w:val="clear" w:color="auto" w:fill="auto"/>
        <w:spacing w:line="360" w:lineRule="auto"/>
        <w:ind w:firstLine="482" w:firstLineChars="200"/>
        <w:rPr>
          <w:rFonts w:hint="eastAsia" w:ascii="宋体" w:hAnsi="宋体"/>
          <w:b/>
          <w:color w:val="000000"/>
          <w:sz w:val="24"/>
          <w:highlight w:val="none"/>
        </w:rPr>
      </w:pPr>
    </w:p>
    <w:p w14:paraId="38B187C7">
      <w:pPr>
        <w:widowControl/>
        <w:shd w:val="clear" w:color="auto" w:fill="auto"/>
        <w:jc w:val="left"/>
        <w:rPr>
          <w:rFonts w:hint="eastAsia"/>
          <w:highlight w:val="none"/>
        </w:rPr>
      </w:pPr>
      <w:r>
        <w:rPr>
          <w:rFonts w:hint="eastAsia"/>
          <w:highlight w:val="none"/>
        </w:rPr>
        <w:br w:type="page"/>
      </w:r>
    </w:p>
    <w:p w14:paraId="638D0EB0">
      <w:pPr>
        <w:shd w:val="clear" w:color="auto" w:fill="auto"/>
        <w:spacing w:line="360" w:lineRule="auto"/>
        <w:ind w:left="-525" w:leftChars="-250" w:firstLine="482" w:firstLineChars="200"/>
        <w:rPr>
          <w:rFonts w:hint="eastAsia" w:ascii="宋体" w:hAnsi="宋体"/>
          <w:b/>
          <w:color w:val="000000"/>
          <w:sz w:val="24"/>
          <w:highlight w:val="none"/>
        </w:rPr>
      </w:pPr>
      <w:r>
        <w:rPr>
          <w:rFonts w:hint="eastAsia" w:ascii="宋体" w:hAnsi="宋体"/>
          <w:b/>
          <w:color w:val="000000"/>
          <w:sz w:val="24"/>
          <w:highlight w:val="none"/>
        </w:rPr>
        <w:t>附：评分计分标准，供应商评标得分为下表所列所有项的合计得分。</w:t>
      </w:r>
    </w:p>
    <w:bookmarkEnd w:id="26"/>
    <w:bookmarkEnd w:id="27"/>
    <w:tbl>
      <w:tblPr>
        <w:tblStyle w:val="12"/>
        <w:tblW w:w="9148" w:type="dxa"/>
        <w:tblInd w:w="-251" w:type="dxa"/>
        <w:tblLayout w:type="fixed"/>
        <w:tblCellMar>
          <w:top w:w="0" w:type="dxa"/>
          <w:left w:w="108" w:type="dxa"/>
          <w:bottom w:w="0" w:type="dxa"/>
          <w:right w:w="108" w:type="dxa"/>
        </w:tblCellMar>
      </w:tblPr>
      <w:tblGrid>
        <w:gridCol w:w="726"/>
        <w:gridCol w:w="868"/>
        <w:gridCol w:w="608"/>
        <w:gridCol w:w="917"/>
        <w:gridCol w:w="4895"/>
        <w:gridCol w:w="1134"/>
      </w:tblGrid>
      <w:tr w14:paraId="5BEDE40E">
        <w:tblPrEx>
          <w:tblCellMar>
            <w:top w:w="0" w:type="dxa"/>
            <w:left w:w="108" w:type="dxa"/>
            <w:bottom w:w="0" w:type="dxa"/>
            <w:right w:w="108" w:type="dxa"/>
          </w:tblCellMar>
        </w:tblPrEx>
        <w:trPr>
          <w:trHeight w:val="518" w:hRule="atLeast"/>
        </w:trPr>
        <w:tc>
          <w:tcPr>
            <w:tcW w:w="9148" w:type="dxa"/>
            <w:gridSpan w:val="6"/>
            <w:tcBorders>
              <w:top w:val="single" w:color="000000" w:sz="6" w:space="0"/>
              <w:left w:val="single" w:color="000000" w:sz="12" w:space="0"/>
              <w:bottom w:val="single" w:color="000000" w:sz="6" w:space="0"/>
              <w:right w:val="single" w:color="000000" w:sz="12" w:space="0"/>
            </w:tcBorders>
            <w:noWrap w:val="0"/>
            <w:vAlign w:val="center"/>
          </w:tcPr>
          <w:p w14:paraId="25861261">
            <w:pPr>
              <w:shd w:val="clear" w:color="auto" w:fill="auto"/>
              <w:adjustRightInd/>
              <w:snapToGrid/>
              <w:spacing w:after="0" w:line="400" w:lineRule="exact"/>
              <w:jc w:val="center"/>
              <w:rPr>
                <w:rFonts w:ascii="宋体" w:hAnsi="宋体" w:eastAsia="宋体" w:cs="宋体"/>
                <w:color w:val="auto"/>
                <w:kern w:val="1"/>
                <w:sz w:val="24"/>
                <w:szCs w:val="24"/>
                <w:highlight w:val="none"/>
                <w:lang w:eastAsia="en-US" w:bidi="en-US"/>
              </w:rPr>
            </w:pPr>
            <w:bookmarkStart w:id="501" w:name="_Toc508179890"/>
            <w:bookmarkStart w:id="502" w:name="_Toc16520167"/>
            <w:bookmarkStart w:id="503" w:name="_Toc16520679"/>
            <w:r>
              <w:rPr>
                <w:rFonts w:hint="eastAsia" w:ascii="宋体" w:hAnsi="宋体" w:eastAsia="宋体" w:cs="宋体"/>
                <w:b/>
                <w:color w:val="auto"/>
                <w:kern w:val="1"/>
                <w:sz w:val="24"/>
                <w:szCs w:val="24"/>
                <w:highlight w:val="none"/>
                <w:lang w:eastAsia="en-US" w:bidi="en-US"/>
              </w:rPr>
              <w:t>评分部分（满分100分）</w:t>
            </w:r>
          </w:p>
        </w:tc>
      </w:tr>
      <w:tr w14:paraId="4DB35F3B">
        <w:tblPrEx>
          <w:tblCellMar>
            <w:top w:w="0" w:type="dxa"/>
            <w:left w:w="108" w:type="dxa"/>
            <w:bottom w:w="0" w:type="dxa"/>
            <w:right w:w="108" w:type="dxa"/>
          </w:tblCellMar>
        </w:tblPrEx>
        <w:trPr>
          <w:trHeight w:val="691" w:hRule="atLeast"/>
        </w:trPr>
        <w:tc>
          <w:tcPr>
            <w:tcW w:w="1594" w:type="dxa"/>
            <w:gridSpan w:val="2"/>
            <w:tcBorders>
              <w:top w:val="single" w:color="000000" w:sz="6" w:space="0"/>
              <w:left w:val="single" w:color="000000" w:sz="6" w:space="0"/>
              <w:bottom w:val="single" w:color="000000" w:sz="6" w:space="0"/>
              <w:right w:val="single" w:color="000000" w:sz="6" w:space="0"/>
            </w:tcBorders>
            <w:noWrap w:val="0"/>
            <w:vAlign w:val="center"/>
          </w:tcPr>
          <w:p w14:paraId="40DB2FF3">
            <w:pPr>
              <w:shd w:val="clear" w:color="auto" w:fill="auto"/>
              <w:adjustRightInd/>
              <w:snapToGrid/>
              <w:spacing w:after="0" w:line="400" w:lineRule="exact"/>
              <w:ind w:left="210" w:hanging="210"/>
              <w:jc w:val="center"/>
              <w:rPr>
                <w:rFonts w:ascii="宋体" w:hAnsi="宋体" w:eastAsia="宋体" w:cs="宋体"/>
                <w:color w:val="auto"/>
                <w:kern w:val="1"/>
                <w:sz w:val="24"/>
                <w:szCs w:val="24"/>
                <w:highlight w:val="none"/>
                <w:lang w:eastAsia="en-US" w:bidi="en-US"/>
              </w:rPr>
            </w:pPr>
            <w:r>
              <w:rPr>
                <w:rFonts w:hint="eastAsia" w:ascii="宋体" w:hAnsi="宋体" w:eastAsia="宋体" w:cs="宋体"/>
                <w:color w:val="auto"/>
                <w:kern w:val="1"/>
                <w:sz w:val="24"/>
                <w:szCs w:val="24"/>
                <w:highlight w:val="none"/>
                <w:lang w:eastAsia="en-US" w:bidi="en-US"/>
              </w:rPr>
              <w:t>分值构成</w:t>
            </w:r>
          </w:p>
          <w:p w14:paraId="35355E47">
            <w:pPr>
              <w:shd w:val="clear" w:color="auto" w:fill="auto"/>
              <w:adjustRightInd/>
              <w:snapToGrid/>
              <w:spacing w:after="0" w:line="400" w:lineRule="exact"/>
              <w:ind w:left="210" w:hanging="210"/>
              <w:jc w:val="center"/>
              <w:rPr>
                <w:rFonts w:ascii="宋体" w:hAnsi="宋体" w:eastAsia="宋体" w:cs="宋体"/>
                <w:color w:val="auto"/>
                <w:kern w:val="1"/>
                <w:sz w:val="24"/>
                <w:szCs w:val="24"/>
                <w:highlight w:val="none"/>
                <w:lang w:eastAsia="en-US" w:bidi="en-US"/>
              </w:rPr>
            </w:pPr>
            <w:r>
              <w:rPr>
                <w:rFonts w:hint="eastAsia" w:ascii="宋体" w:hAnsi="宋体" w:eastAsia="宋体" w:cs="宋体"/>
                <w:color w:val="auto"/>
                <w:kern w:val="1"/>
                <w:sz w:val="24"/>
                <w:szCs w:val="24"/>
                <w:highlight w:val="none"/>
                <w:lang w:eastAsia="en-US" w:bidi="en-US"/>
              </w:rPr>
              <w:t>(总分100分)</w:t>
            </w:r>
          </w:p>
        </w:tc>
        <w:tc>
          <w:tcPr>
            <w:tcW w:w="7554" w:type="dxa"/>
            <w:gridSpan w:val="4"/>
            <w:tcBorders>
              <w:top w:val="single" w:color="000000" w:sz="6" w:space="0"/>
              <w:left w:val="single" w:color="000000" w:sz="6" w:space="0"/>
              <w:bottom w:val="single" w:color="000000" w:sz="6" w:space="0"/>
              <w:right w:val="single" w:color="000000" w:sz="12" w:space="0"/>
            </w:tcBorders>
            <w:noWrap w:val="0"/>
            <w:vAlign w:val="center"/>
          </w:tcPr>
          <w:p w14:paraId="69C45D0A">
            <w:pPr>
              <w:shd w:val="clear" w:color="auto" w:fill="auto"/>
              <w:adjustRightInd/>
              <w:snapToGrid/>
              <w:spacing w:after="0" w:line="400" w:lineRule="exact"/>
              <w:rPr>
                <w:rFonts w:ascii="宋体" w:hAnsi="宋体" w:eastAsia="宋体" w:cs="宋体"/>
                <w:color w:val="auto"/>
                <w:kern w:val="1"/>
                <w:sz w:val="24"/>
                <w:szCs w:val="24"/>
                <w:highlight w:val="none"/>
                <w:lang w:bidi="en-US"/>
              </w:rPr>
            </w:pPr>
            <w:r>
              <w:rPr>
                <w:rFonts w:hint="eastAsia" w:ascii="宋体" w:hAnsi="宋体" w:eastAsia="宋体" w:cs="宋体"/>
                <w:color w:val="auto"/>
                <w:kern w:val="1"/>
                <w:sz w:val="24"/>
                <w:szCs w:val="24"/>
                <w:highlight w:val="none"/>
                <w:lang w:bidi="en-US"/>
              </w:rPr>
              <w:t>商务标：</w:t>
            </w:r>
            <w:r>
              <w:rPr>
                <w:rFonts w:hint="eastAsia" w:ascii="宋体" w:hAnsi="宋体" w:eastAsia="宋体" w:cs="宋体"/>
                <w:color w:val="auto"/>
                <w:kern w:val="1"/>
                <w:sz w:val="24"/>
                <w:szCs w:val="24"/>
                <w:highlight w:val="none"/>
                <w:u w:val="single"/>
                <w:lang w:bidi="en-US"/>
              </w:rPr>
              <w:t>30</w:t>
            </w:r>
            <w:r>
              <w:rPr>
                <w:rFonts w:hint="eastAsia" w:ascii="宋体" w:hAnsi="宋体" w:eastAsia="宋体" w:cs="宋体"/>
                <w:color w:val="auto"/>
                <w:kern w:val="1"/>
                <w:sz w:val="24"/>
                <w:szCs w:val="24"/>
                <w:highlight w:val="none"/>
                <w:lang w:bidi="en-US"/>
              </w:rPr>
              <w:t>分</w:t>
            </w:r>
          </w:p>
          <w:p w14:paraId="1D80C93B">
            <w:pPr>
              <w:shd w:val="clear" w:color="auto" w:fill="auto"/>
              <w:adjustRightInd/>
              <w:snapToGrid/>
              <w:spacing w:after="0" w:line="400" w:lineRule="exact"/>
              <w:rPr>
                <w:rFonts w:ascii="宋体" w:hAnsi="宋体" w:eastAsia="宋体" w:cs="宋体"/>
                <w:color w:val="auto"/>
                <w:kern w:val="1"/>
                <w:sz w:val="24"/>
                <w:szCs w:val="24"/>
                <w:highlight w:val="none"/>
                <w:lang w:bidi="en-US"/>
              </w:rPr>
            </w:pPr>
            <w:r>
              <w:rPr>
                <w:rFonts w:hint="eastAsia" w:ascii="宋体" w:hAnsi="宋体" w:eastAsia="宋体" w:cs="宋体"/>
                <w:color w:val="auto"/>
                <w:kern w:val="1"/>
                <w:sz w:val="24"/>
                <w:szCs w:val="24"/>
                <w:highlight w:val="none"/>
                <w:lang w:bidi="en-US"/>
              </w:rPr>
              <w:t>技术标：</w:t>
            </w:r>
            <w:r>
              <w:rPr>
                <w:rFonts w:hint="eastAsia" w:ascii="宋体" w:hAnsi="宋体" w:eastAsia="宋体" w:cs="宋体"/>
                <w:color w:val="auto"/>
                <w:kern w:val="1"/>
                <w:sz w:val="24"/>
                <w:szCs w:val="24"/>
                <w:highlight w:val="none"/>
                <w:u w:val="single"/>
                <w:lang w:bidi="en-US"/>
              </w:rPr>
              <w:t>45</w:t>
            </w:r>
            <w:r>
              <w:rPr>
                <w:rFonts w:hint="eastAsia" w:ascii="宋体" w:hAnsi="宋体" w:eastAsia="宋体" w:cs="宋体"/>
                <w:color w:val="auto"/>
                <w:kern w:val="1"/>
                <w:sz w:val="24"/>
                <w:szCs w:val="24"/>
                <w:highlight w:val="none"/>
                <w:lang w:bidi="en-US"/>
              </w:rPr>
              <w:t>分</w:t>
            </w:r>
          </w:p>
          <w:p w14:paraId="00B65800">
            <w:pPr>
              <w:shd w:val="clear" w:color="auto" w:fill="auto"/>
              <w:adjustRightInd/>
              <w:snapToGrid/>
              <w:spacing w:after="0" w:line="400" w:lineRule="exact"/>
              <w:rPr>
                <w:rFonts w:ascii="宋体" w:hAnsi="宋体" w:eastAsia="宋体" w:cs="宋体"/>
                <w:color w:val="auto"/>
                <w:kern w:val="1"/>
                <w:sz w:val="24"/>
                <w:szCs w:val="24"/>
                <w:highlight w:val="none"/>
                <w:lang w:bidi="en-US"/>
              </w:rPr>
            </w:pPr>
            <w:r>
              <w:rPr>
                <w:rFonts w:hint="eastAsia" w:ascii="宋体" w:hAnsi="宋体" w:eastAsia="宋体" w:cs="宋体"/>
                <w:color w:val="auto"/>
                <w:kern w:val="1"/>
                <w:sz w:val="24"/>
                <w:szCs w:val="24"/>
                <w:highlight w:val="none"/>
                <w:lang w:bidi="en-US"/>
              </w:rPr>
              <w:t>综合标：</w:t>
            </w:r>
            <w:r>
              <w:rPr>
                <w:rFonts w:hint="eastAsia" w:ascii="宋体" w:hAnsi="宋体" w:eastAsia="宋体" w:cs="宋体"/>
                <w:color w:val="auto"/>
                <w:kern w:val="1"/>
                <w:sz w:val="24"/>
                <w:szCs w:val="24"/>
                <w:highlight w:val="none"/>
                <w:u w:val="single"/>
                <w:lang w:bidi="en-US"/>
              </w:rPr>
              <w:t>25</w:t>
            </w:r>
            <w:r>
              <w:rPr>
                <w:rFonts w:hint="eastAsia" w:ascii="宋体" w:hAnsi="宋体" w:eastAsia="宋体" w:cs="宋体"/>
                <w:color w:val="auto"/>
                <w:kern w:val="1"/>
                <w:sz w:val="24"/>
                <w:szCs w:val="24"/>
                <w:highlight w:val="none"/>
                <w:lang w:bidi="en-US"/>
              </w:rPr>
              <w:t>分</w:t>
            </w:r>
          </w:p>
        </w:tc>
      </w:tr>
      <w:tr w14:paraId="598E67EE">
        <w:tblPrEx>
          <w:tblCellMar>
            <w:top w:w="0" w:type="dxa"/>
            <w:left w:w="108" w:type="dxa"/>
            <w:bottom w:w="0" w:type="dxa"/>
            <w:right w:w="108" w:type="dxa"/>
          </w:tblCellMar>
        </w:tblPrEx>
        <w:trPr>
          <w:trHeight w:val="207" w:hRule="atLeast"/>
        </w:trPr>
        <w:tc>
          <w:tcPr>
            <w:tcW w:w="1594" w:type="dxa"/>
            <w:gridSpan w:val="2"/>
            <w:tcBorders>
              <w:top w:val="single" w:color="000000" w:sz="6" w:space="0"/>
              <w:left w:val="single" w:color="000000" w:sz="6" w:space="0"/>
              <w:bottom w:val="single" w:color="000000" w:sz="6" w:space="0"/>
              <w:right w:val="single" w:color="000000" w:sz="6" w:space="0"/>
            </w:tcBorders>
            <w:noWrap w:val="0"/>
            <w:vAlign w:val="center"/>
          </w:tcPr>
          <w:p w14:paraId="37208ABB">
            <w:pPr>
              <w:shd w:val="clear" w:color="auto" w:fill="auto"/>
              <w:adjustRightInd/>
              <w:snapToGrid/>
              <w:spacing w:after="0" w:line="400" w:lineRule="exact"/>
              <w:jc w:val="center"/>
              <w:rPr>
                <w:rFonts w:ascii="宋体" w:hAnsi="宋体" w:eastAsia="宋体" w:cs="宋体"/>
                <w:b/>
                <w:color w:val="auto"/>
                <w:kern w:val="1"/>
                <w:sz w:val="24"/>
                <w:szCs w:val="24"/>
                <w:highlight w:val="none"/>
                <w:lang w:eastAsia="en-US" w:bidi="en-US"/>
              </w:rPr>
            </w:pPr>
            <w:r>
              <w:rPr>
                <w:rFonts w:hint="eastAsia" w:ascii="宋体" w:hAnsi="宋体" w:eastAsia="宋体" w:cs="宋体"/>
                <w:b/>
                <w:color w:val="auto"/>
                <w:kern w:val="1"/>
                <w:sz w:val="24"/>
                <w:szCs w:val="24"/>
                <w:highlight w:val="none"/>
                <w:lang w:eastAsia="en-US" w:bidi="en-US"/>
              </w:rPr>
              <w:t>评分因素</w:t>
            </w:r>
          </w:p>
        </w:tc>
        <w:tc>
          <w:tcPr>
            <w:tcW w:w="7554" w:type="dxa"/>
            <w:gridSpan w:val="4"/>
            <w:tcBorders>
              <w:top w:val="single" w:color="000000" w:sz="6" w:space="0"/>
              <w:left w:val="single" w:color="000000" w:sz="6" w:space="0"/>
              <w:bottom w:val="single" w:color="000000" w:sz="6" w:space="0"/>
              <w:right w:val="single" w:color="000000" w:sz="12" w:space="0"/>
            </w:tcBorders>
            <w:noWrap w:val="0"/>
            <w:vAlign w:val="center"/>
          </w:tcPr>
          <w:p w14:paraId="461432AD">
            <w:pPr>
              <w:shd w:val="clear" w:color="auto" w:fill="auto"/>
              <w:adjustRightInd/>
              <w:snapToGrid/>
              <w:spacing w:after="0" w:line="400" w:lineRule="exact"/>
              <w:jc w:val="center"/>
              <w:rPr>
                <w:rFonts w:ascii="宋体" w:hAnsi="宋体" w:eastAsia="宋体" w:cs="宋体"/>
                <w:b/>
                <w:color w:val="auto"/>
                <w:kern w:val="1"/>
                <w:sz w:val="24"/>
                <w:szCs w:val="24"/>
                <w:highlight w:val="none"/>
                <w:lang w:eastAsia="en-US" w:bidi="en-US"/>
              </w:rPr>
            </w:pPr>
            <w:r>
              <w:rPr>
                <w:rFonts w:hint="eastAsia" w:ascii="宋体" w:hAnsi="宋体" w:eastAsia="宋体" w:cs="宋体"/>
                <w:b/>
                <w:color w:val="auto"/>
                <w:kern w:val="1"/>
                <w:sz w:val="24"/>
                <w:szCs w:val="24"/>
                <w:highlight w:val="none"/>
                <w:lang w:eastAsia="en-US" w:bidi="en-US"/>
              </w:rPr>
              <w:t>评分标准</w:t>
            </w:r>
          </w:p>
        </w:tc>
      </w:tr>
      <w:tr w14:paraId="2800D145">
        <w:tblPrEx>
          <w:tblCellMar>
            <w:top w:w="0" w:type="dxa"/>
            <w:left w:w="108" w:type="dxa"/>
            <w:bottom w:w="0" w:type="dxa"/>
            <w:right w:w="108" w:type="dxa"/>
          </w:tblCellMar>
        </w:tblPrEx>
        <w:trPr>
          <w:trHeight w:val="602" w:hRule="atLeast"/>
        </w:trPr>
        <w:tc>
          <w:tcPr>
            <w:tcW w:w="726" w:type="dxa"/>
            <w:tcBorders>
              <w:top w:val="single" w:color="000000" w:sz="6" w:space="0"/>
              <w:left w:val="single" w:color="000000" w:sz="4" w:space="0"/>
              <w:bottom w:val="single" w:color="000000" w:sz="6" w:space="0"/>
              <w:right w:val="single" w:color="000000" w:sz="6" w:space="0"/>
            </w:tcBorders>
            <w:noWrap w:val="0"/>
            <w:vAlign w:val="center"/>
          </w:tcPr>
          <w:p w14:paraId="5F7D0CCF">
            <w:pPr>
              <w:shd w:val="clear" w:color="auto" w:fill="auto"/>
              <w:adjustRightInd/>
              <w:snapToGrid/>
              <w:spacing w:after="0" w:line="400" w:lineRule="exact"/>
              <w:jc w:val="center"/>
              <w:rPr>
                <w:rFonts w:ascii="宋体" w:hAnsi="宋体" w:eastAsia="宋体" w:cs="宋体"/>
                <w:color w:val="auto"/>
                <w:kern w:val="1"/>
                <w:sz w:val="24"/>
                <w:szCs w:val="24"/>
                <w:highlight w:val="none"/>
                <w:lang w:eastAsia="en-US" w:bidi="en-US"/>
              </w:rPr>
            </w:pPr>
            <w:r>
              <w:rPr>
                <w:rFonts w:hint="eastAsia" w:ascii="宋体" w:hAnsi="宋体" w:eastAsia="宋体" w:cs="宋体"/>
                <w:color w:val="auto"/>
                <w:kern w:val="1"/>
                <w:sz w:val="24"/>
                <w:szCs w:val="24"/>
                <w:highlight w:val="none"/>
                <w:lang w:eastAsia="en-US" w:bidi="en-US"/>
              </w:rPr>
              <w:t>商务标（</w:t>
            </w:r>
            <w:r>
              <w:rPr>
                <w:rFonts w:hint="eastAsia" w:ascii="宋体" w:hAnsi="宋体" w:eastAsia="宋体" w:cs="宋体"/>
                <w:color w:val="auto"/>
                <w:kern w:val="1"/>
                <w:sz w:val="24"/>
                <w:szCs w:val="24"/>
                <w:highlight w:val="none"/>
                <w:lang w:bidi="en-US"/>
              </w:rPr>
              <w:t>3</w:t>
            </w:r>
            <w:r>
              <w:rPr>
                <w:rFonts w:hint="eastAsia" w:ascii="宋体" w:hAnsi="宋体" w:eastAsia="宋体" w:cs="宋体"/>
                <w:color w:val="auto"/>
                <w:kern w:val="1"/>
                <w:sz w:val="24"/>
                <w:szCs w:val="24"/>
                <w:highlight w:val="none"/>
                <w:lang w:eastAsia="en-US" w:bidi="en-US"/>
              </w:rPr>
              <w:t>0分）</w:t>
            </w:r>
          </w:p>
        </w:tc>
        <w:tc>
          <w:tcPr>
            <w:tcW w:w="868" w:type="dxa"/>
            <w:tcBorders>
              <w:top w:val="single" w:color="000000" w:sz="6" w:space="0"/>
              <w:left w:val="single" w:color="000000" w:sz="4" w:space="0"/>
              <w:bottom w:val="single" w:color="000000" w:sz="6" w:space="0"/>
              <w:right w:val="single" w:color="000000" w:sz="6" w:space="0"/>
            </w:tcBorders>
            <w:noWrap w:val="0"/>
            <w:vAlign w:val="center"/>
          </w:tcPr>
          <w:p w14:paraId="664CB272">
            <w:pPr>
              <w:shd w:val="clear" w:color="auto" w:fill="auto"/>
              <w:adjustRightInd/>
              <w:snapToGrid/>
              <w:spacing w:after="0" w:line="400" w:lineRule="exact"/>
              <w:jc w:val="center"/>
              <w:rPr>
                <w:rFonts w:ascii="宋体" w:hAnsi="宋体" w:eastAsia="宋体" w:cs="宋体"/>
                <w:color w:val="auto"/>
                <w:kern w:val="1"/>
                <w:sz w:val="24"/>
                <w:szCs w:val="24"/>
                <w:highlight w:val="none"/>
                <w:lang w:eastAsia="en-US" w:bidi="en-US"/>
              </w:rPr>
            </w:pPr>
            <w:r>
              <w:rPr>
                <w:rFonts w:hint="eastAsia" w:ascii="宋体" w:hAnsi="宋体" w:eastAsia="宋体" w:cs="宋体"/>
                <w:color w:val="auto"/>
                <w:kern w:val="1"/>
                <w:sz w:val="24"/>
                <w:szCs w:val="24"/>
                <w:highlight w:val="none"/>
                <w:lang w:eastAsia="en-US" w:bidi="en-US"/>
              </w:rPr>
              <w:t>投标报价</w:t>
            </w:r>
          </w:p>
        </w:tc>
        <w:tc>
          <w:tcPr>
            <w:tcW w:w="7554" w:type="dxa"/>
            <w:gridSpan w:val="4"/>
            <w:tcBorders>
              <w:top w:val="single" w:color="000000" w:sz="6" w:space="0"/>
              <w:left w:val="single" w:color="000000" w:sz="6" w:space="0"/>
              <w:bottom w:val="single" w:color="000000" w:sz="6" w:space="0"/>
              <w:right w:val="single" w:color="000000" w:sz="12" w:space="0"/>
            </w:tcBorders>
            <w:noWrap w:val="0"/>
            <w:vAlign w:val="center"/>
          </w:tcPr>
          <w:p w14:paraId="37EDBE54">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1、综合评分法中的价格分统一采用低价优先法计算，即满足磋商文件要求且最后报价最低的供应商的价格为磋商基准价，其价格分为满分。</w:t>
            </w:r>
          </w:p>
          <w:p w14:paraId="39E0A1EC">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2、其他供应商的价格分统一按照下列公式计算：磋商报价得分=（磋商基准价/最后磋商报价）×30</w:t>
            </w:r>
          </w:p>
          <w:p w14:paraId="2228BF92">
            <w:pPr>
              <w:shd w:val="clear" w:color="auto" w:fill="auto"/>
              <w:adjustRightInd/>
              <w:snapToGrid/>
              <w:spacing w:after="0" w:line="400" w:lineRule="exact"/>
              <w:rPr>
                <w:rFonts w:ascii="宋体" w:hAnsi="宋体" w:eastAsia="宋体" w:cs="宋体"/>
                <w:b/>
                <w:bCs/>
                <w:color w:val="auto"/>
                <w:sz w:val="24"/>
                <w:szCs w:val="24"/>
                <w:highlight w:val="none"/>
                <w:lang w:bidi="en-US"/>
              </w:rPr>
            </w:pPr>
            <w:r>
              <w:rPr>
                <w:rFonts w:hint="eastAsia" w:ascii="宋体" w:hAnsi="宋体" w:eastAsia="宋体" w:cs="宋体"/>
                <w:b/>
                <w:bCs/>
                <w:color w:val="auto"/>
                <w:sz w:val="24"/>
                <w:szCs w:val="24"/>
                <w:highlight w:val="none"/>
                <w:lang w:bidi="en-US"/>
              </w:rPr>
              <w:t>注：（1）分值计算保留两位小数。</w:t>
            </w:r>
          </w:p>
          <w:p w14:paraId="23B04BE3">
            <w:pPr>
              <w:shd w:val="clear" w:color="auto" w:fill="auto"/>
              <w:adjustRightInd/>
              <w:snapToGrid/>
              <w:spacing w:after="0" w:line="400" w:lineRule="exact"/>
              <w:rPr>
                <w:rFonts w:ascii="宋体" w:hAnsi="宋体" w:eastAsia="宋体" w:cs="宋体"/>
                <w:b/>
                <w:bCs/>
                <w:color w:val="auto"/>
                <w:sz w:val="24"/>
                <w:szCs w:val="24"/>
                <w:highlight w:val="none"/>
                <w:lang w:bidi="en-US"/>
              </w:rPr>
            </w:pPr>
            <w:r>
              <w:rPr>
                <w:rFonts w:hint="eastAsia" w:ascii="宋体" w:hAnsi="宋体" w:eastAsia="宋体" w:cs="宋体"/>
                <w:b/>
                <w:bCs/>
                <w:color w:val="auto"/>
                <w:sz w:val="24"/>
                <w:szCs w:val="24"/>
                <w:highlight w:val="none"/>
                <w:lang w:bidi="en-US"/>
              </w:rPr>
              <w:t>（2）参加投标活动的中小企业应当提供《政府采购促进中小企业发展管理办法》（财库﹝2020﹞46号）规定的《中小企业声明函》，未填写中小企业声明函的在评标过程中不予认可。若提供的声明与实际情况不符，采购人有权取消该中标响应人的中标资格，并对因其造成的损失进行追责；</w:t>
            </w:r>
          </w:p>
          <w:p w14:paraId="7BC0FD06">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b/>
                <w:bCs/>
                <w:color w:val="auto"/>
                <w:sz w:val="24"/>
                <w:szCs w:val="24"/>
                <w:highlight w:val="none"/>
                <w:lang w:bidi="en-US"/>
              </w:rPr>
              <w:t>3、磋商小组认为供应商的报价明显低于其他通过符合性审查供应商的报价，有可能影响工程质量或者不能诚信履约的，应当要求其在合理的时间内提供说明，必要时提交相关证明材料；供应商不能证明其报价合理性的，磋商小组应当将其作为无效文件处理。</w:t>
            </w:r>
          </w:p>
        </w:tc>
      </w:tr>
      <w:tr w14:paraId="71387C5D">
        <w:tblPrEx>
          <w:tblCellMar>
            <w:top w:w="0" w:type="dxa"/>
            <w:left w:w="108" w:type="dxa"/>
            <w:bottom w:w="0" w:type="dxa"/>
            <w:right w:w="108" w:type="dxa"/>
          </w:tblCellMar>
        </w:tblPrEx>
        <w:trPr>
          <w:trHeight w:val="406" w:hRule="atLeast"/>
        </w:trPr>
        <w:tc>
          <w:tcPr>
            <w:tcW w:w="726" w:type="dxa"/>
            <w:vMerge w:val="restart"/>
            <w:tcBorders>
              <w:top w:val="single" w:color="000000" w:sz="6" w:space="0"/>
              <w:left w:val="single" w:color="000000" w:sz="6" w:space="0"/>
              <w:right w:val="single" w:color="000000" w:sz="4" w:space="0"/>
            </w:tcBorders>
            <w:noWrap w:val="0"/>
            <w:vAlign w:val="center"/>
          </w:tcPr>
          <w:p w14:paraId="62FA1ED4">
            <w:pPr>
              <w:shd w:val="clear" w:color="auto" w:fill="auto"/>
              <w:adjustRightInd/>
              <w:snapToGrid/>
              <w:spacing w:after="0" w:line="400" w:lineRule="exact"/>
              <w:jc w:val="center"/>
              <w:rPr>
                <w:rFonts w:ascii="宋体" w:hAnsi="宋体" w:eastAsia="宋体" w:cs="宋体"/>
                <w:color w:val="auto"/>
                <w:spacing w:val="6"/>
                <w:kern w:val="1"/>
                <w:sz w:val="24"/>
                <w:szCs w:val="24"/>
                <w:highlight w:val="none"/>
                <w:lang w:eastAsia="en-US" w:bidi="en-US"/>
              </w:rPr>
            </w:pPr>
            <w:r>
              <w:rPr>
                <w:rFonts w:hint="eastAsia" w:ascii="宋体" w:hAnsi="宋体" w:eastAsia="宋体" w:cs="宋体"/>
                <w:color w:val="auto"/>
                <w:spacing w:val="6"/>
                <w:kern w:val="1"/>
                <w:sz w:val="24"/>
                <w:szCs w:val="24"/>
                <w:highlight w:val="none"/>
                <w:lang w:eastAsia="en-US" w:bidi="en-US"/>
              </w:rPr>
              <w:t>技术标</w:t>
            </w:r>
          </w:p>
          <w:p w14:paraId="3496CB25">
            <w:pPr>
              <w:shd w:val="clear" w:color="auto" w:fill="auto"/>
              <w:adjustRightInd/>
              <w:snapToGrid/>
              <w:spacing w:after="0" w:line="400" w:lineRule="exact"/>
              <w:jc w:val="center"/>
              <w:rPr>
                <w:rFonts w:ascii="宋体" w:hAnsi="宋体" w:eastAsia="宋体" w:cs="宋体"/>
                <w:color w:val="auto"/>
                <w:spacing w:val="6"/>
                <w:kern w:val="1"/>
                <w:sz w:val="24"/>
                <w:szCs w:val="24"/>
                <w:highlight w:val="none"/>
                <w:lang w:eastAsia="en-US" w:bidi="en-US"/>
              </w:rPr>
            </w:pPr>
            <w:r>
              <w:rPr>
                <w:rFonts w:hint="eastAsia" w:ascii="宋体" w:hAnsi="宋体" w:eastAsia="宋体" w:cs="宋体"/>
                <w:color w:val="auto"/>
                <w:spacing w:val="6"/>
                <w:kern w:val="1"/>
                <w:sz w:val="24"/>
                <w:szCs w:val="24"/>
                <w:highlight w:val="none"/>
                <w:lang w:eastAsia="en-US" w:bidi="en-US"/>
              </w:rPr>
              <w:t>（</w:t>
            </w:r>
            <w:r>
              <w:rPr>
                <w:rFonts w:hint="eastAsia" w:ascii="宋体" w:hAnsi="宋体" w:eastAsia="宋体" w:cs="宋体"/>
                <w:color w:val="auto"/>
                <w:spacing w:val="6"/>
                <w:kern w:val="1"/>
                <w:sz w:val="24"/>
                <w:szCs w:val="24"/>
                <w:highlight w:val="none"/>
                <w:lang w:bidi="en-US"/>
              </w:rPr>
              <w:t>45</w:t>
            </w:r>
            <w:r>
              <w:rPr>
                <w:rFonts w:hint="eastAsia" w:ascii="宋体" w:hAnsi="宋体" w:eastAsia="宋体" w:cs="宋体"/>
                <w:color w:val="auto"/>
                <w:spacing w:val="6"/>
                <w:kern w:val="1"/>
                <w:sz w:val="24"/>
                <w:szCs w:val="24"/>
                <w:highlight w:val="none"/>
                <w:lang w:eastAsia="en-US" w:bidi="en-US"/>
              </w:rPr>
              <w:t>分）</w:t>
            </w:r>
          </w:p>
        </w:tc>
        <w:tc>
          <w:tcPr>
            <w:tcW w:w="868" w:type="dxa"/>
            <w:vMerge w:val="restart"/>
            <w:tcBorders>
              <w:top w:val="single" w:color="000000" w:sz="6" w:space="0"/>
              <w:left w:val="single" w:color="000000" w:sz="6" w:space="0"/>
              <w:right w:val="single" w:color="000000" w:sz="4" w:space="0"/>
            </w:tcBorders>
            <w:noWrap w:val="0"/>
            <w:vAlign w:val="center"/>
          </w:tcPr>
          <w:p w14:paraId="214B71C4">
            <w:pPr>
              <w:shd w:val="clear" w:color="auto" w:fill="auto"/>
              <w:adjustRightInd/>
              <w:snapToGrid/>
              <w:spacing w:after="0" w:line="400" w:lineRule="exact"/>
              <w:jc w:val="center"/>
              <w:rPr>
                <w:rFonts w:ascii="宋体" w:hAnsi="宋体" w:eastAsia="宋体" w:cs="宋体"/>
                <w:color w:val="auto"/>
                <w:spacing w:val="6"/>
                <w:kern w:val="1"/>
                <w:sz w:val="24"/>
                <w:szCs w:val="24"/>
                <w:highlight w:val="none"/>
                <w:lang w:bidi="en-US"/>
              </w:rPr>
            </w:pPr>
            <w:r>
              <w:rPr>
                <w:rFonts w:hint="eastAsia" w:ascii="宋体" w:hAnsi="宋体" w:eastAsia="宋体" w:cs="宋体"/>
                <w:color w:val="auto"/>
                <w:spacing w:val="6"/>
                <w:kern w:val="1"/>
                <w:sz w:val="24"/>
                <w:szCs w:val="24"/>
                <w:highlight w:val="none"/>
                <w:lang w:bidi="en-US"/>
              </w:rPr>
              <w:t>施工组织设计</w:t>
            </w:r>
          </w:p>
          <w:p w14:paraId="7F052A15">
            <w:pPr>
              <w:shd w:val="clear" w:color="auto" w:fill="auto"/>
              <w:adjustRightInd/>
              <w:snapToGrid/>
              <w:spacing w:after="0" w:line="400" w:lineRule="exact"/>
              <w:jc w:val="center"/>
              <w:rPr>
                <w:rFonts w:ascii="宋体" w:hAnsi="宋体" w:eastAsia="宋体" w:cs="宋体"/>
                <w:color w:val="auto"/>
                <w:spacing w:val="6"/>
                <w:kern w:val="1"/>
                <w:sz w:val="24"/>
                <w:szCs w:val="24"/>
                <w:highlight w:val="none"/>
                <w:lang w:bidi="en-US"/>
              </w:rPr>
            </w:pPr>
            <w:r>
              <w:rPr>
                <w:rFonts w:hint="eastAsia" w:ascii="宋体" w:hAnsi="宋体" w:eastAsia="宋体" w:cs="宋体"/>
                <w:color w:val="auto"/>
                <w:spacing w:val="6"/>
                <w:kern w:val="1"/>
                <w:sz w:val="24"/>
                <w:szCs w:val="24"/>
                <w:highlight w:val="none"/>
                <w:lang w:bidi="en-US"/>
              </w:rPr>
              <w:t>评分标准</w:t>
            </w:r>
          </w:p>
        </w:tc>
        <w:tc>
          <w:tcPr>
            <w:tcW w:w="1525" w:type="dxa"/>
            <w:gridSpan w:val="2"/>
            <w:vMerge w:val="restart"/>
            <w:tcBorders>
              <w:top w:val="single" w:color="000000" w:sz="6" w:space="0"/>
              <w:left w:val="single" w:color="000000" w:sz="4" w:space="0"/>
              <w:right w:val="single" w:color="000000" w:sz="6" w:space="0"/>
            </w:tcBorders>
            <w:noWrap w:val="0"/>
            <w:vAlign w:val="center"/>
          </w:tcPr>
          <w:p w14:paraId="1DDBC331">
            <w:pPr>
              <w:shd w:val="clear" w:color="auto" w:fill="auto"/>
              <w:spacing w:after="0" w:line="360" w:lineRule="auto"/>
              <w:jc w:val="both"/>
              <w:rPr>
                <w:rFonts w:ascii="宋体" w:hAnsi="宋体" w:eastAsia="宋体" w:cs="宋体"/>
                <w:color w:val="auto"/>
                <w:sz w:val="24"/>
                <w:szCs w:val="24"/>
                <w:highlight w:val="none"/>
              </w:rPr>
            </w:pPr>
            <w:r>
              <w:rPr>
                <w:rFonts w:hint="eastAsia" w:ascii="宋体" w:hAnsi="宋体" w:eastAsia="宋体" w:cs="Times New Roman"/>
                <w:color w:val="auto"/>
                <w:sz w:val="24"/>
                <w:szCs w:val="24"/>
                <w:highlight w:val="none"/>
                <w:lang w:val="zh-CN"/>
              </w:rPr>
              <w:t>1.</w:t>
            </w:r>
            <w:r>
              <w:rPr>
                <w:rFonts w:hint="eastAsia" w:ascii="宋体" w:hAnsi="宋体" w:eastAsia="宋体" w:cs="Times New Roman"/>
                <w:color w:val="auto"/>
                <w:sz w:val="24"/>
                <w:szCs w:val="24"/>
                <w:highlight w:val="none"/>
              </w:rPr>
              <w:t>主要施工方法（0-8分）</w:t>
            </w:r>
            <w:r>
              <w:rPr>
                <w:rFonts w:hint="eastAsia" w:ascii="宋体" w:hAnsi="宋体" w:eastAsia="宋体" w:cs="Times New Roman"/>
                <w:color w:val="auto"/>
                <w:sz w:val="24"/>
                <w:szCs w:val="24"/>
                <w:highlight w:val="none"/>
                <w:lang w:val="zh-CN"/>
              </w:rPr>
              <w:t xml:space="preserve"> </w:t>
            </w:r>
          </w:p>
        </w:tc>
        <w:tc>
          <w:tcPr>
            <w:tcW w:w="4895" w:type="dxa"/>
            <w:vMerge w:val="restart"/>
            <w:tcBorders>
              <w:top w:val="single" w:color="000000" w:sz="6" w:space="0"/>
              <w:left w:val="single" w:color="000000" w:sz="6" w:space="0"/>
              <w:right w:val="single" w:color="000000" w:sz="12" w:space="0"/>
            </w:tcBorders>
            <w:noWrap w:val="0"/>
            <w:vAlign w:val="center"/>
          </w:tcPr>
          <w:p w14:paraId="3042C52F">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Times New Roman"/>
                <w:color w:val="auto"/>
                <w:sz w:val="24"/>
                <w:szCs w:val="24"/>
                <w:highlight w:val="none"/>
              </w:rPr>
              <w:t>各</w:t>
            </w:r>
            <w:r>
              <w:rPr>
                <w:rFonts w:hint="eastAsia" w:ascii="宋体" w:hAnsi="宋体" w:eastAsia="宋体" w:cs="宋体"/>
                <w:color w:val="auto"/>
                <w:sz w:val="24"/>
                <w:szCs w:val="24"/>
                <w:highlight w:val="none"/>
                <w:lang w:bidi="en-US"/>
              </w:rPr>
              <w:t>项主要内容的施工方案和措施</w:t>
            </w:r>
          </w:p>
          <w:p w14:paraId="0D34F251">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内容完整、切实可行，完全符合本项目需求的得8分；</w:t>
            </w:r>
          </w:p>
          <w:p w14:paraId="7BA6A0B2">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内容较为完善、较切实可行，较符合本项目需求的得，得6分；</w:t>
            </w:r>
          </w:p>
          <w:p w14:paraId="539CD8E7">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内容基本完善，基本可行，基本符合本项目需求的得4分；</w:t>
            </w:r>
          </w:p>
          <w:p w14:paraId="0380F5B4">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内容存在不合理项、存在实施难度的得2分；</w:t>
            </w:r>
          </w:p>
          <w:p w14:paraId="39747080">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内容前后不连贯导致语义不明或存在与本项目无关内容的得1分；</w:t>
            </w:r>
          </w:p>
          <w:p w14:paraId="768D52E4">
            <w:pPr>
              <w:shd w:val="clear" w:color="auto" w:fill="auto"/>
              <w:adjustRightInd/>
              <w:snapToGrid/>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en-US"/>
              </w:rPr>
              <w:t>未针对本项描述的得0分。</w:t>
            </w:r>
          </w:p>
        </w:tc>
        <w:tc>
          <w:tcPr>
            <w:tcW w:w="1134" w:type="dxa"/>
            <w:vMerge w:val="restart"/>
            <w:tcBorders>
              <w:top w:val="single" w:color="000000" w:sz="6" w:space="0"/>
              <w:left w:val="single" w:color="000000" w:sz="6" w:space="0"/>
              <w:right w:val="single" w:color="000000" w:sz="12" w:space="0"/>
            </w:tcBorders>
            <w:noWrap w:val="0"/>
            <w:vAlign w:val="center"/>
          </w:tcPr>
          <w:p w14:paraId="616A03B8">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0-8分</w:t>
            </w:r>
          </w:p>
        </w:tc>
      </w:tr>
      <w:tr w14:paraId="48889EEF">
        <w:tblPrEx>
          <w:tblCellMar>
            <w:top w:w="0" w:type="dxa"/>
            <w:left w:w="108" w:type="dxa"/>
            <w:bottom w:w="0" w:type="dxa"/>
            <w:right w:w="108" w:type="dxa"/>
          </w:tblCellMar>
        </w:tblPrEx>
        <w:trPr>
          <w:trHeight w:val="2779" w:hRule="atLeast"/>
        </w:trPr>
        <w:tc>
          <w:tcPr>
            <w:tcW w:w="726" w:type="dxa"/>
            <w:vMerge w:val="continue"/>
            <w:tcBorders>
              <w:left w:val="single" w:color="000000" w:sz="6" w:space="0"/>
              <w:right w:val="single" w:color="000000" w:sz="4" w:space="0"/>
            </w:tcBorders>
            <w:noWrap w:val="0"/>
            <w:vAlign w:val="top"/>
          </w:tcPr>
          <w:p w14:paraId="0F9C4CA3">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right w:val="single" w:color="000000" w:sz="4" w:space="0"/>
            </w:tcBorders>
            <w:noWrap w:val="0"/>
            <w:vAlign w:val="top"/>
          </w:tcPr>
          <w:p w14:paraId="20A7D63E">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1525" w:type="dxa"/>
            <w:gridSpan w:val="2"/>
            <w:vMerge w:val="continue"/>
            <w:tcBorders>
              <w:left w:val="single" w:color="000000" w:sz="4" w:space="0"/>
              <w:bottom w:val="single" w:color="000000" w:sz="6" w:space="0"/>
              <w:right w:val="single" w:color="000000" w:sz="6" w:space="0"/>
            </w:tcBorders>
            <w:noWrap w:val="0"/>
            <w:vAlign w:val="center"/>
          </w:tcPr>
          <w:p w14:paraId="2A65B397">
            <w:pPr>
              <w:shd w:val="clear" w:color="auto" w:fill="auto"/>
              <w:spacing w:after="0" w:line="360" w:lineRule="auto"/>
              <w:jc w:val="both"/>
              <w:rPr>
                <w:rFonts w:ascii="宋体" w:hAnsi="宋体" w:eastAsia="宋体" w:cs="Times New Roman"/>
                <w:color w:val="auto"/>
                <w:sz w:val="24"/>
                <w:szCs w:val="24"/>
                <w:highlight w:val="none"/>
                <w:lang w:val="zh-CN"/>
              </w:rPr>
            </w:pPr>
          </w:p>
        </w:tc>
        <w:tc>
          <w:tcPr>
            <w:tcW w:w="4895" w:type="dxa"/>
            <w:vMerge w:val="continue"/>
            <w:tcBorders>
              <w:left w:val="single" w:color="000000" w:sz="6" w:space="0"/>
              <w:bottom w:val="single" w:color="000000" w:sz="6" w:space="0"/>
              <w:right w:val="single" w:color="000000" w:sz="12" w:space="0"/>
            </w:tcBorders>
            <w:noWrap w:val="0"/>
            <w:vAlign w:val="center"/>
          </w:tcPr>
          <w:p w14:paraId="6B51E562">
            <w:pPr>
              <w:shd w:val="clear" w:color="auto" w:fill="auto"/>
              <w:spacing w:after="0" w:line="360" w:lineRule="auto"/>
              <w:jc w:val="both"/>
              <w:rPr>
                <w:rFonts w:ascii="宋体" w:hAnsi="宋体" w:eastAsia="宋体" w:cs="Times New Roman"/>
                <w:color w:val="auto"/>
                <w:sz w:val="24"/>
                <w:szCs w:val="24"/>
                <w:highlight w:val="none"/>
                <w:lang w:val="zh-CN"/>
              </w:rPr>
            </w:pPr>
          </w:p>
        </w:tc>
        <w:tc>
          <w:tcPr>
            <w:tcW w:w="1134" w:type="dxa"/>
            <w:vMerge w:val="continue"/>
            <w:tcBorders>
              <w:left w:val="single" w:color="000000" w:sz="6" w:space="0"/>
              <w:bottom w:val="single" w:color="000000" w:sz="6" w:space="0"/>
              <w:right w:val="single" w:color="000000" w:sz="12" w:space="0"/>
            </w:tcBorders>
            <w:noWrap w:val="0"/>
            <w:vAlign w:val="center"/>
          </w:tcPr>
          <w:p w14:paraId="0086E234">
            <w:pPr>
              <w:shd w:val="clear" w:color="auto" w:fill="auto"/>
              <w:spacing w:after="0" w:line="400" w:lineRule="exact"/>
              <w:jc w:val="center"/>
              <w:rPr>
                <w:rFonts w:ascii="宋体" w:hAnsi="宋体" w:eastAsia="宋体" w:cs="宋体"/>
                <w:color w:val="auto"/>
                <w:sz w:val="24"/>
                <w:szCs w:val="24"/>
                <w:highlight w:val="none"/>
              </w:rPr>
            </w:pPr>
          </w:p>
        </w:tc>
      </w:tr>
      <w:tr w14:paraId="6FB0DC20">
        <w:tblPrEx>
          <w:tblCellMar>
            <w:top w:w="0" w:type="dxa"/>
            <w:left w:w="108" w:type="dxa"/>
            <w:bottom w:w="0" w:type="dxa"/>
            <w:right w:w="108" w:type="dxa"/>
          </w:tblCellMar>
        </w:tblPrEx>
        <w:trPr>
          <w:trHeight w:val="363" w:hRule="atLeast"/>
        </w:trPr>
        <w:tc>
          <w:tcPr>
            <w:tcW w:w="726" w:type="dxa"/>
            <w:vMerge w:val="continue"/>
            <w:tcBorders>
              <w:left w:val="single" w:color="000000" w:sz="6" w:space="0"/>
              <w:right w:val="single" w:color="000000" w:sz="4" w:space="0"/>
            </w:tcBorders>
            <w:noWrap w:val="0"/>
            <w:vAlign w:val="top"/>
          </w:tcPr>
          <w:p w14:paraId="68675022">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right w:val="single" w:color="000000" w:sz="4" w:space="0"/>
            </w:tcBorders>
            <w:noWrap w:val="0"/>
            <w:vAlign w:val="top"/>
          </w:tcPr>
          <w:p w14:paraId="442F36AA">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1525" w:type="dxa"/>
            <w:gridSpan w:val="2"/>
            <w:tcBorders>
              <w:top w:val="single" w:color="000000" w:sz="6" w:space="0"/>
              <w:left w:val="single" w:color="000000" w:sz="4" w:space="0"/>
              <w:bottom w:val="single" w:color="000000" w:sz="6" w:space="0"/>
              <w:right w:val="single" w:color="000000" w:sz="6" w:space="0"/>
            </w:tcBorders>
            <w:noWrap w:val="0"/>
            <w:vAlign w:val="center"/>
          </w:tcPr>
          <w:p w14:paraId="0854962A">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rPr>
              <w:t>2.工程施工重点、难点分析及对策（0-6分）</w:t>
            </w:r>
          </w:p>
        </w:tc>
        <w:tc>
          <w:tcPr>
            <w:tcW w:w="4895" w:type="dxa"/>
            <w:tcBorders>
              <w:top w:val="single" w:color="000000" w:sz="6" w:space="0"/>
              <w:left w:val="single" w:color="000000" w:sz="6" w:space="0"/>
              <w:bottom w:val="single" w:color="000000" w:sz="6" w:space="0"/>
              <w:right w:val="single" w:color="000000" w:sz="12" w:space="0"/>
            </w:tcBorders>
            <w:noWrap w:val="0"/>
            <w:vAlign w:val="center"/>
          </w:tcPr>
          <w:p w14:paraId="4F5FD482">
            <w:pPr>
              <w:shd w:val="clear" w:color="auto" w:fill="auto"/>
              <w:adjustRightInd/>
              <w:snapToGrid/>
              <w:spacing w:after="0" w:line="4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工程施工中重难点问题及关键过程分析</w:t>
            </w:r>
          </w:p>
          <w:p w14:paraId="6269F3DB">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内容完整、切实可行，完全符合本项目需求的得6分；</w:t>
            </w:r>
          </w:p>
          <w:p w14:paraId="41D31906">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内容较为完善、较切实可行，较符合本项目需求的得，得4分；</w:t>
            </w:r>
          </w:p>
          <w:p w14:paraId="72D84D1C">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内容基本完善，基本可行，基本符合本项目需求的得2分；</w:t>
            </w:r>
          </w:p>
          <w:p w14:paraId="5AB8AC4E">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内容前后不连贯导致语义不明或存在与本项目无关内容的得1分；</w:t>
            </w:r>
          </w:p>
          <w:p w14:paraId="74DBBBF5">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宋体"/>
                <w:color w:val="auto"/>
                <w:sz w:val="24"/>
                <w:szCs w:val="24"/>
                <w:highlight w:val="none"/>
                <w:lang w:bidi="en-US"/>
              </w:rPr>
              <w:t>未针对本项描述的得0分。</w:t>
            </w:r>
          </w:p>
        </w:tc>
        <w:tc>
          <w:tcPr>
            <w:tcW w:w="1134" w:type="dxa"/>
            <w:tcBorders>
              <w:top w:val="single" w:color="000000" w:sz="6" w:space="0"/>
              <w:left w:val="single" w:color="000000" w:sz="6" w:space="0"/>
              <w:bottom w:val="single" w:color="000000" w:sz="6" w:space="0"/>
              <w:right w:val="single" w:color="000000" w:sz="12" w:space="0"/>
            </w:tcBorders>
            <w:noWrap w:val="0"/>
            <w:vAlign w:val="center"/>
          </w:tcPr>
          <w:p w14:paraId="4E56D638">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0-6分</w:t>
            </w:r>
          </w:p>
        </w:tc>
      </w:tr>
      <w:tr w14:paraId="7F2888BD">
        <w:tblPrEx>
          <w:tblCellMar>
            <w:top w:w="0" w:type="dxa"/>
            <w:left w:w="108" w:type="dxa"/>
            <w:bottom w:w="0" w:type="dxa"/>
            <w:right w:w="108" w:type="dxa"/>
          </w:tblCellMar>
        </w:tblPrEx>
        <w:trPr>
          <w:trHeight w:val="349" w:hRule="atLeast"/>
        </w:trPr>
        <w:tc>
          <w:tcPr>
            <w:tcW w:w="726" w:type="dxa"/>
            <w:vMerge w:val="continue"/>
            <w:tcBorders>
              <w:left w:val="single" w:color="000000" w:sz="6" w:space="0"/>
              <w:right w:val="single" w:color="000000" w:sz="4" w:space="0"/>
            </w:tcBorders>
            <w:noWrap w:val="0"/>
            <w:vAlign w:val="top"/>
          </w:tcPr>
          <w:p w14:paraId="3D03D14F">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right w:val="single" w:color="000000" w:sz="4" w:space="0"/>
            </w:tcBorders>
            <w:noWrap w:val="0"/>
            <w:vAlign w:val="top"/>
          </w:tcPr>
          <w:p w14:paraId="5330E50F">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1525" w:type="dxa"/>
            <w:gridSpan w:val="2"/>
            <w:tcBorders>
              <w:top w:val="single" w:color="000000" w:sz="6" w:space="0"/>
              <w:left w:val="single" w:color="000000" w:sz="4" w:space="0"/>
              <w:bottom w:val="single" w:color="000000" w:sz="6" w:space="0"/>
              <w:right w:val="single" w:color="000000" w:sz="6" w:space="0"/>
            </w:tcBorders>
            <w:noWrap w:val="0"/>
            <w:vAlign w:val="center"/>
          </w:tcPr>
          <w:p w14:paraId="4F92AB11">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3.</w:t>
            </w:r>
            <w:r>
              <w:rPr>
                <w:rFonts w:hint="eastAsia" w:ascii="宋体" w:hAnsi="宋体" w:eastAsia="宋体" w:cs="Times New Roman"/>
                <w:color w:val="auto"/>
                <w:sz w:val="24"/>
                <w:szCs w:val="24"/>
                <w:highlight w:val="none"/>
              </w:rPr>
              <w:t>质量管理体系与措施（0-4分）</w:t>
            </w:r>
          </w:p>
        </w:tc>
        <w:tc>
          <w:tcPr>
            <w:tcW w:w="4895" w:type="dxa"/>
            <w:tcBorders>
              <w:top w:val="single" w:color="000000" w:sz="6" w:space="0"/>
              <w:left w:val="single" w:color="000000" w:sz="6" w:space="0"/>
              <w:bottom w:val="single" w:color="000000" w:sz="6" w:space="0"/>
              <w:right w:val="single" w:color="000000" w:sz="12" w:space="0"/>
            </w:tcBorders>
            <w:noWrap w:val="0"/>
            <w:vAlign w:val="center"/>
          </w:tcPr>
          <w:p w14:paraId="7A77EC74">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包含但不限于以下方面：质量管理的组织机构及职责、项目质量目标、制度及保障措施、关键分部主体结构严格按照强制性标准实施、建立项目建设过程质量检查制度，制定纠正和预防措施等方面；</w:t>
            </w:r>
          </w:p>
          <w:p w14:paraId="13F77CCD">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内容完整、切实可行，完全符合本项目需求的得4分；</w:t>
            </w:r>
          </w:p>
          <w:p w14:paraId="04F9FD7C">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内容较为完善、较切实可行，较符合本项目需求的得，得3分；</w:t>
            </w:r>
          </w:p>
          <w:p w14:paraId="73DB6610">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内容基本完善，基本可行，基本符合本项目需求的得2分；</w:t>
            </w:r>
          </w:p>
          <w:p w14:paraId="0F069B92">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内容前后不连贯导致语义不明或存在与本项目无关内容的得1分；</w:t>
            </w:r>
          </w:p>
          <w:p w14:paraId="76A000D6">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未针对本项描述的得0分。</w:t>
            </w:r>
          </w:p>
        </w:tc>
        <w:tc>
          <w:tcPr>
            <w:tcW w:w="1134" w:type="dxa"/>
            <w:tcBorders>
              <w:top w:val="single" w:color="000000" w:sz="6" w:space="0"/>
              <w:left w:val="single" w:color="000000" w:sz="6" w:space="0"/>
              <w:bottom w:val="single" w:color="000000" w:sz="6" w:space="0"/>
              <w:right w:val="single" w:color="000000" w:sz="12" w:space="0"/>
            </w:tcBorders>
            <w:noWrap w:val="0"/>
            <w:vAlign w:val="center"/>
          </w:tcPr>
          <w:p w14:paraId="6A1C254D">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0-4分</w:t>
            </w:r>
          </w:p>
        </w:tc>
      </w:tr>
      <w:tr w14:paraId="4F4AD57A">
        <w:tblPrEx>
          <w:tblCellMar>
            <w:top w:w="0" w:type="dxa"/>
            <w:left w:w="108" w:type="dxa"/>
            <w:bottom w:w="0" w:type="dxa"/>
            <w:right w:w="108" w:type="dxa"/>
          </w:tblCellMar>
        </w:tblPrEx>
        <w:trPr>
          <w:trHeight w:val="364" w:hRule="atLeast"/>
        </w:trPr>
        <w:tc>
          <w:tcPr>
            <w:tcW w:w="726" w:type="dxa"/>
            <w:vMerge w:val="continue"/>
            <w:tcBorders>
              <w:left w:val="single" w:color="000000" w:sz="6" w:space="0"/>
              <w:right w:val="single" w:color="000000" w:sz="4" w:space="0"/>
            </w:tcBorders>
            <w:noWrap w:val="0"/>
            <w:vAlign w:val="top"/>
          </w:tcPr>
          <w:p w14:paraId="71DE4BEC">
            <w:pPr>
              <w:shd w:val="clear" w:color="auto" w:fill="auto"/>
              <w:adjustRightInd/>
              <w:snapToGrid/>
              <w:spacing w:after="0" w:line="400" w:lineRule="exact"/>
              <w:rPr>
                <w:rFonts w:ascii="宋体" w:hAnsi="宋体" w:eastAsia="宋体" w:cs="宋体"/>
                <w:color w:val="auto"/>
                <w:kern w:val="1"/>
                <w:sz w:val="24"/>
                <w:szCs w:val="24"/>
                <w:highlight w:val="none"/>
                <w:lang w:eastAsia="en-US" w:bidi="en-US"/>
              </w:rPr>
            </w:pPr>
          </w:p>
        </w:tc>
        <w:tc>
          <w:tcPr>
            <w:tcW w:w="868" w:type="dxa"/>
            <w:vMerge w:val="continue"/>
            <w:tcBorders>
              <w:left w:val="single" w:color="000000" w:sz="6" w:space="0"/>
              <w:right w:val="single" w:color="000000" w:sz="4" w:space="0"/>
            </w:tcBorders>
            <w:noWrap w:val="0"/>
            <w:vAlign w:val="top"/>
          </w:tcPr>
          <w:p w14:paraId="039F228D">
            <w:pPr>
              <w:shd w:val="clear" w:color="auto" w:fill="auto"/>
              <w:adjustRightInd/>
              <w:snapToGrid/>
              <w:spacing w:after="0" w:line="400" w:lineRule="exact"/>
              <w:rPr>
                <w:rFonts w:ascii="宋体" w:hAnsi="宋体" w:eastAsia="宋体" w:cs="宋体"/>
                <w:color w:val="auto"/>
                <w:kern w:val="1"/>
                <w:sz w:val="24"/>
                <w:szCs w:val="24"/>
                <w:highlight w:val="none"/>
                <w:lang w:eastAsia="en-US" w:bidi="en-US"/>
              </w:rPr>
            </w:pPr>
          </w:p>
        </w:tc>
        <w:tc>
          <w:tcPr>
            <w:tcW w:w="1525" w:type="dxa"/>
            <w:gridSpan w:val="2"/>
            <w:tcBorders>
              <w:top w:val="single" w:color="000000" w:sz="6" w:space="0"/>
              <w:left w:val="single" w:color="000000" w:sz="4" w:space="0"/>
              <w:bottom w:val="single" w:color="000000" w:sz="6" w:space="0"/>
              <w:right w:val="single" w:color="000000" w:sz="6" w:space="0"/>
            </w:tcBorders>
            <w:noWrap w:val="0"/>
            <w:vAlign w:val="center"/>
          </w:tcPr>
          <w:p w14:paraId="2833D45A">
            <w:pPr>
              <w:shd w:val="clear" w:color="auto" w:fill="auto"/>
              <w:spacing w:after="0" w:line="360" w:lineRule="auto"/>
              <w:jc w:val="both"/>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4.安全管理体系与措施（0-4分）</w:t>
            </w:r>
          </w:p>
        </w:tc>
        <w:tc>
          <w:tcPr>
            <w:tcW w:w="4895" w:type="dxa"/>
            <w:tcBorders>
              <w:top w:val="single" w:color="000000" w:sz="6" w:space="0"/>
              <w:left w:val="single" w:color="000000" w:sz="6" w:space="0"/>
              <w:bottom w:val="single" w:color="000000" w:sz="6" w:space="0"/>
              <w:right w:val="single" w:color="000000" w:sz="12" w:space="0"/>
            </w:tcBorders>
            <w:noWrap w:val="0"/>
            <w:vAlign w:val="center"/>
          </w:tcPr>
          <w:p w14:paraId="377A4C9E">
            <w:pPr>
              <w:shd w:val="clear" w:color="auto" w:fill="auto"/>
              <w:adjustRightInd/>
              <w:snapToGrid/>
              <w:spacing w:after="0" w:line="4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施工安全生产保障体系健全，安全管理制度完善，安全管理目标具体，全员安全责任制明确，现场安全管理组织机构、人员配备满足国家规定</w:t>
            </w:r>
          </w:p>
          <w:p w14:paraId="1A8BBD71">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内容完整、切实可行，完全符合本项目需求的得4分；</w:t>
            </w:r>
          </w:p>
          <w:p w14:paraId="224D2C89">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内容较为完善、较切实可行，较符合本项目需求的得，得3分；</w:t>
            </w:r>
          </w:p>
          <w:p w14:paraId="23FFB44C">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内容基本完善，基本可行，基本符合本项目需求的得2分；</w:t>
            </w:r>
          </w:p>
          <w:p w14:paraId="3DB8C0F1">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内容前后不连贯导致语义不明或存在与本项目无关内容的得1分；</w:t>
            </w:r>
          </w:p>
          <w:p w14:paraId="4E6E9465">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宋体"/>
                <w:color w:val="auto"/>
                <w:sz w:val="24"/>
                <w:szCs w:val="24"/>
                <w:highlight w:val="none"/>
                <w:lang w:bidi="en-US"/>
              </w:rPr>
              <w:t>未针对本项描述的得0分。</w:t>
            </w:r>
          </w:p>
        </w:tc>
        <w:tc>
          <w:tcPr>
            <w:tcW w:w="1134" w:type="dxa"/>
            <w:tcBorders>
              <w:top w:val="single" w:color="000000" w:sz="6" w:space="0"/>
              <w:left w:val="single" w:color="000000" w:sz="6" w:space="0"/>
              <w:bottom w:val="single" w:color="000000" w:sz="6" w:space="0"/>
              <w:right w:val="single" w:color="000000" w:sz="12" w:space="0"/>
            </w:tcBorders>
            <w:noWrap w:val="0"/>
            <w:vAlign w:val="center"/>
          </w:tcPr>
          <w:p w14:paraId="398EF479">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0-4分</w:t>
            </w:r>
          </w:p>
        </w:tc>
      </w:tr>
      <w:tr w14:paraId="2FF36F45">
        <w:tblPrEx>
          <w:tblCellMar>
            <w:top w:w="0" w:type="dxa"/>
            <w:left w:w="108" w:type="dxa"/>
            <w:bottom w:w="0" w:type="dxa"/>
            <w:right w:w="108" w:type="dxa"/>
          </w:tblCellMar>
        </w:tblPrEx>
        <w:trPr>
          <w:trHeight w:val="349" w:hRule="atLeast"/>
        </w:trPr>
        <w:tc>
          <w:tcPr>
            <w:tcW w:w="726" w:type="dxa"/>
            <w:vMerge w:val="continue"/>
            <w:tcBorders>
              <w:left w:val="single" w:color="000000" w:sz="6" w:space="0"/>
              <w:right w:val="single" w:color="000000" w:sz="4" w:space="0"/>
            </w:tcBorders>
            <w:noWrap w:val="0"/>
            <w:vAlign w:val="top"/>
          </w:tcPr>
          <w:p w14:paraId="47308A9E">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right w:val="single" w:color="000000" w:sz="4" w:space="0"/>
            </w:tcBorders>
            <w:noWrap w:val="0"/>
            <w:vAlign w:val="top"/>
          </w:tcPr>
          <w:p w14:paraId="3F0B723B">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1525" w:type="dxa"/>
            <w:gridSpan w:val="2"/>
            <w:tcBorders>
              <w:top w:val="single" w:color="000000" w:sz="6" w:space="0"/>
              <w:left w:val="single" w:color="000000" w:sz="4" w:space="0"/>
              <w:bottom w:val="single" w:color="000000" w:sz="6" w:space="0"/>
              <w:right w:val="single" w:color="000000" w:sz="6" w:space="0"/>
            </w:tcBorders>
            <w:noWrap w:val="0"/>
            <w:vAlign w:val="center"/>
          </w:tcPr>
          <w:p w14:paraId="7B313D0D">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5.</w:t>
            </w:r>
            <w:r>
              <w:rPr>
                <w:rFonts w:hint="eastAsia" w:ascii="宋体" w:hAnsi="宋体" w:eastAsia="宋体" w:cs="Times New Roman"/>
                <w:color w:val="auto"/>
                <w:sz w:val="24"/>
                <w:szCs w:val="24"/>
                <w:highlight w:val="none"/>
              </w:rPr>
              <w:t>工程进度计划与措施（0-4分）</w:t>
            </w:r>
          </w:p>
        </w:tc>
        <w:tc>
          <w:tcPr>
            <w:tcW w:w="4895" w:type="dxa"/>
            <w:tcBorders>
              <w:top w:val="single" w:color="000000" w:sz="6" w:space="0"/>
              <w:left w:val="single" w:color="000000" w:sz="6" w:space="0"/>
              <w:bottom w:val="single" w:color="000000" w:sz="6" w:space="0"/>
              <w:right w:val="single" w:color="000000" w:sz="12" w:space="0"/>
            </w:tcBorders>
            <w:noWrap w:val="0"/>
            <w:vAlign w:val="center"/>
          </w:tcPr>
          <w:p w14:paraId="016BBB1F">
            <w:pPr>
              <w:shd w:val="clear" w:color="auto" w:fill="auto"/>
              <w:adjustRightInd/>
              <w:snapToGrid/>
              <w:spacing w:after="0" w:line="4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对总体进度计划、关键节点及中间完工项目施工进度计划、施工强度等</w:t>
            </w:r>
          </w:p>
          <w:p w14:paraId="1F633216">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内容完整、切实可行，完全符合本项目需求的得4分；</w:t>
            </w:r>
          </w:p>
          <w:p w14:paraId="66779765">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内容较为完善、较切实可行，较符合本项目需求的得，得3分；</w:t>
            </w:r>
          </w:p>
          <w:p w14:paraId="6EEE6D64">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内容基本完善，基本可行，基本符合本项目需求的得2分；</w:t>
            </w:r>
          </w:p>
          <w:p w14:paraId="4B19B926">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内容前后不连贯导致语义不明或存在与本项目无关内容的得1分；</w:t>
            </w:r>
          </w:p>
          <w:p w14:paraId="1C1C9C3B">
            <w:pPr>
              <w:shd w:val="clear" w:color="auto" w:fill="auto"/>
              <w:spacing w:after="0" w:line="360" w:lineRule="auto"/>
              <w:jc w:val="both"/>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bidi="en-US"/>
              </w:rPr>
              <w:t>未针对本项描述的得0分。</w:t>
            </w:r>
          </w:p>
        </w:tc>
        <w:tc>
          <w:tcPr>
            <w:tcW w:w="1134" w:type="dxa"/>
            <w:tcBorders>
              <w:top w:val="single" w:color="000000" w:sz="6" w:space="0"/>
              <w:left w:val="single" w:color="000000" w:sz="6" w:space="0"/>
              <w:bottom w:val="single" w:color="000000" w:sz="6" w:space="0"/>
              <w:right w:val="single" w:color="000000" w:sz="12" w:space="0"/>
            </w:tcBorders>
            <w:noWrap w:val="0"/>
            <w:vAlign w:val="center"/>
          </w:tcPr>
          <w:p w14:paraId="731C3582">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0-4分</w:t>
            </w:r>
          </w:p>
        </w:tc>
      </w:tr>
      <w:tr w14:paraId="1761E927">
        <w:tblPrEx>
          <w:tblCellMar>
            <w:top w:w="0" w:type="dxa"/>
            <w:left w:w="108" w:type="dxa"/>
            <w:bottom w:w="0" w:type="dxa"/>
            <w:right w:w="108" w:type="dxa"/>
          </w:tblCellMar>
        </w:tblPrEx>
        <w:trPr>
          <w:trHeight w:val="391" w:hRule="atLeast"/>
        </w:trPr>
        <w:tc>
          <w:tcPr>
            <w:tcW w:w="726" w:type="dxa"/>
            <w:vMerge w:val="continue"/>
            <w:tcBorders>
              <w:left w:val="single" w:color="000000" w:sz="6" w:space="0"/>
              <w:right w:val="single" w:color="000000" w:sz="4" w:space="0"/>
            </w:tcBorders>
            <w:noWrap w:val="0"/>
            <w:vAlign w:val="top"/>
          </w:tcPr>
          <w:p w14:paraId="30FD18D5">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right w:val="single" w:color="000000" w:sz="4" w:space="0"/>
            </w:tcBorders>
            <w:noWrap w:val="0"/>
            <w:vAlign w:val="top"/>
          </w:tcPr>
          <w:p w14:paraId="20BE4D96">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1525" w:type="dxa"/>
            <w:gridSpan w:val="2"/>
            <w:tcBorders>
              <w:top w:val="single" w:color="000000" w:sz="6" w:space="0"/>
              <w:left w:val="single" w:color="000000" w:sz="4" w:space="0"/>
              <w:bottom w:val="single" w:color="000000" w:sz="6" w:space="0"/>
              <w:right w:val="single" w:color="000000" w:sz="6" w:space="0"/>
            </w:tcBorders>
            <w:noWrap w:val="0"/>
            <w:vAlign w:val="center"/>
          </w:tcPr>
          <w:p w14:paraId="7BA4DE90">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6.</w:t>
            </w:r>
            <w:r>
              <w:rPr>
                <w:rFonts w:hint="eastAsia" w:ascii="宋体" w:hAnsi="宋体" w:eastAsia="宋体" w:cs="Times New Roman"/>
                <w:color w:val="auto"/>
                <w:sz w:val="24"/>
                <w:szCs w:val="24"/>
                <w:highlight w:val="none"/>
              </w:rPr>
              <w:t>组织机构及管理人员、资源配备计划（0-5分）</w:t>
            </w:r>
          </w:p>
        </w:tc>
        <w:tc>
          <w:tcPr>
            <w:tcW w:w="4895" w:type="dxa"/>
            <w:tcBorders>
              <w:top w:val="single" w:color="000000" w:sz="6" w:space="0"/>
              <w:left w:val="single" w:color="000000" w:sz="6" w:space="0"/>
              <w:bottom w:val="single" w:color="000000" w:sz="6" w:space="0"/>
              <w:right w:val="single" w:color="000000" w:sz="12" w:space="0"/>
            </w:tcBorders>
            <w:noWrap w:val="0"/>
            <w:vAlign w:val="center"/>
          </w:tcPr>
          <w:p w14:paraId="7DFC26BE">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1.组织机构模式合理并满足工程施工需要，各部门责任、任务明确</w:t>
            </w:r>
          </w:p>
          <w:p w14:paraId="4F751759">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内容完整、切实可行，完全符合本项目需求的得3分；</w:t>
            </w:r>
          </w:p>
          <w:p w14:paraId="6D682141">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内容较为完善、较切实可行，较符合本项目需求的得，得2分；</w:t>
            </w:r>
          </w:p>
          <w:p w14:paraId="4E4511C9">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内容基本完善，基本可行，基本符合本项目需求的得1分；</w:t>
            </w:r>
          </w:p>
          <w:p w14:paraId="44D9E8AB">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未针对本项描述的得0分。</w:t>
            </w:r>
          </w:p>
          <w:p w14:paraId="57FFB3A9">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2.劳动力配备计划及主要施工机械配备计划合理、可行</w:t>
            </w:r>
          </w:p>
          <w:p w14:paraId="4E467E18">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内容完整、切实可行，完全符合本项目需求的得2分；</w:t>
            </w:r>
          </w:p>
          <w:p w14:paraId="5D354F47">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内容较为完善、较切实可行，较符合本项目需求的得，得1分；</w:t>
            </w:r>
          </w:p>
          <w:p w14:paraId="21D4BF7A">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未针对本项描述的得0分。</w:t>
            </w:r>
          </w:p>
        </w:tc>
        <w:tc>
          <w:tcPr>
            <w:tcW w:w="1134" w:type="dxa"/>
            <w:tcBorders>
              <w:top w:val="single" w:color="000000" w:sz="6" w:space="0"/>
              <w:left w:val="single" w:color="000000" w:sz="6" w:space="0"/>
              <w:bottom w:val="single" w:color="000000" w:sz="6" w:space="0"/>
              <w:right w:val="single" w:color="000000" w:sz="12" w:space="0"/>
            </w:tcBorders>
            <w:noWrap w:val="0"/>
            <w:vAlign w:val="center"/>
          </w:tcPr>
          <w:p w14:paraId="55B202A4">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404C73BF">
        <w:tblPrEx>
          <w:tblCellMar>
            <w:top w:w="0" w:type="dxa"/>
            <w:left w:w="108" w:type="dxa"/>
            <w:bottom w:w="0" w:type="dxa"/>
            <w:right w:w="108" w:type="dxa"/>
          </w:tblCellMar>
        </w:tblPrEx>
        <w:trPr>
          <w:trHeight w:val="979" w:hRule="atLeast"/>
        </w:trPr>
        <w:tc>
          <w:tcPr>
            <w:tcW w:w="726" w:type="dxa"/>
            <w:vMerge w:val="continue"/>
            <w:tcBorders>
              <w:left w:val="single" w:color="000000" w:sz="6" w:space="0"/>
              <w:right w:val="single" w:color="000000" w:sz="4" w:space="0"/>
            </w:tcBorders>
            <w:noWrap w:val="0"/>
            <w:vAlign w:val="top"/>
          </w:tcPr>
          <w:p w14:paraId="267AE92D">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right w:val="single" w:color="000000" w:sz="4" w:space="0"/>
            </w:tcBorders>
            <w:noWrap w:val="0"/>
            <w:vAlign w:val="top"/>
          </w:tcPr>
          <w:p w14:paraId="3D3C42C5">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1525" w:type="dxa"/>
            <w:gridSpan w:val="2"/>
            <w:tcBorders>
              <w:top w:val="single" w:color="000000" w:sz="6" w:space="0"/>
              <w:left w:val="single" w:color="000000" w:sz="4" w:space="0"/>
              <w:bottom w:val="single" w:color="000000" w:sz="6" w:space="0"/>
              <w:right w:val="single" w:color="000000" w:sz="6" w:space="0"/>
            </w:tcBorders>
            <w:noWrap w:val="0"/>
            <w:vAlign w:val="center"/>
          </w:tcPr>
          <w:p w14:paraId="13446D39">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rPr>
              <w:t>7.</w:t>
            </w:r>
            <w:r>
              <w:rPr>
                <w:rFonts w:hint="eastAsia" w:ascii="宋体" w:hAnsi="宋体" w:eastAsia="宋体" w:cs="Times New Roman"/>
                <w:color w:val="auto"/>
                <w:sz w:val="24"/>
                <w:szCs w:val="24"/>
                <w:highlight w:val="none"/>
                <w:lang w:val="zh-CN"/>
              </w:rPr>
              <w:t>确保环境保护管理的技术与措施（</w:t>
            </w:r>
            <w:r>
              <w:rPr>
                <w:rFonts w:hint="eastAsia" w:ascii="宋体" w:hAnsi="宋体" w:eastAsia="宋体" w:cs="Times New Roman"/>
                <w:color w:val="auto"/>
                <w:sz w:val="24"/>
                <w:szCs w:val="24"/>
                <w:highlight w:val="none"/>
              </w:rPr>
              <w:t>0-4分</w:t>
            </w:r>
            <w:r>
              <w:rPr>
                <w:rFonts w:hint="eastAsia" w:ascii="宋体" w:hAnsi="宋体" w:eastAsia="宋体" w:cs="Times New Roman"/>
                <w:color w:val="auto"/>
                <w:sz w:val="24"/>
                <w:szCs w:val="24"/>
                <w:highlight w:val="none"/>
                <w:lang w:val="zh-CN"/>
              </w:rPr>
              <w:t>）</w:t>
            </w:r>
          </w:p>
        </w:tc>
        <w:tc>
          <w:tcPr>
            <w:tcW w:w="4895" w:type="dxa"/>
            <w:tcBorders>
              <w:top w:val="single" w:color="000000" w:sz="6" w:space="0"/>
              <w:left w:val="single" w:color="000000" w:sz="6" w:space="0"/>
              <w:bottom w:val="single" w:color="000000" w:sz="6" w:space="0"/>
              <w:right w:val="single" w:color="000000" w:sz="12" w:space="0"/>
            </w:tcBorders>
            <w:noWrap w:val="0"/>
            <w:vAlign w:val="center"/>
          </w:tcPr>
          <w:p w14:paraId="62919E26">
            <w:pPr>
              <w:shd w:val="clear" w:color="auto" w:fill="auto"/>
              <w:adjustRightInd/>
              <w:snapToGrid/>
              <w:spacing w:after="0" w:line="4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有环境保护管理体系与施工环保措施计划且措施</w:t>
            </w:r>
          </w:p>
          <w:p w14:paraId="66519CAB">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内容完整、切实可行，完全符合本项目需求的得4分；</w:t>
            </w:r>
          </w:p>
          <w:p w14:paraId="548925EA">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内容较为完善、较切实可行，较符合本项目需求的得，得3分；</w:t>
            </w:r>
          </w:p>
          <w:p w14:paraId="524F2B76">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内容基本完善，基本可行，基本符合本项目需求的得2分；</w:t>
            </w:r>
          </w:p>
          <w:p w14:paraId="09EA43CA">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内容前后不连贯导致语义不明或存在与本项目无关内容的得1分；</w:t>
            </w:r>
          </w:p>
          <w:p w14:paraId="42806EB5">
            <w:pPr>
              <w:shd w:val="clear" w:color="auto" w:fill="auto"/>
              <w:spacing w:after="0" w:line="360" w:lineRule="auto"/>
              <w:jc w:val="both"/>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bidi="en-US"/>
              </w:rPr>
              <w:t>未针对本项描述的得0分。</w:t>
            </w:r>
          </w:p>
        </w:tc>
        <w:tc>
          <w:tcPr>
            <w:tcW w:w="1134" w:type="dxa"/>
            <w:tcBorders>
              <w:top w:val="single" w:color="000000" w:sz="6" w:space="0"/>
              <w:left w:val="single" w:color="000000" w:sz="6" w:space="0"/>
              <w:bottom w:val="single" w:color="000000" w:sz="6" w:space="0"/>
              <w:right w:val="single" w:color="000000" w:sz="12" w:space="0"/>
            </w:tcBorders>
            <w:noWrap w:val="0"/>
            <w:vAlign w:val="center"/>
          </w:tcPr>
          <w:p w14:paraId="00E39D9A">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0-4分</w:t>
            </w:r>
          </w:p>
        </w:tc>
      </w:tr>
      <w:tr w14:paraId="5C78764E">
        <w:tblPrEx>
          <w:tblCellMar>
            <w:top w:w="0" w:type="dxa"/>
            <w:left w:w="108" w:type="dxa"/>
            <w:bottom w:w="0" w:type="dxa"/>
            <w:right w:w="108" w:type="dxa"/>
          </w:tblCellMar>
        </w:tblPrEx>
        <w:trPr>
          <w:trHeight w:val="979" w:hRule="atLeast"/>
        </w:trPr>
        <w:tc>
          <w:tcPr>
            <w:tcW w:w="726" w:type="dxa"/>
            <w:vMerge w:val="continue"/>
            <w:tcBorders>
              <w:left w:val="single" w:color="000000" w:sz="6" w:space="0"/>
              <w:right w:val="single" w:color="000000" w:sz="4" w:space="0"/>
            </w:tcBorders>
            <w:noWrap w:val="0"/>
            <w:vAlign w:val="top"/>
          </w:tcPr>
          <w:p w14:paraId="0E687343">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right w:val="single" w:color="000000" w:sz="4" w:space="0"/>
            </w:tcBorders>
            <w:noWrap w:val="0"/>
            <w:vAlign w:val="top"/>
          </w:tcPr>
          <w:p w14:paraId="2DEA6807">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1525" w:type="dxa"/>
            <w:gridSpan w:val="2"/>
            <w:tcBorders>
              <w:top w:val="single" w:color="000000" w:sz="6" w:space="0"/>
              <w:left w:val="single" w:color="000000" w:sz="4" w:space="0"/>
              <w:bottom w:val="single" w:color="000000" w:sz="6" w:space="0"/>
              <w:right w:val="single" w:color="000000" w:sz="6" w:space="0"/>
            </w:tcBorders>
            <w:noWrap w:val="0"/>
            <w:vAlign w:val="center"/>
          </w:tcPr>
          <w:p w14:paraId="0CACE8A9">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8.劳动力计划及主要施工机械计划</w:t>
            </w:r>
            <w:r>
              <w:rPr>
                <w:rFonts w:hint="eastAsia" w:ascii="宋体" w:hAnsi="宋体" w:eastAsia="宋体" w:cs="Times New Roman"/>
                <w:color w:val="auto"/>
                <w:sz w:val="24"/>
                <w:szCs w:val="24"/>
                <w:highlight w:val="none"/>
              </w:rPr>
              <w:t>（0-5分）</w:t>
            </w:r>
          </w:p>
        </w:tc>
        <w:tc>
          <w:tcPr>
            <w:tcW w:w="4895" w:type="dxa"/>
            <w:tcBorders>
              <w:top w:val="single" w:color="000000" w:sz="6" w:space="0"/>
              <w:left w:val="single" w:color="000000" w:sz="6" w:space="0"/>
              <w:bottom w:val="single" w:color="000000" w:sz="6" w:space="0"/>
              <w:right w:val="single" w:color="000000" w:sz="12" w:space="0"/>
            </w:tcBorders>
            <w:noWrap w:val="0"/>
            <w:vAlign w:val="center"/>
          </w:tcPr>
          <w:p w14:paraId="44797C01">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1.机械：投入计划与进度计划呼应，采用先进机械设备且配置合理、先进，满足安全技术规范和施工进度需要，得2分，缺项不得分；</w:t>
            </w:r>
          </w:p>
          <w:p w14:paraId="7038FE86">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2.劳动力：投入计划与进度计划呼应，较好满足施工需要，调配投入计划合理、准确，得1分，缺项不得分；</w:t>
            </w:r>
          </w:p>
          <w:p w14:paraId="0DC585DF">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3.主要施工计划：主要物资投入计划与进度计划呼应，较好满足施工需要，调配投入计划合理、准确，得2分，缺项不得分。</w:t>
            </w:r>
          </w:p>
        </w:tc>
        <w:tc>
          <w:tcPr>
            <w:tcW w:w="1134" w:type="dxa"/>
            <w:tcBorders>
              <w:top w:val="single" w:color="000000" w:sz="6" w:space="0"/>
              <w:left w:val="single" w:color="000000" w:sz="6" w:space="0"/>
              <w:bottom w:val="single" w:color="000000" w:sz="6" w:space="0"/>
              <w:right w:val="single" w:color="000000" w:sz="12" w:space="0"/>
            </w:tcBorders>
            <w:noWrap w:val="0"/>
            <w:vAlign w:val="center"/>
          </w:tcPr>
          <w:p w14:paraId="20C6365E">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2DA8A281">
        <w:tblPrEx>
          <w:tblCellMar>
            <w:top w:w="0" w:type="dxa"/>
            <w:left w:w="108" w:type="dxa"/>
            <w:bottom w:w="0" w:type="dxa"/>
            <w:right w:w="108" w:type="dxa"/>
          </w:tblCellMar>
        </w:tblPrEx>
        <w:trPr>
          <w:trHeight w:val="3852" w:hRule="atLeast"/>
        </w:trPr>
        <w:tc>
          <w:tcPr>
            <w:tcW w:w="726" w:type="dxa"/>
            <w:vMerge w:val="continue"/>
            <w:tcBorders>
              <w:left w:val="single" w:color="000000" w:sz="6" w:space="0"/>
              <w:right w:val="single" w:color="000000" w:sz="4" w:space="0"/>
            </w:tcBorders>
            <w:noWrap w:val="0"/>
            <w:vAlign w:val="top"/>
          </w:tcPr>
          <w:p w14:paraId="08077C6B">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right w:val="single" w:color="000000" w:sz="4" w:space="0"/>
            </w:tcBorders>
            <w:noWrap w:val="0"/>
            <w:vAlign w:val="top"/>
          </w:tcPr>
          <w:p w14:paraId="762C4E9F">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1525" w:type="dxa"/>
            <w:gridSpan w:val="2"/>
            <w:tcBorders>
              <w:top w:val="single" w:color="000000" w:sz="6" w:space="0"/>
              <w:left w:val="single" w:color="000000" w:sz="4" w:space="0"/>
              <w:right w:val="single" w:color="000000" w:sz="6" w:space="0"/>
            </w:tcBorders>
            <w:noWrap w:val="0"/>
            <w:vAlign w:val="center"/>
          </w:tcPr>
          <w:p w14:paraId="6B456A14">
            <w:pPr>
              <w:shd w:val="clear" w:color="auto" w:fill="auto"/>
              <w:spacing w:after="0" w:line="360" w:lineRule="auto"/>
              <w:jc w:val="both"/>
              <w:rPr>
                <w:rFonts w:ascii="宋体" w:hAnsi="宋体" w:eastAsia="宋体" w:cs="Times New Roman"/>
                <w:color w:val="auto"/>
                <w:sz w:val="24"/>
                <w:szCs w:val="24"/>
                <w:highlight w:val="none"/>
                <w:lang w:val="zh-CN"/>
              </w:rPr>
            </w:pPr>
            <w:r>
              <w:rPr>
                <w:rFonts w:hint="eastAsia" w:ascii="宋体" w:hAnsi="宋体" w:eastAsia="宋体" w:cs="Times New Roman"/>
                <w:color w:val="auto"/>
                <w:sz w:val="24"/>
                <w:szCs w:val="24"/>
                <w:highlight w:val="none"/>
                <w:lang w:val="zh-CN"/>
              </w:rPr>
              <w:t>9.</w:t>
            </w:r>
            <w:r>
              <w:rPr>
                <w:rFonts w:hint="eastAsia" w:ascii="宋体" w:hAnsi="宋体" w:eastAsia="宋体" w:cs="Times New Roman"/>
                <w:color w:val="auto"/>
                <w:sz w:val="24"/>
                <w:szCs w:val="24"/>
                <w:highlight w:val="none"/>
              </w:rPr>
              <w:t>施工平面图布置图及施工进度图（0-5分）</w:t>
            </w:r>
          </w:p>
        </w:tc>
        <w:tc>
          <w:tcPr>
            <w:tcW w:w="4895" w:type="dxa"/>
            <w:tcBorders>
              <w:top w:val="single" w:color="000000" w:sz="6" w:space="0"/>
              <w:left w:val="single" w:color="000000" w:sz="6" w:space="0"/>
              <w:right w:val="single" w:color="000000" w:sz="12" w:space="0"/>
            </w:tcBorders>
            <w:noWrap w:val="0"/>
            <w:vAlign w:val="center"/>
          </w:tcPr>
          <w:p w14:paraId="1337DA6C">
            <w:pPr>
              <w:shd w:val="clear" w:color="auto" w:fill="auto"/>
              <w:adjustRightInd/>
              <w:snapToGrid/>
              <w:spacing w:after="0" w:line="400" w:lineRule="exact"/>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总体布置有针对性、合理、能较好满足施工需要，符合安全、文明施工要求；材料堆放有序。关键线路清晰、准确、完整、计划编制合理</w:t>
            </w:r>
          </w:p>
          <w:p w14:paraId="579063C4">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内容完整、切实可行，完全符合本项目需求的得5分；</w:t>
            </w:r>
          </w:p>
          <w:p w14:paraId="469446A9">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内容较为完善、较切实可行，较符合本项目需求的得，得4分；</w:t>
            </w:r>
          </w:p>
          <w:p w14:paraId="5133C7AF">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内容基本完善，基本可行，基本符合本项目需求的得3分；</w:t>
            </w:r>
          </w:p>
          <w:p w14:paraId="43DA494A">
            <w:pPr>
              <w:shd w:val="clear" w:color="auto" w:fill="auto"/>
              <w:adjustRightInd/>
              <w:snapToGrid/>
              <w:spacing w:after="0" w:line="400" w:lineRule="exact"/>
              <w:rPr>
                <w:rFonts w:ascii="宋体" w:hAnsi="宋体" w:eastAsia="宋体" w:cs="宋体"/>
                <w:color w:val="auto"/>
                <w:sz w:val="24"/>
                <w:szCs w:val="24"/>
                <w:highlight w:val="none"/>
                <w:lang w:bidi="en-US"/>
              </w:rPr>
            </w:pPr>
            <w:r>
              <w:rPr>
                <w:rFonts w:hint="eastAsia" w:ascii="宋体" w:hAnsi="宋体" w:eastAsia="宋体" w:cs="宋体"/>
                <w:color w:val="auto"/>
                <w:sz w:val="24"/>
                <w:szCs w:val="24"/>
                <w:highlight w:val="none"/>
                <w:lang w:bidi="en-US"/>
              </w:rPr>
              <w:t>内容前后不连贯导致语义不明或存在与本项目无关内容的得2分；</w:t>
            </w:r>
          </w:p>
          <w:p w14:paraId="7CD9773B">
            <w:pPr>
              <w:shd w:val="clear" w:color="auto" w:fill="auto"/>
              <w:spacing w:after="0" w:line="360" w:lineRule="auto"/>
              <w:jc w:val="both"/>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lang w:bidi="en-US"/>
              </w:rPr>
              <w:t>未针对本项描述的得0分。</w:t>
            </w:r>
          </w:p>
        </w:tc>
        <w:tc>
          <w:tcPr>
            <w:tcW w:w="1134" w:type="dxa"/>
            <w:tcBorders>
              <w:top w:val="single" w:color="000000" w:sz="6" w:space="0"/>
              <w:left w:val="single" w:color="000000" w:sz="6" w:space="0"/>
              <w:right w:val="single" w:color="000000" w:sz="12" w:space="0"/>
            </w:tcBorders>
            <w:noWrap w:val="0"/>
            <w:vAlign w:val="center"/>
          </w:tcPr>
          <w:p w14:paraId="2FE7B285">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0-5分</w:t>
            </w:r>
          </w:p>
        </w:tc>
      </w:tr>
      <w:tr w14:paraId="0FF00027">
        <w:tblPrEx>
          <w:tblCellMar>
            <w:top w:w="0" w:type="dxa"/>
            <w:left w:w="108" w:type="dxa"/>
            <w:bottom w:w="0" w:type="dxa"/>
            <w:right w:w="108" w:type="dxa"/>
          </w:tblCellMar>
        </w:tblPrEx>
        <w:trPr>
          <w:trHeight w:val="391" w:hRule="atLeast"/>
        </w:trPr>
        <w:tc>
          <w:tcPr>
            <w:tcW w:w="726" w:type="dxa"/>
            <w:vMerge w:val="continue"/>
            <w:tcBorders>
              <w:left w:val="single" w:color="000000" w:sz="6" w:space="0"/>
              <w:right w:val="single" w:color="000000" w:sz="4" w:space="0"/>
            </w:tcBorders>
            <w:noWrap w:val="0"/>
            <w:vAlign w:val="top"/>
          </w:tcPr>
          <w:p w14:paraId="58EFC7C5">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868" w:type="dxa"/>
            <w:vMerge w:val="continue"/>
            <w:tcBorders>
              <w:left w:val="single" w:color="000000" w:sz="6" w:space="0"/>
              <w:bottom w:val="single" w:color="auto" w:sz="4" w:space="0"/>
              <w:right w:val="single" w:color="000000" w:sz="4" w:space="0"/>
            </w:tcBorders>
            <w:noWrap w:val="0"/>
            <w:vAlign w:val="top"/>
          </w:tcPr>
          <w:p w14:paraId="05021B1B">
            <w:pPr>
              <w:shd w:val="clear" w:color="auto" w:fill="auto"/>
              <w:adjustRightInd/>
              <w:snapToGrid/>
              <w:spacing w:after="0" w:line="400" w:lineRule="exact"/>
              <w:rPr>
                <w:rFonts w:ascii="宋体" w:hAnsi="宋体" w:eastAsia="宋体" w:cs="宋体"/>
                <w:color w:val="auto"/>
                <w:kern w:val="1"/>
                <w:sz w:val="24"/>
                <w:szCs w:val="24"/>
                <w:highlight w:val="none"/>
                <w:lang w:bidi="en-US"/>
              </w:rPr>
            </w:pPr>
          </w:p>
        </w:tc>
        <w:tc>
          <w:tcPr>
            <w:tcW w:w="7554" w:type="dxa"/>
            <w:gridSpan w:val="4"/>
            <w:tcBorders>
              <w:top w:val="single" w:color="000000" w:sz="6" w:space="0"/>
              <w:left w:val="single" w:color="000000" w:sz="4" w:space="0"/>
              <w:bottom w:val="single" w:color="auto" w:sz="4" w:space="0"/>
              <w:right w:val="single" w:color="000000" w:sz="12" w:space="0"/>
            </w:tcBorders>
            <w:noWrap w:val="0"/>
            <w:vAlign w:val="center"/>
          </w:tcPr>
          <w:p w14:paraId="438E0658">
            <w:pPr>
              <w:shd w:val="clear" w:color="auto" w:fill="auto"/>
              <w:adjustRightInd/>
              <w:snapToGrid/>
              <w:spacing w:after="0" w:line="400" w:lineRule="exact"/>
              <w:jc w:val="center"/>
              <w:rPr>
                <w:rFonts w:ascii="宋体" w:hAnsi="宋体" w:eastAsia="宋体" w:cs="宋体"/>
                <w:color w:val="auto"/>
                <w:kern w:val="1"/>
                <w:sz w:val="24"/>
                <w:szCs w:val="24"/>
                <w:highlight w:val="none"/>
                <w:lang w:bidi="en-US"/>
              </w:rPr>
            </w:pPr>
            <w:r>
              <w:rPr>
                <w:rFonts w:hint="eastAsia" w:ascii="宋体" w:hAnsi="宋体" w:eastAsia="宋体" w:cs="宋体"/>
                <w:color w:val="auto"/>
                <w:kern w:val="1"/>
                <w:sz w:val="24"/>
                <w:szCs w:val="24"/>
                <w:highlight w:val="none"/>
                <w:lang w:bidi="en-US"/>
              </w:rPr>
              <w:t>缺项为0分。不缺项不低于最低分</w:t>
            </w:r>
          </w:p>
        </w:tc>
      </w:tr>
      <w:tr w14:paraId="5384A3A3">
        <w:tblPrEx>
          <w:tblCellMar>
            <w:top w:w="0" w:type="dxa"/>
            <w:left w:w="108" w:type="dxa"/>
            <w:bottom w:w="0" w:type="dxa"/>
            <w:right w:w="108" w:type="dxa"/>
          </w:tblCellMar>
        </w:tblPrEx>
        <w:trPr>
          <w:trHeight w:val="1447" w:hRule="atLeast"/>
        </w:trPr>
        <w:tc>
          <w:tcPr>
            <w:tcW w:w="726" w:type="dxa"/>
            <w:vMerge w:val="restart"/>
            <w:tcBorders>
              <w:top w:val="single" w:color="000000" w:sz="4" w:space="0"/>
              <w:left w:val="single" w:color="000000" w:sz="6" w:space="0"/>
              <w:right w:val="single" w:color="auto" w:sz="4" w:space="0"/>
            </w:tcBorders>
            <w:noWrap w:val="0"/>
            <w:vAlign w:val="center"/>
          </w:tcPr>
          <w:p w14:paraId="3BFCC20C">
            <w:pPr>
              <w:shd w:val="clear" w:color="auto" w:fill="auto"/>
              <w:adjustRightInd/>
              <w:snapToGrid/>
              <w:spacing w:after="0" w:line="400" w:lineRule="exact"/>
              <w:jc w:val="center"/>
              <w:rPr>
                <w:rFonts w:ascii="宋体" w:hAnsi="宋体" w:eastAsia="宋体" w:cs="宋体"/>
                <w:color w:val="auto"/>
                <w:kern w:val="1"/>
                <w:sz w:val="24"/>
                <w:szCs w:val="24"/>
                <w:highlight w:val="none"/>
                <w:lang w:eastAsia="en-US" w:bidi="en-US"/>
              </w:rPr>
            </w:pPr>
            <w:r>
              <w:rPr>
                <w:rFonts w:hint="eastAsia" w:ascii="宋体" w:hAnsi="宋体" w:eastAsia="宋体" w:cs="宋体"/>
                <w:color w:val="auto"/>
                <w:kern w:val="1"/>
                <w:sz w:val="24"/>
                <w:szCs w:val="24"/>
                <w:highlight w:val="none"/>
                <w:lang w:eastAsia="en-US" w:bidi="en-US"/>
              </w:rPr>
              <w:t>综合标</w:t>
            </w:r>
          </w:p>
          <w:p w14:paraId="7E8E98BE">
            <w:pPr>
              <w:shd w:val="clear" w:color="auto" w:fill="auto"/>
              <w:adjustRightInd/>
              <w:snapToGrid/>
              <w:spacing w:after="0" w:line="400" w:lineRule="exact"/>
              <w:jc w:val="center"/>
              <w:rPr>
                <w:rFonts w:ascii="宋体" w:hAnsi="宋体" w:eastAsia="宋体" w:cs="宋体"/>
                <w:color w:val="auto"/>
                <w:kern w:val="1"/>
                <w:sz w:val="24"/>
                <w:szCs w:val="24"/>
                <w:highlight w:val="none"/>
                <w:lang w:eastAsia="en-US" w:bidi="en-US"/>
              </w:rPr>
            </w:pPr>
            <w:r>
              <w:rPr>
                <w:rFonts w:hint="eastAsia" w:ascii="宋体" w:hAnsi="宋体" w:eastAsia="宋体" w:cs="宋体"/>
                <w:color w:val="auto"/>
                <w:kern w:val="1"/>
                <w:sz w:val="24"/>
                <w:szCs w:val="24"/>
                <w:highlight w:val="none"/>
                <w:lang w:eastAsia="en-US" w:bidi="en-US"/>
              </w:rPr>
              <w:t>（</w:t>
            </w:r>
            <w:r>
              <w:rPr>
                <w:rFonts w:hint="eastAsia" w:ascii="宋体" w:hAnsi="宋体" w:eastAsia="宋体" w:cs="宋体"/>
                <w:color w:val="auto"/>
                <w:kern w:val="1"/>
                <w:sz w:val="24"/>
                <w:szCs w:val="24"/>
                <w:highlight w:val="none"/>
                <w:lang w:bidi="en-US"/>
              </w:rPr>
              <w:t>25</w:t>
            </w:r>
            <w:r>
              <w:rPr>
                <w:rFonts w:hint="eastAsia" w:ascii="宋体" w:hAnsi="宋体" w:eastAsia="宋体" w:cs="宋体"/>
                <w:color w:val="auto"/>
                <w:kern w:val="1"/>
                <w:sz w:val="24"/>
                <w:szCs w:val="24"/>
                <w:highlight w:val="none"/>
                <w:lang w:eastAsia="en-US" w:bidi="en-US"/>
              </w:rPr>
              <w:t>分）</w:t>
            </w:r>
          </w:p>
        </w:tc>
        <w:tc>
          <w:tcPr>
            <w:tcW w:w="1476" w:type="dxa"/>
            <w:gridSpan w:val="2"/>
            <w:tcBorders>
              <w:top w:val="single" w:color="auto" w:sz="4" w:space="0"/>
              <w:left w:val="single" w:color="auto" w:sz="4" w:space="0"/>
              <w:bottom w:val="single" w:color="auto" w:sz="4" w:space="0"/>
              <w:right w:val="single" w:color="auto" w:sz="4" w:space="0"/>
            </w:tcBorders>
            <w:noWrap w:val="0"/>
            <w:vAlign w:val="center"/>
          </w:tcPr>
          <w:p w14:paraId="34D34D7B">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企业业绩</w:t>
            </w:r>
          </w:p>
          <w:p w14:paraId="0D3E1513">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0-4分</w:t>
            </w:r>
          </w:p>
        </w:tc>
        <w:tc>
          <w:tcPr>
            <w:tcW w:w="6946" w:type="dxa"/>
            <w:gridSpan w:val="3"/>
            <w:tcBorders>
              <w:top w:val="single" w:color="auto" w:sz="4" w:space="0"/>
              <w:left w:val="single" w:color="auto" w:sz="4" w:space="0"/>
              <w:bottom w:val="single" w:color="auto" w:sz="4" w:space="0"/>
              <w:right w:val="single" w:color="auto" w:sz="4" w:space="0"/>
            </w:tcBorders>
            <w:noWrap w:val="0"/>
            <w:vAlign w:val="center"/>
          </w:tcPr>
          <w:p w14:paraId="04DF32DC">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bCs/>
                <w:color w:val="auto"/>
                <w:kern w:val="1"/>
                <w:sz w:val="24"/>
                <w:szCs w:val="24"/>
                <w:highlight w:val="none"/>
                <w:lang w:val="zh-CN"/>
              </w:rPr>
              <w:t>202</w:t>
            </w:r>
            <w:r>
              <w:rPr>
                <w:rFonts w:hint="eastAsia" w:ascii="宋体" w:hAnsi="宋体" w:eastAsia="宋体" w:cs="宋体"/>
                <w:bCs/>
                <w:color w:val="auto"/>
                <w:kern w:val="1"/>
                <w:sz w:val="24"/>
                <w:szCs w:val="24"/>
                <w:highlight w:val="none"/>
                <w:lang w:val="en-US" w:eastAsia="zh-CN"/>
              </w:rPr>
              <w:t>3</w:t>
            </w:r>
            <w:r>
              <w:rPr>
                <w:rFonts w:hint="eastAsia" w:ascii="宋体" w:hAnsi="宋体" w:eastAsia="宋体" w:cs="宋体"/>
                <w:bCs/>
                <w:color w:val="auto"/>
                <w:kern w:val="1"/>
                <w:sz w:val="24"/>
                <w:szCs w:val="24"/>
                <w:highlight w:val="none"/>
                <w:lang w:val="zh-CN"/>
              </w:rPr>
              <w:t>年1月1日以来承担过类似业绩每份2分，最多得4分（须提供中标通知书和施工合同，时间以签订施工合同为准，否则不得分）</w:t>
            </w:r>
          </w:p>
        </w:tc>
      </w:tr>
      <w:tr w14:paraId="4942CDA1">
        <w:tblPrEx>
          <w:tblCellMar>
            <w:top w:w="0" w:type="dxa"/>
            <w:left w:w="108" w:type="dxa"/>
            <w:bottom w:w="0" w:type="dxa"/>
            <w:right w:w="108" w:type="dxa"/>
          </w:tblCellMar>
        </w:tblPrEx>
        <w:trPr>
          <w:trHeight w:val="864" w:hRule="atLeast"/>
        </w:trPr>
        <w:tc>
          <w:tcPr>
            <w:tcW w:w="726" w:type="dxa"/>
            <w:vMerge w:val="continue"/>
            <w:tcBorders>
              <w:left w:val="single" w:color="000000" w:sz="6" w:space="0"/>
              <w:right w:val="single" w:color="auto" w:sz="4" w:space="0"/>
            </w:tcBorders>
            <w:noWrap w:val="0"/>
            <w:vAlign w:val="center"/>
          </w:tcPr>
          <w:p w14:paraId="67318203">
            <w:pPr>
              <w:shd w:val="clear" w:color="auto" w:fill="auto"/>
              <w:adjustRightInd/>
              <w:snapToGrid/>
              <w:spacing w:after="0" w:line="400" w:lineRule="exact"/>
              <w:jc w:val="center"/>
              <w:rPr>
                <w:rFonts w:ascii="宋体" w:hAnsi="宋体" w:eastAsia="宋体" w:cs="宋体"/>
                <w:color w:val="auto"/>
                <w:kern w:val="1"/>
                <w:sz w:val="24"/>
                <w:szCs w:val="24"/>
                <w:highlight w:val="none"/>
                <w:lang w:bidi="en-US"/>
              </w:rPr>
            </w:pPr>
          </w:p>
        </w:tc>
        <w:tc>
          <w:tcPr>
            <w:tcW w:w="1476" w:type="dxa"/>
            <w:gridSpan w:val="2"/>
            <w:tcBorders>
              <w:top w:val="single" w:color="auto" w:sz="4" w:space="0"/>
              <w:left w:val="single" w:color="auto" w:sz="4" w:space="0"/>
              <w:bottom w:val="single" w:color="auto" w:sz="4" w:space="0"/>
              <w:right w:val="single" w:color="auto" w:sz="4" w:space="0"/>
            </w:tcBorders>
            <w:noWrap w:val="0"/>
            <w:vAlign w:val="center"/>
          </w:tcPr>
          <w:p w14:paraId="3365D4E5">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优惠承诺</w:t>
            </w:r>
          </w:p>
          <w:p w14:paraId="58B0B58B">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0-7分</w:t>
            </w:r>
          </w:p>
        </w:tc>
        <w:tc>
          <w:tcPr>
            <w:tcW w:w="6946" w:type="dxa"/>
            <w:gridSpan w:val="3"/>
            <w:tcBorders>
              <w:top w:val="single" w:color="auto" w:sz="4" w:space="0"/>
              <w:left w:val="single" w:color="auto" w:sz="4" w:space="0"/>
              <w:bottom w:val="single" w:color="auto" w:sz="4" w:space="0"/>
              <w:right w:val="single" w:color="auto" w:sz="4" w:space="0"/>
            </w:tcBorders>
            <w:noWrap w:val="0"/>
            <w:vAlign w:val="center"/>
          </w:tcPr>
          <w:p w14:paraId="651D3D74">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优惠承诺应是书面的符合工程实际情况，在施工过程中协调配合、文明施工，工程质量、工期、安全等承诺。</w:t>
            </w:r>
          </w:p>
          <w:p w14:paraId="700BA263">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承诺内容全面、详实可行、合法有效、有针对性的得7分；</w:t>
            </w:r>
          </w:p>
          <w:p w14:paraId="7195F3EF">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承诺内容比较全面、详实可行、合法有效的得5分；</w:t>
            </w:r>
          </w:p>
          <w:p w14:paraId="449B3A79">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承诺内容片面、不详细、不完整的得2分；</w:t>
            </w:r>
          </w:p>
          <w:p w14:paraId="2066EE69">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内容前后不连贯导致语义不明或存在与本项目无关内容的得1分；</w:t>
            </w:r>
          </w:p>
          <w:p w14:paraId="5D952B7A">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未提供者不得分。</w:t>
            </w:r>
          </w:p>
        </w:tc>
      </w:tr>
      <w:tr w14:paraId="540242FD">
        <w:tblPrEx>
          <w:tblCellMar>
            <w:top w:w="0" w:type="dxa"/>
            <w:left w:w="108" w:type="dxa"/>
            <w:bottom w:w="0" w:type="dxa"/>
            <w:right w:w="108" w:type="dxa"/>
          </w:tblCellMar>
        </w:tblPrEx>
        <w:trPr>
          <w:trHeight w:val="637" w:hRule="atLeast"/>
        </w:trPr>
        <w:tc>
          <w:tcPr>
            <w:tcW w:w="726" w:type="dxa"/>
            <w:vMerge w:val="continue"/>
            <w:tcBorders>
              <w:left w:val="single" w:color="000000" w:sz="6" w:space="0"/>
              <w:right w:val="single" w:color="000000" w:sz="2" w:space="0"/>
            </w:tcBorders>
            <w:noWrap w:val="0"/>
            <w:vAlign w:val="center"/>
          </w:tcPr>
          <w:p w14:paraId="64EFDCDB">
            <w:pPr>
              <w:shd w:val="clear" w:color="auto" w:fill="auto"/>
              <w:adjustRightInd/>
              <w:snapToGrid/>
              <w:spacing w:after="0" w:line="400" w:lineRule="exact"/>
              <w:jc w:val="center"/>
              <w:rPr>
                <w:rFonts w:ascii="宋体" w:hAnsi="宋体" w:eastAsia="宋体" w:cs="宋体"/>
                <w:color w:val="auto"/>
                <w:kern w:val="1"/>
                <w:sz w:val="24"/>
                <w:szCs w:val="24"/>
                <w:highlight w:val="none"/>
                <w:lang w:bidi="en-US"/>
              </w:rPr>
            </w:pPr>
          </w:p>
        </w:tc>
        <w:tc>
          <w:tcPr>
            <w:tcW w:w="1476" w:type="dxa"/>
            <w:gridSpan w:val="2"/>
            <w:tcBorders>
              <w:top w:val="single" w:color="auto" w:sz="4" w:space="0"/>
              <w:left w:val="single" w:color="000000" w:sz="6" w:space="0"/>
              <w:bottom w:val="single" w:color="000000" w:sz="4" w:space="0"/>
              <w:right w:val="single" w:color="000000" w:sz="12" w:space="0"/>
            </w:tcBorders>
            <w:noWrap w:val="0"/>
            <w:vAlign w:val="center"/>
          </w:tcPr>
          <w:p w14:paraId="106AED5D">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履职尽责承诺</w:t>
            </w:r>
          </w:p>
          <w:p w14:paraId="18C98235">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0-7分</w:t>
            </w:r>
          </w:p>
        </w:tc>
        <w:tc>
          <w:tcPr>
            <w:tcW w:w="6946" w:type="dxa"/>
            <w:gridSpan w:val="3"/>
            <w:tcBorders>
              <w:top w:val="single" w:color="auto" w:sz="4" w:space="0"/>
              <w:left w:val="single" w:color="000000" w:sz="2" w:space="0"/>
              <w:bottom w:val="single" w:color="000000" w:sz="4" w:space="0"/>
              <w:right w:val="single" w:color="000000" w:sz="12" w:space="0"/>
            </w:tcBorders>
            <w:noWrap w:val="0"/>
            <w:vAlign w:val="center"/>
          </w:tcPr>
          <w:p w14:paraId="356DE614">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具有全面、详实、可行、合法有效的书面保证技术措施落实到位的承诺和落实不到位的处理承诺，其中包括各关键岗位人员（项目经理、技术负责人及相关技术人员等）的在岗、更换等履职尽责承诺。</w:t>
            </w:r>
          </w:p>
          <w:p w14:paraId="70FFA813">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承诺内容全面、详实可行、合法有效、有针对性的得7分；</w:t>
            </w:r>
          </w:p>
          <w:p w14:paraId="4CB0EFBD">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承诺内容比较全面、详实可行、合法有效的得5分；</w:t>
            </w:r>
          </w:p>
          <w:p w14:paraId="78764C7B">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承诺内容片面、不详细、不完整的得2分；</w:t>
            </w:r>
          </w:p>
          <w:p w14:paraId="175EF0BD">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内容前后不连贯导致语义不明或存在与本项目无关内容的得1分；</w:t>
            </w:r>
          </w:p>
          <w:p w14:paraId="4BE713C6">
            <w:pPr>
              <w:shd w:val="clear" w:color="auto" w:fill="auto"/>
              <w:spacing w:after="0" w:line="400" w:lineRule="exact"/>
              <w:rPr>
                <w:color w:val="auto"/>
                <w:sz w:val="24"/>
                <w:szCs w:val="24"/>
                <w:highlight w:val="none"/>
              </w:rPr>
            </w:pPr>
            <w:r>
              <w:rPr>
                <w:rFonts w:hint="eastAsia" w:ascii="宋体" w:hAnsi="宋体" w:eastAsia="宋体" w:cs="宋体"/>
                <w:color w:val="auto"/>
                <w:sz w:val="24"/>
                <w:szCs w:val="24"/>
                <w:highlight w:val="none"/>
              </w:rPr>
              <w:t>未提供者不得分。</w:t>
            </w:r>
          </w:p>
        </w:tc>
      </w:tr>
      <w:tr w14:paraId="3C850340">
        <w:tblPrEx>
          <w:tblCellMar>
            <w:top w:w="0" w:type="dxa"/>
            <w:left w:w="108" w:type="dxa"/>
            <w:bottom w:w="0" w:type="dxa"/>
            <w:right w:w="108" w:type="dxa"/>
          </w:tblCellMar>
        </w:tblPrEx>
        <w:trPr>
          <w:trHeight w:val="637" w:hRule="atLeast"/>
        </w:trPr>
        <w:tc>
          <w:tcPr>
            <w:tcW w:w="726" w:type="dxa"/>
            <w:vMerge w:val="continue"/>
            <w:tcBorders>
              <w:left w:val="single" w:color="000000" w:sz="6" w:space="0"/>
              <w:right w:val="single" w:color="000000" w:sz="2" w:space="0"/>
            </w:tcBorders>
            <w:noWrap w:val="0"/>
            <w:vAlign w:val="center"/>
          </w:tcPr>
          <w:p w14:paraId="3A082102">
            <w:pPr>
              <w:shd w:val="clear" w:color="auto" w:fill="auto"/>
              <w:adjustRightInd/>
              <w:snapToGrid/>
              <w:spacing w:after="0" w:line="400" w:lineRule="exact"/>
              <w:jc w:val="center"/>
              <w:rPr>
                <w:rFonts w:ascii="宋体" w:hAnsi="宋体" w:eastAsia="宋体" w:cs="宋体"/>
                <w:color w:val="auto"/>
                <w:kern w:val="1"/>
                <w:sz w:val="24"/>
                <w:szCs w:val="24"/>
                <w:highlight w:val="none"/>
                <w:lang w:bidi="en-US"/>
              </w:rPr>
            </w:pPr>
          </w:p>
        </w:tc>
        <w:tc>
          <w:tcPr>
            <w:tcW w:w="1476" w:type="dxa"/>
            <w:gridSpan w:val="2"/>
            <w:tcBorders>
              <w:top w:val="single" w:color="000000" w:sz="4" w:space="0"/>
              <w:left w:val="single" w:color="000000" w:sz="6" w:space="0"/>
              <w:bottom w:val="single" w:color="000000" w:sz="4" w:space="0"/>
              <w:right w:val="single" w:color="000000" w:sz="12" w:space="0"/>
            </w:tcBorders>
            <w:noWrap w:val="0"/>
            <w:vAlign w:val="center"/>
          </w:tcPr>
          <w:p w14:paraId="76971602">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相关承诺</w:t>
            </w:r>
          </w:p>
          <w:p w14:paraId="16ADB669">
            <w:pPr>
              <w:shd w:val="clear" w:color="auto" w:fill="auto"/>
              <w:spacing w:after="0" w:line="40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0-7分</w:t>
            </w:r>
          </w:p>
        </w:tc>
        <w:tc>
          <w:tcPr>
            <w:tcW w:w="6946" w:type="dxa"/>
            <w:gridSpan w:val="3"/>
            <w:tcBorders>
              <w:left w:val="single" w:color="000000" w:sz="2" w:space="0"/>
              <w:bottom w:val="single" w:color="000000" w:sz="4" w:space="0"/>
              <w:right w:val="single" w:color="000000" w:sz="12" w:space="0"/>
            </w:tcBorders>
            <w:noWrap w:val="0"/>
            <w:vAlign w:val="center"/>
          </w:tcPr>
          <w:p w14:paraId="3AC1691A">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承诺质量达到或优于国家规范要求、工期达到或优于磋商文件要求、</w:t>
            </w:r>
            <w:r>
              <w:rPr>
                <w:rFonts w:hint="eastAsia" w:ascii="宋体" w:hAnsi="宋体" w:eastAsia="宋体" w:cs="宋体"/>
                <w:color w:val="auto"/>
                <w:sz w:val="24"/>
                <w:szCs w:val="24"/>
                <w:highlight w:val="none"/>
                <w:lang w:val="en-US" w:eastAsia="zh-CN"/>
              </w:rPr>
              <w:t>提供设备或货物与投标文件一致、</w:t>
            </w:r>
            <w:r>
              <w:rPr>
                <w:rFonts w:hint="eastAsia" w:ascii="宋体" w:hAnsi="宋体" w:eastAsia="宋体" w:cs="宋体"/>
                <w:color w:val="auto"/>
                <w:sz w:val="24"/>
                <w:szCs w:val="24"/>
                <w:highlight w:val="none"/>
              </w:rPr>
              <w:t>工程进度及施工程序、项目部组成人员及现场管理服从采购人及监理人管理并有具体措施。</w:t>
            </w:r>
          </w:p>
          <w:p w14:paraId="2296DE5A">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承诺内容全面、详实可行、合法有效、有针对性的得7分；</w:t>
            </w:r>
          </w:p>
          <w:p w14:paraId="0185A8A2">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承诺内容比较全面、详实可行、合法有效的得5分；</w:t>
            </w:r>
          </w:p>
          <w:p w14:paraId="3AAC96B5">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承诺内容片面、不详细、不完整的得2分；</w:t>
            </w:r>
          </w:p>
          <w:p w14:paraId="48D9B467">
            <w:pPr>
              <w:shd w:val="clear" w:color="auto" w:fill="auto"/>
              <w:spacing w:after="0" w:line="40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bidi="en-US"/>
              </w:rPr>
              <w:t>内容前后不连贯导致语义不明或存在与本项目无关内容的得1分；</w:t>
            </w:r>
          </w:p>
          <w:p w14:paraId="09041905">
            <w:pPr>
              <w:pStyle w:val="4"/>
              <w:shd w:val="clear" w:color="auto" w:fill="auto"/>
              <w:rPr>
                <w:color w:val="auto"/>
                <w:sz w:val="24"/>
                <w:highlight w:val="none"/>
              </w:rPr>
            </w:pPr>
            <w:r>
              <w:rPr>
                <w:rFonts w:hint="eastAsia" w:ascii="宋体" w:hAnsi="宋体" w:cs="宋体"/>
                <w:color w:val="auto"/>
                <w:sz w:val="24"/>
                <w:highlight w:val="none"/>
              </w:rPr>
              <w:t>未提供者不得分。</w:t>
            </w:r>
          </w:p>
        </w:tc>
      </w:tr>
      <w:tr w14:paraId="29431C6F">
        <w:tblPrEx>
          <w:tblCellMar>
            <w:top w:w="0" w:type="dxa"/>
            <w:left w:w="108" w:type="dxa"/>
            <w:bottom w:w="0" w:type="dxa"/>
            <w:right w:w="108" w:type="dxa"/>
          </w:tblCellMar>
        </w:tblPrEx>
        <w:trPr>
          <w:trHeight w:val="1009" w:hRule="atLeast"/>
        </w:trPr>
        <w:tc>
          <w:tcPr>
            <w:tcW w:w="9148" w:type="dxa"/>
            <w:gridSpan w:val="6"/>
            <w:tcBorders>
              <w:top w:val="single" w:color="000000" w:sz="4" w:space="0"/>
              <w:left w:val="single" w:color="000000" w:sz="12" w:space="0"/>
              <w:bottom w:val="single" w:color="000000" w:sz="12" w:space="0"/>
              <w:right w:val="single" w:color="000000" w:sz="6" w:space="0"/>
            </w:tcBorders>
            <w:noWrap w:val="0"/>
            <w:vAlign w:val="center"/>
          </w:tcPr>
          <w:p w14:paraId="4FACAF25">
            <w:pPr>
              <w:shd w:val="clear" w:color="auto" w:fill="auto"/>
              <w:adjustRightInd/>
              <w:snapToGrid/>
              <w:spacing w:after="0" w:line="400" w:lineRule="exact"/>
              <w:rPr>
                <w:rFonts w:ascii="宋体" w:hAnsi="宋体" w:eastAsia="宋体" w:cs="宋体"/>
                <w:b/>
                <w:color w:val="auto"/>
                <w:sz w:val="24"/>
                <w:szCs w:val="24"/>
                <w:highlight w:val="none"/>
                <w:lang w:bidi="en-US"/>
              </w:rPr>
            </w:pPr>
            <w:r>
              <w:rPr>
                <w:rFonts w:hint="eastAsia" w:ascii="宋体" w:hAnsi="宋体" w:eastAsia="宋体" w:cs="宋体"/>
                <w:b/>
                <w:color w:val="auto"/>
                <w:sz w:val="24"/>
                <w:szCs w:val="24"/>
                <w:highlight w:val="none"/>
                <w:lang w:bidi="en-US"/>
              </w:rPr>
              <w:t>供应商综合得分=技术标得分+商务标得分+综合标得分</w:t>
            </w:r>
          </w:p>
          <w:p w14:paraId="6FDE01D5">
            <w:pPr>
              <w:shd w:val="clear" w:color="auto" w:fill="auto"/>
              <w:adjustRightInd/>
              <w:snapToGrid/>
              <w:spacing w:after="0" w:line="400" w:lineRule="exact"/>
              <w:rPr>
                <w:rFonts w:ascii="宋体" w:hAnsi="宋体" w:eastAsia="宋体" w:cs="宋体"/>
                <w:b/>
                <w:color w:val="auto"/>
                <w:sz w:val="24"/>
                <w:szCs w:val="24"/>
                <w:highlight w:val="none"/>
                <w:lang w:bidi="en-US"/>
              </w:rPr>
            </w:pPr>
            <w:r>
              <w:rPr>
                <w:rFonts w:hint="eastAsia" w:ascii="宋体" w:hAnsi="宋体" w:eastAsia="宋体" w:cs="宋体"/>
                <w:b/>
                <w:color w:val="auto"/>
                <w:sz w:val="24"/>
                <w:szCs w:val="24"/>
                <w:highlight w:val="none"/>
                <w:lang w:bidi="en-US"/>
              </w:rPr>
              <w:t>供应商的报价应包含供应商所承诺的应达到的工程质量标准及其他承诺应达到的标准所包含的所有费用。</w:t>
            </w:r>
          </w:p>
        </w:tc>
      </w:tr>
    </w:tbl>
    <w:p w14:paraId="4F3948FE">
      <w:pPr>
        <w:shd w:val="clear" w:color="auto" w:fill="auto"/>
        <w:jc w:val="center"/>
        <w:outlineLvl w:val="0"/>
        <w:rPr>
          <w:rFonts w:hint="eastAsia" w:ascii="宋体" w:hAnsi="宋体"/>
          <w:b/>
          <w:bCs/>
          <w:color w:val="000000"/>
          <w:sz w:val="32"/>
          <w:szCs w:val="32"/>
          <w:highlight w:val="none"/>
        </w:rPr>
      </w:pPr>
      <w:r>
        <w:rPr>
          <w:rFonts w:hint="eastAsia" w:ascii="宋体" w:hAnsi="宋体"/>
          <w:b/>
          <w:bCs/>
          <w:sz w:val="32"/>
          <w:szCs w:val="32"/>
          <w:highlight w:val="none"/>
        </w:rPr>
        <w:br w:type="page"/>
      </w:r>
      <w:bookmarkStart w:id="504" w:name="_Toc32695"/>
      <w:r>
        <w:rPr>
          <w:rFonts w:hint="eastAsia" w:ascii="宋体" w:hAnsi="宋体"/>
          <w:b/>
          <w:bCs/>
          <w:sz w:val="32"/>
          <w:szCs w:val="32"/>
          <w:highlight w:val="none"/>
        </w:rPr>
        <w:t xml:space="preserve">第四章 </w:t>
      </w:r>
      <w:bookmarkEnd w:id="501"/>
      <w:r>
        <w:rPr>
          <w:rFonts w:hint="eastAsia" w:ascii="宋体" w:hAnsi="宋体"/>
          <w:b/>
          <w:bCs/>
          <w:sz w:val="32"/>
          <w:szCs w:val="32"/>
          <w:highlight w:val="none"/>
        </w:rPr>
        <w:t>合同协议书</w:t>
      </w:r>
      <w:bookmarkEnd w:id="502"/>
      <w:bookmarkEnd w:id="503"/>
      <w:r>
        <w:rPr>
          <w:rFonts w:hint="eastAsia" w:ascii="宋体" w:hAnsi="宋体"/>
          <w:b/>
          <w:bCs/>
          <w:color w:val="000000"/>
          <w:sz w:val="32"/>
          <w:szCs w:val="32"/>
          <w:highlight w:val="none"/>
        </w:rPr>
        <w:t>（样本）</w:t>
      </w:r>
      <w:bookmarkEnd w:id="504"/>
    </w:p>
    <w:p w14:paraId="6E2BA651">
      <w:pPr>
        <w:widowControl/>
        <w:shd w:val="clear" w:color="auto" w:fill="auto"/>
        <w:autoSpaceDE w:val="0"/>
        <w:autoSpaceDN w:val="0"/>
        <w:adjustRightInd w:val="0"/>
        <w:snapToGrid w:val="0"/>
        <w:spacing w:after="200"/>
        <w:ind w:firstLine="480" w:firstLineChars="200"/>
        <w:rPr>
          <w:rFonts w:hint="eastAsia" w:ascii="宋体" w:hAnsi="宋体"/>
          <w:bCs/>
          <w:sz w:val="32"/>
          <w:szCs w:val="32"/>
          <w:highlight w:val="none"/>
        </w:rPr>
      </w:pPr>
      <w:r>
        <w:rPr>
          <w:rFonts w:hint="eastAsia" w:ascii="宋体" w:hAnsi="宋体" w:cs="Calibri"/>
          <w:kern w:val="0"/>
          <w:sz w:val="24"/>
          <w:szCs w:val="21"/>
          <w:highlight w:val="none"/>
        </w:rPr>
        <w:t>此合同仅供参考。以最终招标人与成交人签定的合同草案为准进行公示。</w:t>
      </w:r>
      <w:r>
        <w:rPr>
          <w:rFonts w:hint="eastAsia" w:ascii="宋体" w:hAnsi="宋体" w:cs="宋体"/>
          <w:sz w:val="24"/>
          <w:highlight w:val="none"/>
        </w:rPr>
        <w:t>我单位（采购人）严格按三财购【2021】9号文要求的时限发布中标结果公告，发出中标通知书，签订采购合同，上传采购合同。</w:t>
      </w:r>
    </w:p>
    <w:p w14:paraId="0FA28D26">
      <w:pPr>
        <w:widowControl/>
        <w:shd w:val="clear" w:color="auto" w:fill="auto"/>
        <w:autoSpaceDE w:val="0"/>
        <w:autoSpaceDN w:val="0"/>
        <w:adjustRightInd w:val="0"/>
        <w:snapToGrid w:val="0"/>
        <w:spacing w:after="200"/>
        <w:ind w:firstLine="482"/>
        <w:jc w:val="center"/>
        <w:rPr>
          <w:rFonts w:hint="eastAsia" w:ascii="宋体" w:hAnsi="宋体"/>
          <w:bCs/>
          <w:color w:val="auto"/>
          <w:sz w:val="32"/>
          <w:szCs w:val="32"/>
          <w:highlight w:val="none"/>
        </w:rPr>
      </w:pPr>
      <w:r>
        <w:rPr>
          <w:rFonts w:hint="eastAsia" w:ascii="宋体" w:hAnsi="宋体" w:cs="Calibri"/>
          <w:color w:val="auto"/>
          <w:kern w:val="0"/>
          <w:sz w:val="24"/>
          <w:highlight w:val="none"/>
        </w:rPr>
        <w:t>此合同仅供参考。以最终招标人与成交人签定的合同草案为准进行公示</w:t>
      </w:r>
    </w:p>
    <w:p w14:paraId="07D556D0">
      <w:pPr>
        <w:keepNext/>
        <w:keepLines/>
        <w:shd w:val="clear" w:color="auto" w:fill="auto"/>
        <w:spacing w:line="400" w:lineRule="exact"/>
        <w:ind w:firstLine="643"/>
        <w:jc w:val="center"/>
        <w:outlineLvl w:val="2"/>
        <w:rPr>
          <w:rFonts w:hint="eastAsia" w:ascii="宋体" w:hAnsi="宋体"/>
          <w:bCs/>
          <w:color w:val="auto"/>
          <w:sz w:val="32"/>
          <w:szCs w:val="32"/>
          <w:highlight w:val="none"/>
        </w:rPr>
      </w:pPr>
      <w:bookmarkStart w:id="505" w:name="_Toc12861"/>
      <w:bookmarkStart w:id="506" w:name="_Toc28057"/>
      <w:r>
        <w:rPr>
          <w:rFonts w:hint="eastAsia" w:ascii="宋体" w:hAnsi="宋体"/>
          <w:bCs/>
          <w:color w:val="auto"/>
          <w:sz w:val="32"/>
          <w:szCs w:val="32"/>
          <w:highlight w:val="none"/>
        </w:rPr>
        <w:t>第一部分、合同协议书</w:t>
      </w:r>
      <w:bookmarkEnd w:id="505"/>
      <w:bookmarkEnd w:id="506"/>
    </w:p>
    <w:p w14:paraId="6B954E26">
      <w:pPr>
        <w:shd w:val="clear" w:color="auto" w:fill="auto"/>
        <w:spacing w:line="400" w:lineRule="exact"/>
        <w:ind w:firstLine="482"/>
        <w:rPr>
          <w:rFonts w:hint="eastAsia" w:ascii="宋体" w:hAnsi="宋体"/>
          <w:color w:val="auto"/>
          <w:sz w:val="24"/>
          <w:szCs w:val="24"/>
          <w:highlight w:val="none"/>
          <w:u w:val="single"/>
        </w:rPr>
      </w:pPr>
      <w:r>
        <w:rPr>
          <w:rFonts w:hint="eastAsia" w:ascii="宋体" w:hAnsi="宋体"/>
          <w:color w:val="auto"/>
          <w:sz w:val="24"/>
          <w:szCs w:val="24"/>
          <w:highlight w:val="none"/>
        </w:rPr>
        <w:t>发包人（全称）：</w:t>
      </w:r>
      <w:r>
        <w:rPr>
          <w:rFonts w:hint="eastAsia" w:ascii="宋体" w:hAnsi="宋体"/>
          <w:color w:val="auto"/>
          <w:sz w:val="24"/>
          <w:szCs w:val="24"/>
          <w:highlight w:val="none"/>
          <w:u w:val="single"/>
        </w:rPr>
        <w:t xml:space="preserve">         </w:t>
      </w:r>
    </w:p>
    <w:p w14:paraId="71DB014A">
      <w:pPr>
        <w:shd w:val="clear" w:color="auto" w:fill="auto"/>
        <w:spacing w:line="400" w:lineRule="exact"/>
        <w:ind w:firstLine="482"/>
        <w:rPr>
          <w:rFonts w:hint="eastAsia" w:ascii="宋体" w:hAnsi="宋体"/>
          <w:color w:val="auto"/>
          <w:sz w:val="24"/>
          <w:szCs w:val="24"/>
          <w:highlight w:val="none"/>
          <w:u w:val="single"/>
        </w:rPr>
      </w:pPr>
      <w:r>
        <w:rPr>
          <w:rFonts w:hint="eastAsia" w:ascii="宋体" w:hAnsi="宋体"/>
          <w:color w:val="auto"/>
          <w:sz w:val="24"/>
          <w:szCs w:val="24"/>
          <w:highlight w:val="none"/>
        </w:rPr>
        <w:t>承包人（全称）：</w:t>
      </w:r>
      <w:r>
        <w:rPr>
          <w:rFonts w:hint="eastAsia" w:ascii="宋体" w:hAnsi="宋体"/>
          <w:color w:val="auto"/>
          <w:sz w:val="24"/>
          <w:szCs w:val="24"/>
          <w:highlight w:val="none"/>
          <w:u w:val="single"/>
        </w:rPr>
        <w:t xml:space="preserve">     </w:t>
      </w:r>
    </w:p>
    <w:p w14:paraId="3653EE19">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根据《中华人民共和国民法典》、《中华人民共和国建筑法》及有关法律规定，遵循平等、自愿、公平和诚实信用的原则，双方就</w:t>
      </w:r>
    </w:p>
    <w:p w14:paraId="46EFD675">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工程施工及有关事项协商一致，共同达成如下协议：</w:t>
      </w:r>
    </w:p>
    <w:p w14:paraId="2E9E61A8">
      <w:pPr>
        <w:keepNext/>
        <w:keepLines/>
        <w:shd w:val="clear" w:color="auto" w:fill="auto"/>
        <w:spacing w:line="400" w:lineRule="exact"/>
        <w:ind w:firstLine="482"/>
        <w:outlineLvl w:val="3"/>
        <w:rPr>
          <w:rFonts w:hint="eastAsia" w:ascii="宋体" w:hAnsi="宋体"/>
          <w:color w:val="auto"/>
          <w:sz w:val="24"/>
          <w:szCs w:val="24"/>
          <w:highlight w:val="none"/>
        </w:rPr>
      </w:pPr>
      <w:bookmarkStart w:id="507" w:name="_Toc351203481"/>
      <w:r>
        <w:rPr>
          <w:rFonts w:hint="eastAsia" w:ascii="宋体" w:hAnsi="宋体"/>
          <w:bCs/>
          <w:color w:val="auto"/>
          <w:sz w:val="24"/>
          <w:szCs w:val="24"/>
          <w:highlight w:val="none"/>
        </w:rPr>
        <w:t>一、工程概况</w:t>
      </w:r>
      <w:bookmarkEnd w:id="507"/>
    </w:p>
    <w:p w14:paraId="02536F4B">
      <w:pPr>
        <w:shd w:val="clear" w:color="auto" w:fill="auto"/>
        <w:spacing w:line="400" w:lineRule="exact"/>
        <w:ind w:firstLine="470" w:firstLineChars="196"/>
        <w:rPr>
          <w:rFonts w:hint="eastAsia" w:ascii="宋体" w:hAnsi="宋体"/>
          <w:color w:val="auto"/>
          <w:sz w:val="24"/>
          <w:szCs w:val="24"/>
          <w:highlight w:val="none"/>
          <w:u w:val="single"/>
        </w:rPr>
      </w:pPr>
      <w:r>
        <w:rPr>
          <w:rFonts w:hint="eastAsia" w:ascii="宋体" w:hAnsi="宋体"/>
          <w:bCs/>
          <w:color w:val="auto"/>
          <w:sz w:val="24"/>
          <w:szCs w:val="24"/>
          <w:highlight w:val="none"/>
        </w:rPr>
        <w:t>1.工程名称</w:t>
      </w:r>
      <w:r>
        <w:rPr>
          <w:rFonts w:hint="eastAsia" w:ascii="宋体" w:hAnsi="宋体"/>
          <w:color w:val="auto"/>
          <w:sz w:val="24"/>
          <w:szCs w:val="24"/>
          <w:highlight w:val="none"/>
        </w:rPr>
        <w:t>：</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5E8DB4EA">
      <w:pPr>
        <w:shd w:val="clear" w:color="auto" w:fill="auto"/>
        <w:spacing w:line="400" w:lineRule="exact"/>
        <w:ind w:firstLine="470" w:firstLineChars="196"/>
        <w:rPr>
          <w:rFonts w:hint="eastAsia" w:ascii="宋体" w:hAnsi="宋体"/>
          <w:bCs/>
          <w:color w:val="auto"/>
          <w:sz w:val="24"/>
          <w:szCs w:val="24"/>
          <w:highlight w:val="none"/>
        </w:rPr>
      </w:pPr>
      <w:r>
        <w:rPr>
          <w:rFonts w:hint="eastAsia" w:ascii="宋体" w:hAnsi="宋体"/>
          <w:bCs/>
          <w:color w:val="auto"/>
          <w:sz w:val="24"/>
          <w:szCs w:val="24"/>
          <w:highlight w:val="none"/>
        </w:rPr>
        <w:t>2.工程地点：</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0D2E177B">
      <w:pPr>
        <w:shd w:val="clear" w:color="auto" w:fill="auto"/>
        <w:spacing w:line="400" w:lineRule="exact"/>
        <w:ind w:firstLine="470" w:firstLineChars="196"/>
        <w:rPr>
          <w:rFonts w:hint="eastAsia" w:ascii="宋体" w:hAnsi="宋体"/>
          <w:bCs/>
          <w:color w:val="auto"/>
          <w:sz w:val="24"/>
          <w:szCs w:val="24"/>
          <w:highlight w:val="none"/>
        </w:rPr>
      </w:pPr>
      <w:r>
        <w:rPr>
          <w:rFonts w:hint="eastAsia" w:ascii="宋体" w:hAnsi="宋体"/>
          <w:bCs/>
          <w:color w:val="auto"/>
          <w:sz w:val="24"/>
          <w:szCs w:val="24"/>
          <w:highlight w:val="none"/>
        </w:rPr>
        <w:t>3.工程立项批准文号：</w:t>
      </w:r>
      <w:r>
        <w:rPr>
          <w:rFonts w:hint="eastAsia" w:ascii="宋体" w:hAnsi="宋体"/>
          <w:color w:val="auto"/>
          <w:sz w:val="24"/>
          <w:szCs w:val="24"/>
          <w:highlight w:val="none"/>
          <w:u w:val="single"/>
        </w:rPr>
        <w:t xml:space="preserve"> </w:t>
      </w:r>
      <w:r>
        <w:rPr>
          <w:rFonts w:hint="eastAsia" w:ascii="宋体" w:hAnsi="宋体"/>
          <w:bCs/>
          <w:color w:val="auto"/>
          <w:sz w:val="24"/>
          <w:szCs w:val="24"/>
          <w:highlight w:val="none"/>
        </w:rPr>
        <w:t>。</w:t>
      </w:r>
    </w:p>
    <w:p w14:paraId="1A9DF8AD">
      <w:pPr>
        <w:shd w:val="clear" w:color="auto" w:fill="auto"/>
        <w:spacing w:line="400" w:lineRule="exact"/>
        <w:ind w:firstLine="470" w:firstLineChars="196"/>
        <w:rPr>
          <w:rFonts w:hint="eastAsia" w:ascii="宋体" w:hAnsi="宋体"/>
          <w:bCs/>
          <w:color w:val="auto"/>
          <w:sz w:val="24"/>
          <w:szCs w:val="24"/>
          <w:highlight w:val="none"/>
        </w:rPr>
      </w:pPr>
      <w:r>
        <w:rPr>
          <w:rFonts w:hint="eastAsia" w:ascii="宋体" w:hAnsi="宋体"/>
          <w:bCs/>
          <w:color w:val="auto"/>
          <w:sz w:val="24"/>
          <w:szCs w:val="24"/>
          <w:highlight w:val="none"/>
        </w:rPr>
        <w:t>4.资金来源：</w:t>
      </w:r>
      <w:r>
        <w:rPr>
          <w:rFonts w:hint="eastAsia" w:ascii="宋体" w:hAnsi="宋体"/>
          <w:color w:val="auto"/>
          <w:sz w:val="24"/>
          <w:szCs w:val="24"/>
          <w:highlight w:val="none"/>
          <w:u w:val="single"/>
        </w:rPr>
        <w:t xml:space="preserve"> </w:t>
      </w:r>
      <w:r>
        <w:rPr>
          <w:rFonts w:hint="eastAsia" w:ascii="宋体" w:hAnsi="宋体"/>
          <w:bCs/>
          <w:color w:val="auto"/>
          <w:sz w:val="24"/>
          <w:szCs w:val="24"/>
          <w:highlight w:val="none"/>
        </w:rPr>
        <w:t>。</w:t>
      </w:r>
    </w:p>
    <w:p w14:paraId="5E1C71B2">
      <w:pPr>
        <w:shd w:val="clear" w:color="auto" w:fill="auto"/>
        <w:spacing w:line="400" w:lineRule="exact"/>
        <w:ind w:firstLine="470" w:firstLineChars="196"/>
        <w:rPr>
          <w:rFonts w:hint="eastAsia" w:ascii="宋体" w:hAnsi="宋体"/>
          <w:bCs/>
          <w:color w:val="auto"/>
          <w:sz w:val="24"/>
          <w:szCs w:val="24"/>
          <w:highlight w:val="none"/>
        </w:rPr>
      </w:pPr>
      <w:r>
        <w:rPr>
          <w:rFonts w:hint="eastAsia" w:ascii="宋体" w:hAnsi="宋体"/>
          <w:bCs/>
          <w:color w:val="auto"/>
          <w:sz w:val="24"/>
          <w:szCs w:val="24"/>
          <w:highlight w:val="none"/>
        </w:rPr>
        <w:t>5.工程内容：</w:t>
      </w:r>
      <w:r>
        <w:rPr>
          <w:rFonts w:hint="eastAsia" w:ascii="宋体" w:hAnsi="宋体"/>
          <w:color w:val="auto"/>
          <w:sz w:val="24"/>
          <w:szCs w:val="24"/>
          <w:highlight w:val="none"/>
          <w:u w:val="single"/>
        </w:rPr>
        <w:t xml:space="preserve"> </w:t>
      </w:r>
      <w:r>
        <w:rPr>
          <w:rFonts w:hint="eastAsia" w:ascii="宋体" w:hAnsi="宋体"/>
          <w:bCs/>
          <w:color w:val="auto"/>
          <w:sz w:val="24"/>
          <w:szCs w:val="24"/>
          <w:highlight w:val="none"/>
        </w:rPr>
        <w:t>。</w:t>
      </w:r>
    </w:p>
    <w:p w14:paraId="7E4AE746">
      <w:pPr>
        <w:shd w:val="clear" w:color="auto" w:fill="auto"/>
        <w:spacing w:line="400" w:lineRule="exact"/>
        <w:ind w:firstLine="470" w:firstLineChars="196"/>
        <w:rPr>
          <w:rFonts w:hint="eastAsia" w:ascii="宋体" w:hAnsi="宋体"/>
          <w:bCs/>
          <w:color w:val="auto"/>
          <w:sz w:val="24"/>
          <w:szCs w:val="24"/>
          <w:highlight w:val="none"/>
        </w:rPr>
      </w:pPr>
      <w:r>
        <w:rPr>
          <w:rFonts w:hint="eastAsia" w:ascii="宋体" w:hAnsi="宋体"/>
          <w:color w:val="auto"/>
          <w:sz w:val="24"/>
          <w:szCs w:val="24"/>
          <w:highlight w:val="none"/>
        </w:rPr>
        <w:t>群体工程应附《承包人承揽工程项目一览表》（附件1）。</w:t>
      </w:r>
    </w:p>
    <w:p w14:paraId="12B42AD9">
      <w:pPr>
        <w:shd w:val="clear" w:color="auto" w:fill="auto"/>
        <w:spacing w:line="400" w:lineRule="exact"/>
        <w:ind w:firstLine="470" w:firstLineChars="196"/>
        <w:rPr>
          <w:rFonts w:hint="eastAsia" w:ascii="宋体" w:hAnsi="宋体"/>
          <w:color w:val="auto"/>
          <w:sz w:val="24"/>
          <w:szCs w:val="24"/>
          <w:highlight w:val="none"/>
        </w:rPr>
      </w:pPr>
      <w:r>
        <w:rPr>
          <w:rFonts w:hint="eastAsia" w:ascii="宋体" w:hAnsi="宋体"/>
          <w:bCs/>
          <w:color w:val="auto"/>
          <w:sz w:val="24"/>
          <w:szCs w:val="24"/>
          <w:highlight w:val="none"/>
        </w:rPr>
        <w:t>6.工程承包范围：</w:t>
      </w:r>
      <w:r>
        <w:rPr>
          <w:rFonts w:hint="eastAsia" w:ascii="宋体" w:hAnsi="宋体"/>
          <w:color w:val="auto"/>
          <w:sz w:val="24"/>
          <w:szCs w:val="24"/>
          <w:highlight w:val="none"/>
        </w:rPr>
        <w:t>。</w:t>
      </w:r>
    </w:p>
    <w:p w14:paraId="20AAB8DC">
      <w:pPr>
        <w:keepNext/>
        <w:keepLines/>
        <w:shd w:val="clear" w:color="auto" w:fill="auto"/>
        <w:spacing w:line="400" w:lineRule="exact"/>
        <w:ind w:firstLine="482"/>
        <w:outlineLvl w:val="3"/>
        <w:rPr>
          <w:rFonts w:hint="eastAsia" w:ascii="宋体" w:hAnsi="宋体"/>
          <w:bCs/>
          <w:color w:val="auto"/>
          <w:sz w:val="24"/>
          <w:szCs w:val="24"/>
          <w:highlight w:val="none"/>
        </w:rPr>
      </w:pPr>
      <w:bookmarkStart w:id="508" w:name="_Toc351203482"/>
      <w:r>
        <w:rPr>
          <w:rFonts w:hint="eastAsia" w:ascii="宋体" w:hAnsi="宋体"/>
          <w:bCs/>
          <w:color w:val="auto"/>
          <w:sz w:val="24"/>
          <w:szCs w:val="24"/>
          <w:highlight w:val="none"/>
        </w:rPr>
        <w:t>二、合同工期</w:t>
      </w:r>
      <w:bookmarkEnd w:id="508"/>
    </w:p>
    <w:p w14:paraId="57EB74BA">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计划开工日期：年月日。</w:t>
      </w:r>
    </w:p>
    <w:p w14:paraId="0F2AC9E9">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计划竣工日期：年月日。</w:t>
      </w:r>
    </w:p>
    <w:p w14:paraId="174A0932">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工期总日历天数：天。工期总日历天数与根据前述计划开竣工日期计算的工期天数不一致的，以工期总日历天数为准。</w:t>
      </w:r>
    </w:p>
    <w:p w14:paraId="12EACCD5">
      <w:pPr>
        <w:keepNext/>
        <w:keepLines/>
        <w:shd w:val="clear" w:color="auto" w:fill="auto"/>
        <w:spacing w:line="400" w:lineRule="exact"/>
        <w:ind w:firstLine="482"/>
        <w:outlineLvl w:val="3"/>
        <w:rPr>
          <w:rFonts w:hint="eastAsia" w:ascii="宋体" w:hAnsi="宋体"/>
          <w:color w:val="auto"/>
          <w:sz w:val="24"/>
          <w:szCs w:val="24"/>
          <w:highlight w:val="none"/>
        </w:rPr>
      </w:pPr>
      <w:bookmarkStart w:id="509" w:name="_Toc351203483"/>
      <w:r>
        <w:rPr>
          <w:rFonts w:hint="eastAsia" w:ascii="宋体" w:hAnsi="宋体"/>
          <w:bCs/>
          <w:color w:val="auto"/>
          <w:sz w:val="24"/>
          <w:szCs w:val="24"/>
          <w:highlight w:val="none"/>
        </w:rPr>
        <w:t>三、质量标准</w:t>
      </w:r>
      <w:bookmarkEnd w:id="509"/>
    </w:p>
    <w:p w14:paraId="29B55FAB">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工程质量符合标准。</w:t>
      </w:r>
    </w:p>
    <w:p w14:paraId="105341A2">
      <w:pPr>
        <w:keepNext/>
        <w:keepLines/>
        <w:shd w:val="clear" w:color="auto" w:fill="auto"/>
        <w:spacing w:line="400" w:lineRule="exact"/>
        <w:ind w:firstLine="482"/>
        <w:outlineLvl w:val="3"/>
        <w:rPr>
          <w:rFonts w:hint="eastAsia" w:ascii="宋体" w:hAnsi="宋体"/>
          <w:color w:val="auto"/>
          <w:sz w:val="24"/>
          <w:szCs w:val="24"/>
          <w:highlight w:val="none"/>
        </w:rPr>
      </w:pPr>
      <w:bookmarkStart w:id="510" w:name="_Toc351203484"/>
      <w:r>
        <w:rPr>
          <w:rFonts w:hint="eastAsia" w:ascii="宋体" w:hAnsi="宋体"/>
          <w:bCs/>
          <w:color w:val="auto"/>
          <w:sz w:val="24"/>
          <w:szCs w:val="24"/>
          <w:highlight w:val="none"/>
        </w:rPr>
        <w:t>四、签约合同价与合同价格形式</w:t>
      </w:r>
      <w:bookmarkEnd w:id="510"/>
      <w:r>
        <w:rPr>
          <w:rFonts w:hint="eastAsia" w:ascii="宋体" w:hAnsi="宋体"/>
          <w:bCs/>
          <w:color w:val="auto"/>
          <w:sz w:val="24"/>
          <w:szCs w:val="24"/>
          <w:highlight w:val="none"/>
        </w:rPr>
        <w:tab/>
      </w:r>
    </w:p>
    <w:p w14:paraId="7695A638">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1.签约合同价为：</w:t>
      </w:r>
    </w:p>
    <w:p w14:paraId="417FA4D7">
      <w:pPr>
        <w:shd w:val="clear" w:color="auto" w:fill="auto"/>
        <w:spacing w:line="400" w:lineRule="exact"/>
        <w:ind w:firstLine="600" w:firstLineChars="250"/>
        <w:rPr>
          <w:rFonts w:hint="eastAsia" w:ascii="宋体" w:hAnsi="宋体"/>
          <w:color w:val="auto"/>
          <w:sz w:val="24"/>
          <w:szCs w:val="24"/>
          <w:highlight w:val="none"/>
        </w:rPr>
      </w:pPr>
      <w:r>
        <w:rPr>
          <w:rFonts w:hint="eastAsia" w:ascii="宋体" w:hAnsi="宋体"/>
          <w:color w:val="auto"/>
          <w:sz w:val="24"/>
          <w:szCs w:val="24"/>
          <w:highlight w:val="none"/>
        </w:rPr>
        <w:t>人民币（大写）(¥元)；</w:t>
      </w:r>
    </w:p>
    <w:p w14:paraId="52CE0B21">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其中：</w:t>
      </w:r>
    </w:p>
    <w:p w14:paraId="1A479343">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（1）安全文明施工费：</w:t>
      </w:r>
    </w:p>
    <w:p w14:paraId="596988BF">
      <w:pPr>
        <w:shd w:val="clear" w:color="auto" w:fill="auto"/>
        <w:spacing w:line="400" w:lineRule="exact"/>
        <w:ind w:firstLine="1080" w:firstLineChars="450"/>
        <w:rPr>
          <w:rFonts w:hint="eastAsia" w:ascii="宋体" w:hAnsi="宋体"/>
          <w:color w:val="auto"/>
          <w:sz w:val="24"/>
          <w:szCs w:val="24"/>
          <w:highlight w:val="none"/>
        </w:rPr>
      </w:pPr>
      <w:r>
        <w:rPr>
          <w:rFonts w:hint="eastAsia" w:ascii="宋体" w:hAnsi="宋体"/>
          <w:color w:val="auto"/>
          <w:sz w:val="24"/>
          <w:szCs w:val="24"/>
          <w:highlight w:val="none"/>
        </w:rPr>
        <w:t>人民币（大写） (¥元)；</w:t>
      </w:r>
    </w:p>
    <w:p w14:paraId="2EC15297">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（2）材料和工程设备暂估价金额：</w:t>
      </w:r>
    </w:p>
    <w:p w14:paraId="5C743A31">
      <w:pPr>
        <w:shd w:val="clear" w:color="auto" w:fill="auto"/>
        <w:spacing w:line="400" w:lineRule="exact"/>
        <w:ind w:firstLine="1080" w:firstLineChars="450"/>
        <w:rPr>
          <w:rFonts w:hint="eastAsia" w:ascii="宋体" w:hAnsi="宋体"/>
          <w:color w:val="auto"/>
          <w:sz w:val="24"/>
          <w:szCs w:val="24"/>
          <w:highlight w:val="none"/>
        </w:rPr>
      </w:pPr>
      <w:r>
        <w:rPr>
          <w:rFonts w:hint="eastAsia" w:ascii="宋体" w:hAnsi="宋体"/>
          <w:color w:val="auto"/>
          <w:sz w:val="24"/>
          <w:szCs w:val="24"/>
          <w:highlight w:val="none"/>
        </w:rPr>
        <w:t>人民币（大写） (¥元)；</w:t>
      </w:r>
    </w:p>
    <w:p w14:paraId="237F36F4">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（3）专业工程暂估价金额：</w:t>
      </w:r>
    </w:p>
    <w:p w14:paraId="5D9D168E">
      <w:pPr>
        <w:shd w:val="clear" w:color="auto" w:fill="auto"/>
        <w:spacing w:line="400" w:lineRule="exact"/>
        <w:ind w:firstLine="1080" w:firstLineChars="450"/>
        <w:rPr>
          <w:rFonts w:hint="eastAsia" w:ascii="宋体" w:hAnsi="宋体"/>
          <w:color w:val="auto"/>
          <w:sz w:val="24"/>
          <w:szCs w:val="24"/>
          <w:highlight w:val="none"/>
        </w:rPr>
      </w:pPr>
      <w:r>
        <w:rPr>
          <w:rFonts w:hint="eastAsia" w:ascii="宋体" w:hAnsi="宋体"/>
          <w:color w:val="auto"/>
          <w:sz w:val="24"/>
          <w:szCs w:val="24"/>
          <w:highlight w:val="none"/>
        </w:rPr>
        <w:t>人民币（大写） (¥元)；</w:t>
      </w:r>
    </w:p>
    <w:p w14:paraId="54394D8D">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（4）暂列金额：</w:t>
      </w:r>
    </w:p>
    <w:p w14:paraId="6B423E95">
      <w:pPr>
        <w:shd w:val="clear" w:color="auto" w:fill="auto"/>
        <w:spacing w:line="400" w:lineRule="exact"/>
        <w:ind w:firstLine="1080" w:firstLineChars="450"/>
        <w:rPr>
          <w:rFonts w:hint="eastAsia" w:ascii="宋体" w:hAnsi="宋体"/>
          <w:color w:val="auto"/>
          <w:sz w:val="24"/>
          <w:szCs w:val="24"/>
          <w:highlight w:val="none"/>
        </w:rPr>
      </w:pPr>
      <w:r>
        <w:rPr>
          <w:rFonts w:hint="eastAsia" w:ascii="宋体" w:hAnsi="宋体"/>
          <w:color w:val="auto"/>
          <w:sz w:val="24"/>
          <w:szCs w:val="24"/>
          <w:highlight w:val="none"/>
        </w:rPr>
        <w:t>人民币（大写） (¥元)。</w:t>
      </w:r>
    </w:p>
    <w:p w14:paraId="3A301634">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2.合同价格形式：</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59E08E59">
      <w:pPr>
        <w:keepNext/>
        <w:keepLines/>
        <w:shd w:val="clear" w:color="auto" w:fill="auto"/>
        <w:spacing w:line="400" w:lineRule="exact"/>
        <w:ind w:firstLine="482"/>
        <w:outlineLvl w:val="3"/>
        <w:rPr>
          <w:rFonts w:hint="eastAsia" w:ascii="宋体" w:hAnsi="宋体"/>
          <w:bCs/>
          <w:color w:val="auto"/>
          <w:sz w:val="24"/>
          <w:szCs w:val="24"/>
          <w:highlight w:val="none"/>
        </w:rPr>
      </w:pPr>
      <w:bookmarkStart w:id="511" w:name="_Toc351203485"/>
      <w:r>
        <w:rPr>
          <w:rFonts w:hint="eastAsia" w:ascii="宋体" w:hAnsi="宋体"/>
          <w:bCs/>
          <w:color w:val="auto"/>
          <w:sz w:val="24"/>
          <w:szCs w:val="24"/>
          <w:highlight w:val="none"/>
        </w:rPr>
        <w:t>五、</w:t>
      </w:r>
      <w:bookmarkEnd w:id="511"/>
      <w:r>
        <w:rPr>
          <w:rFonts w:hint="eastAsia" w:ascii="宋体" w:hAnsi="宋体"/>
          <w:bCs/>
          <w:color w:val="auto"/>
          <w:sz w:val="24"/>
          <w:szCs w:val="24"/>
          <w:highlight w:val="none"/>
        </w:rPr>
        <w:t>项目经理</w:t>
      </w:r>
    </w:p>
    <w:p w14:paraId="349355C8">
      <w:pPr>
        <w:shd w:val="clear" w:color="auto" w:fill="auto"/>
        <w:spacing w:line="40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承包人项目经理：。</w:t>
      </w:r>
    </w:p>
    <w:p w14:paraId="477A2225">
      <w:pPr>
        <w:keepNext/>
        <w:keepLines/>
        <w:shd w:val="clear" w:color="auto" w:fill="auto"/>
        <w:spacing w:line="400" w:lineRule="exact"/>
        <w:ind w:firstLine="482"/>
        <w:outlineLvl w:val="3"/>
        <w:rPr>
          <w:rFonts w:hint="eastAsia" w:ascii="宋体" w:hAnsi="宋体"/>
          <w:color w:val="auto"/>
          <w:sz w:val="24"/>
          <w:szCs w:val="24"/>
          <w:highlight w:val="none"/>
        </w:rPr>
      </w:pPr>
      <w:bookmarkStart w:id="512" w:name="_Toc351203486"/>
      <w:r>
        <w:rPr>
          <w:rFonts w:hint="eastAsia" w:ascii="宋体" w:hAnsi="宋体"/>
          <w:bCs/>
          <w:color w:val="auto"/>
          <w:sz w:val="24"/>
          <w:szCs w:val="24"/>
          <w:highlight w:val="none"/>
        </w:rPr>
        <w:t>六、合同文件构成</w:t>
      </w:r>
      <w:bookmarkEnd w:id="512"/>
    </w:p>
    <w:p w14:paraId="387DCFBF">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本协议书与下列文件一起构成合同文件：</w:t>
      </w:r>
    </w:p>
    <w:p w14:paraId="2F5944B6">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（1）中标通知书（如果有）；</w:t>
      </w:r>
    </w:p>
    <w:p w14:paraId="71FE6846">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 xml:space="preserve">（2）投标函及其附录（如果有）； </w:t>
      </w:r>
    </w:p>
    <w:p w14:paraId="06D243A1">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（3）专用合同草案及其附件；</w:t>
      </w:r>
    </w:p>
    <w:p w14:paraId="5DC87A16">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（4）通用合同草案；</w:t>
      </w:r>
    </w:p>
    <w:p w14:paraId="6833900A">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（5）技术标准和要求；</w:t>
      </w:r>
    </w:p>
    <w:p w14:paraId="14DD7EBB">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（6）图纸；</w:t>
      </w:r>
    </w:p>
    <w:p w14:paraId="62EAFA7F">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（7）已标价工程量清单或预算书；</w:t>
      </w:r>
    </w:p>
    <w:p w14:paraId="1BFCEFFD">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（8）其他合同文件。</w:t>
      </w:r>
    </w:p>
    <w:p w14:paraId="29CD0AAC">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在合同订立及履行过程中形成的与合同有关的文件均构成合同文件组成部分。</w:t>
      </w:r>
    </w:p>
    <w:p w14:paraId="146D861C">
      <w:pPr>
        <w:shd w:val="clear" w:color="auto" w:fill="auto"/>
        <w:autoSpaceDE w:val="0"/>
        <w:autoSpaceDN w:val="0"/>
        <w:adjustRightInd w:val="0"/>
        <w:spacing w:line="40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上述各项合同文件包括合同当事人就该项合同文件所作出的补充和修改，属于同一类内容的文件，应以最新签署的为准。专用合同草案及其附件须经合同当事人电子签章。</w:t>
      </w:r>
    </w:p>
    <w:p w14:paraId="484B44B2">
      <w:pPr>
        <w:keepNext/>
        <w:keepLines/>
        <w:shd w:val="clear" w:color="auto" w:fill="auto"/>
        <w:spacing w:line="400" w:lineRule="exact"/>
        <w:ind w:firstLine="482"/>
        <w:outlineLvl w:val="3"/>
        <w:rPr>
          <w:rFonts w:hint="eastAsia" w:ascii="宋体" w:hAnsi="宋体"/>
          <w:color w:val="auto"/>
          <w:sz w:val="24"/>
          <w:szCs w:val="24"/>
          <w:highlight w:val="none"/>
        </w:rPr>
      </w:pPr>
      <w:bookmarkStart w:id="513" w:name="_Toc351203487"/>
      <w:r>
        <w:rPr>
          <w:rFonts w:hint="eastAsia" w:ascii="宋体" w:hAnsi="宋体"/>
          <w:bCs/>
          <w:color w:val="auto"/>
          <w:sz w:val="24"/>
          <w:szCs w:val="24"/>
          <w:highlight w:val="none"/>
        </w:rPr>
        <w:t>七、承诺</w:t>
      </w:r>
      <w:bookmarkEnd w:id="513"/>
    </w:p>
    <w:p w14:paraId="327EE5A9">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1.发包人承诺按照法律规定履行项目审批手续、筹集工程建设资金并按照合同约定的期限和方式支付合同价款。</w:t>
      </w:r>
    </w:p>
    <w:p w14:paraId="0DA9279C">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2A62811F">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3.发包人和承包人通过招投标形式签订合同的，双方理解并承诺不再就同一工程另行签订与合同实质性内容相背离的协议。</w:t>
      </w:r>
    </w:p>
    <w:p w14:paraId="427DF842">
      <w:pPr>
        <w:shd w:val="clear" w:color="auto" w:fill="auto"/>
        <w:spacing w:line="400" w:lineRule="exact"/>
        <w:ind w:firstLine="482"/>
        <w:rPr>
          <w:rFonts w:hint="eastAsia" w:ascii="宋体" w:hAnsi="宋体"/>
          <w:bCs/>
          <w:color w:val="auto"/>
          <w:sz w:val="24"/>
          <w:szCs w:val="24"/>
          <w:highlight w:val="none"/>
        </w:rPr>
      </w:pPr>
      <w:bookmarkStart w:id="514" w:name="_Toc351203488"/>
      <w:r>
        <w:rPr>
          <w:rFonts w:hint="eastAsia" w:ascii="宋体" w:hAnsi="宋体"/>
          <w:color w:val="auto"/>
          <w:sz w:val="24"/>
          <w:szCs w:val="24"/>
          <w:highlight w:val="none"/>
        </w:rPr>
        <w:t>八、词语含义</w:t>
      </w:r>
      <w:bookmarkEnd w:id="514"/>
    </w:p>
    <w:p w14:paraId="30A433F7">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本协议书中词语含义与第二部分通用合同草案中赋予的含义相同。</w:t>
      </w:r>
    </w:p>
    <w:p w14:paraId="13D329C9">
      <w:pPr>
        <w:keepNext/>
        <w:keepLines/>
        <w:shd w:val="clear" w:color="auto" w:fill="auto"/>
        <w:spacing w:line="400" w:lineRule="exact"/>
        <w:ind w:firstLine="482"/>
        <w:outlineLvl w:val="3"/>
        <w:rPr>
          <w:rFonts w:hint="eastAsia" w:ascii="宋体" w:hAnsi="宋体"/>
          <w:color w:val="auto"/>
          <w:sz w:val="24"/>
          <w:szCs w:val="24"/>
          <w:highlight w:val="none"/>
        </w:rPr>
      </w:pPr>
      <w:bookmarkStart w:id="515" w:name="_Toc351203489"/>
      <w:r>
        <w:rPr>
          <w:rFonts w:hint="eastAsia" w:ascii="宋体" w:hAnsi="宋体"/>
          <w:bCs/>
          <w:color w:val="auto"/>
          <w:sz w:val="24"/>
          <w:szCs w:val="24"/>
          <w:highlight w:val="none"/>
        </w:rPr>
        <w:t>九、签订时间</w:t>
      </w:r>
      <w:bookmarkEnd w:id="515"/>
    </w:p>
    <w:p w14:paraId="29561A97">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本合同于年月日签订。</w:t>
      </w:r>
    </w:p>
    <w:p w14:paraId="084209A1">
      <w:pPr>
        <w:keepNext/>
        <w:keepLines/>
        <w:shd w:val="clear" w:color="auto" w:fill="auto"/>
        <w:spacing w:line="400" w:lineRule="exact"/>
        <w:ind w:firstLine="482"/>
        <w:outlineLvl w:val="3"/>
        <w:rPr>
          <w:rFonts w:hint="eastAsia" w:ascii="宋体" w:hAnsi="宋体"/>
          <w:color w:val="auto"/>
          <w:sz w:val="24"/>
          <w:szCs w:val="24"/>
          <w:highlight w:val="none"/>
        </w:rPr>
      </w:pPr>
      <w:bookmarkStart w:id="516" w:name="_Toc351203490"/>
      <w:r>
        <w:rPr>
          <w:rFonts w:hint="eastAsia" w:ascii="宋体" w:hAnsi="宋体"/>
          <w:bCs/>
          <w:color w:val="auto"/>
          <w:sz w:val="24"/>
          <w:szCs w:val="24"/>
          <w:highlight w:val="none"/>
        </w:rPr>
        <w:t>十、签订地点</w:t>
      </w:r>
      <w:bookmarkEnd w:id="516"/>
    </w:p>
    <w:p w14:paraId="0863F942">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本合同在签订。</w:t>
      </w:r>
    </w:p>
    <w:p w14:paraId="630B6473">
      <w:pPr>
        <w:keepNext/>
        <w:keepLines/>
        <w:shd w:val="clear" w:color="auto" w:fill="auto"/>
        <w:spacing w:line="400" w:lineRule="exact"/>
        <w:ind w:firstLine="482"/>
        <w:outlineLvl w:val="3"/>
        <w:rPr>
          <w:rFonts w:hint="eastAsia" w:ascii="宋体" w:hAnsi="宋体"/>
          <w:color w:val="auto"/>
          <w:sz w:val="24"/>
          <w:szCs w:val="24"/>
          <w:highlight w:val="none"/>
        </w:rPr>
      </w:pPr>
      <w:bookmarkStart w:id="517" w:name="_Toc351203491"/>
      <w:r>
        <w:rPr>
          <w:rFonts w:hint="eastAsia" w:ascii="宋体" w:hAnsi="宋体"/>
          <w:bCs/>
          <w:color w:val="auto"/>
          <w:sz w:val="24"/>
          <w:szCs w:val="24"/>
          <w:highlight w:val="none"/>
        </w:rPr>
        <w:t>十一、补充协议</w:t>
      </w:r>
      <w:bookmarkEnd w:id="517"/>
    </w:p>
    <w:p w14:paraId="7E657C1F">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合同未尽事宜，合同当事人另行签订补充协议，补充协议是合同的组成部分。</w:t>
      </w:r>
    </w:p>
    <w:p w14:paraId="0256E582">
      <w:pPr>
        <w:keepNext/>
        <w:keepLines/>
        <w:shd w:val="clear" w:color="auto" w:fill="auto"/>
        <w:spacing w:line="400" w:lineRule="exact"/>
        <w:ind w:firstLine="482"/>
        <w:outlineLvl w:val="3"/>
        <w:rPr>
          <w:rFonts w:hint="eastAsia" w:ascii="宋体" w:hAnsi="宋体"/>
          <w:color w:val="auto"/>
          <w:sz w:val="24"/>
          <w:szCs w:val="24"/>
          <w:highlight w:val="none"/>
        </w:rPr>
      </w:pPr>
      <w:bookmarkStart w:id="518" w:name="_Toc351203492"/>
      <w:r>
        <w:rPr>
          <w:rFonts w:hint="eastAsia" w:ascii="宋体" w:hAnsi="宋体"/>
          <w:bCs/>
          <w:color w:val="auto"/>
          <w:sz w:val="24"/>
          <w:szCs w:val="24"/>
          <w:highlight w:val="none"/>
        </w:rPr>
        <w:t>十二、合同生效</w:t>
      </w:r>
      <w:bookmarkEnd w:id="518"/>
    </w:p>
    <w:p w14:paraId="6C67FD8A">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本合同自生效。</w:t>
      </w:r>
    </w:p>
    <w:p w14:paraId="69C756F5">
      <w:pPr>
        <w:keepNext/>
        <w:keepLines/>
        <w:shd w:val="clear" w:color="auto" w:fill="auto"/>
        <w:spacing w:line="400" w:lineRule="exact"/>
        <w:ind w:firstLine="482"/>
        <w:outlineLvl w:val="3"/>
        <w:rPr>
          <w:rFonts w:hint="eastAsia" w:ascii="宋体" w:hAnsi="宋体"/>
          <w:color w:val="auto"/>
          <w:sz w:val="24"/>
          <w:szCs w:val="24"/>
          <w:highlight w:val="none"/>
        </w:rPr>
      </w:pPr>
      <w:bookmarkStart w:id="519" w:name="_Toc351203493"/>
      <w:r>
        <w:rPr>
          <w:rFonts w:hint="eastAsia" w:ascii="宋体" w:hAnsi="宋体"/>
          <w:bCs/>
          <w:color w:val="auto"/>
          <w:sz w:val="24"/>
          <w:szCs w:val="24"/>
          <w:highlight w:val="none"/>
        </w:rPr>
        <w:t>十三、合同份数</w:t>
      </w:r>
      <w:bookmarkEnd w:id="519"/>
    </w:p>
    <w:p w14:paraId="5D99D926">
      <w:pPr>
        <w:shd w:val="clear" w:color="auto" w:fill="auto"/>
        <w:spacing w:line="400" w:lineRule="exact"/>
        <w:ind w:firstLine="480" w:firstLineChars="200"/>
        <w:rPr>
          <w:rFonts w:hint="eastAsia" w:ascii="宋体" w:hAnsi="宋体"/>
          <w:bCs/>
          <w:color w:val="auto"/>
          <w:sz w:val="24"/>
          <w:szCs w:val="24"/>
          <w:highlight w:val="none"/>
        </w:rPr>
      </w:pPr>
      <w:r>
        <w:rPr>
          <w:rFonts w:hint="eastAsia" w:ascii="宋体" w:hAnsi="宋体"/>
          <w:bCs/>
          <w:color w:val="auto"/>
          <w:sz w:val="24"/>
          <w:szCs w:val="24"/>
          <w:highlight w:val="none"/>
        </w:rPr>
        <w:t>本合同一式份，均具有同等法律效力，发包人执份，承包人执份。</w:t>
      </w:r>
    </w:p>
    <w:p w14:paraId="3F9E05C7">
      <w:pPr>
        <w:shd w:val="clear" w:color="auto" w:fill="auto"/>
        <w:spacing w:line="400" w:lineRule="exact"/>
        <w:ind w:firstLine="482"/>
        <w:rPr>
          <w:rFonts w:hint="eastAsia" w:ascii="宋体" w:hAnsi="宋体"/>
          <w:bCs/>
          <w:color w:val="auto"/>
          <w:sz w:val="24"/>
          <w:szCs w:val="24"/>
          <w:highlight w:val="none"/>
        </w:rPr>
      </w:pPr>
    </w:p>
    <w:p w14:paraId="6D7544D5">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发包人：  (公章)承包人：  (公章)</w:t>
      </w:r>
    </w:p>
    <w:p w14:paraId="1F57B587">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 xml:space="preserve">法定代表人或其委托代理人：（签字） 法定代表人或其委托代理人：（签字）                    </w:t>
      </w:r>
    </w:p>
    <w:p w14:paraId="669FEDCD">
      <w:pPr>
        <w:shd w:val="clear" w:color="auto" w:fill="auto"/>
        <w:tabs>
          <w:tab w:val="left" w:pos="4410"/>
        </w:tabs>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组织机构代码：</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 xml:space="preserve"> 组织机构代码：</w:t>
      </w:r>
      <w:r>
        <w:rPr>
          <w:rFonts w:hint="eastAsia" w:ascii="宋体" w:hAnsi="宋体"/>
          <w:color w:val="auto"/>
          <w:sz w:val="24"/>
          <w:szCs w:val="24"/>
          <w:highlight w:val="none"/>
          <w:u w:val="single"/>
        </w:rPr>
        <w:t xml:space="preserve">   </w:t>
      </w:r>
    </w:p>
    <w:p w14:paraId="67B189BE">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地  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地  址：</w:t>
      </w:r>
      <w:r>
        <w:rPr>
          <w:rFonts w:hint="eastAsia" w:ascii="宋体" w:hAnsi="宋体"/>
          <w:color w:val="auto"/>
          <w:sz w:val="24"/>
          <w:szCs w:val="24"/>
          <w:highlight w:val="none"/>
          <w:u w:val="single"/>
        </w:rPr>
        <w:t xml:space="preserve"> </w:t>
      </w:r>
    </w:p>
    <w:p w14:paraId="558563AA">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邮政编码：</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邮政编码：</w:t>
      </w:r>
      <w:r>
        <w:rPr>
          <w:rFonts w:hint="eastAsia" w:ascii="宋体" w:hAnsi="宋体"/>
          <w:color w:val="auto"/>
          <w:sz w:val="24"/>
          <w:szCs w:val="24"/>
          <w:highlight w:val="none"/>
          <w:u w:val="single"/>
        </w:rPr>
        <w:t xml:space="preserve">   </w:t>
      </w:r>
    </w:p>
    <w:p w14:paraId="0CAC0CB9">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法定代表人：法定代表人：</w:t>
      </w:r>
    </w:p>
    <w:p w14:paraId="620014AC">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委托代理人：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委托代理人：</w:t>
      </w:r>
      <w:r>
        <w:rPr>
          <w:rFonts w:hint="eastAsia" w:ascii="宋体" w:hAnsi="宋体"/>
          <w:color w:val="auto"/>
          <w:sz w:val="24"/>
          <w:szCs w:val="24"/>
          <w:highlight w:val="none"/>
          <w:u w:val="single"/>
        </w:rPr>
        <w:t xml:space="preserve">  </w:t>
      </w:r>
    </w:p>
    <w:p w14:paraId="53B11470">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电  话：电  话：</w:t>
      </w:r>
    </w:p>
    <w:p w14:paraId="4E8E7D48">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传  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传  真：</w:t>
      </w:r>
      <w:r>
        <w:rPr>
          <w:rFonts w:hint="eastAsia" w:ascii="宋体" w:hAnsi="宋体"/>
          <w:color w:val="auto"/>
          <w:sz w:val="24"/>
          <w:szCs w:val="24"/>
          <w:highlight w:val="none"/>
          <w:u w:val="single"/>
        </w:rPr>
        <w:t xml:space="preserve">   </w:t>
      </w:r>
    </w:p>
    <w:p w14:paraId="738046C2">
      <w:pPr>
        <w:shd w:val="clear" w:color="auto" w:fill="auto"/>
        <w:spacing w:line="40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电子信箱：电子信箱：</w:t>
      </w:r>
      <w:r>
        <w:rPr>
          <w:rFonts w:hint="eastAsia" w:ascii="宋体" w:hAnsi="宋体"/>
          <w:color w:val="auto"/>
          <w:sz w:val="24"/>
          <w:szCs w:val="24"/>
          <w:highlight w:val="none"/>
          <w:u w:val="single"/>
        </w:rPr>
        <w:t xml:space="preserve">   </w:t>
      </w:r>
    </w:p>
    <w:p w14:paraId="5974DAA7">
      <w:pPr>
        <w:shd w:val="clear" w:color="auto" w:fill="auto"/>
        <w:spacing w:line="400" w:lineRule="exact"/>
        <w:ind w:firstLine="482"/>
        <w:rPr>
          <w:rFonts w:hint="eastAsia" w:ascii="宋体" w:hAnsi="宋体"/>
          <w:color w:val="auto"/>
          <w:sz w:val="24"/>
          <w:szCs w:val="24"/>
          <w:highlight w:val="none"/>
          <w:u w:val="single"/>
        </w:rPr>
      </w:pPr>
      <w:r>
        <w:rPr>
          <w:rFonts w:hint="eastAsia" w:ascii="宋体" w:hAnsi="宋体"/>
          <w:color w:val="auto"/>
          <w:sz w:val="24"/>
          <w:szCs w:val="24"/>
          <w:highlight w:val="none"/>
        </w:rPr>
        <w:t>开户银行：</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开户银行：</w:t>
      </w:r>
      <w:r>
        <w:rPr>
          <w:rFonts w:hint="eastAsia" w:ascii="宋体" w:hAnsi="宋体"/>
          <w:color w:val="auto"/>
          <w:sz w:val="24"/>
          <w:szCs w:val="24"/>
          <w:highlight w:val="none"/>
          <w:u w:val="single"/>
        </w:rPr>
        <w:t xml:space="preserve">   </w:t>
      </w:r>
    </w:p>
    <w:p w14:paraId="17DAA5E6">
      <w:pPr>
        <w:shd w:val="clear" w:color="auto" w:fill="auto"/>
        <w:spacing w:line="400" w:lineRule="exact"/>
        <w:ind w:firstLine="482"/>
        <w:rPr>
          <w:rFonts w:hint="eastAsia" w:ascii="宋体" w:hAnsi="宋体"/>
          <w:color w:val="auto"/>
          <w:sz w:val="24"/>
          <w:szCs w:val="24"/>
          <w:highlight w:val="none"/>
          <w:u w:val="single"/>
        </w:rPr>
      </w:pPr>
      <w:r>
        <w:rPr>
          <w:rFonts w:hint="eastAsia" w:ascii="宋体" w:hAnsi="宋体"/>
          <w:color w:val="auto"/>
          <w:sz w:val="24"/>
          <w:szCs w:val="24"/>
          <w:highlight w:val="none"/>
        </w:rPr>
        <w:t>账  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账 号：</w:t>
      </w:r>
    </w:p>
    <w:p w14:paraId="369DDBE2">
      <w:pPr>
        <w:shd w:val="clear" w:color="auto" w:fill="auto"/>
        <w:spacing w:line="490" w:lineRule="exact"/>
        <w:ind w:firstLine="482"/>
        <w:jc w:val="center"/>
        <w:rPr>
          <w:rFonts w:hint="eastAsia" w:ascii="宋体" w:hAnsi="宋体" w:cs="仿宋_GB2312"/>
          <w:color w:val="auto"/>
          <w:sz w:val="24"/>
          <w:szCs w:val="24"/>
          <w:highlight w:val="none"/>
        </w:rPr>
      </w:pPr>
    </w:p>
    <w:p w14:paraId="0BC1EE4A">
      <w:pPr>
        <w:shd w:val="clear" w:color="auto" w:fill="auto"/>
        <w:spacing w:line="490" w:lineRule="exact"/>
        <w:ind w:firstLine="482"/>
        <w:rPr>
          <w:rFonts w:hint="eastAsia" w:ascii="宋体" w:hAnsi="宋体"/>
          <w:color w:val="auto"/>
          <w:sz w:val="24"/>
          <w:szCs w:val="24"/>
          <w:highlight w:val="none"/>
        </w:rPr>
      </w:pPr>
    </w:p>
    <w:p w14:paraId="2417FDEC">
      <w:pPr>
        <w:shd w:val="clear" w:color="auto" w:fill="auto"/>
        <w:spacing w:line="490" w:lineRule="exact"/>
        <w:ind w:firstLine="640"/>
        <w:jc w:val="center"/>
        <w:rPr>
          <w:rFonts w:hint="eastAsia" w:ascii="宋体" w:hAnsi="宋体"/>
          <w:color w:val="auto"/>
          <w:kern w:val="0"/>
          <w:sz w:val="32"/>
          <w:szCs w:val="32"/>
          <w:highlight w:val="none"/>
        </w:rPr>
      </w:pPr>
      <w:r>
        <w:rPr>
          <w:rFonts w:hint="eastAsia" w:ascii="宋体" w:hAnsi="宋体" w:cs="宋体"/>
          <w:b/>
          <w:bCs/>
          <w:color w:val="auto"/>
          <w:sz w:val="32"/>
          <w:szCs w:val="32"/>
          <w:highlight w:val="none"/>
        </w:rPr>
        <w:br w:type="page"/>
      </w:r>
      <w:bookmarkStart w:id="520" w:name="_Toc351203494"/>
      <w:r>
        <w:rPr>
          <w:rFonts w:hint="eastAsia" w:ascii="宋体" w:hAnsi="宋体"/>
          <w:color w:val="auto"/>
          <w:kern w:val="0"/>
          <w:sz w:val="32"/>
          <w:szCs w:val="32"/>
          <w:highlight w:val="none"/>
        </w:rPr>
        <w:t>第二部分 通用</w:t>
      </w:r>
      <w:bookmarkEnd w:id="520"/>
      <w:r>
        <w:rPr>
          <w:rFonts w:hint="eastAsia" w:ascii="宋体" w:hAnsi="宋体"/>
          <w:color w:val="auto"/>
          <w:kern w:val="0"/>
          <w:sz w:val="32"/>
          <w:szCs w:val="32"/>
          <w:highlight w:val="none"/>
        </w:rPr>
        <w:t>合同草案</w:t>
      </w:r>
    </w:p>
    <w:p w14:paraId="6C84BCA0">
      <w:pPr>
        <w:shd w:val="clear" w:color="auto" w:fill="auto"/>
        <w:spacing w:line="490" w:lineRule="exact"/>
        <w:ind w:firstLine="562"/>
        <w:jc w:val="center"/>
        <w:rPr>
          <w:rFonts w:hint="eastAsia" w:ascii="Calibri" w:hAnsi="Calibri"/>
          <w:color w:val="auto"/>
          <w:highlight w:val="none"/>
        </w:rPr>
      </w:pPr>
      <w:r>
        <w:rPr>
          <w:rFonts w:hint="eastAsia" w:ascii="宋体" w:hAnsi="宋体"/>
          <w:color w:val="auto"/>
          <w:kern w:val="0"/>
          <w:sz w:val="28"/>
          <w:szCs w:val="28"/>
          <w:highlight w:val="none"/>
        </w:rPr>
        <w:t>详见建设工程施工合同（GF—2017—0201）中的通用合同草案</w:t>
      </w:r>
    </w:p>
    <w:p w14:paraId="2838F9E0">
      <w:pPr>
        <w:shd w:val="clear" w:color="auto" w:fill="auto"/>
        <w:spacing w:line="490" w:lineRule="exact"/>
        <w:ind w:firstLine="562"/>
        <w:jc w:val="center"/>
        <w:rPr>
          <w:rFonts w:ascii="宋体" w:hAnsi="宋体"/>
          <w:color w:val="auto"/>
          <w:kern w:val="0"/>
          <w:sz w:val="28"/>
          <w:szCs w:val="28"/>
          <w:highlight w:val="none"/>
        </w:rPr>
      </w:pPr>
    </w:p>
    <w:p w14:paraId="791FC727">
      <w:pPr>
        <w:shd w:val="clear" w:color="auto" w:fill="auto"/>
        <w:autoSpaceDE w:val="0"/>
        <w:autoSpaceDN w:val="0"/>
        <w:adjustRightInd w:val="0"/>
        <w:spacing w:line="490" w:lineRule="exact"/>
        <w:ind w:firstLine="643"/>
        <w:jc w:val="center"/>
        <w:rPr>
          <w:rFonts w:hint="eastAsia" w:ascii="宋体" w:hAnsi="宋体"/>
          <w:bCs/>
          <w:color w:val="auto"/>
          <w:sz w:val="32"/>
          <w:szCs w:val="32"/>
          <w:highlight w:val="none"/>
        </w:rPr>
      </w:pPr>
    </w:p>
    <w:p w14:paraId="73239C7E">
      <w:pPr>
        <w:shd w:val="clear" w:color="auto" w:fill="auto"/>
        <w:autoSpaceDE w:val="0"/>
        <w:autoSpaceDN w:val="0"/>
        <w:adjustRightInd w:val="0"/>
        <w:spacing w:line="400" w:lineRule="exact"/>
        <w:ind w:firstLine="643"/>
        <w:jc w:val="center"/>
        <w:rPr>
          <w:rFonts w:hint="eastAsia" w:ascii="宋体" w:hAnsi="宋体"/>
          <w:bCs/>
          <w:color w:val="auto"/>
          <w:sz w:val="32"/>
          <w:szCs w:val="32"/>
          <w:highlight w:val="none"/>
        </w:rPr>
      </w:pPr>
      <w:r>
        <w:rPr>
          <w:rFonts w:hint="eastAsia" w:ascii="宋体" w:hAnsi="宋体"/>
          <w:bCs/>
          <w:color w:val="auto"/>
          <w:sz w:val="32"/>
          <w:szCs w:val="32"/>
          <w:highlight w:val="none"/>
        </w:rPr>
        <w:t>第三部分 专用合同草案</w:t>
      </w:r>
    </w:p>
    <w:p w14:paraId="577EBB7D">
      <w:pPr>
        <w:keepNext/>
        <w:keepLines/>
        <w:shd w:val="clear" w:color="auto" w:fill="auto"/>
        <w:spacing w:line="380" w:lineRule="exact"/>
        <w:ind w:firstLine="482"/>
        <w:outlineLvl w:val="3"/>
        <w:rPr>
          <w:rFonts w:hint="eastAsia" w:ascii="宋体" w:hAnsi="宋体"/>
          <w:bCs/>
          <w:color w:val="auto"/>
          <w:sz w:val="24"/>
          <w:szCs w:val="24"/>
          <w:highlight w:val="none"/>
        </w:rPr>
      </w:pPr>
      <w:bookmarkStart w:id="521" w:name="_Toc351203633"/>
      <w:r>
        <w:rPr>
          <w:rFonts w:hint="eastAsia" w:ascii="宋体" w:hAnsi="宋体"/>
          <w:bCs/>
          <w:color w:val="auto"/>
          <w:sz w:val="24"/>
          <w:szCs w:val="24"/>
          <w:highlight w:val="none"/>
        </w:rPr>
        <w:t>1</w:t>
      </w:r>
      <w:bookmarkStart w:id="522" w:name="_Toc297120456"/>
      <w:bookmarkStart w:id="523" w:name="_Toc292559866"/>
      <w:bookmarkStart w:id="524" w:name="_Toc297048342"/>
      <w:bookmarkStart w:id="525" w:name="_Toc296890984"/>
      <w:bookmarkStart w:id="526" w:name="_Toc292559361"/>
      <w:bookmarkStart w:id="527" w:name="_Toc296891196"/>
      <w:bookmarkStart w:id="528" w:name="_Toc296347155"/>
      <w:bookmarkStart w:id="529" w:name="_Toc296944495"/>
      <w:bookmarkStart w:id="530" w:name="_Toc296503156"/>
      <w:bookmarkStart w:id="531" w:name="_Toc296346657"/>
      <w:r>
        <w:rPr>
          <w:rFonts w:hint="eastAsia" w:ascii="宋体" w:hAnsi="宋体"/>
          <w:bCs/>
          <w:color w:val="auto"/>
          <w:sz w:val="24"/>
          <w:szCs w:val="24"/>
          <w:highlight w:val="none"/>
        </w:rPr>
        <w:t>. 一般约定</w:t>
      </w:r>
      <w:bookmarkEnd w:id="521"/>
    </w:p>
    <w:bookmarkEnd w:id="522"/>
    <w:bookmarkEnd w:id="523"/>
    <w:bookmarkEnd w:id="524"/>
    <w:bookmarkEnd w:id="525"/>
    <w:bookmarkEnd w:id="526"/>
    <w:bookmarkEnd w:id="527"/>
    <w:bookmarkEnd w:id="528"/>
    <w:bookmarkEnd w:id="529"/>
    <w:bookmarkEnd w:id="530"/>
    <w:bookmarkEnd w:id="531"/>
    <w:p w14:paraId="34CC61CA">
      <w:pPr>
        <w:shd w:val="clear" w:color="auto" w:fill="auto"/>
        <w:spacing w:line="380" w:lineRule="exact"/>
        <w:ind w:firstLine="480" w:firstLineChars="200"/>
        <w:outlineLvl w:val="0"/>
        <w:rPr>
          <w:rFonts w:hint="eastAsia" w:ascii="宋体" w:hAnsi="宋体"/>
          <w:color w:val="auto"/>
          <w:sz w:val="24"/>
          <w:szCs w:val="24"/>
          <w:highlight w:val="none"/>
        </w:rPr>
      </w:pPr>
      <w:bookmarkStart w:id="532" w:name="_Toc19202"/>
      <w:bookmarkStart w:id="533" w:name="_Toc6409"/>
      <w:bookmarkStart w:id="534" w:name="_Toc31882"/>
      <w:bookmarkStart w:id="535" w:name="_Toc18899"/>
      <w:bookmarkStart w:id="536" w:name="_Toc3310"/>
      <w:bookmarkStart w:id="537" w:name="_Toc30819"/>
      <w:bookmarkStart w:id="538" w:name="_Toc18003"/>
      <w:bookmarkStart w:id="539" w:name="_Toc5323"/>
      <w:r>
        <w:rPr>
          <w:rFonts w:hint="eastAsia" w:ascii="宋体" w:hAnsi="宋体"/>
          <w:color w:val="auto"/>
          <w:sz w:val="24"/>
          <w:szCs w:val="24"/>
          <w:highlight w:val="none"/>
        </w:rPr>
        <w:t>1.1 词语定义</w:t>
      </w:r>
      <w:bookmarkEnd w:id="532"/>
      <w:bookmarkEnd w:id="533"/>
      <w:bookmarkEnd w:id="534"/>
      <w:bookmarkEnd w:id="535"/>
      <w:bookmarkEnd w:id="536"/>
      <w:bookmarkEnd w:id="537"/>
      <w:bookmarkEnd w:id="538"/>
      <w:bookmarkEnd w:id="539"/>
    </w:p>
    <w:p w14:paraId="64E5CAE6">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1.1.1合同</w:t>
      </w:r>
    </w:p>
    <w:p w14:paraId="515CA99C">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1.1.1.10其他合同文件包括：</w:t>
      </w:r>
      <w:r>
        <w:rPr>
          <w:rFonts w:hint="eastAsia" w:ascii="宋体" w:hAnsi="宋体" w:cs="宋体"/>
          <w:color w:val="auto"/>
          <w:sz w:val="24"/>
          <w:szCs w:val="24"/>
          <w:highlight w:val="none"/>
          <w:u w:val="single"/>
          <w:lang w:bidi="ar"/>
        </w:rPr>
        <w:t>合同发行中，发包人和承包人有关工程的会议纪要、工程变更、签证、工程洽商、有关通知、信件、数据电文等，以及法律、法规规定具有证明效力和合同效力的文件或资料视为本合同的组成部分</w:t>
      </w:r>
      <w:r>
        <w:rPr>
          <w:rFonts w:hint="eastAsia" w:ascii="宋体" w:hAnsi="宋体"/>
          <w:color w:val="auto"/>
          <w:sz w:val="24"/>
          <w:szCs w:val="24"/>
          <w:highlight w:val="none"/>
        </w:rPr>
        <w:t>。</w:t>
      </w:r>
    </w:p>
    <w:p w14:paraId="3D2B2CD7">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1.1.2 合同当事人及其他相关方</w:t>
      </w:r>
    </w:p>
    <w:p w14:paraId="0D9DE1B4">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1.1.2.4监理人：</w:t>
      </w:r>
    </w:p>
    <w:p w14:paraId="77940F56">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名    称：</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20387193">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资质类别和等级：</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666BC2F4">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040F122C">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电子信箱：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4647D09D">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通信地址：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152CE04">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1.1.2.5 设计人：</w:t>
      </w:r>
    </w:p>
    <w:p w14:paraId="417FAFE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名    称：</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7F75B3B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资质类别和等级：</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763066CF">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4B830B7E">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电子信箱：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265A7D7F">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通信地址：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2CEF889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1.1.3 工程和设备</w:t>
      </w:r>
    </w:p>
    <w:p w14:paraId="23B1EB2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1.1.3.7 作为施工现场组成部分的其他场所包括：</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38B4775A">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1.1.3.9 永久占地包括：</w:t>
      </w:r>
      <w:r>
        <w:rPr>
          <w:rFonts w:hint="eastAsia" w:ascii="宋体" w:hAnsi="宋体"/>
          <w:color w:val="auto"/>
          <w:sz w:val="24"/>
          <w:szCs w:val="24"/>
          <w:highlight w:val="none"/>
          <w:u w:val="single"/>
        </w:rPr>
        <w:t xml:space="preserve">/         </w:t>
      </w:r>
      <w:r>
        <w:rPr>
          <w:rFonts w:hint="eastAsia" w:ascii="宋体" w:hAnsi="宋体"/>
          <w:color w:val="auto"/>
          <w:kern w:val="0"/>
          <w:sz w:val="24"/>
          <w:szCs w:val="24"/>
          <w:highlight w:val="none"/>
        </w:rPr>
        <w:t>。</w:t>
      </w:r>
    </w:p>
    <w:p w14:paraId="79FB9AD3">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kern w:val="0"/>
          <w:sz w:val="24"/>
          <w:szCs w:val="24"/>
          <w:highlight w:val="none"/>
        </w:rPr>
        <w:t>1.1.3.10 临时占地包括：</w:t>
      </w:r>
      <w:r>
        <w:rPr>
          <w:rFonts w:hint="eastAsia" w:ascii="宋体" w:hAnsi="宋体"/>
          <w:color w:val="auto"/>
          <w:sz w:val="24"/>
          <w:szCs w:val="24"/>
          <w:highlight w:val="none"/>
          <w:u w:val="single"/>
        </w:rPr>
        <w:t xml:space="preserve">/            </w:t>
      </w:r>
      <w:r>
        <w:rPr>
          <w:rFonts w:hint="eastAsia" w:ascii="宋体" w:hAnsi="宋体"/>
          <w:color w:val="auto"/>
          <w:kern w:val="0"/>
          <w:sz w:val="24"/>
          <w:szCs w:val="24"/>
          <w:highlight w:val="none"/>
        </w:rPr>
        <w:t>。</w:t>
      </w:r>
    </w:p>
    <w:p w14:paraId="745FB79D">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 xml:space="preserve">1.3法律 </w:t>
      </w:r>
    </w:p>
    <w:p w14:paraId="40FDC603">
      <w:pPr>
        <w:shd w:val="clear" w:color="auto" w:fill="auto"/>
        <w:autoSpaceDE w:val="0"/>
        <w:autoSpaceDN w:val="0"/>
        <w:adjustRightInd w:val="0"/>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适用于合同的其他规范性文件：</w:t>
      </w:r>
      <w:r>
        <w:rPr>
          <w:rFonts w:hint="eastAsia" w:ascii="宋体" w:hAnsi="宋体"/>
          <w:color w:val="auto"/>
          <w:sz w:val="24"/>
          <w:szCs w:val="24"/>
          <w:highlight w:val="none"/>
          <w:u w:val="single" w:color="000000"/>
          <w:lang w:val="zh-TW" w:eastAsia="zh-TW"/>
        </w:rPr>
        <w:t>《中华人民共和国建筑法》、《</w:t>
      </w:r>
      <w:r>
        <w:rPr>
          <w:rFonts w:hint="eastAsia" w:ascii="宋体" w:hAnsi="宋体"/>
          <w:color w:val="auto"/>
          <w:sz w:val="24"/>
          <w:szCs w:val="24"/>
          <w:highlight w:val="none"/>
          <w:u w:val="single" w:color="000000"/>
          <w:lang w:val="zh-TW"/>
        </w:rPr>
        <w:t>中华人民共和国民法典</w:t>
      </w:r>
      <w:r>
        <w:rPr>
          <w:rFonts w:hint="eastAsia" w:ascii="宋体" w:hAnsi="宋体"/>
          <w:color w:val="auto"/>
          <w:sz w:val="24"/>
          <w:szCs w:val="24"/>
          <w:highlight w:val="none"/>
          <w:u w:val="single" w:color="000000"/>
          <w:lang w:val="zh-TW" w:eastAsia="zh-TW"/>
        </w:rPr>
        <w:t>》、《中华人民共和国招标投标法》、《</w:t>
      </w:r>
      <w:r>
        <w:rPr>
          <w:rFonts w:hint="eastAsia" w:ascii="宋体" w:hAnsi="宋体"/>
          <w:color w:val="auto"/>
          <w:sz w:val="24"/>
          <w:szCs w:val="24"/>
          <w:highlight w:val="none"/>
          <w:u w:val="single" w:color="000000"/>
          <w:lang w:val="zh-TW" w:eastAsia="zh-CN"/>
        </w:rPr>
        <w:t>建筑工程</w:t>
      </w:r>
      <w:r>
        <w:rPr>
          <w:rFonts w:hint="eastAsia" w:ascii="宋体" w:hAnsi="宋体"/>
          <w:color w:val="auto"/>
          <w:sz w:val="24"/>
          <w:szCs w:val="24"/>
          <w:highlight w:val="none"/>
          <w:u w:val="single" w:color="000000"/>
          <w:lang w:val="zh-TW" w:eastAsia="zh-TW"/>
        </w:rPr>
        <w:t>强制性标准条文》、《建设工程质量管理条例》、《</w:t>
      </w:r>
      <w:r>
        <w:rPr>
          <w:rFonts w:hint="eastAsia" w:ascii="宋体" w:hAnsi="宋体"/>
          <w:color w:val="auto"/>
          <w:sz w:val="24"/>
          <w:szCs w:val="24"/>
          <w:highlight w:val="none"/>
          <w:u w:val="single" w:color="000000"/>
          <w:lang w:val="zh-TW" w:eastAsia="zh-CN"/>
        </w:rPr>
        <w:t>建筑工程</w:t>
      </w:r>
      <w:r>
        <w:rPr>
          <w:rFonts w:hint="eastAsia" w:ascii="宋体" w:hAnsi="宋体"/>
          <w:color w:val="auto"/>
          <w:sz w:val="24"/>
          <w:szCs w:val="24"/>
          <w:highlight w:val="none"/>
          <w:u w:val="single" w:color="000000"/>
          <w:lang w:val="zh-TW" w:eastAsia="zh-TW"/>
        </w:rPr>
        <w:t>质量保修办法》、河南省及</w:t>
      </w:r>
      <w:r>
        <w:rPr>
          <w:rFonts w:hint="eastAsia" w:ascii="宋体" w:hAnsi="宋体"/>
          <w:color w:val="auto"/>
          <w:sz w:val="24"/>
          <w:szCs w:val="24"/>
          <w:highlight w:val="none"/>
          <w:u w:val="single" w:color="000000"/>
          <w:lang w:val="zh-TW"/>
        </w:rPr>
        <w:t>三门峡</w:t>
      </w:r>
      <w:r>
        <w:rPr>
          <w:rFonts w:hint="eastAsia" w:ascii="宋体" w:hAnsi="宋体"/>
          <w:color w:val="auto"/>
          <w:sz w:val="24"/>
          <w:szCs w:val="24"/>
          <w:highlight w:val="none"/>
          <w:u w:val="single" w:color="000000"/>
          <w:lang w:val="zh-TW" w:eastAsia="zh-TW"/>
        </w:rPr>
        <w:t>市关于安全文明施工的法规、条例和行政规范性文件等</w:t>
      </w:r>
      <w:r>
        <w:rPr>
          <w:rFonts w:hint="eastAsia" w:ascii="宋体" w:hAnsi="宋体"/>
          <w:color w:val="auto"/>
          <w:sz w:val="24"/>
          <w:szCs w:val="24"/>
          <w:highlight w:val="none"/>
        </w:rPr>
        <w:t>。</w:t>
      </w:r>
    </w:p>
    <w:p w14:paraId="7A29A29A">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1.4 标准和规范</w:t>
      </w:r>
    </w:p>
    <w:p w14:paraId="3BC291F5">
      <w:pPr>
        <w:shd w:val="clear" w:color="auto" w:fill="auto"/>
        <w:spacing w:line="38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1.4.1适用于工程的标准规范包括：</w:t>
      </w:r>
      <w:r>
        <w:rPr>
          <w:rFonts w:hint="eastAsia" w:ascii="宋体" w:hAnsi="宋体"/>
          <w:color w:val="auto"/>
          <w:sz w:val="24"/>
          <w:szCs w:val="24"/>
          <w:highlight w:val="none"/>
          <w:u w:val="single" w:color="000000"/>
          <w:lang w:val="zh-TW" w:eastAsia="zh-TW"/>
        </w:rPr>
        <w:t>《建设工程工程量清单计价规范》（</w:t>
      </w:r>
      <w:r>
        <w:rPr>
          <w:rFonts w:hint="eastAsia" w:ascii="宋体" w:hAnsi="宋体"/>
          <w:color w:val="auto"/>
          <w:sz w:val="24"/>
          <w:szCs w:val="24"/>
          <w:highlight w:val="none"/>
          <w:u w:val="single" w:color="000000"/>
        </w:rPr>
        <w:t>GB50500-2013</w:t>
      </w:r>
      <w:r>
        <w:rPr>
          <w:rFonts w:hint="eastAsia" w:ascii="宋体" w:hAnsi="宋体"/>
          <w:color w:val="auto"/>
          <w:sz w:val="24"/>
          <w:szCs w:val="24"/>
          <w:highlight w:val="none"/>
          <w:u w:val="single" w:color="000000"/>
          <w:lang w:val="zh-TW" w:eastAsia="zh-TW"/>
        </w:rPr>
        <w:t>）、《</w:t>
      </w:r>
      <w:r>
        <w:rPr>
          <w:rFonts w:hint="eastAsia" w:ascii="宋体" w:hAnsi="宋体"/>
          <w:color w:val="auto"/>
          <w:sz w:val="24"/>
          <w:szCs w:val="24"/>
          <w:highlight w:val="none"/>
          <w:u w:val="single" w:color="000000"/>
          <w:lang w:val="zh-TW" w:eastAsia="zh-CN"/>
        </w:rPr>
        <w:t>建筑工程</w:t>
      </w:r>
      <w:r>
        <w:rPr>
          <w:rFonts w:hint="eastAsia" w:ascii="宋体" w:hAnsi="宋体"/>
          <w:color w:val="auto"/>
          <w:sz w:val="24"/>
          <w:szCs w:val="24"/>
          <w:highlight w:val="none"/>
          <w:u w:val="single" w:color="000000"/>
          <w:lang w:val="zh-TW" w:eastAsia="zh-TW"/>
        </w:rPr>
        <w:t>施工质量验收统一标准》等现行国家标准、规范等</w:t>
      </w:r>
      <w:r>
        <w:rPr>
          <w:rFonts w:hint="eastAsia" w:ascii="宋体" w:hAnsi="宋体"/>
          <w:color w:val="auto"/>
          <w:sz w:val="24"/>
          <w:szCs w:val="24"/>
          <w:highlight w:val="none"/>
        </w:rPr>
        <w:t>。</w:t>
      </w:r>
    </w:p>
    <w:p w14:paraId="630F4C41">
      <w:pPr>
        <w:shd w:val="clear" w:color="auto" w:fill="auto"/>
        <w:spacing w:line="380" w:lineRule="exact"/>
        <w:ind w:firstLine="480" w:firstLineChars="200"/>
        <w:outlineLvl w:val="0"/>
        <w:rPr>
          <w:rFonts w:hint="eastAsia" w:ascii="宋体" w:hAnsi="宋体"/>
          <w:color w:val="auto"/>
          <w:kern w:val="0"/>
          <w:sz w:val="24"/>
          <w:szCs w:val="24"/>
          <w:highlight w:val="none"/>
        </w:rPr>
      </w:pPr>
      <w:bookmarkStart w:id="540" w:name="_Toc29816"/>
      <w:bookmarkStart w:id="541" w:name="_Toc8531"/>
      <w:bookmarkStart w:id="542" w:name="_Toc7481"/>
      <w:bookmarkStart w:id="543" w:name="_Toc17608"/>
      <w:bookmarkStart w:id="544" w:name="_Toc26784"/>
      <w:bookmarkStart w:id="545" w:name="_Toc9718"/>
      <w:bookmarkStart w:id="546" w:name="_Toc3436"/>
      <w:bookmarkStart w:id="547" w:name="_Toc14271"/>
      <w:r>
        <w:rPr>
          <w:rFonts w:hint="eastAsia" w:ascii="宋体" w:hAnsi="宋体"/>
          <w:color w:val="auto"/>
          <w:kern w:val="0"/>
          <w:sz w:val="24"/>
          <w:szCs w:val="24"/>
          <w:highlight w:val="none"/>
        </w:rPr>
        <w:t>1.4.2 发包人提供国外标准、规范的名称：</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bookmarkEnd w:id="540"/>
      <w:bookmarkEnd w:id="541"/>
      <w:bookmarkEnd w:id="542"/>
      <w:bookmarkEnd w:id="543"/>
      <w:bookmarkEnd w:id="544"/>
      <w:bookmarkEnd w:id="545"/>
      <w:bookmarkEnd w:id="546"/>
      <w:bookmarkEnd w:id="547"/>
    </w:p>
    <w:p w14:paraId="50F3B105">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发包人提供国外标准、规范的份数：</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34BF4D50">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kern w:val="0"/>
          <w:sz w:val="24"/>
          <w:szCs w:val="24"/>
          <w:highlight w:val="none"/>
        </w:rPr>
        <w:t>发包人提供国外标准、规范的名称：</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566B3FC2">
      <w:pPr>
        <w:shd w:val="clear" w:color="auto" w:fill="auto"/>
        <w:spacing w:line="38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1.4.3发包人对工程的技术标准和功能要求的特殊要求：</w:t>
      </w:r>
    </w:p>
    <w:p w14:paraId="03835A4F">
      <w:pPr>
        <w:widowControl/>
        <w:shd w:val="clear" w:color="auto" w:fill="auto"/>
        <w:spacing w:line="380" w:lineRule="exact"/>
        <w:ind w:firstLine="482"/>
        <w:jc w:val="left"/>
        <w:rPr>
          <w:rFonts w:hint="eastAsia" w:ascii="宋体" w:hAnsi="宋体" w:cs="宋体"/>
          <w:color w:val="auto"/>
          <w:kern w:val="0"/>
          <w:sz w:val="24"/>
          <w:szCs w:val="24"/>
          <w:highlight w:val="none"/>
          <w:u w:val="single" w:color="000000"/>
          <w:lang w:val="zh-TW" w:eastAsia="zh-TW"/>
        </w:rPr>
      </w:pPr>
      <w:r>
        <w:rPr>
          <w:rFonts w:hint="eastAsia" w:ascii="宋体" w:hAnsi="宋体" w:cs="宋体"/>
          <w:color w:val="auto"/>
          <w:kern w:val="0"/>
          <w:sz w:val="24"/>
          <w:szCs w:val="24"/>
          <w:highlight w:val="none"/>
          <w:u w:val="single" w:color="000000"/>
          <w:lang w:val="zh-TW" w:eastAsia="zh-TW"/>
        </w:rPr>
        <w:t>如遇遗漏所需施工的工程规范，承包人应征得监理工程师和发包人代表同意，补充规范以满足合同要求。</w:t>
      </w:r>
    </w:p>
    <w:p w14:paraId="73F1E9B0">
      <w:pPr>
        <w:widowControl/>
        <w:shd w:val="clear" w:color="auto" w:fill="auto"/>
        <w:spacing w:line="380" w:lineRule="exact"/>
        <w:ind w:firstLine="482"/>
        <w:jc w:val="left"/>
        <w:rPr>
          <w:rFonts w:hint="eastAsia" w:ascii="宋体" w:hAnsi="宋体" w:cs="宋体"/>
          <w:color w:val="auto"/>
          <w:kern w:val="0"/>
          <w:sz w:val="24"/>
          <w:szCs w:val="24"/>
          <w:highlight w:val="none"/>
          <w:u w:val="single" w:color="000000"/>
          <w:lang w:val="zh-TW" w:eastAsia="zh-TW"/>
        </w:rPr>
      </w:pPr>
      <w:r>
        <w:rPr>
          <w:rFonts w:hint="eastAsia" w:ascii="宋体" w:hAnsi="宋体" w:cs="宋体"/>
          <w:color w:val="auto"/>
          <w:kern w:val="0"/>
          <w:sz w:val="24"/>
          <w:szCs w:val="24"/>
          <w:highlight w:val="none"/>
          <w:u w:val="single" w:color="000000"/>
          <w:lang w:val="zh-TW" w:eastAsia="zh-TW"/>
        </w:rPr>
        <w:t>如遇设计或施工规范和标准对同一问题的处理出现相互矛盾的情况时，承包人应通知监理工程师，提出解决办法并征得监理工程师和发包人代表的同意。</w:t>
      </w:r>
    </w:p>
    <w:p w14:paraId="0DD74912">
      <w:pPr>
        <w:widowControl/>
        <w:shd w:val="clear" w:color="auto" w:fill="auto"/>
        <w:spacing w:line="380" w:lineRule="exact"/>
        <w:ind w:firstLine="482"/>
        <w:jc w:val="left"/>
        <w:rPr>
          <w:rFonts w:hint="eastAsia" w:ascii="宋体" w:hAnsi="宋体" w:cs="宋体"/>
          <w:color w:val="auto"/>
          <w:kern w:val="0"/>
          <w:sz w:val="24"/>
          <w:szCs w:val="24"/>
          <w:highlight w:val="none"/>
          <w:u w:val="single" w:color="000000"/>
          <w:lang w:val="zh-TW" w:eastAsia="zh-TW"/>
        </w:rPr>
      </w:pPr>
      <w:r>
        <w:rPr>
          <w:rFonts w:hint="eastAsia" w:ascii="宋体" w:hAnsi="宋体"/>
          <w:color w:val="auto"/>
          <w:sz w:val="24"/>
          <w:szCs w:val="24"/>
          <w:highlight w:val="none"/>
          <w:u w:val="single"/>
          <w:lang w:val="zh-TW" w:eastAsia="zh-TW"/>
        </w:rPr>
        <w:t>施工所用的规范及标准应采用最新版本，除非所使用规范、监理工程师书面通知或合同中另有规定</w:t>
      </w:r>
      <w:r>
        <w:rPr>
          <w:rFonts w:hint="eastAsia" w:ascii="宋体" w:hAnsi="宋体"/>
          <w:color w:val="auto"/>
          <w:sz w:val="24"/>
          <w:szCs w:val="24"/>
          <w:highlight w:val="none"/>
        </w:rPr>
        <w:t>。</w:t>
      </w:r>
    </w:p>
    <w:p w14:paraId="2923AF76">
      <w:pPr>
        <w:shd w:val="clear" w:color="auto" w:fill="auto"/>
        <w:spacing w:line="380" w:lineRule="exact"/>
        <w:ind w:firstLine="480" w:firstLineChars="200"/>
        <w:outlineLvl w:val="0"/>
        <w:rPr>
          <w:rFonts w:hint="eastAsia" w:ascii="宋体" w:hAnsi="宋体"/>
          <w:color w:val="auto"/>
          <w:sz w:val="24"/>
          <w:szCs w:val="24"/>
          <w:highlight w:val="none"/>
        </w:rPr>
      </w:pPr>
      <w:bookmarkStart w:id="548" w:name="_Toc5833"/>
      <w:bookmarkStart w:id="549" w:name="_Toc15485"/>
      <w:bookmarkStart w:id="550" w:name="_Toc32029"/>
      <w:bookmarkStart w:id="551" w:name="_Toc19049"/>
      <w:bookmarkStart w:id="552" w:name="_Toc14278"/>
      <w:bookmarkStart w:id="553" w:name="_Toc10302"/>
      <w:bookmarkStart w:id="554" w:name="_Toc4785"/>
      <w:bookmarkStart w:id="555" w:name="_Toc22939"/>
      <w:r>
        <w:rPr>
          <w:rFonts w:hint="eastAsia" w:ascii="宋体" w:hAnsi="宋体"/>
          <w:color w:val="auto"/>
          <w:sz w:val="24"/>
          <w:szCs w:val="24"/>
          <w:highlight w:val="none"/>
        </w:rPr>
        <w:t>1.5 合同文件的优先顺序</w:t>
      </w:r>
      <w:bookmarkEnd w:id="548"/>
      <w:bookmarkEnd w:id="549"/>
      <w:bookmarkEnd w:id="550"/>
      <w:bookmarkEnd w:id="551"/>
      <w:bookmarkEnd w:id="552"/>
      <w:bookmarkEnd w:id="553"/>
      <w:bookmarkEnd w:id="554"/>
      <w:bookmarkEnd w:id="555"/>
    </w:p>
    <w:p w14:paraId="4C5C530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合同文件组成及优先顺序为：</w:t>
      </w:r>
      <w:r>
        <w:rPr>
          <w:rFonts w:hint="eastAsia" w:ascii="宋体" w:hAnsi="宋体"/>
          <w:color w:val="auto"/>
          <w:sz w:val="24"/>
          <w:szCs w:val="24"/>
          <w:highlight w:val="none"/>
          <w:u w:val="single" w:color="000000"/>
          <w:lang w:val="zh-TW" w:eastAsia="zh-TW"/>
        </w:rPr>
        <w:t>按照本合同第一部分合同协议书第六条处理，本合同处于最优先地位。合同履行中签订的补充或修改合同文书并入本合同</w:t>
      </w:r>
      <w:r>
        <w:rPr>
          <w:rFonts w:hint="eastAsia" w:ascii="宋体" w:hAnsi="宋体"/>
          <w:color w:val="auto"/>
          <w:sz w:val="24"/>
          <w:szCs w:val="24"/>
          <w:highlight w:val="none"/>
        </w:rPr>
        <w:t>。</w:t>
      </w:r>
    </w:p>
    <w:p w14:paraId="01D44877">
      <w:pPr>
        <w:shd w:val="clear" w:color="auto" w:fill="auto"/>
        <w:spacing w:line="380" w:lineRule="exact"/>
        <w:ind w:firstLine="480" w:firstLineChars="200"/>
        <w:outlineLvl w:val="0"/>
        <w:rPr>
          <w:rFonts w:hint="eastAsia" w:ascii="宋体" w:hAnsi="宋体"/>
          <w:color w:val="auto"/>
          <w:sz w:val="24"/>
          <w:szCs w:val="24"/>
          <w:highlight w:val="none"/>
        </w:rPr>
      </w:pPr>
      <w:bookmarkStart w:id="556" w:name="_Toc28045"/>
      <w:bookmarkStart w:id="557" w:name="_Toc1278"/>
      <w:bookmarkStart w:id="558" w:name="_Toc2477"/>
      <w:bookmarkStart w:id="559" w:name="_Toc8185"/>
      <w:bookmarkStart w:id="560" w:name="_Toc13900"/>
      <w:bookmarkStart w:id="561" w:name="_Toc12786"/>
      <w:bookmarkStart w:id="562" w:name="_Toc32741"/>
      <w:bookmarkStart w:id="563" w:name="_Toc12742"/>
      <w:r>
        <w:rPr>
          <w:rFonts w:hint="eastAsia" w:ascii="宋体" w:hAnsi="宋体"/>
          <w:color w:val="auto"/>
          <w:sz w:val="24"/>
          <w:szCs w:val="24"/>
          <w:highlight w:val="none"/>
        </w:rPr>
        <w:t>1.6 图纸和承包人文件</w:t>
      </w:r>
      <w:bookmarkEnd w:id="556"/>
      <w:bookmarkEnd w:id="557"/>
      <w:bookmarkEnd w:id="558"/>
      <w:bookmarkEnd w:id="559"/>
      <w:bookmarkEnd w:id="560"/>
      <w:bookmarkEnd w:id="561"/>
      <w:bookmarkEnd w:id="562"/>
      <w:bookmarkEnd w:id="563"/>
      <w:r>
        <w:rPr>
          <w:rFonts w:hint="eastAsia" w:ascii="宋体" w:hAnsi="宋体"/>
          <w:color w:val="auto"/>
          <w:sz w:val="24"/>
          <w:szCs w:val="24"/>
          <w:highlight w:val="none"/>
        </w:rPr>
        <w:tab/>
      </w:r>
    </w:p>
    <w:p w14:paraId="525F552A">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1.6.1 图纸的提供</w:t>
      </w:r>
    </w:p>
    <w:p w14:paraId="691A35DC">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发包人向承包人提供图纸的期限：</w:t>
      </w:r>
      <w:r>
        <w:rPr>
          <w:rFonts w:hint="eastAsia" w:ascii="宋体" w:hAnsi="宋体" w:cs="宋体"/>
          <w:color w:val="auto"/>
          <w:sz w:val="24"/>
          <w:szCs w:val="24"/>
          <w:highlight w:val="none"/>
          <w:u w:val="single"/>
          <w:lang w:bidi="ar"/>
        </w:rPr>
        <w:t>开工前7天</w:t>
      </w:r>
      <w:r>
        <w:rPr>
          <w:rFonts w:hint="eastAsia" w:ascii="宋体" w:hAnsi="宋体"/>
          <w:color w:val="auto"/>
          <w:sz w:val="24"/>
          <w:szCs w:val="24"/>
          <w:highlight w:val="none"/>
        </w:rPr>
        <w:t>；</w:t>
      </w:r>
    </w:p>
    <w:p w14:paraId="73963D6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发包人向承包人提供图纸的数量：；</w:t>
      </w:r>
    </w:p>
    <w:p w14:paraId="7855282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发包人向承包人提供图纸的内容：</w:t>
      </w:r>
      <w:r>
        <w:rPr>
          <w:rFonts w:hint="eastAsia" w:ascii="宋体" w:hAnsi="宋体" w:cs="宋体"/>
          <w:color w:val="auto"/>
          <w:sz w:val="24"/>
          <w:szCs w:val="24"/>
          <w:highlight w:val="none"/>
          <w:u w:val="single"/>
          <w:lang w:bidi="ar"/>
        </w:rPr>
        <w:t xml:space="preserve">详见图纸目录    </w:t>
      </w:r>
      <w:r>
        <w:rPr>
          <w:rFonts w:hint="eastAsia" w:ascii="宋体" w:hAnsi="宋体"/>
          <w:color w:val="auto"/>
          <w:sz w:val="24"/>
          <w:szCs w:val="24"/>
          <w:highlight w:val="none"/>
        </w:rPr>
        <w:t>。</w:t>
      </w:r>
    </w:p>
    <w:p w14:paraId="5C5B7E2D">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1.6.4 承包人文件</w:t>
      </w:r>
    </w:p>
    <w:p w14:paraId="3FBF6471">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需要由承包人提供的文件，包括：</w:t>
      </w:r>
      <w:r>
        <w:rPr>
          <w:rFonts w:hint="eastAsia" w:ascii="宋体" w:hAnsi="宋体" w:cs="宋体"/>
          <w:color w:val="auto"/>
          <w:sz w:val="24"/>
          <w:szCs w:val="24"/>
          <w:highlight w:val="none"/>
          <w:u w:val="single"/>
          <w:lang w:bidi="ar"/>
        </w:rPr>
        <w:t>施工组织设计及方案、施工过程管控资料及相关会议纪要、联系函等文件</w:t>
      </w:r>
      <w:r>
        <w:rPr>
          <w:rFonts w:hint="eastAsia" w:ascii="宋体" w:hAnsi="宋体"/>
          <w:color w:val="auto"/>
          <w:sz w:val="24"/>
          <w:szCs w:val="24"/>
          <w:highlight w:val="none"/>
        </w:rPr>
        <w:t>；</w:t>
      </w:r>
    </w:p>
    <w:p w14:paraId="7DD02DDA">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承包人提供的文件的期限为：</w:t>
      </w:r>
      <w:r>
        <w:rPr>
          <w:rFonts w:hint="eastAsia" w:ascii="宋体" w:hAnsi="宋体" w:cs="宋体"/>
          <w:color w:val="auto"/>
          <w:sz w:val="24"/>
          <w:szCs w:val="24"/>
          <w:highlight w:val="none"/>
          <w:u w:val="single"/>
          <w:lang w:bidi="ar"/>
        </w:rPr>
        <w:t>按基本要求</w:t>
      </w:r>
      <w:r>
        <w:rPr>
          <w:rFonts w:hint="eastAsia" w:ascii="宋体" w:hAnsi="宋体"/>
          <w:color w:val="auto"/>
          <w:sz w:val="24"/>
          <w:szCs w:val="24"/>
          <w:highlight w:val="none"/>
        </w:rPr>
        <w:t>；</w:t>
      </w:r>
    </w:p>
    <w:p w14:paraId="3347F7D0">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承包人提供的文件的数量为：</w:t>
      </w:r>
      <w:r>
        <w:rPr>
          <w:rFonts w:hint="eastAsia" w:ascii="宋体" w:hAnsi="宋体" w:cs="宋体"/>
          <w:color w:val="auto"/>
          <w:sz w:val="24"/>
          <w:szCs w:val="24"/>
          <w:highlight w:val="none"/>
          <w:u w:val="single"/>
          <w:lang w:bidi="ar"/>
        </w:rPr>
        <w:t>按基本要求</w:t>
      </w:r>
      <w:r>
        <w:rPr>
          <w:rFonts w:hint="eastAsia" w:ascii="宋体" w:hAnsi="宋体"/>
          <w:color w:val="auto"/>
          <w:sz w:val="24"/>
          <w:szCs w:val="24"/>
          <w:highlight w:val="none"/>
        </w:rPr>
        <w:t>；</w:t>
      </w:r>
    </w:p>
    <w:p w14:paraId="0914EF33">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承包人提供的文件的形式为：</w:t>
      </w:r>
      <w:r>
        <w:rPr>
          <w:rFonts w:hint="eastAsia" w:ascii="宋体" w:hAnsi="宋体" w:cs="宋体"/>
          <w:color w:val="auto"/>
          <w:sz w:val="24"/>
          <w:szCs w:val="24"/>
          <w:highlight w:val="none"/>
          <w:u w:val="single"/>
          <w:lang w:bidi="ar"/>
        </w:rPr>
        <w:t>纸质</w:t>
      </w:r>
      <w:r>
        <w:rPr>
          <w:rFonts w:hint="eastAsia" w:ascii="宋体" w:hAnsi="宋体"/>
          <w:color w:val="auto"/>
          <w:sz w:val="24"/>
          <w:szCs w:val="24"/>
          <w:highlight w:val="none"/>
        </w:rPr>
        <w:t>；</w:t>
      </w:r>
    </w:p>
    <w:p w14:paraId="542DA92F">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发包人审批承包人文件的期限：</w:t>
      </w:r>
      <w:r>
        <w:rPr>
          <w:rFonts w:hint="eastAsia" w:ascii="宋体" w:hAnsi="宋体" w:cs="宋体"/>
          <w:color w:val="auto"/>
          <w:sz w:val="24"/>
          <w:szCs w:val="24"/>
          <w:highlight w:val="none"/>
          <w:u w:val="single"/>
          <w:lang w:bidi="ar"/>
        </w:rPr>
        <w:t>七日内</w:t>
      </w:r>
      <w:r>
        <w:rPr>
          <w:rFonts w:hint="eastAsia" w:ascii="宋体" w:hAnsi="宋体"/>
          <w:color w:val="auto"/>
          <w:sz w:val="24"/>
          <w:szCs w:val="24"/>
          <w:highlight w:val="none"/>
        </w:rPr>
        <w:t>。</w:t>
      </w:r>
    </w:p>
    <w:p w14:paraId="48417DBC">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1.6.5 现场图纸准备</w:t>
      </w:r>
    </w:p>
    <w:p w14:paraId="5E410BC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关于现场图纸准备的约定：</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27F3FD2D">
      <w:pPr>
        <w:shd w:val="clear" w:color="auto" w:fill="auto"/>
        <w:spacing w:line="380" w:lineRule="exact"/>
        <w:ind w:firstLine="480" w:firstLineChars="200"/>
        <w:outlineLvl w:val="0"/>
        <w:rPr>
          <w:rFonts w:hint="eastAsia" w:ascii="宋体" w:hAnsi="宋体"/>
          <w:color w:val="auto"/>
          <w:sz w:val="24"/>
          <w:szCs w:val="24"/>
          <w:highlight w:val="none"/>
        </w:rPr>
      </w:pPr>
      <w:bookmarkStart w:id="564" w:name="_Toc22947"/>
      <w:bookmarkStart w:id="565" w:name="_Toc32560"/>
      <w:bookmarkStart w:id="566" w:name="_Toc21272"/>
      <w:bookmarkStart w:id="567" w:name="_Toc9273"/>
      <w:bookmarkStart w:id="568" w:name="_Toc23676"/>
      <w:bookmarkStart w:id="569" w:name="_Toc2154"/>
      <w:bookmarkStart w:id="570" w:name="_Toc9890"/>
      <w:bookmarkStart w:id="571" w:name="_Toc22565"/>
      <w:r>
        <w:rPr>
          <w:rFonts w:hint="eastAsia" w:ascii="宋体" w:hAnsi="宋体"/>
          <w:color w:val="auto"/>
          <w:sz w:val="24"/>
          <w:szCs w:val="24"/>
          <w:highlight w:val="none"/>
        </w:rPr>
        <w:t>1.7 联络</w:t>
      </w:r>
      <w:bookmarkEnd w:id="564"/>
      <w:bookmarkEnd w:id="565"/>
      <w:bookmarkEnd w:id="566"/>
      <w:bookmarkEnd w:id="567"/>
      <w:bookmarkEnd w:id="568"/>
      <w:bookmarkEnd w:id="569"/>
      <w:bookmarkEnd w:id="570"/>
      <w:bookmarkEnd w:id="571"/>
    </w:p>
    <w:p w14:paraId="0EF9A1A0">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1.7.1发包人和承包人应当在</w:t>
      </w:r>
      <w:r>
        <w:rPr>
          <w:rFonts w:hint="eastAsia" w:ascii="宋体" w:hAnsi="宋体"/>
          <w:color w:val="auto"/>
          <w:sz w:val="24"/>
          <w:szCs w:val="24"/>
          <w:highlight w:val="none"/>
          <w:u w:val="single"/>
        </w:rPr>
        <w:t>7</w:t>
      </w:r>
      <w:r>
        <w:rPr>
          <w:rFonts w:hint="eastAsia" w:ascii="宋体" w:hAnsi="宋体"/>
          <w:color w:val="auto"/>
          <w:kern w:val="0"/>
          <w:sz w:val="24"/>
          <w:szCs w:val="24"/>
          <w:highlight w:val="none"/>
        </w:rPr>
        <w:t>天内将与合同有关的通知、批准、证明、证书、指示、指令、要求、请求、同意、意见、确定和决定等书面函件送达对方当事人。</w:t>
      </w:r>
    </w:p>
    <w:p w14:paraId="40609DDB">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1.7.2 发包人接收文件的地点：</w:t>
      </w:r>
      <w:r>
        <w:rPr>
          <w:rFonts w:hint="eastAsia" w:ascii="宋体" w:hAnsi="宋体"/>
          <w:color w:val="auto"/>
          <w:sz w:val="24"/>
          <w:szCs w:val="24"/>
          <w:highlight w:val="none"/>
          <w:u w:val="single"/>
          <w:lang w:val="zh-TW" w:eastAsia="zh-TW"/>
        </w:rPr>
        <w:t>发包人办公地点</w:t>
      </w:r>
      <w:r>
        <w:rPr>
          <w:rFonts w:hint="eastAsia" w:ascii="宋体" w:hAnsi="宋体"/>
          <w:color w:val="auto"/>
          <w:kern w:val="0"/>
          <w:sz w:val="24"/>
          <w:szCs w:val="24"/>
          <w:highlight w:val="none"/>
        </w:rPr>
        <w:t>；</w:t>
      </w:r>
    </w:p>
    <w:p w14:paraId="340703B4">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发包人指定的接收人为：</w:t>
      </w:r>
      <w:r>
        <w:rPr>
          <w:rFonts w:hint="eastAsia" w:ascii="宋体" w:hAnsi="宋体"/>
          <w:color w:val="auto"/>
          <w:sz w:val="24"/>
          <w:szCs w:val="24"/>
          <w:highlight w:val="none"/>
          <w:u w:val="single"/>
          <w:lang w:val="zh-TW" w:eastAsia="zh-TW"/>
        </w:rPr>
        <w:t>发包人代表</w:t>
      </w:r>
      <w:r>
        <w:rPr>
          <w:rFonts w:hint="eastAsia" w:ascii="宋体" w:hAnsi="宋体"/>
          <w:color w:val="auto"/>
          <w:kern w:val="0"/>
          <w:sz w:val="24"/>
          <w:szCs w:val="24"/>
          <w:highlight w:val="none"/>
        </w:rPr>
        <w:t>。</w:t>
      </w:r>
    </w:p>
    <w:p w14:paraId="30202D94">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承包人接收文件的地点：</w:t>
      </w:r>
      <w:r>
        <w:rPr>
          <w:rFonts w:hint="eastAsia" w:ascii="宋体" w:hAnsi="宋体"/>
          <w:color w:val="auto"/>
          <w:sz w:val="24"/>
          <w:szCs w:val="24"/>
          <w:highlight w:val="none"/>
          <w:u w:val="single"/>
          <w:lang w:val="zh-TW" w:eastAsia="zh-TW"/>
        </w:rPr>
        <w:t>承包人工程项目部</w:t>
      </w:r>
      <w:r>
        <w:rPr>
          <w:rFonts w:hint="eastAsia" w:ascii="宋体" w:hAnsi="宋体"/>
          <w:color w:val="auto"/>
          <w:kern w:val="0"/>
          <w:sz w:val="24"/>
          <w:szCs w:val="24"/>
          <w:highlight w:val="none"/>
        </w:rPr>
        <w:t>；</w:t>
      </w:r>
    </w:p>
    <w:p w14:paraId="0E85B259">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承包人指定的接收人为：</w:t>
      </w:r>
      <w:r>
        <w:rPr>
          <w:rFonts w:hint="eastAsia" w:ascii="宋体" w:hAnsi="宋体"/>
          <w:color w:val="auto"/>
          <w:sz w:val="24"/>
          <w:szCs w:val="24"/>
          <w:highlight w:val="none"/>
          <w:u w:val="single"/>
          <w:lang w:val="zh-TW" w:eastAsia="zh-TW"/>
        </w:rPr>
        <w:t>项目经理</w:t>
      </w:r>
      <w:r>
        <w:rPr>
          <w:rFonts w:hint="eastAsia" w:ascii="宋体" w:hAnsi="宋体"/>
          <w:color w:val="auto"/>
          <w:kern w:val="0"/>
          <w:sz w:val="24"/>
          <w:szCs w:val="24"/>
          <w:highlight w:val="none"/>
        </w:rPr>
        <w:t>。</w:t>
      </w:r>
    </w:p>
    <w:p w14:paraId="592CB0AE">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监理人接收文件的地点：</w:t>
      </w:r>
      <w:r>
        <w:rPr>
          <w:rFonts w:hint="eastAsia" w:ascii="宋体" w:hAnsi="宋体"/>
          <w:color w:val="auto"/>
          <w:sz w:val="24"/>
          <w:szCs w:val="24"/>
          <w:highlight w:val="none"/>
          <w:u w:val="single"/>
          <w:lang w:val="zh-TW" w:eastAsia="zh-TW"/>
        </w:rPr>
        <w:t>监理项目部</w:t>
      </w:r>
      <w:r>
        <w:rPr>
          <w:rFonts w:hint="eastAsia" w:ascii="宋体" w:hAnsi="宋体"/>
          <w:color w:val="auto"/>
          <w:kern w:val="0"/>
          <w:sz w:val="24"/>
          <w:szCs w:val="24"/>
          <w:highlight w:val="none"/>
        </w:rPr>
        <w:t>；</w:t>
      </w:r>
    </w:p>
    <w:p w14:paraId="29852F1F">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监理人指定的接收人为：</w:t>
      </w:r>
      <w:r>
        <w:rPr>
          <w:rFonts w:hint="eastAsia" w:ascii="宋体" w:hAnsi="宋体"/>
          <w:color w:val="auto"/>
          <w:sz w:val="24"/>
          <w:szCs w:val="24"/>
          <w:highlight w:val="none"/>
          <w:u w:val="single"/>
          <w:lang w:val="zh-TW" w:eastAsia="zh-TW"/>
        </w:rPr>
        <w:t>项目总监</w:t>
      </w:r>
      <w:r>
        <w:rPr>
          <w:rFonts w:hint="eastAsia" w:ascii="宋体" w:hAnsi="宋体"/>
          <w:color w:val="auto"/>
          <w:kern w:val="0"/>
          <w:sz w:val="24"/>
          <w:szCs w:val="24"/>
          <w:highlight w:val="none"/>
        </w:rPr>
        <w:t>。</w:t>
      </w:r>
    </w:p>
    <w:p w14:paraId="151E94DC">
      <w:pPr>
        <w:shd w:val="clear" w:color="auto" w:fill="auto"/>
        <w:spacing w:line="380" w:lineRule="exact"/>
        <w:ind w:firstLine="480" w:firstLineChars="200"/>
        <w:outlineLvl w:val="0"/>
        <w:rPr>
          <w:rFonts w:hint="eastAsia" w:ascii="宋体" w:hAnsi="宋体"/>
          <w:color w:val="auto"/>
          <w:sz w:val="24"/>
          <w:szCs w:val="24"/>
          <w:highlight w:val="none"/>
        </w:rPr>
      </w:pPr>
      <w:bookmarkStart w:id="572" w:name="_Toc2508"/>
      <w:bookmarkStart w:id="573" w:name="_Toc21604"/>
      <w:bookmarkStart w:id="574" w:name="_Toc25614"/>
      <w:bookmarkStart w:id="575" w:name="_Toc19491"/>
      <w:bookmarkStart w:id="576" w:name="_Toc27458"/>
      <w:bookmarkStart w:id="577" w:name="_Toc19893"/>
      <w:bookmarkStart w:id="578" w:name="_Toc7819"/>
      <w:bookmarkStart w:id="579" w:name="_Toc9600"/>
      <w:r>
        <w:rPr>
          <w:rFonts w:hint="eastAsia" w:ascii="宋体" w:hAnsi="宋体"/>
          <w:color w:val="auto"/>
          <w:sz w:val="24"/>
          <w:szCs w:val="24"/>
          <w:highlight w:val="none"/>
        </w:rPr>
        <w:t>1.10 交通运输</w:t>
      </w:r>
      <w:bookmarkEnd w:id="572"/>
      <w:bookmarkEnd w:id="573"/>
      <w:bookmarkEnd w:id="574"/>
      <w:bookmarkEnd w:id="575"/>
      <w:bookmarkEnd w:id="576"/>
      <w:bookmarkEnd w:id="577"/>
      <w:bookmarkEnd w:id="578"/>
      <w:bookmarkEnd w:id="579"/>
    </w:p>
    <w:p w14:paraId="53C14743">
      <w:pPr>
        <w:shd w:val="clear" w:color="auto" w:fill="auto"/>
        <w:spacing w:line="380" w:lineRule="exact"/>
        <w:ind w:firstLine="480" w:firstLineChars="200"/>
        <w:outlineLvl w:val="0"/>
        <w:rPr>
          <w:rFonts w:hint="eastAsia" w:ascii="宋体" w:hAnsi="宋体"/>
          <w:color w:val="auto"/>
          <w:sz w:val="24"/>
          <w:szCs w:val="24"/>
          <w:highlight w:val="none"/>
        </w:rPr>
      </w:pPr>
      <w:bookmarkStart w:id="580" w:name="_Toc26127"/>
      <w:bookmarkStart w:id="581" w:name="_Toc21983"/>
      <w:bookmarkStart w:id="582" w:name="_Toc14894"/>
      <w:bookmarkStart w:id="583" w:name="_Toc7381"/>
      <w:bookmarkStart w:id="584" w:name="_Toc14855"/>
      <w:bookmarkStart w:id="585" w:name="_Toc29818"/>
      <w:bookmarkStart w:id="586" w:name="_Toc16686"/>
      <w:bookmarkStart w:id="587" w:name="_Toc23966"/>
      <w:r>
        <w:rPr>
          <w:rFonts w:hint="eastAsia" w:ascii="宋体" w:hAnsi="宋体"/>
          <w:color w:val="auto"/>
          <w:sz w:val="24"/>
          <w:szCs w:val="24"/>
          <w:highlight w:val="none"/>
        </w:rPr>
        <w:t>1</w:t>
      </w:r>
      <w:bookmarkStart w:id="588" w:name="_Toc300934943"/>
      <w:bookmarkStart w:id="589" w:name="_Toc312677986"/>
      <w:bookmarkStart w:id="590" w:name="_Toc303539100"/>
      <w:bookmarkStart w:id="591" w:name="_Toc304295521"/>
      <w:bookmarkStart w:id="592" w:name="_Toc318581155"/>
      <w:r>
        <w:rPr>
          <w:rFonts w:hint="eastAsia" w:ascii="宋体" w:hAnsi="宋体"/>
          <w:color w:val="auto"/>
          <w:sz w:val="24"/>
          <w:szCs w:val="24"/>
          <w:highlight w:val="none"/>
        </w:rPr>
        <w:t>.10.1 出入现场的权利</w:t>
      </w:r>
      <w:bookmarkEnd w:id="580"/>
      <w:bookmarkEnd w:id="581"/>
      <w:bookmarkEnd w:id="582"/>
      <w:bookmarkEnd w:id="583"/>
      <w:bookmarkEnd w:id="584"/>
      <w:bookmarkEnd w:id="585"/>
      <w:bookmarkEnd w:id="586"/>
      <w:bookmarkEnd w:id="587"/>
    </w:p>
    <w:p w14:paraId="11FE7CC8">
      <w:pPr>
        <w:shd w:val="clear" w:color="auto" w:fill="auto"/>
        <w:spacing w:line="38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关于出入现场的权利的约定：</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bookmarkEnd w:id="588"/>
    <w:bookmarkEnd w:id="589"/>
    <w:bookmarkEnd w:id="590"/>
    <w:bookmarkEnd w:id="591"/>
    <w:bookmarkEnd w:id="592"/>
    <w:p w14:paraId="0C595F46">
      <w:pPr>
        <w:shd w:val="clear" w:color="auto" w:fill="auto"/>
        <w:spacing w:line="380" w:lineRule="exact"/>
        <w:ind w:firstLine="480" w:firstLineChars="200"/>
        <w:jc w:val="left"/>
        <w:outlineLvl w:val="0"/>
        <w:rPr>
          <w:rFonts w:hint="eastAsia" w:ascii="宋体" w:hAnsi="宋体"/>
          <w:color w:val="auto"/>
          <w:sz w:val="24"/>
          <w:szCs w:val="24"/>
          <w:highlight w:val="none"/>
        </w:rPr>
      </w:pPr>
      <w:bookmarkStart w:id="593" w:name="_Toc29938"/>
      <w:bookmarkStart w:id="594" w:name="_Toc26942"/>
      <w:bookmarkStart w:id="595" w:name="_Toc14787"/>
      <w:bookmarkStart w:id="596" w:name="_Toc9751"/>
      <w:bookmarkStart w:id="597" w:name="_Toc9547"/>
      <w:bookmarkStart w:id="598" w:name="_Toc22632"/>
      <w:bookmarkStart w:id="599" w:name="_Toc32733"/>
      <w:bookmarkStart w:id="600" w:name="_Toc10776"/>
      <w:r>
        <w:rPr>
          <w:rFonts w:hint="eastAsia" w:ascii="宋体" w:hAnsi="宋体"/>
          <w:color w:val="auto"/>
          <w:sz w:val="24"/>
          <w:szCs w:val="24"/>
          <w:highlight w:val="none"/>
        </w:rPr>
        <w:t>1</w:t>
      </w:r>
      <w:bookmarkStart w:id="601" w:name="_Toc303539101"/>
      <w:bookmarkStart w:id="602" w:name="_Toc304295522"/>
      <w:bookmarkStart w:id="603" w:name="_Toc300934944"/>
      <w:bookmarkStart w:id="604" w:name="_Toc312677987"/>
      <w:bookmarkStart w:id="605" w:name="_Toc318581156"/>
      <w:r>
        <w:rPr>
          <w:rFonts w:hint="eastAsia" w:ascii="宋体" w:hAnsi="宋体"/>
          <w:color w:val="auto"/>
          <w:sz w:val="24"/>
          <w:szCs w:val="24"/>
          <w:highlight w:val="none"/>
        </w:rPr>
        <w:t>.10.3 场内交通</w:t>
      </w:r>
      <w:bookmarkEnd w:id="593"/>
      <w:bookmarkEnd w:id="594"/>
      <w:bookmarkEnd w:id="595"/>
      <w:bookmarkEnd w:id="596"/>
      <w:bookmarkEnd w:id="597"/>
      <w:bookmarkEnd w:id="598"/>
      <w:bookmarkEnd w:id="599"/>
      <w:bookmarkEnd w:id="600"/>
    </w:p>
    <w:p w14:paraId="1C00925C">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关于场外交通和场内交通的边界的约定：</w:t>
      </w:r>
      <w:r>
        <w:rPr>
          <w:rFonts w:hint="eastAsia" w:ascii="宋体" w:hAnsi="宋体" w:cs="宋体"/>
          <w:color w:val="auto"/>
          <w:sz w:val="24"/>
          <w:szCs w:val="24"/>
          <w:highlight w:val="none"/>
          <w:u w:val="single"/>
          <w:lang w:bidi="ar"/>
        </w:rPr>
        <w:t>发包人根据施工需要，负责取得出入施工现场所需的批准手续和全部权利</w:t>
      </w:r>
      <w:r>
        <w:rPr>
          <w:rFonts w:hint="eastAsia" w:ascii="宋体" w:hAnsi="宋体"/>
          <w:color w:val="auto"/>
          <w:sz w:val="24"/>
          <w:szCs w:val="24"/>
          <w:highlight w:val="none"/>
        </w:rPr>
        <w:t>。</w:t>
      </w:r>
    </w:p>
    <w:p w14:paraId="65B9C4B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关于发包人向承包人免费提供满足工程施工需要的场内道路和交通设施的约定：</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bookmarkEnd w:id="601"/>
      <w:bookmarkEnd w:id="602"/>
      <w:bookmarkEnd w:id="603"/>
      <w:bookmarkEnd w:id="604"/>
      <w:bookmarkEnd w:id="605"/>
      <w:bookmarkStart w:id="606" w:name="_Toc318581157"/>
    </w:p>
    <w:p w14:paraId="0E3F1D13">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1.10.4超大件和超重件的运输</w:t>
      </w:r>
    </w:p>
    <w:p w14:paraId="2D21F71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运输超大件或超重件所需的道路和桥梁临时加固改造费用和其他有关费用由</w:t>
      </w:r>
      <w:r>
        <w:rPr>
          <w:rFonts w:hint="eastAsia" w:ascii="宋体" w:hAnsi="宋体" w:cs="宋体"/>
          <w:color w:val="auto"/>
          <w:sz w:val="24"/>
          <w:szCs w:val="24"/>
          <w:highlight w:val="none"/>
          <w:u w:val="single"/>
          <w:lang w:bidi="ar"/>
        </w:rPr>
        <w:t>承包人</w:t>
      </w:r>
      <w:r>
        <w:rPr>
          <w:rFonts w:hint="eastAsia" w:ascii="宋体" w:hAnsi="宋体"/>
          <w:color w:val="auto"/>
          <w:sz w:val="24"/>
          <w:szCs w:val="24"/>
          <w:highlight w:val="none"/>
        </w:rPr>
        <w:t>承担。</w:t>
      </w:r>
    </w:p>
    <w:bookmarkEnd w:id="606"/>
    <w:p w14:paraId="7C9FC150">
      <w:pPr>
        <w:shd w:val="clear" w:color="auto" w:fill="auto"/>
        <w:spacing w:line="380" w:lineRule="exact"/>
        <w:ind w:firstLine="480" w:firstLineChars="200"/>
        <w:outlineLvl w:val="0"/>
        <w:rPr>
          <w:rFonts w:hint="eastAsia" w:ascii="宋体" w:hAnsi="宋体"/>
          <w:color w:val="auto"/>
          <w:sz w:val="24"/>
          <w:szCs w:val="24"/>
          <w:highlight w:val="none"/>
        </w:rPr>
      </w:pPr>
      <w:bookmarkStart w:id="607" w:name="_Toc32393"/>
      <w:bookmarkStart w:id="608" w:name="_Toc11948"/>
      <w:bookmarkStart w:id="609" w:name="_Toc11496"/>
      <w:bookmarkStart w:id="610" w:name="_Toc5804"/>
      <w:bookmarkStart w:id="611" w:name="_Toc31852"/>
      <w:bookmarkStart w:id="612" w:name="_Toc20355"/>
      <w:bookmarkStart w:id="613" w:name="_Toc3388"/>
      <w:bookmarkStart w:id="614" w:name="_Toc15146"/>
      <w:r>
        <w:rPr>
          <w:rFonts w:hint="eastAsia" w:ascii="宋体" w:hAnsi="宋体"/>
          <w:color w:val="auto"/>
          <w:sz w:val="24"/>
          <w:szCs w:val="24"/>
          <w:highlight w:val="none"/>
        </w:rPr>
        <w:t>1.11 知识产权</w:t>
      </w:r>
      <w:bookmarkEnd w:id="607"/>
      <w:bookmarkEnd w:id="608"/>
      <w:bookmarkEnd w:id="609"/>
      <w:bookmarkEnd w:id="610"/>
      <w:bookmarkEnd w:id="611"/>
      <w:bookmarkEnd w:id="612"/>
      <w:bookmarkEnd w:id="613"/>
      <w:bookmarkEnd w:id="614"/>
    </w:p>
    <w:p w14:paraId="4D3632F4">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宋体" w:hAnsi="宋体" w:cs="宋体"/>
          <w:color w:val="auto"/>
          <w:sz w:val="24"/>
          <w:szCs w:val="24"/>
          <w:highlight w:val="none"/>
          <w:u w:val="single"/>
          <w:lang w:bidi="ar"/>
        </w:rPr>
        <w:t>发包人</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6B8BBC6">
      <w:pPr>
        <w:shd w:val="clear" w:color="auto" w:fill="auto"/>
        <w:spacing w:line="38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关于发包人提供的上述文件的使用限制的要求：</w:t>
      </w:r>
      <w:r>
        <w:rPr>
          <w:rFonts w:hint="eastAsia" w:ascii="宋体" w:hAnsi="宋体" w:cs="宋体"/>
          <w:color w:val="auto"/>
          <w:sz w:val="24"/>
          <w:szCs w:val="24"/>
          <w:highlight w:val="none"/>
          <w:u w:val="single"/>
          <w:lang w:bidi="ar"/>
        </w:rPr>
        <w:t>不得转给任何第三方</w:t>
      </w:r>
      <w:r>
        <w:rPr>
          <w:rFonts w:hint="eastAsia" w:ascii="宋体" w:hAnsi="宋体"/>
          <w:color w:val="auto"/>
          <w:sz w:val="24"/>
          <w:szCs w:val="24"/>
          <w:highlight w:val="none"/>
        </w:rPr>
        <w:t>。</w:t>
      </w:r>
    </w:p>
    <w:p w14:paraId="50B403AC">
      <w:pPr>
        <w:shd w:val="clear" w:color="auto" w:fill="auto"/>
        <w:spacing w:line="380" w:lineRule="exact"/>
        <w:ind w:firstLine="482"/>
        <w:outlineLvl w:val="0"/>
        <w:rPr>
          <w:rFonts w:hint="eastAsia" w:ascii="宋体" w:hAnsi="宋体"/>
          <w:color w:val="auto"/>
          <w:sz w:val="24"/>
          <w:szCs w:val="24"/>
          <w:highlight w:val="none"/>
        </w:rPr>
      </w:pPr>
      <w:bookmarkStart w:id="615" w:name="_Toc23892"/>
      <w:bookmarkStart w:id="616" w:name="_Toc16189"/>
      <w:bookmarkStart w:id="617" w:name="_Toc4949"/>
      <w:bookmarkStart w:id="618" w:name="_Toc22778"/>
      <w:bookmarkStart w:id="619" w:name="_Toc32369"/>
      <w:bookmarkStart w:id="620" w:name="_Toc2789"/>
      <w:bookmarkStart w:id="621" w:name="_Toc14221"/>
      <w:bookmarkStart w:id="622" w:name="_Toc6771"/>
      <w:r>
        <w:rPr>
          <w:rFonts w:hint="eastAsia" w:ascii="宋体" w:hAnsi="宋体"/>
          <w:color w:val="auto"/>
          <w:sz w:val="24"/>
          <w:szCs w:val="24"/>
          <w:highlight w:val="none"/>
        </w:rPr>
        <w:t>1.11.2 关于承包人为实施工程所编制文件的著作权的归属：</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bookmarkEnd w:id="615"/>
      <w:bookmarkEnd w:id="616"/>
      <w:bookmarkEnd w:id="617"/>
      <w:bookmarkEnd w:id="618"/>
      <w:bookmarkEnd w:id="619"/>
      <w:bookmarkEnd w:id="620"/>
      <w:bookmarkEnd w:id="621"/>
      <w:bookmarkEnd w:id="622"/>
    </w:p>
    <w:p w14:paraId="4EF88920">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关于承包人提供的上述文件的使用限制的要求：</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20A52EBF">
      <w:pPr>
        <w:shd w:val="clear" w:color="auto" w:fill="auto"/>
        <w:spacing w:line="380" w:lineRule="exact"/>
        <w:ind w:firstLine="480" w:firstLineChars="200"/>
        <w:outlineLvl w:val="0"/>
        <w:rPr>
          <w:rFonts w:hint="eastAsia" w:ascii="宋体" w:hAnsi="宋体"/>
          <w:color w:val="auto"/>
          <w:kern w:val="0"/>
          <w:sz w:val="24"/>
          <w:szCs w:val="24"/>
          <w:highlight w:val="none"/>
        </w:rPr>
      </w:pPr>
      <w:bookmarkStart w:id="623" w:name="_Toc19620"/>
      <w:bookmarkStart w:id="624" w:name="_Toc19030"/>
      <w:bookmarkStart w:id="625" w:name="_Toc19647"/>
      <w:bookmarkStart w:id="626" w:name="_Toc32767"/>
      <w:bookmarkStart w:id="627" w:name="_Toc12165"/>
      <w:bookmarkStart w:id="628" w:name="_Toc138"/>
      <w:bookmarkStart w:id="629" w:name="_Toc18009"/>
      <w:bookmarkStart w:id="630" w:name="_Toc20088"/>
      <w:r>
        <w:rPr>
          <w:rFonts w:hint="eastAsia" w:ascii="宋体" w:hAnsi="宋体"/>
          <w:color w:val="auto"/>
          <w:sz w:val="24"/>
          <w:szCs w:val="24"/>
          <w:highlight w:val="none"/>
        </w:rPr>
        <w:t>1.11.4 承包人在施工过程中所采用的专利、专有技术、技术秘密的使用费的承担方式：</w:t>
      </w:r>
      <w:r>
        <w:rPr>
          <w:rFonts w:hint="eastAsia" w:ascii="宋体" w:hAnsi="宋体"/>
          <w:color w:val="auto"/>
          <w:sz w:val="24"/>
          <w:szCs w:val="24"/>
          <w:highlight w:val="none"/>
          <w:u w:val="single"/>
        </w:rPr>
        <w:t xml:space="preserve">/     </w:t>
      </w:r>
      <w:r>
        <w:rPr>
          <w:rFonts w:hint="eastAsia" w:ascii="宋体" w:hAnsi="宋体"/>
          <w:color w:val="auto"/>
          <w:kern w:val="0"/>
          <w:sz w:val="24"/>
          <w:szCs w:val="24"/>
          <w:highlight w:val="none"/>
        </w:rPr>
        <w:t>。</w:t>
      </w:r>
      <w:bookmarkEnd w:id="623"/>
      <w:bookmarkEnd w:id="624"/>
      <w:bookmarkEnd w:id="625"/>
      <w:bookmarkEnd w:id="626"/>
      <w:bookmarkEnd w:id="627"/>
      <w:bookmarkEnd w:id="628"/>
      <w:bookmarkEnd w:id="629"/>
      <w:bookmarkEnd w:id="630"/>
    </w:p>
    <w:p w14:paraId="70F3164E">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1.13工程量清单错误的修正</w:t>
      </w:r>
    </w:p>
    <w:p w14:paraId="78555B6E">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出现工程量清单错误时，是否调整合同价格：</w:t>
      </w:r>
      <w:r>
        <w:rPr>
          <w:rFonts w:hint="eastAsia" w:ascii="宋体" w:hAnsi="宋体"/>
          <w:color w:val="auto"/>
          <w:sz w:val="24"/>
          <w:szCs w:val="24"/>
          <w:highlight w:val="none"/>
          <w:u w:val="single"/>
        </w:rPr>
        <w:t xml:space="preserve"> 是  </w:t>
      </w:r>
      <w:r>
        <w:rPr>
          <w:rFonts w:hint="eastAsia" w:ascii="宋体" w:hAnsi="宋体"/>
          <w:color w:val="auto"/>
          <w:kern w:val="0"/>
          <w:sz w:val="24"/>
          <w:szCs w:val="24"/>
          <w:highlight w:val="none"/>
        </w:rPr>
        <w:t>。</w:t>
      </w:r>
    </w:p>
    <w:p w14:paraId="21905CFA">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允许调整合同价格的工程量偏差范围：</w:t>
      </w:r>
      <w:r>
        <w:rPr>
          <w:rFonts w:hint="eastAsia" w:ascii="宋体" w:hAnsi="宋体"/>
          <w:color w:val="auto"/>
          <w:sz w:val="24"/>
          <w:szCs w:val="24"/>
          <w:highlight w:val="none"/>
          <w:u w:val="single"/>
        </w:rPr>
        <w:t>(1)</w:t>
      </w:r>
      <w:r>
        <w:rPr>
          <w:rFonts w:hint="eastAsia" w:ascii="宋体" w:hAnsi="宋体"/>
          <w:color w:val="auto"/>
          <w:sz w:val="24"/>
          <w:szCs w:val="24"/>
          <w:highlight w:val="none"/>
          <w:u w:val="single"/>
          <w:lang w:val="zh-TW" w:eastAsia="zh-TW"/>
        </w:rPr>
        <w:t>工程结算时：</w:t>
      </w:r>
      <w:r>
        <w:rPr>
          <w:rFonts w:hint="eastAsia" w:ascii="宋体" w:hAnsi="宋体"/>
          <w:color w:val="auto"/>
          <w:sz w:val="24"/>
          <w:szCs w:val="24"/>
          <w:highlight w:val="none"/>
          <w:u w:val="single"/>
        </w:rPr>
        <w:t>1</w:t>
      </w:r>
      <w:r>
        <w:rPr>
          <w:rFonts w:hint="eastAsia" w:ascii="宋体" w:hAnsi="宋体"/>
          <w:color w:val="auto"/>
          <w:sz w:val="24"/>
          <w:szCs w:val="24"/>
          <w:highlight w:val="none"/>
          <w:u w:val="single"/>
          <w:lang w:val="zh-TW" w:eastAsia="zh-TW"/>
        </w:rPr>
        <w:t>、当工程量清单中所列的工程量与实际完成工程量不符或由于设计变更引起工程量增减时，</w:t>
      </w:r>
      <w:r>
        <w:rPr>
          <w:rFonts w:hint="eastAsia" w:ascii="宋体" w:hAnsi="宋体"/>
          <w:color w:val="auto"/>
          <w:sz w:val="24"/>
          <w:szCs w:val="24"/>
          <w:highlight w:val="none"/>
          <w:u w:val="single"/>
        </w:rPr>
        <w:t>1</w:t>
      </w:r>
      <w:r>
        <w:rPr>
          <w:rFonts w:hint="eastAsia" w:ascii="宋体" w:hAnsi="宋体"/>
          <w:color w:val="auto"/>
          <w:sz w:val="24"/>
          <w:szCs w:val="24"/>
          <w:highlight w:val="none"/>
          <w:u w:val="single"/>
          <w:lang w:val="zh-TW" w:eastAsia="zh-TW"/>
        </w:rPr>
        <w:t>）、工程量增加幅度在</w:t>
      </w:r>
      <w:r>
        <w:rPr>
          <w:rFonts w:hint="eastAsia" w:ascii="宋体" w:hAnsi="宋体"/>
          <w:color w:val="auto"/>
          <w:sz w:val="24"/>
          <w:szCs w:val="24"/>
          <w:highlight w:val="none"/>
          <w:u w:val="single"/>
        </w:rPr>
        <w:t>10</w:t>
      </w:r>
      <w:r>
        <w:rPr>
          <w:rFonts w:hint="eastAsia" w:ascii="宋体" w:hAnsi="宋体"/>
          <w:color w:val="auto"/>
          <w:sz w:val="24"/>
          <w:szCs w:val="24"/>
          <w:highlight w:val="none"/>
          <w:u w:val="single"/>
          <w:lang w:val="zh-TW" w:eastAsia="zh-TW"/>
        </w:rPr>
        <w:t>％以内（包括</w:t>
      </w:r>
      <w:r>
        <w:rPr>
          <w:rFonts w:hint="eastAsia" w:ascii="宋体" w:hAnsi="宋体"/>
          <w:color w:val="auto"/>
          <w:sz w:val="24"/>
          <w:szCs w:val="24"/>
          <w:highlight w:val="none"/>
          <w:u w:val="single"/>
        </w:rPr>
        <w:t>10%</w:t>
      </w:r>
      <w:r>
        <w:rPr>
          <w:rFonts w:hint="eastAsia" w:ascii="宋体" w:hAnsi="宋体"/>
          <w:color w:val="auto"/>
          <w:sz w:val="24"/>
          <w:szCs w:val="24"/>
          <w:highlight w:val="none"/>
          <w:u w:val="single"/>
          <w:lang w:val="zh-TW" w:eastAsia="zh-TW"/>
        </w:rPr>
        <w:t>）按原综合单价结算，工程量据实调整；</w:t>
      </w:r>
      <w:r>
        <w:rPr>
          <w:rFonts w:hint="eastAsia" w:ascii="宋体" w:hAnsi="宋体"/>
          <w:color w:val="auto"/>
          <w:sz w:val="24"/>
          <w:szCs w:val="24"/>
          <w:highlight w:val="none"/>
          <w:u w:val="single"/>
        </w:rPr>
        <w:t>2</w:t>
      </w:r>
      <w:r>
        <w:rPr>
          <w:rFonts w:hint="eastAsia" w:ascii="宋体" w:hAnsi="宋体"/>
          <w:color w:val="auto"/>
          <w:sz w:val="24"/>
          <w:szCs w:val="24"/>
          <w:highlight w:val="none"/>
          <w:u w:val="single"/>
          <w:lang w:val="zh-TW" w:eastAsia="zh-TW"/>
        </w:rPr>
        <w:t>）、工程量增加幅度在</w:t>
      </w:r>
      <w:r>
        <w:rPr>
          <w:rFonts w:hint="eastAsia" w:ascii="宋体" w:hAnsi="宋体"/>
          <w:color w:val="auto"/>
          <w:sz w:val="24"/>
          <w:szCs w:val="24"/>
          <w:highlight w:val="none"/>
          <w:u w:val="single"/>
        </w:rPr>
        <w:t>10</w:t>
      </w:r>
      <w:r>
        <w:rPr>
          <w:rFonts w:hint="eastAsia" w:ascii="宋体" w:hAnsi="宋体"/>
          <w:color w:val="auto"/>
          <w:sz w:val="24"/>
          <w:szCs w:val="24"/>
          <w:highlight w:val="none"/>
          <w:u w:val="single"/>
          <w:lang w:val="zh-TW" w:eastAsia="zh-TW"/>
        </w:rPr>
        <w:t>％以上的部分可以调整综合单价；</w:t>
      </w:r>
      <w:r>
        <w:rPr>
          <w:rFonts w:hint="eastAsia" w:ascii="宋体" w:hAnsi="宋体"/>
          <w:color w:val="auto"/>
          <w:sz w:val="24"/>
          <w:szCs w:val="24"/>
          <w:highlight w:val="none"/>
          <w:u w:val="single"/>
        </w:rPr>
        <w:t>3</w:t>
      </w:r>
      <w:r>
        <w:rPr>
          <w:rFonts w:hint="eastAsia" w:ascii="宋体" w:hAnsi="宋体"/>
          <w:color w:val="auto"/>
          <w:sz w:val="24"/>
          <w:szCs w:val="24"/>
          <w:highlight w:val="none"/>
          <w:u w:val="single"/>
          <w:lang w:val="zh-TW" w:eastAsia="zh-TW"/>
        </w:rPr>
        <w:t>）工程量减少时按原单价扣除，工程量据实调整。</w:t>
      </w:r>
      <w:r>
        <w:rPr>
          <w:rFonts w:hint="eastAsia" w:ascii="宋体" w:hAnsi="宋体"/>
          <w:color w:val="auto"/>
          <w:sz w:val="24"/>
          <w:szCs w:val="24"/>
          <w:highlight w:val="none"/>
          <w:u w:val="single"/>
        </w:rPr>
        <w:t>(2)</w:t>
      </w:r>
      <w:r>
        <w:rPr>
          <w:rFonts w:hint="eastAsia" w:ascii="宋体" w:hAnsi="宋体"/>
          <w:color w:val="auto"/>
          <w:sz w:val="24"/>
          <w:szCs w:val="24"/>
          <w:highlight w:val="none"/>
          <w:u w:val="single"/>
          <w:lang w:val="zh-TW" w:eastAsia="zh-TW"/>
        </w:rPr>
        <w:t>、工程变更调整：非承包人原因的工程量变更，造成增加新的工程清单项目，对应的综合单价按以下方法确定：</w:t>
      </w:r>
      <w:r>
        <w:rPr>
          <w:rFonts w:hint="eastAsia" w:ascii="宋体" w:hAnsi="宋体"/>
          <w:color w:val="auto"/>
          <w:sz w:val="24"/>
          <w:szCs w:val="24"/>
          <w:highlight w:val="none"/>
          <w:u w:val="single"/>
        </w:rPr>
        <w:t>①</w:t>
      </w:r>
      <w:r>
        <w:rPr>
          <w:rFonts w:hint="eastAsia" w:ascii="宋体" w:hAnsi="宋体"/>
          <w:color w:val="auto"/>
          <w:sz w:val="24"/>
          <w:szCs w:val="24"/>
          <w:highlight w:val="none"/>
          <w:u w:val="single"/>
          <w:lang w:val="zh-TW" w:eastAsia="zh-TW"/>
        </w:rPr>
        <w:t>工程量清单中已有适用的综合单价，按已有的综合单价确定；</w:t>
      </w:r>
      <w:r>
        <w:rPr>
          <w:rFonts w:hint="eastAsia" w:ascii="宋体" w:hAnsi="宋体"/>
          <w:color w:val="auto"/>
          <w:sz w:val="24"/>
          <w:szCs w:val="24"/>
          <w:highlight w:val="none"/>
          <w:u w:val="single"/>
        </w:rPr>
        <w:t>②</w:t>
      </w:r>
      <w:r>
        <w:rPr>
          <w:rFonts w:hint="eastAsia" w:ascii="宋体" w:hAnsi="宋体"/>
          <w:color w:val="auto"/>
          <w:sz w:val="24"/>
          <w:szCs w:val="24"/>
          <w:highlight w:val="none"/>
          <w:u w:val="single"/>
          <w:lang w:val="zh-TW" w:eastAsia="zh-TW"/>
        </w:rPr>
        <w:t>工程量清单中有类似的综合单价，按类似的综合单价确定；</w:t>
      </w:r>
      <w:r>
        <w:rPr>
          <w:rFonts w:hint="eastAsia" w:ascii="宋体" w:hAnsi="宋体"/>
          <w:color w:val="auto"/>
          <w:sz w:val="24"/>
          <w:szCs w:val="24"/>
          <w:highlight w:val="none"/>
          <w:u w:val="single"/>
        </w:rPr>
        <w:t>③</w:t>
      </w:r>
      <w:r>
        <w:rPr>
          <w:rFonts w:hint="eastAsia" w:ascii="宋体" w:hAnsi="宋体"/>
          <w:color w:val="auto"/>
          <w:sz w:val="24"/>
          <w:szCs w:val="24"/>
          <w:highlight w:val="none"/>
          <w:u w:val="single"/>
          <w:lang w:val="zh-TW" w:eastAsia="zh-TW"/>
        </w:rPr>
        <w:t>中标工程量清单中没有适用或类似的综合单价，按《建设工程工程量清单计价规范》（</w:t>
      </w:r>
      <w:r>
        <w:rPr>
          <w:rFonts w:hint="eastAsia" w:ascii="宋体" w:hAnsi="宋体"/>
          <w:color w:val="auto"/>
          <w:sz w:val="24"/>
          <w:szCs w:val="24"/>
          <w:highlight w:val="none"/>
          <w:u w:val="single"/>
        </w:rPr>
        <w:t>GB50500-2013</w:t>
      </w:r>
      <w:r>
        <w:rPr>
          <w:rFonts w:hint="eastAsia" w:ascii="宋体" w:hAnsi="宋体"/>
          <w:color w:val="auto"/>
          <w:sz w:val="24"/>
          <w:szCs w:val="24"/>
          <w:highlight w:val="none"/>
          <w:u w:val="single"/>
          <w:lang w:val="zh-TW" w:eastAsia="zh-TW"/>
        </w:rPr>
        <w:t>），《河南省房屋建筑与装饰工程预算定额》（</w:t>
      </w:r>
      <w:r>
        <w:rPr>
          <w:rFonts w:hint="eastAsia" w:ascii="宋体" w:hAnsi="宋体"/>
          <w:color w:val="auto"/>
          <w:sz w:val="24"/>
          <w:szCs w:val="24"/>
          <w:highlight w:val="none"/>
          <w:u w:val="single"/>
        </w:rPr>
        <w:t>HA  01-31-2016</w:t>
      </w:r>
      <w:r>
        <w:rPr>
          <w:rFonts w:hint="eastAsia" w:ascii="宋体" w:hAnsi="宋体"/>
          <w:color w:val="auto"/>
          <w:sz w:val="24"/>
          <w:szCs w:val="24"/>
          <w:highlight w:val="none"/>
          <w:u w:val="single"/>
          <w:lang w:val="zh-TW" w:eastAsia="zh-TW"/>
        </w:rPr>
        <w:t>）、《河南省通用安装工程预算定额》（</w:t>
      </w:r>
      <w:r>
        <w:rPr>
          <w:rFonts w:hint="eastAsia" w:ascii="宋体" w:hAnsi="宋体"/>
          <w:color w:val="auto"/>
          <w:sz w:val="24"/>
          <w:szCs w:val="24"/>
          <w:highlight w:val="none"/>
          <w:u w:val="single"/>
        </w:rPr>
        <w:t>HA  02-31-2016</w:t>
      </w:r>
      <w:r>
        <w:rPr>
          <w:rFonts w:hint="eastAsia" w:ascii="宋体" w:hAnsi="宋体"/>
          <w:color w:val="auto"/>
          <w:sz w:val="24"/>
          <w:szCs w:val="24"/>
          <w:highlight w:val="none"/>
          <w:u w:val="single"/>
          <w:lang w:val="zh-TW" w:eastAsia="zh-TW"/>
        </w:rPr>
        <w:t>）</w:t>
      </w:r>
      <w:r>
        <w:rPr>
          <w:rFonts w:hint="eastAsia" w:ascii="宋体" w:hAnsi="宋体"/>
          <w:color w:val="auto"/>
          <w:kern w:val="0"/>
          <w:sz w:val="24"/>
          <w:szCs w:val="24"/>
          <w:highlight w:val="none"/>
        </w:rPr>
        <w:t>。</w:t>
      </w:r>
    </w:p>
    <w:p w14:paraId="54415133">
      <w:pPr>
        <w:keepNext/>
        <w:keepLines/>
        <w:shd w:val="clear" w:color="auto" w:fill="auto"/>
        <w:spacing w:line="380" w:lineRule="exact"/>
        <w:ind w:firstLine="482"/>
        <w:outlineLvl w:val="3"/>
        <w:rPr>
          <w:rFonts w:hint="eastAsia" w:ascii="宋体" w:hAnsi="宋体"/>
          <w:bCs/>
          <w:color w:val="auto"/>
          <w:sz w:val="24"/>
          <w:szCs w:val="24"/>
          <w:highlight w:val="none"/>
        </w:rPr>
      </w:pPr>
      <w:bookmarkStart w:id="631" w:name="_Toc351203634"/>
      <w:r>
        <w:rPr>
          <w:rFonts w:hint="eastAsia" w:ascii="宋体" w:hAnsi="宋体"/>
          <w:bCs/>
          <w:color w:val="auto"/>
          <w:sz w:val="24"/>
          <w:szCs w:val="24"/>
          <w:highlight w:val="none"/>
        </w:rPr>
        <w:t>2</w:t>
      </w:r>
      <w:bookmarkStart w:id="632" w:name="_Toc296944496"/>
      <w:bookmarkStart w:id="633" w:name="_Toc296346658"/>
      <w:bookmarkStart w:id="634" w:name="_Toc297048343"/>
      <w:bookmarkStart w:id="635" w:name="_Toc292559362"/>
      <w:bookmarkStart w:id="636" w:name="_Toc297120457"/>
      <w:bookmarkStart w:id="637" w:name="_Toc296347156"/>
      <w:bookmarkStart w:id="638" w:name="_Toc296503157"/>
      <w:bookmarkStart w:id="639" w:name="_Toc292559867"/>
      <w:bookmarkStart w:id="640" w:name="_Toc296890985"/>
      <w:bookmarkStart w:id="641" w:name="_Toc296891197"/>
      <w:r>
        <w:rPr>
          <w:rFonts w:hint="eastAsia" w:ascii="宋体" w:hAnsi="宋体"/>
          <w:bCs/>
          <w:color w:val="auto"/>
          <w:sz w:val="24"/>
          <w:szCs w:val="24"/>
          <w:highlight w:val="none"/>
        </w:rPr>
        <w:t>. 发包人</w:t>
      </w:r>
      <w:bookmarkEnd w:id="631"/>
    </w:p>
    <w:bookmarkEnd w:id="632"/>
    <w:bookmarkEnd w:id="633"/>
    <w:bookmarkEnd w:id="634"/>
    <w:bookmarkEnd w:id="635"/>
    <w:bookmarkEnd w:id="636"/>
    <w:bookmarkEnd w:id="637"/>
    <w:bookmarkEnd w:id="638"/>
    <w:bookmarkEnd w:id="639"/>
    <w:bookmarkEnd w:id="640"/>
    <w:bookmarkEnd w:id="641"/>
    <w:p w14:paraId="7BDA65DB">
      <w:pPr>
        <w:shd w:val="clear" w:color="auto" w:fill="auto"/>
        <w:spacing w:line="380" w:lineRule="exact"/>
        <w:ind w:firstLine="480" w:firstLineChars="200"/>
        <w:outlineLvl w:val="0"/>
        <w:rPr>
          <w:rFonts w:hint="eastAsia" w:ascii="宋体" w:hAnsi="宋体"/>
          <w:color w:val="auto"/>
          <w:sz w:val="24"/>
          <w:szCs w:val="24"/>
          <w:highlight w:val="none"/>
        </w:rPr>
      </w:pPr>
      <w:bookmarkStart w:id="642" w:name="_Toc6618"/>
      <w:bookmarkStart w:id="643" w:name="_Toc25607"/>
      <w:bookmarkStart w:id="644" w:name="_Toc14811"/>
      <w:bookmarkStart w:id="645" w:name="_Toc26816"/>
      <w:bookmarkStart w:id="646" w:name="_Toc14097"/>
      <w:bookmarkStart w:id="647" w:name="_Toc7117"/>
      <w:bookmarkStart w:id="648" w:name="_Toc26299"/>
      <w:bookmarkStart w:id="649" w:name="_Toc3865"/>
      <w:r>
        <w:rPr>
          <w:rFonts w:hint="eastAsia" w:ascii="宋体" w:hAnsi="宋体"/>
          <w:color w:val="auto"/>
          <w:sz w:val="24"/>
          <w:szCs w:val="24"/>
          <w:highlight w:val="none"/>
        </w:rPr>
        <w:t>2.2 发包人代表</w:t>
      </w:r>
      <w:bookmarkEnd w:id="642"/>
      <w:bookmarkEnd w:id="643"/>
      <w:bookmarkEnd w:id="644"/>
      <w:bookmarkEnd w:id="645"/>
      <w:bookmarkEnd w:id="646"/>
      <w:bookmarkEnd w:id="647"/>
      <w:bookmarkEnd w:id="648"/>
      <w:bookmarkEnd w:id="649"/>
    </w:p>
    <w:p w14:paraId="30314815">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发包人代表：</w:t>
      </w:r>
    </w:p>
    <w:p w14:paraId="64C4304D">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姓    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3910CE3">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身份证号：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6714F175">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职    务：</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321B5D0">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6DE988E6">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电子信箱：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429CAD8">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通信地址：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0A6C511A">
      <w:pPr>
        <w:shd w:val="clear" w:color="auto" w:fill="auto"/>
        <w:spacing w:line="380" w:lineRule="exact"/>
        <w:ind w:firstLine="482"/>
        <w:rPr>
          <w:rFonts w:hint="eastAsia" w:ascii="宋体" w:hAnsi="宋体"/>
          <w:b/>
          <w:color w:val="auto"/>
          <w:sz w:val="24"/>
          <w:szCs w:val="24"/>
          <w:highlight w:val="none"/>
        </w:rPr>
      </w:pPr>
      <w:r>
        <w:rPr>
          <w:rFonts w:hint="eastAsia" w:ascii="宋体" w:hAnsi="宋体"/>
          <w:color w:val="auto"/>
          <w:sz w:val="24"/>
          <w:szCs w:val="24"/>
          <w:highlight w:val="none"/>
        </w:rPr>
        <w:t>发包人对发包人代表的授权范围如下：。</w:t>
      </w:r>
    </w:p>
    <w:p w14:paraId="4623D793">
      <w:pPr>
        <w:shd w:val="clear" w:color="auto" w:fill="auto"/>
        <w:spacing w:line="380" w:lineRule="exact"/>
        <w:ind w:firstLine="480" w:firstLineChars="200"/>
        <w:outlineLvl w:val="0"/>
        <w:rPr>
          <w:rFonts w:hint="eastAsia" w:ascii="宋体" w:hAnsi="宋体"/>
          <w:color w:val="auto"/>
          <w:sz w:val="24"/>
          <w:szCs w:val="24"/>
          <w:highlight w:val="none"/>
        </w:rPr>
      </w:pPr>
      <w:bookmarkStart w:id="650" w:name="_Toc18092"/>
      <w:bookmarkStart w:id="651" w:name="_Toc10388"/>
      <w:bookmarkStart w:id="652" w:name="_Toc5375"/>
      <w:bookmarkStart w:id="653" w:name="_Toc27870"/>
      <w:bookmarkStart w:id="654" w:name="_Toc7802"/>
      <w:bookmarkStart w:id="655" w:name="_Toc28782"/>
      <w:bookmarkStart w:id="656" w:name="_Toc15455"/>
      <w:bookmarkStart w:id="657" w:name="_Toc10661"/>
      <w:r>
        <w:rPr>
          <w:rFonts w:hint="eastAsia" w:ascii="宋体" w:hAnsi="宋体"/>
          <w:color w:val="auto"/>
          <w:sz w:val="24"/>
          <w:szCs w:val="24"/>
          <w:highlight w:val="none"/>
        </w:rPr>
        <w:t>2.4 施工现场、施工条件和基础资料的提供</w:t>
      </w:r>
      <w:bookmarkEnd w:id="650"/>
      <w:bookmarkEnd w:id="651"/>
      <w:bookmarkEnd w:id="652"/>
      <w:bookmarkEnd w:id="653"/>
      <w:bookmarkEnd w:id="654"/>
      <w:bookmarkEnd w:id="655"/>
      <w:bookmarkEnd w:id="656"/>
      <w:bookmarkEnd w:id="657"/>
    </w:p>
    <w:p w14:paraId="1C94BF20">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2.4.1 提供施工现场</w:t>
      </w:r>
    </w:p>
    <w:p w14:paraId="28C63388">
      <w:pPr>
        <w:widowControl/>
        <w:shd w:val="clear" w:color="auto" w:fill="auto"/>
        <w:spacing w:line="380" w:lineRule="exact"/>
        <w:ind w:firstLine="48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关于发包人移交施工现场的期限要求：</w:t>
      </w:r>
      <w:r>
        <w:rPr>
          <w:rFonts w:hint="eastAsia" w:ascii="宋体" w:hAnsi="宋体" w:cs="宋体"/>
          <w:color w:val="auto"/>
          <w:kern w:val="0"/>
          <w:sz w:val="24"/>
          <w:szCs w:val="24"/>
          <w:highlight w:val="none"/>
          <w:u w:val="single"/>
        </w:rPr>
        <w:t>开工前3天</w:t>
      </w:r>
      <w:r>
        <w:rPr>
          <w:rFonts w:hint="eastAsia" w:ascii="宋体" w:hAnsi="宋体" w:cs="宋体"/>
          <w:color w:val="auto"/>
          <w:kern w:val="0"/>
          <w:sz w:val="24"/>
          <w:szCs w:val="24"/>
          <w:highlight w:val="none"/>
          <w:u w:val="single" w:color="000000"/>
          <w:lang w:val="zh-TW" w:eastAsia="zh-TW"/>
        </w:rPr>
        <w:t>。</w:t>
      </w:r>
    </w:p>
    <w:p w14:paraId="6AA764B9">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2.4.2 提供施工条件</w:t>
      </w:r>
    </w:p>
    <w:p w14:paraId="124638F8">
      <w:pPr>
        <w:shd w:val="clear" w:color="auto" w:fill="auto"/>
        <w:spacing w:line="380" w:lineRule="exact"/>
        <w:ind w:firstLine="480" w:firstLineChars="200"/>
        <w:rPr>
          <w:rFonts w:hint="eastAsia" w:ascii="宋体" w:hAnsi="宋体"/>
          <w:color w:val="auto"/>
          <w:sz w:val="24"/>
          <w:szCs w:val="24"/>
          <w:highlight w:val="none"/>
          <w:u w:val="single"/>
        </w:rPr>
      </w:pPr>
      <w:r>
        <w:rPr>
          <w:rFonts w:hint="eastAsia" w:ascii="宋体" w:hAnsi="宋体"/>
          <w:color w:val="auto"/>
          <w:sz w:val="24"/>
          <w:szCs w:val="24"/>
          <w:highlight w:val="none"/>
        </w:rPr>
        <w:t>关于发包人应负责提供施工所需要的条件，包括：</w:t>
      </w:r>
      <w:r>
        <w:rPr>
          <w:rFonts w:hint="eastAsia" w:ascii="宋体" w:hAnsi="宋体" w:cs="宋体"/>
          <w:color w:val="auto"/>
          <w:sz w:val="24"/>
          <w:szCs w:val="24"/>
          <w:highlight w:val="none"/>
          <w:u w:val="single"/>
          <w:lang w:bidi="ar"/>
        </w:rPr>
        <w:t>工程开工前7日内，组织水准点与坐标控制点交验，承包人自行安装相关设备</w:t>
      </w:r>
      <w:r>
        <w:rPr>
          <w:rFonts w:hint="eastAsia" w:ascii="宋体" w:hAnsi="宋体"/>
          <w:color w:val="auto"/>
          <w:sz w:val="24"/>
          <w:szCs w:val="24"/>
          <w:highlight w:val="none"/>
        </w:rPr>
        <w:t>。</w:t>
      </w:r>
    </w:p>
    <w:p w14:paraId="359C7C80">
      <w:pPr>
        <w:shd w:val="clear" w:color="auto" w:fill="auto"/>
        <w:spacing w:line="380" w:lineRule="exact"/>
        <w:ind w:firstLine="480" w:firstLineChars="200"/>
        <w:outlineLvl w:val="0"/>
        <w:rPr>
          <w:rFonts w:hint="eastAsia" w:ascii="宋体" w:hAnsi="宋体"/>
          <w:color w:val="auto"/>
          <w:sz w:val="24"/>
          <w:szCs w:val="24"/>
          <w:highlight w:val="none"/>
        </w:rPr>
      </w:pPr>
      <w:bookmarkStart w:id="658" w:name="_Toc2376"/>
      <w:bookmarkStart w:id="659" w:name="_Toc30880"/>
      <w:bookmarkStart w:id="660" w:name="_Toc989"/>
      <w:bookmarkStart w:id="661" w:name="_Toc3165"/>
      <w:bookmarkStart w:id="662" w:name="_Toc28463"/>
      <w:bookmarkStart w:id="663" w:name="_Toc24997"/>
      <w:bookmarkStart w:id="664" w:name="_Toc767"/>
      <w:bookmarkStart w:id="665" w:name="_Toc5742"/>
      <w:r>
        <w:rPr>
          <w:rFonts w:hint="eastAsia" w:ascii="宋体" w:hAnsi="宋体"/>
          <w:color w:val="auto"/>
          <w:sz w:val="24"/>
          <w:szCs w:val="24"/>
          <w:highlight w:val="none"/>
        </w:rPr>
        <w:t>2.5 资金来源证明及支付担保</w:t>
      </w:r>
      <w:bookmarkEnd w:id="658"/>
      <w:bookmarkEnd w:id="659"/>
      <w:bookmarkEnd w:id="660"/>
      <w:bookmarkEnd w:id="661"/>
      <w:bookmarkEnd w:id="662"/>
      <w:bookmarkEnd w:id="663"/>
      <w:bookmarkEnd w:id="664"/>
      <w:bookmarkEnd w:id="665"/>
    </w:p>
    <w:p w14:paraId="30668BDD">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发包人提供资金来源证明的期限要求：</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1E14ED8E">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发包人是否提供支付担保：</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3897664A">
      <w:pPr>
        <w:shd w:val="clear" w:color="auto" w:fill="auto"/>
        <w:spacing w:line="380" w:lineRule="exact"/>
        <w:ind w:firstLine="480" w:firstLineChars="200"/>
        <w:rPr>
          <w:rFonts w:hint="eastAsia" w:ascii="宋体" w:hAnsi="宋体"/>
          <w:color w:val="auto"/>
          <w:sz w:val="24"/>
          <w:szCs w:val="24"/>
          <w:highlight w:val="none"/>
          <w:u w:val="single"/>
        </w:rPr>
      </w:pPr>
      <w:r>
        <w:rPr>
          <w:rFonts w:hint="eastAsia" w:ascii="宋体" w:hAnsi="宋体"/>
          <w:color w:val="auto"/>
          <w:sz w:val="24"/>
          <w:szCs w:val="24"/>
          <w:highlight w:val="none"/>
        </w:rPr>
        <w:t>发包人提供支付担保的形式：</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7CE2CDFE">
      <w:pPr>
        <w:keepNext/>
        <w:keepLines/>
        <w:shd w:val="clear" w:color="auto" w:fill="auto"/>
        <w:spacing w:line="380" w:lineRule="exact"/>
        <w:ind w:firstLine="482"/>
        <w:outlineLvl w:val="3"/>
        <w:rPr>
          <w:rFonts w:hint="eastAsia" w:ascii="宋体" w:hAnsi="宋体"/>
          <w:bCs/>
          <w:color w:val="auto"/>
          <w:sz w:val="24"/>
          <w:szCs w:val="24"/>
          <w:highlight w:val="none"/>
        </w:rPr>
      </w:pPr>
      <w:bookmarkStart w:id="666" w:name="_Toc351203635"/>
      <w:r>
        <w:rPr>
          <w:rFonts w:hint="eastAsia" w:ascii="宋体" w:hAnsi="宋体"/>
          <w:bCs/>
          <w:color w:val="auto"/>
          <w:sz w:val="24"/>
          <w:szCs w:val="24"/>
          <w:highlight w:val="none"/>
        </w:rPr>
        <w:t>3</w:t>
      </w:r>
      <w:bookmarkStart w:id="667" w:name="_Toc292559868"/>
      <w:bookmarkStart w:id="668" w:name="_Toc297048344"/>
      <w:bookmarkStart w:id="669" w:name="_Toc296944497"/>
      <w:bookmarkStart w:id="670" w:name="_Toc292559363"/>
      <w:bookmarkStart w:id="671" w:name="_Toc296503158"/>
      <w:bookmarkStart w:id="672" w:name="_Toc296347157"/>
      <w:bookmarkStart w:id="673" w:name="_Toc296346659"/>
      <w:bookmarkStart w:id="674" w:name="_Toc297120458"/>
      <w:bookmarkStart w:id="675" w:name="_Toc296890986"/>
      <w:bookmarkStart w:id="676" w:name="_Toc296891198"/>
      <w:r>
        <w:rPr>
          <w:rFonts w:hint="eastAsia" w:ascii="宋体" w:hAnsi="宋体"/>
          <w:bCs/>
          <w:color w:val="auto"/>
          <w:sz w:val="24"/>
          <w:szCs w:val="24"/>
          <w:highlight w:val="none"/>
        </w:rPr>
        <w:t>. 承包人</w:t>
      </w:r>
      <w:bookmarkEnd w:id="666"/>
    </w:p>
    <w:bookmarkEnd w:id="667"/>
    <w:bookmarkEnd w:id="668"/>
    <w:bookmarkEnd w:id="669"/>
    <w:bookmarkEnd w:id="670"/>
    <w:bookmarkEnd w:id="671"/>
    <w:bookmarkEnd w:id="672"/>
    <w:bookmarkEnd w:id="673"/>
    <w:bookmarkEnd w:id="674"/>
    <w:bookmarkEnd w:id="675"/>
    <w:bookmarkEnd w:id="676"/>
    <w:p w14:paraId="4FF551F4">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3.1 承包人的一般义务</w:t>
      </w:r>
    </w:p>
    <w:p w14:paraId="30A02009">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kern w:val="0"/>
          <w:sz w:val="24"/>
          <w:szCs w:val="24"/>
          <w:highlight w:val="none"/>
        </w:rPr>
        <w:t>（9）</w:t>
      </w:r>
      <w:r>
        <w:rPr>
          <w:rFonts w:hint="eastAsia" w:ascii="宋体" w:hAnsi="宋体"/>
          <w:color w:val="auto"/>
          <w:sz w:val="24"/>
          <w:szCs w:val="24"/>
          <w:highlight w:val="none"/>
        </w:rPr>
        <w:t>承包人提交的竣工资料的内容：</w:t>
      </w:r>
      <w:r>
        <w:rPr>
          <w:rFonts w:hint="eastAsia" w:ascii="宋体" w:hAnsi="宋体" w:cs="宋体"/>
          <w:color w:val="auto"/>
          <w:sz w:val="24"/>
          <w:szCs w:val="24"/>
          <w:highlight w:val="none"/>
          <w:u w:val="single"/>
          <w:lang w:bidi="ar"/>
        </w:rPr>
        <w:t>竣工图及竣工验收资料</w:t>
      </w:r>
      <w:r>
        <w:rPr>
          <w:rFonts w:hint="eastAsia" w:ascii="宋体" w:hAnsi="宋体"/>
          <w:color w:val="auto"/>
          <w:sz w:val="24"/>
          <w:szCs w:val="24"/>
          <w:highlight w:val="none"/>
        </w:rPr>
        <w:t>。</w:t>
      </w:r>
    </w:p>
    <w:p w14:paraId="21C3726D">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承包人需要提交的竣工资料套数：。</w:t>
      </w:r>
    </w:p>
    <w:p w14:paraId="084621FC">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承包人提交的竣工资料的费用承担：</w:t>
      </w:r>
      <w:r>
        <w:rPr>
          <w:rFonts w:hint="eastAsia" w:ascii="宋体" w:hAnsi="宋体" w:cs="宋体"/>
          <w:color w:val="auto"/>
          <w:sz w:val="24"/>
          <w:szCs w:val="24"/>
          <w:highlight w:val="none"/>
          <w:u w:val="single"/>
          <w:lang w:bidi="ar"/>
        </w:rPr>
        <w:t>自行承担</w:t>
      </w:r>
      <w:r>
        <w:rPr>
          <w:rFonts w:hint="eastAsia" w:ascii="宋体" w:hAnsi="宋体"/>
          <w:color w:val="auto"/>
          <w:sz w:val="24"/>
          <w:szCs w:val="24"/>
          <w:highlight w:val="none"/>
        </w:rPr>
        <w:t>。</w:t>
      </w:r>
    </w:p>
    <w:p w14:paraId="2D3ED0E1">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承包人提交的竣工资料移交时间：</w:t>
      </w:r>
      <w:r>
        <w:rPr>
          <w:rFonts w:hint="eastAsia" w:ascii="宋体" w:hAnsi="宋体" w:cs="宋体"/>
          <w:color w:val="auto"/>
          <w:sz w:val="24"/>
          <w:szCs w:val="24"/>
          <w:highlight w:val="none"/>
          <w:u w:val="single"/>
          <w:lang w:bidi="ar"/>
        </w:rPr>
        <w:t>竣工验收后28天内</w:t>
      </w:r>
      <w:r>
        <w:rPr>
          <w:rFonts w:hint="eastAsia" w:ascii="宋体" w:hAnsi="宋体"/>
          <w:color w:val="auto"/>
          <w:sz w:val="24"/>
          <w:szCs w:val="24"/>
          <w:highlight w:val="none"/>
        </w:rPr>
        <w:t>。</w:t>
      </w:r>
    </w:p>
    <w:p w14:paraId="138AACB3">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承包人提交的竣工资料形式要求：</w:t>
      </w:r>
      <w:r>
        <w:rPr>
          <w:rFonts w:hint="eastAsia" w:ascii="宋体" w:hAnsi="宋体" w:cs="宋体"/>
          <w:color w:val="auto"/>
          <w:sz w:val="24"/>
          <w:szCs w:val="24"/>
          <w:highlight w:val="none"/>
          <w:u w:val="single"/>
          <w:lang w:bidi="ar"/>
        </w:rPr>
        <w:t>纸质</w:t>
      </w:r>
      <w:r>
        <w:rPr>
          <w:rFonts w:hint="eastAsia" w:ascii="宋体" w:hAnsi="宋体"/>
          <w:color w:val="auto"/>
          <w:sz w:val="24"/>
          <w:szCs w:val="24"/>
          <w:highlight w:val="none"/>
        </w:rPr>
        <w:t>。</w:t>
      </w:r>
    </w:p>
    <w:p w14:paraId="3BBAED5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kern w:val="0"/>
          <w:sz w:val="24"/>
          <w:szCs w:val="24"/>
          <w:highlight w:val="none"/>
        </w:rPr>
        <w:t>（10）承包人应履行的其他义务：</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648BCC85">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3.2 项目经理</w:t>
      </w:r>
    </w:p>
    <w:p w14:paraId="4B34C1AA">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kern w:val="0"/>
          <w:sz w:val="24"/>
          <w:szCs w:val="24"/>
          <w:highlight w:val="none"/>
        </w:rPr>
        <w:t xml:space="preserve">3.2.1 </w:t>
      </w:r>
      <w:r>
        <w:rPr>
          <w:rFonts w:hint="eastAsia" w:ascii="宋体" w:hAnsi="宋体"/>
          <w:color w:val="auto"/>
          <w:sz w:val="24"/>
          <w:szCs w:val="24"/>
          <w:highlight w:val="none"/>
        </w:rPr>
        <w:t>项目经理：</w:t>
      </w:r>
    </w:p>
    <w:p w14:paraId="624BDC5F">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姓    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579D2A9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身份证号：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3A8D98C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建造师执业资格等级：</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69E001C9">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建造师注册证书号：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2F0FE08E">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建造师执业印章号：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608759E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安全生产考核合格证书号：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6B4803DC">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05798F6B">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电子信箱：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2163B115">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通信地址：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33B2A56B">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承包人对项目经理的授权范围如下：</w:t>
      </w:r>
      <w:r>
        <w:rPr>
          <w:rFonts w:hint="eastAsia" w:ascii="宋体" w:hAnsi="宋体"/>
          <w:color w:val="auto"/>
          <w:sz w:val="24"/>
          <w:szCs w:val="24"/>
          <w:highlight w:val="none"/>
          <w:u w:val="single"/>
        </w:rPr>
        <w:t>代表承包人行使本合同约定的权利，履行本合同约定的义务</w:t>
      </w:r>
      <w:r>
        <w:rPr>
          <w:rFonts w:hint="eastAsia" w:ascii="宋体" w:hAnsi="宋体"/>
          <w:color w:val="auto"/>
          <w:sz w:val="24"/>
          <w:szCs w:val="24"/>
          <w:highlight w:val="none"/>
        </w:rPr>
        <w:t>。</w:t>
      </w:r>
    </w:p>
    <w:p w14:paraId="329DC2BE">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关于项目经理每月在施工现场的时间要求：</w:t>
      </w:r>
      <w:r>
        <w:rPr>
          <w:rFonts w:hint="eastAsia" w:ascii="宋体" w:hAnsi="宋体"/>
          <w:color w:val="auto"/>
          <w:sz w:val="24"/>
          <w:szCs w:val="24"/>
          <w:highlight w:val="none"/>
          <w:u w:val="single"/>
          <w:lang w:val="zh-TW" w:eastAsia="zh-TW"/>
        </w:rPr>
        <w:t>上岗时间不低于施工时间的50%</w:t>
      </w:r>
      <w:r>
        <w:rPr>
          <w:rFonts w:hint="eastAsia" w:ascii="宋体" w:hAnsi="宋体"/>
          <w:color w:val="auto"/>
          <w:sz w:val="24"/>
          <w:szCs w:val="24"/>
          <w:highlight w:val="none"/>
        </w:rPr>
        <w:t>。</w:t>
      </w:r>
    </w:p>
    <w:p w14:paraId="77AED260">
      <w:pPr>
        <w:shd w:val="clear" w:color="auto" w:fill="auto"/>
        <w:spacing w:line="380" w:lineRule="exact"/>
        <w:ind w:firstLine="480" w:firstLineChars="200"/>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承包人未提交劳动合同，以及没有为项目经理缴纳社会保险证明的违约责任：</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100E0494">
      <w:pPr>
        <w:shd w:val="clear" w:color="auto" w:fill="auto"/>
        <w:spacing w:line="380" w:lineRule="exact"/>
        <w:ind w:firstLine="480" w:firstLineChars="200"/>
        <w:rPr>
          <w:rFonts w:hint="eastAsia" w:ascii="宋体" w:hAnsi="宋体"/>
          <w:color w:val="auto"/>
          <w:sz w:val="24"/>
          <w:szCs w:val="24"/>
          <w:highlight w:val="none"/>
          <w:u w:val="single"/>
        </w:rPr>
      </w:pPr>
      <w:r>
        <w:rPr>
          <w:rFonts w:hint="eastAsia" w:ascii="宋体" w:hAnsi="宋体"/>
          <w:color w:val="auto"/>
          <w:kern w:val="0"/>
          <w:sz w:val="24"/>
          <w:szCs w:val="24"/>
          <w:highlight w:val="none"/>
        </w:rPr>
        <w:t>项目经理未经批准，擅自离开施工现场的违约责任：</w:t>
      </w:r>
      <w:r>
        <w:rPr>
          <w:rFonts w:hint="eastAsia" w:ascii="宋体" w:hAnsi="宋体"/>
          <w:color w:val="auto"/>
          <w:sz w:val="24"/>
          <w:szCs w:val="24"/>
          <w:highlight w:val="none"/>
          <w:u w:val="single"/>
          <w:lang w:val="zh-TW" w:eastAsia="zh-TW"/>
        </w:rPr>
        <w:t>按有关规定执行处理</w:t>
      </w:r>
      <w:r>
        <w:rPr>
          <w:rFonts w:hint="eastAsia" w:ascii="宋体" w:hAnsi="宋体"/>
          <w:color w:val="auto"/>
          <w:sz w:val="24"/>
          <w:szCs w:val="24"/>
          <w:highlight w:val="none"/>
        </w:rPr>
        <w:t>。</w:t>
      </w:r>
    </w:p>
    <w:p w14:paraId="1728C9E0">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3.2.3 承包人擅自更换项目经理的违约责任：</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B7F9C6D">
      <w:pPr>
        <w:shd w:val="clear" w:color="auto" w:fill="auto"/>
        <w:spacing w:line="380" w:lineRule="exact"/>
        <w:ind w:firstLine="482"/>
        <w:outlineLvl w:val="0"/>
        <w:rPr>
          <w:rFonts w:hint="eastAsia" w:ascii="宋体" w:hAnsi="宋体"/>
          <w:color w:val="auto"/>
          <w:sz w:val="24"/>
          <w:szCs w:val="24"/>
          <w:highlight w:val="none"/>
        </w:rPr>
      </w:pPr>
      <w:bookmarkStart w:id="677" w:name="_Toc1533"/>
      <w:bookmarkStart w:id="678" w:name="_Toc22963"/>
      <w:bookmarkStart w:id="679" w:name="_Toc31071"/>
      <w:bookmarkStart w:id="680" w:name="_Toc5814"/>
      <w:bookmarkStart w:id="681" w:name="_Toc22863"/>
      <w:bookmarkStart w:id="682" w:name="_Toc21921"/>
      <w:bookmarkStart w:id="683" w:name="_Toc24446"/>
      <w:bookmarkStart w:id="684" w:name="_Toc14870"/>
      <w:r>
        <w:rPr>
          <w:rFonts w:hint="eastAsia" w:ascii="宋体" w:hAnsi="宋体"/>
          <w:color w:val="auto"/>
          <w:sz w:val="24"/>
          <w:szCs w:val="24"/>
          <w:highlight w:val="none"/>
        </w:rPr>
        <w:t>3.2.4 承包人无正当理由拒绝更换项目经理的违约责任：</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bookmarkEnd w:id="677"/>
      <w:bookmarkEnd w:id="678"/>
      <w:bookmarkEnd w:id="679"/>
      <w:bookmarkEnd w:id="680"/>
      <w:bookmarkEnd w:id="681"/>
      <w:bookmarkEnd w:id="682"/>
      <w:bookmarkEnd w:id="683"/>
      <w:bookmarkEnd w:id="684"/>
    </w:p>
    <w:p w14:paraId="16D2E78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3.3 承包人人员</w:t>
      </w:r>
    </w:p>
    <w:p w14:paraId="1F84A87B">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3.3.1 承包人提交项目管理机构及施工现场管理人员安排报告的期限：</w:t>
      </w:r>
      <w:r>
        <w:rPr>
          <w:rFonts w:hint="eastAsia" w:ascii="宋体" w:hAnsi="宋体"/>
          <w:color w:val="auto"/>
          <w:sz w:val="24"/>
          <w:szCs w:val="24"/>
          <w:highlight w:val="none"/>
          <w:u w:val="single"/>
        </w:rPr>
        <w:t xml:space="preserve">  </w:t>
      </w:r>
      <w:r>
        <w:rPr>
          <w:rFonts w:hint="eastAsia" w:ascii="宋体" w:hAnsi="宋体" w:cs="宋体"/>
          <w:color w:val="auto"/>
          <w:sz w:val="24"/>
          <w:szCs w:val="24"/>
          <w:highlight w:val="none"/>
          <w:u w:val="single"/>
          <w:lang w:bidi="ar"/>
        </w:rPr>
        <w:t>开工前7天</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3C2031B8">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3.3.3 承包人无正当理由拒绝撤换主要施工管理人员的违约责任：</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337606D8">
      <w:pPr>
        <w:shd w:val="clear" w:color="auto" w:fill="auto"/>
        <w:spacing w:line="380" w:lineRule="exact"/>
        <w:ind w:firstLine="480" w:firstLineChars="200"/>
        <w:rPr>
          <w:rFonts w:hint="eastAsia" w:ascii="宋体" w:hAnsi="宋体"/>
          <w:color w:val="auto"/>
          <w:sz w:val="24"/>
          <w:szCs w:val="24"/>
          <w:highlight w:val="none"/>
          <w:u w:val="single"/>
        </w:rPr>
      </w:pPr>
      <w:r>
        <w:rPr>
          <w:rFonts w:hint="eastAsia" w:ascii="宋体" w:hAnsi="宋体"/>
          <w:color w:val="auto"/>
          <w:sz w:val="24"/>
          <w:szCs w:val="24"/>
          <w:highlight w:val="none"/>
        </w:rPr>
        <w:t>3.3.4 承包人主要施工管理人员离开施工现场的批准要求：</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3BC260DB">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3.3.5承包人擅自更换主要施工管理人员的违约责任：</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66907D38">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承包人主要施工管理人员擅自离开施工现场的违约责任：</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7EB15DD8">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bookmarkStart w:id="685" w:name="_Toc296503159"/>
      <w:bookmarkStart w:id="686" w:name="_Toc297120459"/>
      <w:bookmarkStart w:id="687" w:name="_Toc297123492"/>
      <w:bookmarkStart w:id="688" w:name="_Toc312677988"/>
      <w:bookmarkStart w:id="689" w:name="_Toc296944498"/>
      <w:bookmarkStart w:id="690" w:name="_Toc297048345"/>
      <w:bookmarkStart w:id="691" w:name="_Toc303539102"/>
      <w:bookmarkStart w:id="692" w:name="_Toc292559869"/>
      <w:bookmarkStart w:id="693" w:name="_Toc296891199"/>
      <w:bookmarkStart w:id="694" w:name="_Toc296346660"/>
      <w:bookmarkStart w:id="695" w:name="_Toc297216151"/>
      <w:bookmarkStart w:id="696" w:name="_Toc304295523"/>
      <w:bookmarkStart w:id="697" w:name="_Toc296347158"/>
      <w:bookmarkStart w:id="698" w:name="_Toc300934945"/>
      <w:bookmarkStart w:id="699" w:name="_Toc292559364"/>
      <w:bookmarkStart w:id="700" w:name="_Toc296890987"/>
      <w:r>
        <w:rPr>
          <w:rFonts w:hint="eastAsia" w:ascii="宋体" w:hAnsi="宋体"/>
          <w:color w:val="auto"/>
          <w:sz w:val="24"/>
          <w:szCs w:val="24"/>
          <w:highlight w:val="none"/>
        </w:rPr>
        <w:t>.5 分包</w:t>
      </w:r>
    </w:p>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14:paraId="5F0ACCFD">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w:t>
      </w:r>
      <w:bookmarkStart w:id="701" w:name="_Toc297120460"/>
      <w:bookmarkStart w:id="702" w:name="_Toc303539103"/>
      <w:bookmarkStart w:id="703" w:name="_Toc297216152"/>
      <w:bookmarkStart w:id="704" w:name="_Toc297123493"/>
      <w:bookmarkStart w:id="705" w:name="_Toc292559365"/>
      <w:bookmarkStart w:id="706" w:name="_Toc296346661"/>
      <w:bookmarkStart w:id="707" w:name="_Toc296944499"/>
      <w:bookmarkStart w:id="708" w:name="_Toc296503160"/>
      <w:bookmarkStart w:id="709" w:name="_Toc297048346"/>
      <w:bookmarkStart w:id="710" w:name="_Toc296890988"/>
      <w:bookmarkStart w:id="711" w:name="_Toc304295524"/>
      <w:bookmarkStart w:id="712" w:name="_Toc296347159"/>
      <w:bookmarkStart w:id="713" w:name="_Toc300934946"/>
      <w:bookmarkStart w:id="714" w:name="_Toc296891200"/>
      <w:bookmarkStart w:id="715" w:name="_Toc292559870"/>
      <w:bookmarkStart w:id="716" w:name="_Toc312677989"/>
      <w:bookmarkStart w:id="717" w:name="_Toc318581158"/>
      <w:r>
        <w:rPr>
          <w:rFonts w:hint="eastAsia" w:ascii="宋体" w:hAnsi="宋体"/>
          <w:color w:val="auto"/>
          <w:sz w:val="24"/>
          <w:szCs w:val="24"/>
          <w:highlight w:val="none"/>
        </w:rPr>
        <w:t>.5.1 分包的一般约定</w:t>
      </w:r>
    </w:p>
    <w:p w14:paraId="49AE7C1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禁止分包的工程包括：</w:t>
      </w:r>
      <w:r>
        <w:rPr>
          <w:rFonts w:hint="eastAsia" w:ascii="宋体" w:hAnsi="宋体"/>
          <w:color w:val="auto"/>
          <w:sz w:val="24"/>
          <w:szCs w:val="24"/>
          <w:highlight w:val="none"/>
          <w:u w:val="single"/>
          <w:lang w:val="zh-TW" w:eastAsia="zh-TW"/>
        </w:rPr>
        <w:t>除发包人同意分包的工程外，承包人不得再分包</w:t>
      </w:r>
      <w:r>
        <w:rPr>
          <w:rFonts w:hint="eastAsia" w:ascii="宋体" w:hAnsi="宋体"/>
          <w:color w:val="auto"/>
          <w:sz w:val="24"/>
          <w:szCs w:val="24"/>
          <w:highlight w:val="none"/>
        </w:rPr>
        <w:t>。</w:t>
      </w:r>
    </w:p>
    <w:p w14:paraId="6C030DAC">
      <w:pPr>
        <w:shd w:val="clear" w:color="auto" w:fill="auto"/>
        <w:spacing w:line="380" w:lineRule="exact"/>
        <w:ind w:firstLine="480" w:firstLineChars="200"/>
        <w:jc w:val="left"/>
        <w:rPr>
          <w:rFonts w:hint="eastAsia" w:ascii="宋体" w:hAnsi="宋体"/>
          <w:color w:val="auto"/>
          <w:sz w:val="24"/>
          <w:szCs w:val="24"/>
          <w:highlight w:val="none"/>
          <w:u w:val="single"/>
        </w:rPr>
      </w:pPr>
      <w:r>
        <w:rPr>
          <w:rFonts w:hint="eastAsia" w:ascii="宋体" w:hAnsi="宋体"/>
          <w:color w:val="auto"/>
          <w:sz w:val="24"/>
          <w:szCs w:val="24"/>
          <w:highlight w:val="none"/>
        </w:rPr>
        <w:t>主体结构、关键性工作的范围：</w:t>
      </w:r>
      <w:r>
        <w:rPr>
          <w:rFonts w:hint="eastAsia" w:ascii="宋体" w:hAnsi="宋体"/>
          <w:color w:val="auto"/>
          <w:sz w:val="24"/>
          <w:szCs w:val="24"/>
          <w:highlight w:val="none"/>
          <w:u w:val="single"/>
          <w:lang w:val="zh-TW" w:eastAsia="zh-TW"/>
        </w:rPr>
        <w:t>执行合同通用条款</w:t>
      </w:r>
      <w:r>
        <w:rPr>
          <w:rFonts w:hint="eastAsia" w:ascii="宋体" w:hAnsi="宋体"/>
          <w:color w:val="auto"/>
          <w:sz w:val="24"/>
          <w:szCs w:val="24"/>
          <w:highlight w:val="none"/>
        </w:rPr>
        <w:t>。</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Start w:id="718" w:name="_Toc296347160"/>
      <w:bookmarkStart w:id="719" w:name="_Toc297123494"/>
      <w:bookmarkStart w:id="720" w:name="_Toc296891201"/>
      <w:bookmarkStart w:id="721" w:name="_Toc296944500"/>
      <w:bookmarkStart w:id="722" w:name="_Toc297048347"/>
      <w:bookmarkStart w:id="723" w:name="_Toc297120461"/>
      <w:bookmarkStart w:id="724" w:name="_Toc296503161"/>
      <w:bookmarkStart w:id="725" w:name="_Toc296346662"/>
      <w:bookmarkStart w:id="726" w:name="_Toc303539104"/>
      <w:bookmarkStart w:id="727" w:name="_Toc300934947"/>
      <w:bookmarkStart w:id="728" w:name="_Toc297216153"/>
      <w:bookmarkStart w:id="729" w:name="_Toc296890989"/>
      <w:bookmarkStart w:id="730" w:name="_Toc304295525"/>
    </w:p>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p w14:paraId="24DDD3B2">
      <w:pPr>
        <w:shd w:val="clear" w:color="auto" w:fill="auto"/>
        <w:spacing w:line="380" w:lineRule="exact"/>
        <w:ind w:firstLine="482"/>
        <w:rPr>
          <w:rFonts w:hint="eastAsia" w:ascii="宋体" w:hAnsi="宋体"/>
          <w:color w:val="auto"/>
          <w:sz w:val="24"/>
          <w:szCs w:val="24"/>
          <w:highlight w:val="none"/>
        </w:rPr>
      </w:pPr>
      <w:r>
        <w:rPr>
          <w:rFonts w:hint="eastAsia" w:ascii="宋体" w:hAnsi="宋体"/>
          <w:color w:val="auto"/>
          <w:sz w:val="24"/>
          <w:szCs w:val="24"/>
          <w:highlight w:val="none"/>
        </w:rPr>
        <w:t xml:space="preserve">    3</w:t>
      </w:r>
      <w:bookmarkStart w:id="731" w:name="_Toc318581159"/>
      <w:bookmarkStart w:id="732" w:name="_Toc312677990"/>
      <w:r>
        <w:rPr>
          <w:rFonts w:hint="eastAsia" w:ascii="宋体" w:hAnsi="宋体"/>
          <w:color w:val="auto"/>
          <w:sz w:val="24"/>
          <w:szCs w:val="24"/>
          <w:highlight w:val="none"/>
        </w:rPr>
        <w:t>.5.2分包的确定</w:t>
      </w:r>
    </w:p>
    <w:p w14:paraId="1C01A490">
      <w:pPr>
        <w:shd w:val="clear" w:color="auto" w:fill="auto"/>
        <w:spacing w:line="380" w:lineRule="exact"/>
        <w:ind w:firstLine="480" w:firstLineChars="200"/>
        <w:rPr>
          <w:rFonts w:hint="eastAsia" w:ascii="宋体" w:hAnsi="宋体"/>
          <w:color w:val="auto"/>
          <w:sz w:val="24"/>
          <w:szCs w:val="24"/>
          <w:highlight w:val="none"/>
          <w:u w:val="single"/>
        </w:rPr>
      </w:pPr>
      <w:r>
        <w:rPr>
          <w:rFonts w:hint="eastAsia" w:ascii="宋体" w:hAnsi="宋体"/>
          <w:color w:val="auto"/>
          <w:sz w:val="24"/>
          <w:szCs w:val="24"/>
          <w:highlight w:val="none"/>
        </w:rPr>
        <w:t>允许分包的专业工程包括：</w:t>
      </w:r>
      <w:r>
        <w:rPr>
          <w:rFonts w:hint="eastAsia" w:ascii="宋体" w:hAnsi="宋体"/>
          <w:color w:val="auto"/>
          <w:sz w:val="24"/>
          <w:szCs w:val="24"/>
          <w:highlight w:val="none"/>
          <w:u w:val="single"/>
          <w:lang w:val="zh-TW" w:eastAsia="zh-TW"/>
        </w:rPr>
        <w:t>不允许</w:t>
      </w:r>
      <w:r>
        <w:rPr>
          <w:rFonts w:hint="eastAsia" w:ascii="宋体" w:hAnsi="宋体"/>
          <w:color w:val="auto"/>
          <w:sz w:val="24"/>
          <w:szCs w:val="24"/>
          <w:highlight w:val="none"/>
        </w:rPr>
        <w:t>。</w:t>
      </w:r>
    </w:p>
    <w:p w14:paraId="5821E2E6">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其他关于分包的约定：</w:t>
      </w:r>
      <w:r>
        <w:rPr>
          <w:rFonts w:hint="eastAsia" w:ascii="宋体" w:hAnsi="宋体"/>
          <w:color w:val="auto"/>
          <w:sz w:val="24"/>
          <w:szCs w:val="24"/>
          <w:highlight w:val="none"/>
          <w:u w:val="single"/>
          <w:lang w:val="zh-TW" w:eastAsia="zh-TW"/>
        </w:rPr>
        <w:t>承包人在选择专业分包单位时，发包人参与前期考察、招标及确认，发包人具有否决权</w:t>
      </w:r>
      <w:r>
        <w:rPr>
          <w:rFonts w:hint="eastAsia" w:ascii="宋体" w:hAnsi="宋体"/>
          <w:color w:val="auto"/>
          <w:sz w:val="24"/>
          <w:szCs w:val="24"/>
          <w:highlight w:val="none"/>
        </w:rPr>
        <w:t>。</w:t>
      </w:r>
    </w:p>
    <w:p w14:paraId="5A3D5D1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3.5.4 分包合同价款</w:t>
      </w:r>
    </w:p>
    <w:p w14:paraId="5500CE55">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关于分包合同价款支付的约定：</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bookmarkEnd w:id="731"/>
    <w:bookmarkEnd w:id="732"/>
    <w:p w14:paraId="403DCB2E">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3.6 工程照管与成品、半成品保护</w:t>
      </w:r>
    </w:p>
    <w:p w14:paraId="7515B220">
      <w:pPr>
        <w:shd w:val="clear" w:color="auto" w:fill="auto"/>
        <w:spacing w:line="380" w:lineRule="exact"/>
        <w:ind w:firstLine="480" w:firstLineChars="200"/>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承包人负责照管工程及工程相关的材料、工程设备的起始时间：</w:t>
      </w:r>
      <w:r>
        <w:rPr>
          <w:rFonts w:hint="eastAsia" w:ascii="宋体" w:hAnsi="宋体"/>
          <w:color w:val="auto"/>
          <w:sz w:val="24"/>
          <w:szCs w:val="24"/>
          <w:highlight w:val="none"/>
          <w:u w:val="single"/>
          <w:lang w:val="zh-TW" w:eastAsia="zh-TW"/>
        </w:rPr>
        <w:t>自发包人向承包人移交施工现场之日起，承包人应负责照管工程及工程相关的材料、工程设备，到竣工验收合格止，竣工验收合格后全部由发包人照管</w:t>
      </w:r>
      <w:r>
        <w:rPr>
          <w:rFonts w:hint="eastAsia" w:ascii="宋体" w:hAnsi="宋体"/>
          <w:color w:val="auto"/>
          <w:kern w:val="0"/>
          <w:sz w:val="24"/>
          <w:szCs w:val="24"/>
          <w:highlight w:val="none"/>
        </w:rPr>
        <w:t>。</w:t>
      </w:r>
    </w:p>
    <w:p w14:paraId="0A2881FF">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3.7 履约担保</w:t>
      </w:r>
    </w:p>
    <w:p w14:paraId="350E47C6">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承包人是否提供履约担保：</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67C47062">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承包人提供履约担保的形式、金额及期限的：</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35CD9474">
      <w:pPr>
        <w:keepNext/>
        <w:keepLines/>
        <w:shd w:val="clear" w:color="auto" w:fill="auto"/>
        <w:spacing w:line="380" w:lineRule="exact"/>
        <w:ind w:firstLine="482"/>
        <w:outlineLvl w:val="3"/>
        <w:rPr>
          <w:rFonts w:hint="eastAsia" w:ascii="宋体" w:hAnsi="宋体"/>
          <w:bCs/>
          <w:color w:val="auto"/>
          <w:sz w:val="24"/>
          <w:szCs w:val="24"/>
          <w:highlight w:val="none"/>
        </w:rPr>
      </w:pPr>
      <w:bookmarkStart w:id="733" w:name="_Toc351203636"/>
      <w:r>
        <w:rPr>
          <w:rFonts w:hint="eastAsia" w:ascii="宋体" w:hAnsi="宋体"/>
          <w:bCs/>
          <w:color w:val="auto"/>
          <w:sz w:val="24"/>
          <w:szCs w:val="24"/>
          <w:highlight w:val="none"/>
        </w:rPr>
        <w:t>4</w:t>
      </w:r>
      <w:bookmarkStart w:id="734" w:name="_Toc296346663"/>
      <w:bookmarkStart w:id="735" w:name="_Toc296503162"/>
      <w:bookmarkStart w:id="736" w:name="_Toc296890990"/>
      <w:bookmarkStart w:id="737" w:name="_Toc297048348"/>
      <w:bookmarkStart w:id="738" w:name="_Toc296944501"/>
      <w:bookmarkStart w:id="739" w:name="_Toc267251413"/>
      <w:bookmarkStart w:id="740" w:name="_Toc296891202"/>
      <w:bookmarkStart w:id="741" w:name="_Toc292559366"/>
      <w:bookmarkStart w:id="742" w:name="_Toc297120462"/>
      <w:bookmarkStart w:id="743" w:name="_Toc292559871"/>
      <w:bookmarkStart w:id="744" w:name="_Toc296347161"/>
      <w:r>
        <w:rPr>
          <w:rFonts w:hint="eastAsia" w:ascii="宋体" w:hAnsi="宋体"/>
          <w:bCs/>
          <w:color w:val="auto"/>
          <w:sz w:val="24"/>
          <w:szCs w:val="24"/>
          <w:highlight w:val="none"/>
        </w:rPr>
        <w:t>. 监</w:t>
      </w:r>
      <w:bookmarkEnd w:id="734"/>
      <w:bookmarkEnd w:id="735"/>
      <w:bookmarkEnd w:id="736"/>
      <w:bookmarkEnd w:id="737"/>
      <w:bookmarkEnd w:id="738"/>
      <w:bookmarkEnd w:id="739"/>
      <w:bookmarkEnd w:id="740"/>
      <w:bookmarkEnd w:id="741"/>
      <w:bookmarkEnd w:id="742"/>
      <w:bookmarkEnd w:id="743"/>
      <w:bookmarkEnd w:id="744"/>
      <w:r>
        <w:rPr>
          <w:rFonts w:hint="eastAsia" w:ascii="宋体" w:hAnsi="宋体"/>
          <w:bCs/>
          <w:color w:val="auto"/>
          <w:sz w:val="24"/>
          <w:szCs w:val="24"/>
          <w:highlight w:val="none"/>
        </w:rPr>
        <w:t>理人</w:t>
      </w:r>
      <w:bookmarkEnd w:id="733"/>
    </w:p>
    <w:p w14:paraId="0A31584B">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4.1监理人的一般规定</w:t>
      </w:r>
    </w:p>
    <w:p w14:paraId="16978C9D">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关于监理人的监理内容：</w:t>
      </w:r>
      <w:r>
        <w:rPr>
          <w:rFonts w:hint="eastAsia" w:ascii="宋体" w:hAnsi="宋体"/>
          <w:color w:val="auto"/>
          <w:sz w:val="24"/>
          <w:szCs w:val="24"/>
          <w:highlight w:val="none"/>
          <w:u w:val="single"/>
          <w:lang w:val="zh-TW" w:eastAsia="zh-TW"/>
        </w:rPr>
        <w:t>详见工程监理委托合同</w:t>
      </w:r>
      <w:r>
        <w:rPr>
          <w:rFonts w:hint="eastAsia" w:ascii="宋体" w:hAnsi="宋体"/>
          <w:color w:val="auto"/>
          <w:sz w:val="24"/>
          <w:szCs w:val="24"/>
          <w:highlight w:val="none"/>
        </w:rPr>
        <w:t>。</w:t>
      </w:r>
    </w:p>
    <w:p w14:paraId="48677D76">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关于监理人的监理权限：</w:t>
      </w:r>
      <w:r>
        <w:rPr>
          <w:rFonts w:hint="eastAsia" w:ascii="宋体" w:hAnsi="宋体"/>
          <w:color w:val="auto"/>
          <w:sz w:val="24"/>
          <w:szCs w:val="24"/>
          <w:highlight w:val="none"/>
          <w:u w:val="single"/>
          <w:lang w:val="zh-TW" w:eastAsia="zh-TW"/>
        </w:rPr>
        <w:t>详见工程监理委托合同</w:t>
      </w:r>
      <w:r>
        <w:rPr>
          <w:rFonts w:hint="eastAsia" w:ascii="宋体" w:hAnsi="宋体"/>
          <w:color w:val="auto"/>
          <w:sz w:val="24"/>
          <w:szCs w:val="24"/>
          <w:highlight w:val="none"/>
        </w:rPr>
        <w:t xml:space="preserve">。 </w:t>
      </w:r>
    </w:p>
    <w:p w14:paraId="63C1FF3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关于监理人在施工现场的办公场所、生活场所的提供和费用承担的约定：</w:t>
      </w:r>
      <w:r>
        <w:rPr>
          <w:rFonts w:hint="eastAsia" w:ascii="宋体" w:hAnsi="宋体"/>
          <w:color w:val="auto"/>
          <w:sz w:val="24"/>
          <w:szCs w:val="24"/>
          <w:highlight w:val="none"/>
          <w:u w:val="single"/>
          <w:lang w:val="zh-TW" w:eastAsia="zh-TW"/>
        </w:rPr>
        <w:t>同通用条款</w:t>
      </w:r>
      <w:r>
        <w:rPr>
          <w:rFonts w:hint="eastAsia" w:ascii="宋体" w:hAnsi="宋体"/>
          <w:color w:val="auto"/>
          <w:sz w:val="24"/>
          <w:szCs w:val="24"/>
          <w:highlight w:val="none"/>
        </w:rPr>
        <w:t>。</w:t>
      </w:r>
    </w:p>
    <w:p w14:paraId="01DD577F">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4.2 监理人员</w:t>
      </w:r>
    </w:p>
    <w:p w14:paraId="6255873B">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总监理工程师：</w:t>
      </w:r>
    </w:p>
    <w:p w14:paraId="23A25D57">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姓    名：</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5B21D26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职    务：</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5381390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监理工程师执业资格证书号：</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9E6771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联系电话：</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4E8CA1F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电子信箱：</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24F03365">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通信地址：</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601E7019">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关于监理人的其他约定：</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2777FD3B">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4.4 商定或确定</w:t>
      </w:r>
    </w:p>
    <w:p w14:paraId="72354D12">
      <w:pPr>
        <w:shd w:val="clear" w:color="auto" w:fill="auto"/>
        <w:spacing w:line="380" w:lineRule="exact"/>
        <w:ind w:firstLine="480" w:firstLineChars="200"/>
        <w:rPr>
          <w:rFonts w:hint="eastAsia" w:ascii="宋体" w:hAnsi="宋体"/>
          <w:color w:val="auto"/>
          <w:sz w:val="24"/>
          <w:szCs w:val="24"/>
          <w:highlight w:val="none"/>
        </w:rPr>
      </w:pPr>
      <w:bookmarkStart w:id="745" w:name="_Toc267251418"/>
      <w:r>
        <w:rPr>
          <w:rFonts w:hint="eastAsia" w:ascii="宋体" w:hAnsi="宋体"/>
          <w:color w:val="auto"/>
          <w:sz w:val="24"/>
          <w:szCs w:val="24"/>
          <w:highlight w:val="none"/>
        </w:rPr>
        <w:t>在发包人和承包人不能通过协商达成一致意见时，发包人授权监理人对以下事项进行确定：</w:t>
      </w:r>
    </w:p>
    <w:p w14:paraId="0DA07E19">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w:t>
      </w:r>
      <w:r>
        <w:rPr>
          <w:rFonts w:hint="eastAsia" w:ascii="宋体" w:hAnsi="宋体"/>
          <w:color w:val="auto"/>
          <w:sz w:val="24"/>
          <w:szCs w:val="24"/>
          <w:highlight w:val="none"/>
        </w:rPr>
        <w:t>；</w:t>
      </w:r>
    </w:p>
    <w:p w14:paraId="7629A53E">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（2）</w:t>
      </w:r>
      <w:r>
        <w:rPr>
          <w:rFonts w:hint="eastAsia" w:ascii="宋体" w:hAnsi="宋体"/>
          <w:color w:val="auto"/>
          <w:sz w:val="24"/>
          <w:szCs w:val="24"/>
          <w:highlight w:val="none"/>
        </w:rPr>
        <w:t>；</w:t>
      </w:r>
    </w:p>
    <w:p w14:paraId="60513738">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（3）</w:t>
      </w:r>
      <w:r>
        <w:rPr>
          <w:rFonts w:hint="eastAsia" w:ascii="宋体" w:hAnsi="宋体"/>
          <w:color w:val="auto"/>
          <w:sz w:val="24"/>
          <w:szCs w:val="24"/>
          <w:highlight w:val="none"/>
        </w:rPr>
        <w:t>。</w:t>
      </w:r>
    </w:p>
    <w:p w14:paraId="241D5BAF">
      <w:pPr>
        <w:keepNext/>
        <w:keepLines/>
        <w:shd w:val="clear" w:color="auto" w:fill="auto"/>
        <w:spacing w:line="380" w:lineRule="exact"/>
        <w:ind w:firstLine="482"/>
        <w:outlineLvl w:val="3"/>
        <w:rPr>
          <w:rFonts w:hint="eastAsia" w:ascii="宋体" w:hAnsi="宋体"/>
          <w:bCs/>
          <w:color w:val="auto"/>
          <w:sz w:val="24"/>
          <w:szCs w:val="24"/>
          <w:highlight w:val="none"/>
        </w:rPr>
      </w:pPr>
      <w:bookmarkStart w:id="746" w:name="_Toc351203637"/>
      <w:r>
        <w:rPr>
          <w:rFonts w:hint="eastAsia" w:ascii="宋体" w:hAnsi="宋体"/>
          <w:bCs/>
          <w:color w:val="auto"/>
          <w:sz w:val="24"/>
          <w:szCs w:val="24"/>
          <w:highlight w:val="none"/>
        </w:rPr>
        <w:t>5</w:t>
      </w:r>
      <w:bookmarkEnd w:id="745"/>
      <w:bookmarkStart w:id="747" w:name="_Toc296891203"/>
      <w:bookmarkStart w:id="748" w:name="_Toc292559872"/>
      <w:bookmarkStart w:id="749" w:name="_Toc296503163"/>
      <w:bookmarkStart w:id="750" w:name="_Toc296890991"/>
      <w:bookmarkStart w:id="751" w:name="_Toc296944502"/>
      <w:bookmarkStart w:id="752" w:name="_Toc297048349"/>
      <w:bookmarkStart w:id="753" w:name="_Toc296346664"/>
      <w:bookmarkStart w:id="754" w:name="_Toc292559367"/>
      <w:bookmarkStart w:id="755" w:name="_Toc296347162"/>
      <w:bookmarkStart w:id="756" w:name="_Toc297120463"/>
      <w:r>
        <w:rPr>
          <w:rFonts w:hint="eastAsia" w:ascii="宋体" w:hAnsi="宋体"/>
          <w:bCs/>
          <w:color w:val="auto"/>
          <w:sz w:val="24"/>
          <w:szCs w:val="24"/>
          <w:highlight w:val="none"/>
        </w:rPr>
        <w:t>. 工程质量</w:t>
      </w:r>
      <w:bookmarkEnd w:id="746"/>
    </w:p>
    <w:p w14:paraId="2BF4F09C">
      <w:pPr>
        <w:shd w:val="clear" w:color="auto" w:fill="auto"/>
        <w:spacing w:line="380" w:lineRule="exact"/>
        <w:ind w:firstLine="480" w:firstLineChars="200"/>
        <w:outlineLvl w:val="0"/>
        <w:rPr>
          <w:rFonts w:hint="eastAsia" w:ascii="宋体" w:hAnsi="宋体"/>
          <w:color w:val="auto"/>
          <w:sz w:val="24"/>
          <w:szCs w:val="24"/>
          <w:highlight w:val="none"/>
        </w:rPr>
      </w:pPr>
      <w:bookmarkStart w:id="757" w:name="_Toc27026"/>
      <w:bookmarkStart w:id="758" w:name="_Toc32326"/>
      <w:bookmarkStart w:id="759" w:name="_Toc31451"/>
      <w:bookmarkStart w:id="760" w:name="_Toc10939"/>
      <w:bookmarkStart w:id="761" w:name="_Toc8293"/>
      <w:bookmarkStart w:id="762" w:name="_Toc873"/>
      <w:bookmarkStart w:id="763" w:name="_Toc30512"/>
      <w:bookmarkStart w:id="764" w:name="_Toc28173"/>
      <w:r>
        <w:rPr>
          <w:rFonts w:hint="eastAsia" w:ascii="宋体" w:hAnsi="宋体"/>
          <w:color w:val="auto"/>
          <w:sz w:val="24"/>
          <w:szCs w:val="24"/>
          <w:highlight w:val="none"/>
        </w:rPr>
        <w:t>5.1 质量要求</w:t>
      </w:r>
      <w:bookmarkEnd w:id="757"/>
      <w:bookmarkEnd w:id="758"/>
      <w:bookmarkEnd w:id="759"/>
      <w:bookmarkEnd w:id="760"/>
      <w:bookmarkEnd w:id="761"/>
      <w:bookmarkEnd w:id="762"/>
      <w:bookmarkEnd w:id="763"/>
      <w:bookmarkEnd w:id="764"/>
    </w:p>
    <w:p w14:paraId="04C5FBC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w:t>
      </w:r>
      <w:bookmarkStart w:id="765" w:name="_Toc297216155"/>
      <w:bookmarkStart w:id="766" w:name="_Toc297123496"/>
      <w:bookmarkStart w:id="767" w:name="_Toc318581164"/>
      <w:bookmarkStart w:id="768" w:name="_Toc312677997"/>
      <w:bookmarkStart w:id="769" w:name="_Toc300934949"/>
      <w:bookmarkStart w:id="770" w:name="_Toc304295527"/>
      <w:bookmarkStart w:id="771" w:name="_Toc303539106"/>
      <w:r>
        <w:rPr>
          <w:rFonts w:hint="eastAsia" w:ascii="宋体" w:hAnsi="宋体"/>
          <w:color w:val="auto"/>
          <w:sz w:val="24"/>
          <w:szCs w:val="24"/>
          <w:highlight w:val="none"/>
        </w:rPr>
        <w:t>.1.1 特殊质量标准和要求：</w:t>
      </w:r>
      <w:r>
        <w:rPr>
          <w:rFonts w:hint="eastAsia" w:ascii="宋体" w:hAnsi="宋体"/>
          <w:color w:val="auto"/>
          <w:sz w:val="24"/>
          <w:szCs w:val="24"/>
          <w:highlight w:val="none"/>
          <w:u w:val="single"/>
          <w:lang w:val="zh-TW" w:eastAsia="zh-TW"/>
        </w:rPr>
        <w:t>符合（工程施工质量验收规范）合格标准</w:t>
      </w:r>
      <w:r>
        <w:rPr>
          <w:rFonts w:hint="eastAsia" w:ascii="宋体" w:hAnsi="宋体"/>
          <w:color w:val="auto"/>
          <w:sz w:val="24"/>
          <w:szCs w:val="24"/>
          <w:highlight w:val="none"/>
        </w:rPr>
        <w:t>。</w:t>
      </w:r>
    </w:p>
    <w:p w14:paraId="2906A8D4">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关于工程奖项的约定：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70313AC2">
      <w:pPr>
        <w:shd w:val="clear" w:color="auto" w:fill="auto"/>
        <w:spacing w:line="380" w:lineRule="exact"/>
        <w:ind w:firstLine="480" w:firstLineChars="200"/>
        <w:outlineLvl w:val="0"/>
        <w:rPr>
          <w:rFonts w:hint="eastAsia" w:ascii="宋体" w:hAnsi="宋体"/>
          <w:color w:val="auto"/>
          <w:sz w:val="24"/>
          <w:szCs w:val="24"/>
          <w:highlight w:val="none"/>
        </w:rPr>
      </w:pPr>
      <w:bookmarkStart w:id="772" w:name="_Toc27779"/>
      <w:bookmarkStart w:id="773" w:name="_Toc2925"/>
      <w:bookmarkStart w:id="774" w:name="_Toc13519"/>
      <w:bookmarkStart w:id="775" w:name="_Toc16502"/>
      <w:bookmarkStart w:id="776" w:name="_Toc23760"/>
      <w:bookmarkStart w:id="777" w:name="_Toc16100"/>
      <w:bookmarkStart w:id="778" w:name="_Toc25610"/>
      <w:bookmarkStart w:id="779" w:name="_Toc11534"/>
      <w:r>
        <w:rPr>
          <w:rFonts w:hint="eastAsia" w:ascii="宋体" w:hAnsi="宋体"/>
          <w:color w:val="auto"/>
          <w:sz w:val="24"/>
          <w:szCs w:val="24"/>
          <w:highlight w:val="none"/>
        </w:rPr>
        <w:t>5.3 隐蔽工程检查</w:t>
      </w:r>
      <w:bookmarkEnd w:id="772"/>
      <w:bookmarkEnd w:id="773"/>
      <w:bookmarkEnd w:id="774"/>
      <w:bookmarkEnd w:id="775"/>
      <w:bookmarkEnd w:id="776"/>
      <w:bookmarkEnd w:id="777"/>
      <w:bookmarkEnd w:id="778"/>
      <w:bookmarkEnd w:id="779"/>
    </w:p>
    <w:p w14:paraId="10B8C48F">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5.3.2承包人提前通知监理人隐蔽工程检查的期限的约定：</w:t>
      </w:r>
      <w:r>
        <w:rPr>
          <w:rFonts w:hint="eastAsia" w:ascii="宋体" w:hAnsi="宋体"/>
          <w:color w:val="auto"/>
          <w:sz w:val="24"/>
          <w:szCs w:val="24"/>
          <w:highlight w:val="none"/>
          <w:u w:val="single"/>
        </w:rPr>
        <w:t>48小时</w:t>
      </w:r>
      <w:r>
        <w:rPr>
          <w:rFonts w:hint="eastAsia" w:ascii="宋体" w:hAnsi="宋体"/>
          <w:color w:val="auto"/>
          <w:sz w:val="24"/>
          <w:szCs w:val="24"/>
          <w:highlight w:val="none"/>
        </w:rPr>
        <w:t>。</w:t>
      </w:r>
    </w:p>
    <w:p w14:paraId="1154EAB8">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监理人不能按时进行检查时，应提前</w:t>
      </w:r>
      <w:r>
        <w:rPr>
          <w:rFonts w:hint="eastAsia" w:ascii="宋体" w:hAnsi="宋体"/>
          <w:color w:val="auto"/>
          <w:sz w:val="24"/>
          <w:szCs w:val="24"/>
          <w:highlight w:val="none"/>
          <w:u w:val="single"/>
        </w:rPr>
        <w:t>12</w:t>
      </w:r>
      <w:r>
        <w:rPr>
          <w:rFonts w:hint="eastAsia" w:ascii="宋体" w:hAnsi="宋体"/>
          <w:color w:val="auto"/>
          <w:sz w:val="24"/>
          <w:szCs w:val="24"/>
          <w:highlight w:val="none"/>
        </w:rPr>
        <w:t>小时提交书面延期要求。</w:t>
      </w:r>
    </w:p>
    <w:p w14:paraId="390E83AA">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关于延期最长不得超过：</w:t>
      </w:r>
      <w:r>
        <w:rPr>
          <w:rFonts w:hint="eastAsia" w:ascii="宋体" w:hAnsi="宋体"/>
          <w:color w:val="auto"/>
          <w:sz w:val="24"/>
          <w:szCs w:val="24"/>
          <w:highlight w:val="none"/>
          <w:u w:val="single"/>
        </w:rPr>
        <w:t>24</w:t>
      </w:r>
      <w:r>
        <w:rPr>
          <w:rFonts w:hint="eastAsia" w:ascii="宋体" w:hAnsi="宋体"/>
          <w:color w:val="auto"/>
          <w:sz w:val="24"/>
          <w:szCs w:val="24"/>
          <w:highlight w:val="none"/>
        </w:rPr>
        <w:t>小时。</w:t>
      </w:r>
    </w:p>
    <w:p w14:paraId="24F01DF0">
      <w:pPr>
        <w:keepNext/>
        <w:keepLines/>
        <w:shd w:val="clear" w:color="auto" w:fill="auto"/>
        <w:spacing w:line="380" w:lineRule="exact"/>
        <w:ind w:firstLine="482"/>
        <w:outlineLvl w:val="3"/>
        <w:rPr>
          <w:rFonts w:hint="eastAsia" w:ascii="宋体" w:hAnsi="宋体"/>
          <w:bCs/>
          <w:color w:val="auto"/>
          <w:sz w:val="24"/>
          <w:szCs w:val="24"/>
          <w:highlight w:val="none"/>
        </w:rPr>
      </w:pPr>
      <w:bookmarkStart w:id="780" w:name="_Toc351203638"/>
      <w:r>
        <w:rPr>
          <w:rFonts w:hint="eastAsia" w:ascii="宋体" w:hAnsi="宋体"/>
          <w:bCs/>
          <w:color w:val="auto"/>
          <w:sz w:val="24"/>
          <w:szCs w:val="24"/>
          <w:highlight w:val="none"/>
        </w:rPr>
        <w:t>6. 安全文明施工与环境保护</w:t>
      </w:r>
      <w:bookmarkEnd w:id="780"/>
    </w:p>
    <w:p w14:paraId="51F72074">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6.1安全文明施工</w:t>
      </w:r>
    </w:p>
    <w:p w14:paraId="263DAD75">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6.1.1 项目安全生产的达标目标及相应事项的约定：</w:t>
      </w:r>
      <w:r>
        <w:rPr>
          <w:rFonts w:hint="eastAsia" w:ascii="宋体" w:hAnsi="宋体"/>
          <w:color w:val="auto"/>
          <w:sz w:val="24"/>
          <w:szCs w:val="24"/>
          <w:highlight w:val="none"/>
          <w:u w:val="single"/>
          <w:lang w:val="zh-TW" w:eastAsia="zh-TW"/>
        </w:rPr>
        <w:t>执行通用条款</w:t>
      </w:r>
      <w:r>
        <w:rPr>
          <w:rFonts w:hint="eastAsia" w:ascii="宋体" w:hAnsi="宋体"/>
          <w:color w:val="auto"/>
          <w:sz w:val="24"/>
          <w:szCs w:val="24"/>
          <w:highlight w:val="none"/>
        </w:rPr>
        <w:t>。</w:t>
      </w:r>
    </w:p>
    <w:p w14:paraId="3CA02B4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6.1.4 关于治安保卫的特别约定：</w:t>
      </w:r>
      <w:r>
        <w:rPr>
          <w:rFonts w:hint="eastAsia" w:ascii="宋体" w:hAnsi="宋体" w:cs="Noto Serif CJK SC"/>
          <w:color w:val="auto"/>
          <w:kern w:val="0"/>
          <w:sz w:val="24"/>
          <w:szCs w:val="24"/>
          <w:highlight w:val="none"/>
          <w:u w:val="single"/>
        </w:rPr>
        <w:t>由承包人负责并承担相应的费用</w:t>
      </w:r>
      <w:r>
        <w:rPr>
          <w:rFonts w:hint="eastAsia" w:ascii="宋体" w:hAnsi="宋体"/>
          <w:color w:val="auto"/>
          <w:sz w:val="24"/>
          <w:szCs w:val="24"/>
          <w:highlight w:val="none"/>
        </w:rPr>
        <w:t>。</w:t>
      </w:r>
    </w:p>
    <w:p w14:paraId="3C018564">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关于编制施工场地治安管理计划的约定：</w:t>
      </w:r>
      <w:r>
        <w:rPr>
          <w:rFonts w:hint="eastAsia" w:ascii="宋体" w:hAnsi="宋体"/>
          <w:color w:val="auto"/>
          <w:sz w:val="24"/>
          <w:szCs w:val="24"/>
          <w:highlight w:val="none"/>
          <w:u w:val="single"/>
          <w:lang w:val="zh-TW" w:eastAsia="zh-TW"/>
        </w:rPr>
        <w:t>开工</w:t>
      </w:r>
      <w:r>
        <w:rPr>
          <w:rFonts w:hint="eastAsia" w:ascii="宋体" w:hAnsi="宋体"/>
          <w:color w:val="auto"/>
          <w:sz w:val="24"/>
          <w:szCs w:val="24"/>
          <w:highlight w:val="none"/>
          <w:u w:val="single"/>
        </w:rPr>
        <w:t>7</w:t>
      </w:r>
      <w:r>
        <w:rPr>
          <w:rFonts w:hint="eastAsia" w:ascii="宋体" w:hAnsi="宋体"/>
          <w:color w:val="auto"/>
          <w:sz w:val="24"/>
          <w:szCs w:val="24"/>
          <w:highlight w:val="none"/>
          <w:u w:val="single"/>
          <w:lang w:val="zh-TW" w:eastAsia="zh-TW"/>
        </w:rPr>
        <w:t>日前承包人提供施工场地治安管理计划</w:t>
      </w:r>
      <w:r>
        <w:rPr>
          <w:rFonts w:hint="eastAsia" w:ascii="宋体" w:hAnsi="宋体"/>
          <w:color w:val="auto"/>
          <w:sz w:val="24"/>
          <w:szCs w:val="24"/>
          <w:highlight w:val="none"/>
        </w:rPr>
        <w:t>。</w:t>
      </w:r>
    </w:p>
    <w:p w14:paraId="71F34736">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6.1.5 文明施工</w:t>
      </w:r>
    </w:p>
    <w:p w14:paraId="1666100D">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合同当事人对文明施工的要求：</w:t>
      </w:r>
      <w:r>
        <w:rPr>
          <w:rFonts w:hint="eastAsia" w:ascii="宋体" w:hAnsi="宋体" w:cs="宋体"/>
          <w:color w:val="auto"/>
          <w:sz w:val="24"/>
          <w:szCs w:val="24"/>
          <w:highlight w:val="none"/>
          <w:u w:val="single"/>
          <w:lang w:bidi="ar"/>
        </w:rPr>
        <w:t>达到《建筑施工现场环境与卫生标准》GJ146-2004、《三门峡市建筑工地安全文明施工标准化基本要求》及附件十《安全文明施工项目明细表》的要求并且符合三环委【2016】1号及三公办【2016】58号要求</w:t>
      </w:r>
      <w:r>
        <w:rPr>
          <w:rFonts w:hint="eastAsia" w:ascii="宋体" w:hAnsi="宋体"/>
          <w:color w:val="auto"/>
          <w:sz w:val="24"/>
          <w:szCs w:val="24"/>
          <w:highlight w:val="none"/>
        </w:rPr>
        <w:t>。</w:t>
      </w:r>
    </w:p>
    <w:p w14:paraId="2A0B0CE0">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6.1.6 关于安全文明施工费支付比例和支付期限的约定：</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bookmarkEnd w:id="765"/>
    <w:bookmarkEnd w:id="766"/>
    <w:bookmarkEnd w:id="767"/>
    <w:bookmarkEnd w:id="768"/>
    <w:bookmarkEnd w:id="769"/>
    <w:bookmarkEnd w:id="770"/>
    <w:bookmarkEnd w:id="771"/>
    <w:p w14:paraId="15F246CA">
      <w:pPr>
        <w:keepNext/>
        <w:keepLines/>
        <w:shd w:val="clear" w:color="auto" w:fill="auto"/>
        <w:spacing w:line="380" w:lineRule="exact"/>
        <w:ind w:firstLine="482"/>
        <w:outlineLvl w:val="3"/>
        <w:rPr>
          <w:rFonts w:hint="eastAsia" w:ascii="宋体" w:hAnsi="宋体"/>
          <w:bCs/>
          <w:color w:val="auto"/>
          <w:sz w:val="24"/>
          <w:szCs w:val="24"/>
          <w:highlight w:val="none"/>
        </w:rPr>
      </w:pPr>
      <w:bookmarkStart w:id="781" w:name="_Toc351203639"/>
      <w:r>
        <w:rPr>
          <w:rFonts w:hint="eastAsia" w:ascii="宋体" w:hAnsi="宋体"/>
          <w:bCs/>
          <w:color w:val="auto"/>
          <w:sz w:val="24"/>
          <w:szCs w:val="24"/>
          <w:highlight w:val="none"/>
        </w:rPr>
        <w:t>7. 工期和进度</w:t>
      </w:r>
      <w:bookmarkEnd w:id="781"/>
    </w:p>
    <w:p w14:paraId="318C2AE6">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7.1 施工组织设计</w:t>
      </w:r>
    </w:p>
    <w:p w14:paraId="0036E8E2">
      <w:pPr>
        <w:shd w:val="clear" w:color="auto" w:fill="auto"/>
        <w:autoSpaceDE w:val="0"/>
        <w:autoSpaceDN w:val="0"/>
        <w:adjustRightInd w:val="0"/>
        <w:spacing w:line="380" w:lineRule="exact"/>
        <w:ind w:firstLine="482"/>
        <w:jc w:val="left"/>
        <w:rPr>
          <w:rFonts w:hint="eastAsia" w:ascii="宋体" w:hAnsi="宋体"/>
          <w:color w:val="auto"/>
          <w:kern w:val="0"/>
          <w:sz w:val="24"/>
          <w:szCs w:val="24"/>
          <w:highlight w:val="none"/>
        </w:rPr>
      </w:pPr>
      <w:r>
        <w:rPr>
          <w:rFonts w:hint="eastAsia" w:ascii="宋体" w:hAnsi="宋体"/>
          <w:color w:val="auto"/>
          <w:sz w:val="24"/>
          <w:szCs w:val="24"/>
          <w:highlight w:val="none"/>
        </w:rPr>
        <w:t>7.1.1 合</w:t>
      </w:r>
      <w:r>
        <w:rPr>
          <w:rFonts w:hint="eastAsia" w:ascii="宋体" w:hAnsi="宋体"/>
          <w:color w:val="auto"/>
          <w:kern w:val="0"/>
          <w:sz w:val="24"/>
          <w:szCs w:val="24"/>
          <w:highlight w:val="none"/>
        </w:rPr>
        <w:t>同当事人约定的施工组织设计应包括的其他内容：</w:t>
      </w:r>
      <w:r>
        <w:rPr>
          <w:rFonts w:hint="eastAsia" w:ascii="宋体" w:hAnsi="宋体"/>
          <w:color w:val="auto"/>
          <w:sz w:val="24"/>
          <w:szCs w:val="24"/>
          <w:highlight w:val="none"/>
          <w:u w:val="single"/>
          <w:lang w:val="zh-TW" w:eastAsia="zh-TW"/>
        </w:rPr>
        <w:t>同通用条款</w:t>
      </w:r>
      <w:r>
        <w:rPr>
          <w:rFonts w:hint="eastAsia" w:ascii="宋体" w:hAnsi="宋体"/>
          <w:color w:val="auto"/>
          <w:sz w:val="24"/>
          <w:szCs w:val="24"/>
          <w:highlight w:val="none"/>
        </w:rPr>
        <w:t>。</w:t>
      </w:r>
    </w:p>
    <w:p w14:paraId="3B50C0FA">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sz w:val="24"/>
          <w:szCs w:val="24"/>
          <w:highlight w:val="none"/>
        </w:rPr>
        <w:t xml:space="preserve">7.1.2 </w:t>
      </w:r>
      <w:r>
        <w:rPr>
          <w:rFonts w:hint="eastAsia" w:ascii="宋体" w:hAnsi="宋体"/>
          <w:color w:val="auto"/>
          <w:kern w:val="0"/>
          <w:sz w:val="24"/>
          <w:szCs w:val="24"/>
          <w:highlight w:val="none"/>
        </w:rPr>
        <w:t>施工组织设计的提交和修改</w:t>
      </w:r>
    </w:p>
    <w:p w14:paraId="790F4DBB">
      <w:pPr>
        <w:shd w:val="clear" w:color="auto" w:fill="auto"/>
        <w:autoSpaceDE w:val="0"/>
        <w:autoSpaceDN w:val="0"/>
        <w:adjustRightInd w:val="0"/>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kern w:val="0"/>
          <w:sz w:val="24"/>
          <w:szCs w:val="24"/>
          <w:highlight w:val="none"/>
        </w:rPr>
        <w:t>承包人提交详细施工组织设计的期限的约定：</w:t>
      </w:r>
      <w:r>
        <w:rPr>
          <w:rFonts w:hint="eastAsia" w:ascii="宋体" w:hAnsi="宋体" w:cs="宋体"/>
          <w:color w:val="auto"/>
          <w:sz w:val="24"/>
          <w:szCs w:val="24"/>
          <w:highlight w:val="none"/>
          <w:u w:val="single"/>
          <w:lang w:bidi="ar"/>
        </w:rPr>
        <w:t>在工程开工7天前</w:t>
      </w:r>
      <w:r>
        <w:rPr>
          <w:rFonts w:hint="eastAsia" w:ascii="宋体" w:hAnsi="宋体"/>
          <w:color w:val="auto"/>
          <w:sz w:val="24"/>
          <w:szCs w:val="24"/>
          <w:highlight w:val="none"/>
        </w:rPr>
        <w:t>。</w:t>
      </w:r>
    </w:p>
    <w:p w14:paraId="3E509F9B">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发包人和监理人在收到详细的施工组织设计后确认或提出修改意见的期限：</w:t>
      </w:r>
      <w:r>
        <w:rPr>
          <w:rFonts w:hint="eastAsia" w:ascii="宋体" w:hAnsi="宋体" w:cs="宋体"/>
          <w:color w:val="auto"/>
          <w:sz w:val="24"/>
          <w:szCs w:val="24"/>
          <w:highlight w:val="none"/>
          <w:u w:val="single"/>
          <w:lang w:bidi="ar"/>
        </w:rPr>
        <w:t>监理人应按协议条款约定的时间（7天内）予以批准或提出修改意见，逾期不批复，可视为该施工组织设计和进度计划已经批准</w:t>
      </w:r>
      <w:r>
        <w:rPr>
          <w:rFonts w:hint="eastAsia" w:ascii="宋体" w:hAnsi="宋体"/>
          <w:color w:val="auto"/>
          <w:sz w:val="24"/>
          <w:szCs w:val="24"/>
          <w:highlight w:val="none"/>
        </w:rPr>
        <w:t>。</w:t>
      </w:r>
    </w:p>
    <w:p w14:paraId="6C6F23B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w:t>
      </w:r>
      <w:bookmarkStart w:id="782" w:name="_Toc304295541"/>
      <w:bookmarkStart w:id="783" w:name="_Toc297123514"/>
      <w:bookmarkStart w:id="784" w:name="_Toc300934966"/>
      <w:bookmarkStart w:id="785" w:name="_Toc303539123"/>
      <w:bookmarkStart w:id="786" w:name="_Toc312678005"/>
      <w:bookmarkStart w:id="787" w:name="_Toc297216173"/>
      <w:bookmarkStart w:id="788" w:name="_Toc312677479"/>
      <w:r>
        <w:rPr>
          <w:rFonts w:hint="eastAsia" w:ascii="宋体" w:hAnsi="宋体"/>
          <w:color w:val="auto"/>
          <w:sz w:val="24"/>
          <w:szCs w:val="24"/>
          <w:highlight w:val="none"/>
        </w:rPr>
        <w:t>.2 施工进度计划</w:t>
      </w:r>
    </w:p>
    <w:p w14:paraId="729A48E2">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7.2.2 施工进度计划的修订</w:t>
      </w:r>
    </w:p>
    <w:p w14:paraId="1718C04B">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发包人和监理人在收到修订的施工进度计划后确认或提出修改意见的期限：</w:t>
      </w:r>
      <w:r>
        <w:rPr>
          <w:rFonts w:hint="eastAsia" w:ascii="宋体" w:hAnsi="宋体"/>
          <w:color w:val="auto"/>
          <w:sz w:val="24"/>
          <w:szCs w:val="24"/>
          <w:highlight w:val="none"/>
          <w:u w:val="single"/>
        </w:rPr>
        <w:t xml:space="preserve">3天内             </w:t>
      </w:r>
      <w:r>
        <w:rPr>
          <w:rFonts w:hint="eastAsia" w:ascii="宋体" w:hAnsi="宋体"/>
          <w:color w:val="auto"/>
          <w:sz w:val="24"/>
          <w:szCs w:val="24"/>
          <w:highlight w:val="none"/>
        </w:rPr>
        <w:t>。</w:t>
      </w:r>
    </w:p>
    <w:p w14:paraId="7EBB8CD0">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7.3 开工</w:t>
      </w:r>
    </w:p>
    <w:p w14:paraId="65858FF6">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7.3.1 开工准备</w:t>
      </w:r>
    </w:p>
    <w:p w14:paraId="0A09EABB">
      <w:pPr>
        <w:shd w:val="clear" w:color="auto" w:fill="auto"/>
        <w:spacing w:line="380" w:lineRule="exact"/>
        <w:ind w:firstLine="482"/>
        <w:jc w:val="left"/>
        <w:rPr>
          <w:rFonts w:hint="eastAsia" w:ascii="宋体" w:hAnsi="宋体"/>
          <w:color w:val="auto"/>
          <w:sz w:val="24"/>
          <w:szCs w:val="24"/>
          <w:highlight w:val="none"/>
          <w:u w:val="single"/>
        </w:rPr>
      </w:pPr>
      <w:r>
        <w:rPr>
          <w:rFonts w:hint="eastAsia" w:ascii="宋体" w:hAnsi="宋体"/>
          <w:color w:val="auto"/>
          <w:sz w:val="24"/>
          <w:szCs w:val="24"/>
          <w:highlight w:val="none"/>
        </w:rPr>
        <w:t>关于承包人提交</w:t>
      </w:r>
      <w:r>
        <w:rPr>
          <w:rFonts w:hint="eastAsia" w:ascii="宋体" w:hAnsi="宋体"/>
          <w:color w:val="auto"/>
          <w:kern w:val="0"/>
          <w:sz w:val="24"/>
          <w:szCs w:val="24"/>
          <w:highlight w:val="none"/>
        </w:rPr>
        <w:t>工程开工报审表的期限：</w:t>
      </w:r>
      <w:r>
        <w:rPr>
          <w:rFonts w:hint="eastAsia" w:ascii="宋体" w:hAnsi="宋体" w:cs="宋体"/>
          <w:color w:val="auto"/>
          <w:sz w:val="24"/>
          <w:szCs w:val="24"/>
          <w:highlight w:val="none"/>
          <w:u w:val="single"/>
          <w:lang w:bidi="ar"/>
        </w:rPr>
        <w:t>开工前7天</w:t>
      </w:r>
      <w:r>
        <w:rPr>
          <w:rFonts w:hint="eastAsia" w:ascii="宋体" w:hAnsi="宋体"/>
          <w:color w:val="auto"/>
          <w:sz w:val="24"/>
          <w:szCs w:val="24"/>
          <w:highlight w:val="none"/>
        </w:rPr>
        <w:t>。</w:t>
      </w:r>
    </w:p>
    <w:p w14:paraId="5A99D3E0">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关于发包人应完成的其他开工准备工作及期限：</w:t>
      </w:r>
      <w:r>
        <w:rPr>
          <w:rFonts w:hint="eastAsia" w:ascii="宋体" w:hAnsi="宋体" w:cs="宋体"/>
          <w:color w:val="auto"/>
          <w:sz w:val="24"/>
          <w:szCs w:val="24"/>
          <w:highlight w:val="none"/>
          <w:u w:val="single"/>
          <w:lang w:bidi="ar"/>
        </w:rPr>
        <w:t>开工前7天</w:t>
      </w:r>
      <w:r>
        <w:rPr>
          <w:rFonts w:hint="eastAsia" w:ascii="宋体" w:hAnsi="宋体"/>
          <w:color w:val="auto"/>
          <w:sz w:val="24"/>
          <w:szCs w:val="24"/>
          <w:highlight w:val="none"/>
        </w:rPr>
        <w:t>。</w:t>
      </w:r>
    </w:p>
    <w:p w14:paraId="2E720D3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关于承包人应完成的其他开工准备工作及期限：</w:t>
      </w:r>
      <w:r>
        <w:rPr>
          <w:rFonts w:hint="eastAsia" w:ascii="宋体" w:hAnsi="宋体" w:cs="宋体"/>
          <w:color w:val="auto"/>
          <w:sz w:val="24"/>
          <w:szCs w:val="24"/>
          <w:highlight w:val="none"/>
          <w:u w:val="single"/>
          <w:lang w:bidi="ar"/>
        </w:rPr>
        <w:t>以监理人的通知为准</w:t>
      </w:r>
      <w:r>
        <w:rPr>
          <w:rFonts w:hint="eastAsia" w:ascii="宋体" w:hAnsi="宋体"/>
          <w:color w:val="auto"/>
          <w:sz w:val="24"/>
          <w:szCs w:val="24"/>
          <w:highlight w:val="none"/>
        </w:rPr>
        <w:t>。</w:t>
      </w:r>
    </w:p>
    <w:p w14:paraId="7BBDFC7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7.3.2开工通知</w:t>
      </w:r>
    </w:p>
    <w:p w14:paraId="40E0BE28">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因发包人原因造成监理人未能在计划开工日期之日起</w:t>
      </w:r>
      <w:r>
        <w:rPr>
          <w:rFonts w:hint="eastAsia" w:ascii="宋体" w:hAnsi="宋体"/>
          <w:color w:val="auto"/>
          <w:sz w:val="24"/>
          <w:szCs w:val="24"/>
          <w:highlight w:val="none"/>
          <w:u w:val="single"/>
        </w:rPr>
        <w:t>90</w:t>
      </w:r>
      <w:r>
        <w:rPr>
          <w:rFonts w:hint="eastAsia" w:ascii="宋体" w:hAnsi="宋体"/>
          <w:color w:val="auto"/>
          <w:sz w:val="24"/>
          <w:szCs w:val="24"/>
          <w:highlight w:val="none"/>
        </w:rPr>
        <w:t>内发出开工通知的，承包人有权提出价格调整要求，或者解除合同。</w:t>
      </w:r>
    </w:p>
    <w:bookmarkEnd w:id="782"/>
    <w:bookmarkEnd w:id="783"/>
    <w:bookmarkEnd w:id="784"/>
    <w:bookmarkEnd w:id="785"/>
    <w:bookmarkEnd w:id="786"/>
    <w:bookmarkEnd w:id="787"/>
    <w:bookmarkEnd w:id="788"/>
    <w:p w14:paraId="61771EA3">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7.4 测量放线</w:t>
      </w:r>
    </w:p>
    <w:p w14:paraId="56A86A77">
      <w:pPr>
        <w:shd w:val="clear" w:color="auto" w:fill="auto"/>
        <w:spacing w:line="380" w:lineRule="exact"/>
        <w:ind w:firstLine="480" w:firstLineChars="200"/>
        <w:jc w:val="left"/>
        <w:rPr>
          <w:rFonts w:hint="eastAsia" w:ascii="宋体" w:hAnsi="宋体"/>
          <w:color w:val="auto"/>
          <w:sz w:val="24"/>
          <w:szCs w:val="24"/>
          <w:highlight w:val="none"/>
          <w:u w:val="single"/>
        </w:rPr>
      </w:pPr>
      <w:r>
        <w:rPr>
          <w:rFonts w:hint="eastAsia" w:ascii="宋体" w:hAnsi="宋体"/>
          <w:color w:val="auto"/>
          <w:sz w:val="24"/>
          <w:szCs w:val="24"/>
          <w:highlight w:val="none"/>
        </w:rPr>
        <w:t>7.4.1发包人通过监理人向承包人提供测量基准点、基准线和水准点及其书面资料的期限：</w:t>
      </w:r>
      <w:r>
        <w:rPr>
          <w:rFonts w:hint="eastAsia" w:ascii="宋体" w:hAnsi="宋体"/>
          <w:color w:val="auto"/>
          <w:sz w:val="24"/>
          <w:szCs w:val="24"/>
          <w:highlight w:val="none"/>
          <w:u w:val="single"/>
        </w:rPr>
        <w:t xml:space="preserve">     开工前7天           </w:t>
      </w:r>
      <w:r>
        <w:rPr>
          <w:rFonts w:hint="eastAsia" w:ascii="宋体" w:hAnsi="宋体"/>
          <w:color w:val="auto"/>
          <w:sz w:val="24"/>
          <w:szCs w:val="24"/>
          <w:highlight w:val="none"/>
        </w:rPr>
        <w:t>。</w:t>
      </w:r>
    </w:p>
    <w:p w14:paraId="673CFEF3">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w:t>
      </w:r>
      <w:bookmarkStart w:id="789" w:name="_Toc312678010"/>
      <w:bookmarkStart w:id="790" w:name="_Toc300934968"/>
      <w:bookmarkStart w:id="791" w:name="_Toc303539125"/>
      <w:bookmarkStart w:id="792" w:name="_Toc297216175"/>
      <w:bookmarkStart w:id="793" w:name="_Toc312677484"/>
      <w:bookmarkStart w:id="794" w:name="_Toc304295546"/>
      <w:bookmarkStart w:id="795" w:name="_Toc297123516"/>
      <w:r>
        <w:rPr>
          <w:rFonts w:hint="eastAsia" w:ascii="宋体" w:hAnsi="宋体"/>
          <w:color w:val="auto"/>
          <w:sz w:val="24"/>
          <w:szCs w:val="24"/>
          <w:highlight w:val="none"/>
        </w:rPr>
        <w:t>.5 工期延误</w:t>
      </w:r>
    </w:p>
    <w:bookmarkEnd w:id="789"/>
    <w:bookmarkEnd w:id="790"/>
    <w:bookmarkEnd w:id="791"/>
    <w:bookmarkEnd w:id="792"/>
    <w:bookmarkEnd w:id="793"/>
    <w:bookmarkEnd w:id="794"/>
    <w:bookmarkEnd w:id="795"/>
    <w:p w14:paraId="41DB8E4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7.5.1 因发包人原因导致工期延误</w:t>
      </w:r>
    </w:p>
    <w:p w14:paraId="215CAE40">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（7）因发包人原因导致工期延误的其他情形：</w:t>
      </w:r>
      <w:r>
        <w:rPr>
          <w:rFonts w:hint="eastAsia" w:ascii="宋体" w:hAnsi="宋体"/>
          <w:color w:val="auto"/>
          <w:sz w:val="24"/>
          <w:szCs w:val="24"/>
          <w:highlight w:val="none"/>
          <w:u w:val="single"/>
          <w:lang w:val="zh-TW" w:eastAsia="zh-TW"/>
        </w:rPr>
        <w:t>（</w:t>
      </w:r>
      <w:r>
        <w:rPr>
          <w:rFonts w:hint="eastAsia" w:ascii="宋体" w:hAnsi="宋体"/>
          <w:color w:val="auto"/>
          <w:sz w:val="24"/>
          <w:szCs w:val="24"/>
          <w:highlight w:val="none"/>
          <w:u w:val="single"/>
        </w:rPr>
        <w:t>1</w:t>
      </w:r>
      <w:r>
        <w:rPr>
          <w:rFonts w:hint="eastAsia" w:ascii="宋体" w:hAnsi="宋体"/>
          <w:color w:val="auto"/>
          <w:sz w:val="24"/>
          <w:szCs w:val="24"/>
          <w:highlight w:val="none"/>
          <w:u w:val="single"/>
          <w:lang w:val="zh-TW" w:eastAsia="zh-TW"/>
        </w:rPr>
        <w:t>）由于国家政策停建或者缓建，致使施工无法正常进行以及由于政府及相关规定造成的工期延误。（</w:t>
      </w:r>
      <w:r>
        <w:rPr>
          <w:rFonts w:hint="eastAsia" w:ascii="宋体" w:hAnsi="宋体"/>
          <w:color w:val="auto"/>
          <w:sz w:val="24"/>
          <w:szCs w:val="24"/>
          <w:highlight w:val="none"/>
          <w:u w:val="single"/>
        </w:rPr>
        <w:t>2</w:t>
      </w:r>
      <w:r>
        <w:rPr>
          <w:rFonts w:hint="eastAsia" w:ascii="宋体" w:hAnsi="宋体"/>
          <w:color w:val="auto"/>
          <w:sz w:val="24"/>
          <w:szCs w:val="24"/>
          <w:highlight w:val="none"/>
          <w:u w:val="single"/>
          <w:lang w:val="zh-TW" w:eastAsia="zh-TW"/>
        </w:rPr>
        <w:t>）经双方书面确认的工期延误。（</w:t>
      </w:r>
      <w:r>
        <w:rPr>
          <w:rFonts w:hint="eastAsia" w:ascii="宋体" w:hAnsi="宋体"/>
          <w:color w:val="auto"/>
          <w:sz w:val="24"/>
          <w:szCs w:val="24"/>
          <w:highlight w:val="none"/>
          <w:u w:val="single"/>
        </w:rPr>
        <w:t>3</w:t>
      </w:r>
      <w:r>
        <w:rPr>
          <w:rFonts w:hint="eastAsia" w:ascii="宋体" w:hAnsi="宋体"/>
          <w:color w:val="auto"/>
          <w:sz w:val="24"/>
          <w:szCs w:val="24"/>
          <w:highlight w:val="none"/>
          <w:u w:val="single"/>
          <w:lang w:val="zh-TW" w:eastAsia="zh-TW"/>
        </w:rPr>
        <w:t>）由于不可抗力原因而影响工程施工；（</w:t>
      </w:r>
      <w:r>
        <w:rPr>
          <w:rFonts w:hint="eastAsia" w:ascii="宋体" w:hAnsi="宋体"/>
          <w:color w:val="auto"/>
          <w:sz w:val="24"/>
          <w:szCs w:val="24"/>
          <w:highlight w:val="none"/>
          <w:u w:val="single"/>
        </w:rPr>
        <w:t>4</w:t>
      </w:r>
      <w:r>
        <w:rPr>
          <w:rFonts w:hint="eastAsia" w:ascii="宋体" w:hAnsi="宋体"/>
          <w:color w:val="auto"/>
          <w:sz w:val="24"/>
          <w:szCs w:val="24"/>
          <w:highlight w:val="none"/>
          <w:u w:val="single"/>
          <w:lang w:val="zh-TW" w:eastAsia="zh-TW"/>
        </w:rPr>
        <w:t>）非承包人原因导致工期延误的其他情形</w:t>
      </w:r>
      <w:r>
        <w:rPr>
          <w:rFonts w:hint="eastAsia" w:ascii="宋体" w:hAnsi="宋体"/>
          <w:color w:val="auto"/>
          <w:sz w:val="24"/>
          <w:szCs w:val="24"/>
          <w:highlight w:val="none"/>
        </w:rPr>
        <w:t>。</w:t>
      </w:r>
    </w:p>
    <w:p w14:paraId="1101FB5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w:t>
      </w:r>
      <w:bookmarkStart w:id="796" w:name="_Toc312677486"/>
      <w:bookmarkStart w:id="797" w:name="_Toc312678012"/>
      <w:bookmarkStart w:id="798" w:name="_Toc318581169"/>
      <w:bookmarkStart w:id="799" w:name="_Toc297123518"/>
      <w:bookmarkStart w:id="800" w:name="_Toc304295548"/>
      <w:bookmarkStart w:id="801" w:name="_Toc303539127"/>
      <w:bookmarkStart w:id="802" w:name="_Toc297216177"/>
      <w:bookmarkStart w:id="803" w:name="_Toc300934970"/>
      <w:r>
        <w:rPr>
          <w:rFonts w:hint="eastAsia" w:ascii="宋体" w:hAnsi="宋体"/>
          <w:color w:val="auto"/>
          <w:sz w:val="24"/>
          <w:szCs w:val="24"/>
          <w:highlight w:val="none"/>
        </w:rPr>
        <w:t>.5.2 因承包人原因导致工期延误</w:t>
      </w:r>
    </w:p>
    <w:bookmarkEnd w:id="796"/>
    <w:bookmarkEnd w:id="797"/>
    <w:bookmarkEnd w:id="798"/>
    <w:p w14:paraId="6B83A178">
      <w:pPr>
        <w:shd w:val="clear" w:color="auto" w:fill="auto"/>
        <w:spacing w:line="380" w:lineRule="exact"/>
        <w:ind w:firstLine="480" w:firstLineChars="200"/>
        <w:jc w:val="left"/>
        <w:rPr>
          <w:rFonts w:hint="eastAsia" w:ascii="宋体" w:hAnsi="宋体"/>
          <w:color w:val="auto"/>
          <w:sz w:val="24"/>
          <w:szCs w:val="24"/>
          <w:highlight w:val="none"/>
          <w:u w:val="single"/>
        </w:rPr>
      </w:pPr>
      <w:r>
        <w:rPr>
          <w:rFonts w:hint="eastAsia" w:ascii="宋体" w:hAnsi="宋体"/>
          <w:color w:val="auto"/>
          <w:sz w:val="24"/>
          <w:szCs w:val="24"/>
          <w:highlight w:val="none"/>
        </w:rPr>
        <w:t>因</w:t>
      </w:r>
      <w:bookmarkStart w:id="804" w:name="_Toc312678013"/>
      <w:bookmarkStart w:id="805" w:name="_Toc312677487"/>
      <w:bookmarkStart w:id="806" w:name="_Toc318581170"/>
      <w:r>
        <w:rPr>
          <w:rFonts w:hint="eastAsia" w:ascii="宋体" w:hAnsi="宋体"/>
          <w:color w:val="auto"/>
          <w:sz w:val="24"/>
          <w:szCs w:val="24"/>
          <w:highlight w:val="none"/>
        </w:rPr>
        <w:t>承包人原因造成工期延误，逾期竣工违约金的计算方法为：</w:t>
      </w:r>
    </w:p>
    <w:p w14:paraId="0E0FEAF1">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u w:val="single"/>
          <w:lang w:val="zh-TW" w:eastAsia="zh-TW"/>
        </w:rPr>
        <w:t>工期顺延按合同总价的万分之五/天</w:t>
      </w:r>
      <w:r>
        <w:rPr>
          <w:rFonts w:hint="eastAsia" w:ascii="宋体" w:hAnsi="宋体"/>
          <w:color w:val="auto"/>
          <w:sz w:val="24"/>
          <w:szCs w:val="24"/>
          <w:highlight w:val="none"/>
        </w:rPr>
        <w:t>。</w:t>
      </w:r>
      <w:bookmarkEnd w:id="799"/>
      <w:bookmarkEnd w:id="800"/>
      <w:bookmarkEnd w:id="801"/>
      <w:bookmarkEnd w:id="802"/>
      <w:bookmarkEnd w:id="803"/>
      <w:bookmarkEnd w:id="804"/>
      <w:bookmarkEnd w:id="805"/>
    </w:p>
    <w:bookmarkEnd w:id="806"/>
    <w:p w14:paraId="6AC73478">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因承包人原因造成工期延误，逾</w:t>
      </w:r>
      <w:bookmarkStart w:id="807" w:name="_Toc312678014"/>
      <w:bookmarkStart w:id="808" w:name="_Toc318581171"/>
      <w:r>
        <w:rPr>
          <w:rFonts w:hint="eastAsia" w:ascii="宋体" w:hAnsi="宋体"/>
          <w:color w:val="auto"/>
          <w:sz w:val="24"/>
          <w:szCs w:val="24"/>
          <w:highlight w:val="none"/>
        </w:rPr>
        <w:t>期竣工违约金的上限：</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bookmarkEnd w:id="807"/>
    <w:bookmarkEnd w:id="808"/>
    <w:p w14:paraId="411CECFB">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w:t>
      </w:r>
      <w:bookmarkStart w:id="809" w:name="_Toc297123519"/>
      <w:bookmarkStart w:id="810" w:name="_Toc312678015"/>
      <w:bookmarkStart w:id="811" w:name="_Toc297216178"/>
      <w:bookmarkStart w:id="812" w:name="_Toc304295549"/>
      <w:bookmarkStart w:id="813" w:name="_Toc303539128"/>
      <w:bookmarkStart w:id="814" w:name="_Toc300934971"/>
      <w:r>
        <w:rPr>
          <w:rFonts w:hint="eastAsia" w:ascii="宋体" w:hAnsi="宋体"/>
          <w:color w:val="auto"/>
          <w:sz w:val="24"/>
          <w:szCs w:val="24"/>
          <w:highlight w:val="none"/>
        </w:rPr>
        <w:t>.6 不</w:t>
      </w:r>
      <w:bookmarkEnd w:id="809"/>
      <w:bookmarkEnd w:id="810"/>
      <w:bookmarkEnd w:id="811"/>
      <w:bookmarkEnd w:id="812"/>
      <w:bookmarkEnd w:id="813"/>
      <w:bookmarkEnd w:id="814"/>
      <w:r>
        <w:rPr>
          <w:rFonts w:hint="eastAsia" w:ascii="宋体" w:hAnsi="宋体"/>
          <w:color w:val="auto"/>
          <w:sz w:val="24"/>
          <w:szCs w:val="24"/>
          <w:highlight w:val="none"/>
        </w:rPr>
        <w:t>利物质条件</w:t>
      </w:r>
    </w:p>
    <w:p w14:paraId="5F28EC57">
      <w:pPr>
        <w:shd w:val="clear" w:color="auto" w:fill="auto"/>
        <w:spacing w:line="380" w:lineRule="exact"/>
        <w:ind w:firstLine="482"/>
        <w:jc w:val="left"/>
        <w:rPr>
          <w:rFonts w:hint="eastAsia" w:ascii="宋体" w:hAnsi="宋体"/>
          <w:color w:val="auto"/>
          <w:sz w:val="24"/>
          <w:szCs w:val="24"/>
          <w:highlight w:val="none"/>
        </w:rPr>
      </w:pPr>
      <w:bookmarkStart w:id="815" w:name="_Toc304295550"/>
      <w:bookmarkStart w:id="816" w:name="_Toc312678016"/>
      <w:bookmarkStart w:id="817" w:name="_Toc303539129"/>
      <w:bookmarkStart w:id="818" w:name="_Toc318581172"/>
      <w:bookmarkStart w:id="819" w:name="_Toc300934972"/>
      <w:bookmarkStart w:id="820" w:name="_Toc297216179"/>
      <w:bookmarkStart w:id="821" w:name="_Toc297123520"/>
      <w:r>
        <w:rPr>
          <w:rFonts w:hint="eastAsia" w:ascii="宋体" w:hAnsi="宋体"/>
          <w:color w:val="auto"/>
          <w:sz w:val="24"/>
          <w:szCs w:val="24"/>
          <w:highlight w:val="none"/>
        </w:rPr>
        <w:t>不利物质条件的其他情形和有关约定：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bookmarkEnd w:id="815"/>
    <w:bookmarkEnd w:id="816"/>
    <w:bookmarkEnd w:id="817"/>
    <w:bookmarkEnd w:id="818"/>
    <w:bookmarkEnd w:id="819"/>
    <w:bookmarkEnd w:id="820"/>
    <w:bookmarkEnd w:id="821"/>
    <w:p w14:paraId="0827ABC7">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7</w:t>
      </w:r>
      <w:bookmarkStart w:id="822" w:name="_Toc297216180"/>
      <w:bookmarkStart w:id="823" w:name="_Toc297123521"/>
      <w:bookmarkStart w:id="824" w:name="_Toc312678017"/>
      <w:bookmarkStart w:id="825" w:name="_Toc303539130"/>
      <w:bookmarkStart w:id="826" w:name="_Toc300934973"/>
      <w:bookmarkStart w:id="827" w:name="_Toc304295551"/>
      <w:r>
        <w:rPr>
          <w:rFonts w:hint="eastAsia" w:ascii="宋体" w:hAnsi="宋体"/>
          <w:color w:val="auto"/>
          <w:sz w:val="24"/>
          <w:szCs w:val="24"/>
          <w:highlight w:val="none"/>
        </w:rPr>
        <w:t>.7异常恶劣的气候条件</w:t>
      </w:r>
    </w:p>
    <w:bookmarkEnd w:id="822"/>
    <w:bookmarkEnd w:id="823"/>
    <w:bookmarkEnd w:id="824"/>
    <w:bookmarkEnd w:id="825"/>
    <w:bookmarkEnd w:id="826"/>
    <w:bookmarkEnd w:id="827"/>
    <w:p w14:paraId="66DE3B44">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发包人和承包人同意以下情形视为异常恶劣的气候条件：</w:t>
      </w:r>
    </w:p>
    <w:p w14:paraId="3D4CBEF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w:t>
      </w:r>
      <w:r>
        <w:rPr>
          <w:rFonts w:hint="eastAsia" w:ascii="宋体" w:hAnsi="宋体"/>
          <w:color w:val="auto"/>
          <w:sz w:val="24"/>
          <w:szCs w:val="24"/>
          <w:highlight w:val="none"/>
          <w:u w:val="single"/>
          <w:lang w:val="zh-TW" w:eastAsia="zh-TW"/>
        </w:rPr>
        <w:t>双方另行确定</w:t>
      </w:r>
    </w:p>
    <w:p w14:paraId="13CF59B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w:t>
      </w:r>
    </w:p>
    <w:p w14:paraId="4EE5FC7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（3）。</w:t>
      </w:r>
    </w:p>
    <w:p w14:paraId="05C4F181">
      <w:pPr>
        <w:shd w:val="clear" w:color="auto" w:fill="auto"/>
        <w:spacing w:line="380" w:lineRule="exact"/>
        <w:ind w:firstLine="480" w:firstLineChars="200"/>
        <w:outlineLvl w:val="0"/>
        <w:rPr>
          <w:rFonts w:hint="eastAsia" w:ascii="宋体" w:hAnsi="宋体"/>
          <w:color w:val="auto"/>
          <w:sz w:val="24"/>
          <w:szCs w:val="24"/>
          <w:highlight w:val="none"/>
        </w:rPr>
      </w:pPr>
      <w:bookmarkStart w:id="828" w:name="_Toc15734"/>
      <w:bookmarkStart w:id="829" w:name="_Toc7521"/>
      <w:bookmarkStart w:id="830" w:name="_Toc18677"/>
      <w:bookmarkStart w:id="831" w:name="_Toc17322"/>
      <w:bookmarkStart w:id="832" w:name="_Toc27038"/>
      <w:bookmarkStart w:id="833" w:name="_Toc9468"/>
      <w:bookmarkStart w:id="834" w:name="_Toc28860"/>
      <w:bookmarkStart w:id="835" w:name="_Toc21266"/>
      <w:r>
        <w:rPr>
          <w:rFonts w:hint="eastAsia" w:ascii="宋体" w:hAnsi="宋体"/>
          <w:color w:val="auto"/>
          <w:sz w:val="24"/>
          <w:szCs w:val="24"/>
          <w:highlight w:val="none"/>
        </w:rPr>
        <w:t>7.9 提前竣工的奖励</w:t>
      </w:r>
      <w:bookmarkEnd w:id="828"/>
      <w:bookmarkEnd w:id="829"/>
      <w:bookmarkEnd w:id="830"/>
      <w:bookmarkEnd w:id="831"/>
      <w:bookmarkEnd w:id="832"/>
      <w:bookmarkEnd w:id="833"/>
      <w:bookmarkEnd w:id="834"/>
      <w:bookmarkEnd w:id="835"/>
    </w:p>
    <w:p w14:paraId="3CF3BBF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7.9.2提前竣工的奖励：</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4B7DF4C1">
      <w:pPr>
        <w:keepNext/>
        <w:keepLines/>
        <w:shd w:val="clear" w:color="auto" w:fill="auto"/>
        <w:spacing w:line="380" w:lineRule="exact"/>
        <w:ind w:firstLine="482"/>
        <w:outlineLvl w:val="3"/>
        <w:rPr>
          <w:rFonts w:hint="eastAsia" w:ascii="宋体" w:hAnsi="宋体"/>
          <w:bCs/>
          <w:color w:val="auto"/>
          <w:sz w:val="24"/>
          <w:szCs w:val="24"/>
          <w:highlight w:val="none"/>
        </w:rPr>
      </w:pPr>
      <w:bookmarkStart w:id="836" w:name="_Toc351203640"/>
      <w:r>
        <w:rPr>
          <w:rFonts w:hint="eastAsia" w:ascii="宋体" w:hAnsi="宋体"/>
          <w:bCs/>
          <w:color w:val="auto"/>
          <w:sz w:val="24"/>
          <w:szCs w:val="24"/>
          <w:highlight w:val="none"/>
        </w:rPr>
        <w:t>8. 材料与设备</w:t>
      </w:r>
      <w:bookmarkEnd w:id="836"/>
    </w:p>
    <w:bookmarkEnd w:id="747"/>
    <w:bookmarkEnd w:id="748"/>
    <w:bookmarkEnd w:id="749"/>
    <w:bookmarkEnd w:id="750"/>
    <w:bookmarkEnd w:id="751"/>
    <w:bookmarkEnd w:id="752"/>
    <w:bookmarkEnd w:id="753"/>
    <w:bookmarkEnd w:id="754"/>
    <w:bookmarkEnd w:id="755"/>
    <w:bookmarkEnd w:id="756"/>
    <w:p w14:paraId="6418FA07">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8</w:t>
      </w:r>
      <w:bookmarkStart w:id="837" w:name="_Toc296346668"/>
      <w:bookmarkStart w:id="838" w:name="_Toc296503167"/>
      <w:bookmarkStart w:id="839" w:name="_Toc312677493"/>
      <w:bookmarkStart w:id="840" w:name="_Toc280868654"/>
      <w:bookmarkStart w:id="841" w:name="_Toc292559877"/>
      <w:bookmarkStart w:id="842" w:name="_Toc296890995"/>
      <w:bookmarkStart w:id="843" w:name="_Toc297048353"/>
      <w:bookmarkStart w:id="844" w:name="_Toc312678019"/>
      <w:bookmarkStart w:id="845" w:name="_Toc292559372"/>
      <w:bookmarkStart w:id="846" w:name="_Toc297216186"/>
      <w:bookmarkStart w:id="847" w:name="_Toc297123527"/>
      <w:bookmarkStart w:id="848" w:name="_Toc296891207"/>
      <w:bookmarkStart w:id="849" w:name="_Toc296944506"/>
      <w:bookmarkStart w:id="850" w:name="_Toc296347166"/>
      <w:bookmarkStart w:id="851" w:name="_Toc300934979"/>
      <w:bookmarkStart w:id="852" w:name="_Toc303539136"/>
      <w:bookmarkStart w:id="853" w:name="_Toc304295556"/>
      <w:bookmarkStart w:id="854" w:name="_Toc297120467"/>
      <w:bookmarkStart w:id="855" w:name="_Toc267251424"/>
      <w:bookmarkStart w:id="856" w:name="_Toc280868656"/>
      <w:bookmarkStart w:id="857" w:name="_Toc280868655"/>
      <w:r>
        <w:rPr>
          <w:rFonts w:hint="eastAsia" w:ascii="宋体" w:hAnsi="宋体"/>
          <w:color w:val="auto"/>
          <w:sz w:val="24"/>
          <w:szCs w:val="24"/>
          <w:highlight w:val="none"/>
        </w:rPr>
        <w:t>.4材料与工程设备的保管与使用</w:t>
      </w:r>
    </w:p>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p w14:paraId="32A44DD4">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8</w:t>
      </w:r>
      <w:bookmarkStart w:id="858" w:name="_Toc292559373"/>
      <w:bookmarkStart w:id="859" w:name="_Toc292559878"/>
      <w:bookmarkStart w:id="860" w:name="_Toc296346669"/>
      <w:bookmarkStart w:id="861" w:name="_Toc297123528"/>
      <w:bookmarkStart w:id="862" w:name="_Toc318581173"/>
      <w:bookmarkStart w:id="863" w:name="_Toc296944507"/>
      <w:bookmarkStart w:id="864" w:name="_Toc297048354"/>
      <w:bookmarkStart w:id="865" w:name="_Toc312678020"/>
      <w:bookmarkStart w:id="866" w:name="_Toc304295557"/>
      <w:bookmarkStart w:id="867" w:name="_Toc296503168"/>
      <w:bookmarkStart w:id="868" w:name="_Toc312677494"/>
      <w:bookmarkStart w:id="869" w:name="_Toc296347167"/>
      <w:bookmarkStart w:id="870" w:name="_Toc300934980"/>
      <w:bookmarkStart w:id="871" w:name="_Toc296891208"/>
      <w:bookmarkStart w:id="872" w:name="_Toc296890996"/>
      <w:bookmarkStart w:id="873" w:name="_Toc297216187"/>
      <w:bookmarkStart w:id="874" w:name="_Toc297120468"/>
      <w:bookmarkStart w:id="875" w:name="_Toc303539137"/>
      <w:r>
        <w:rPr>
          <w:rFonts w:hint="eastAsia" w:ascii="宋体" w:hAnsi="宋体"/>
          <w:color w:val="auto"/>
          <w:sz w:val="24"/>
          <w:szCs w:val="24"/>
          <w:highlight w:val="none"/>
        </w:rPr>
        <w:t>.4.1发包人供应的材料设备的保管费用的承担：</w:t>
      </w:r>
      <w:r>
        <w:rPr>
          <w:rFonts w:hint="eastAsia" w:ascii="宋体" w:hAnsi="宋体"/>
          <w:color w:val="auto"/>
          <w:sz w:val="24"/>
          <w:szCs w:val="24"/>
          <w:highlight w:val="none"/>
          <w:u w:val="single"/>
          <w:lang w:val="zh-TW" w:eastAsia="zh-TW"/>
        </w:rPr>
        <w:t>由发包人承担</w:t>
      </w:r>
      <w:r>
        <w:rPr>
          <w:rFonts w:hint="eastAsia" w:ascii="宋体" w:hAnsi="宋体"/>
          <w:color w:val="auto"/>
          <w:sz w:val="24"/>
          <w:szCs w:val="24"/>
          <w:highlight w:val="none"/>
        </w:rPr>
        <w:t>。</w:t>
      </w:r>
      <w:bookmarkEnd w:id="858"/>
      <w:bookmarkEnd w:id="859"/>
    </w:p>
    <w:p w14:paraId="47D58ADE">
      <w:pPr>
        <w:shd w:val="clear" w:color="auto" w:fill="auto"/>
        <w:spacing w:line="380" w:lineRule="exact"/>
        <w:ind w:firstLine="480" w:firstLineChars="200"/>
        <w:outlineLvl w:val="0"/>
        <w:rPr>
          <w:rFonts w:hint="eastAsia" w:ascii="宋体" w:hAnsi="宋体"/>
          <w:color w:val="auto"/>
          <w:sz w:val="24"/>
          <w:szCs w:val="24"/>
          <w:highlight w:val="none"/>
        </w:rPr>
      </w:pPr>
      <w:bookmarkStart w:id="876" w:name="_Toc26827"/>
      <w:bookmarkStart w:id="877" w:name="_Toc10139"/>
      <w:bookmarkStart w:id="878" w:name="_Toc29280"/>
      <w:bookmarkStart w:id="879" w:name="_Toc31142"/>
      <w:bookmarkStart w:id="880" w:name="_Toc10489"/>
      <w:bookmarkStart w:id="881" w:name="_Toc26487"/>
      <w:bookmarkStart w:id="882" w:name="_Toc8633"/>
      <w:bookmarkStart w:id="883" w:name="_Toc7715"/>
      <w:r>
        <w:rPr>
          <w:rFonts w:hint="eastAsia" w:ascii="宋体" w:hAnsi="宋体"/>
          <w:color w:val="auto"/>
          <w:sz w:val="24"/>
          <w:szCs w:val="24"/>
          <w:highlight w:val="none"/>
        </w:rPr>
        <w:t>8.6 样品</w:t>
      </w:r>
      <w:bookmarkEnd w:id="876"/>
      <w:bookmarkEnd w:id="877"/>
      <w:bookmarkEnd w:id="878"/>
      <w:bookmarkEnd w:id="879"/>
      <w:bookmarkEnd w:id="880"/>
      <w:bookmarkEnd w:id="881"/>
      <w:bookmarkEnd w:id="882"/>
      <w:bookmarkEnd w:id="883"/>
    </w:p>
    <w:p w14:paraId="30D0E4F6">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8.6.1</w:t>
      </w:r>
      <w:r>
        <w:rPr>
          <w:rFonts w:hint="eastAsia" w:ascii="宋体" w:hAnsi="宋体"/>
          <w:color w:val="auto"/>
          <w:kern w:val="0"/>
          <w:sz w:val="24"/>
          <w:szCs w:val="24"/>
          <w:highlight w:val="none"/>
        </w:rPr>
        <w:tab/>
      </w:r>
      <w:r>
        <w:rPr>
          <w:rFonts w:hint="eastAsia" w:ascii="宋体" w:hAnsi="宋体"/>
          <w:color w:val="auto"/>
          <w:kern w:val="0"/>
          <w:sz w:val="24"/>
          <w:szCs w:val="24"/>
          <w:highlight w:val="none"/>
        </w:rPr>
        <w:t>样品的报送与封存</w:t>
      </w:r>
    </w:p>
    <w:p w14:paraId="2A618AF5">
      <w:pPr>
        <w:shd w:val="clear" w:color="auto" w:fill="auto"/>
        <w:autoSpaceDE w:val="0"/>
        <w:autoSpaceDN w:val="0"/>
        <w:adjustRightInd w:val="0"/>
        <w:spacing w:line="380" w:lineRule="exact"/>
        <w:ind w:firstLine="482"/>
        <w:jc w:val="left"/>
        <w:rPr>
          <w:rFonts w:hint="eastAsia" w:ascii="宋体" w:hAnsi="宋体"/>
          <w:color w:val="auto"/>
          <w:sz w:val="24"/>
          <w:szCs w:val="24"/>
          <w:highlight w:val="none"/>
        </w:rPr>
      </w:pPr>
      <w:r>
        <w:rPr>
          <w:rFonts w:hint="eastAsia" w:ascii="宋体" w:hAnsi="宋体"/>
          <w:color w:val="auto"/>
          <w:kern w:val="0"/>
          <w:sz w:val="24"/>
          <w:szCs w:val="24"/>
          <w:highlight w:val="none"/>
        </w:rPr>
        <w:t>需要承包人报送样品的材料或工程设备，样品的种类、名称、规格、数量要求：</w:t>
      </w:r>
      <w:r>
        <w:rPr>
          <w:rFonts w:hint="eastAsia" w:ascii="宋体" w:hAnsi="宋体"/>
          <w:color w:val="auto"/>
          <w:sz w:val="24"/>
          <w:szCs w:val="24"/>
          <w:highlight w:val="none"/>
        </w:rPr>
        <w:t>。</w:t>
      </w:r>
    </w:p>
    <w:p w14:paraId="76C04457">
      <w:pPr>
        <w:shd w:val="clear" w:color="auto" w:fill="auto"/>
        <w:spacing w:line="380" w:lineRule="exact"/>
        <w:ind w:firstLine="480" w:firstLineChars="200"/>
        <w:outlineLvl w:val="0"/>
        <w:rPr>
          <w:rFonts w:hint="eastAsia" w:ascii="宋体" w:hAnsi="宋体"/>
          <w:color w:val="auto"/>
          <w:sz w:val="24"/>
          <w:szCs w:val="24"/>
          <w:highlight w:val="none"/>
        </w:rPr>
      </w:pPr>
      <w:bookmarkStart w:id="884" w:name="_Toc5065"/>
      <w:bookmarkStart w:id="885" w:name="_Toc23358"/>
      <w:bookmarkStart w:id="886" w:name="_Toc29728"/>
      <w:bookmarkStart w:id="887" w:name="_Toc25508"/>
      <w:bookmarkStart w:id="888" w:name="_Toc823"/>
      <w:bookmarkStart w:id="889" w:name="_Toc21446"/>
      <w:bookmarkStart w:id="890" w:name="_Toc18512"/>
      <w:bookmarkStart w:id="891" w:name="_Toc393"/>
      <w:r>
        <w:rPr>
          <w:rFonts w:hint="eastAsia" w:ascii="宋体" w:hAnsi="宋体"/>
          <w:color w:val="auto"/>
          <w:sz w:val="24"/>
          <w:szCs w:val="24"/>
          <w:highlight w:val="none"/>
        </w:rPr>
        <w:t>8.8 施工设备和临时设施</w:t>
      </w:r>
      <w:bookmarkEnd w:id="884"/>
      <w:bookmarkEnd w:id="885"/>
      <w:bookmarkEnd w:id="886"/>
      <w:bookmarkEnd w:id="887"/>
      <w:bookmarkEnd w:id="888"/>
      <w:bookmarkEnd w:id="889"/>
      <w:bookmarkEnd w:id="890"/>
      <w:bookmarkEnd w:id="891"/>
    </w:p>
    <w:p w14:paraId="6F34DF6B">
      <w:pPr>
        <w:shd w:val="clear" w:color="auto" w:fill="auto"/>
        <w:autoSpaceDE w:val="0"/>
        <w:autoSpaceDN w:val="0"/>
        <w:adjustRightInd w:val="0"/>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8.8.1 承包人提供的施工设备和临时设施</w:t>
      </w:r>
    </w:p>
    <w:p w14:paraId="52D8A302">
      <w:pPr>
        <w:shd w:val="clear" w:color="auto" w:fill="auto"/>
        <w:spacing w:line="380" w:lineRule="exact"/>
        <w:ind w:firstLine="480" w:firstLineChars="200"/>
        <w:rPr>
          <w:rFonts w:hint="eastAsia" w:ascii="宋体" w:hAnsi="宋体"/>
          <w:color w:val="auto"/>
          <w:sz w:val="24"/>
          <w:szCs w:val="24"/>
          <w:highlight w:val="none"/>
          <w:u w:val="single"/>
        </w:rPr>
      </w:pPr>
      <w:r>
        <w:rPr>
          <w:rFonts w:hint="eastAsia" w:ascii="宋体" w:hAnsi="宋体"/>
          <w:color w:val="auto"/>
          <w:sz w:val="24"/>
          <w:szCs w:val="24"/>
          <w:highlight w:val="none"/>
        </w:rPr>
        <w:t>关于修建临时设施费用承担的约定：</w:t>
      </w:r>
    </w:p>
    <w:p w14:paraId="4684CAA6">
      <w:pPr>
        <w:shd w:val="clear" w:color="auto" w:fill="auto"/>
        <w:spacing w:line="380" w:lineRule="exact"/>
        <w:ind w:firstLine="480" w:firstLineChars="200"/>
        <w:jc w:val="left"/>
        <w:rPr>
          <w:rFonts w:hint="eastAsia" w:ascii="宋体" w:hAnsi="宋体" w:cs="宋体"/>
          <w:color w:val="auto"/>
          <w:sz w:val="24"/>
          <w:szCs w:val="24"/>
          <w:highlight w:val="none"/>
          <w:u w:val="single"/>
          <w:lang w:bidi="ar"/>
        </w:rPr>
      </w:pPr>
      <w:r>
        <w:rPr>
          <w:rFonts w:hint="eastAsia" w:ascii="宋体" w:hAnsi="宋体" w:cs="宋体"/>
          <w:color w:val="auto"/>
          <w:sz w:val="24"/>
          <w:szCs w:val="24"/>
          <w:highlight w:val="none"/>
          <w:u w:val="single"/>
          <w:lang w:bidi="ar"/>
        </w:rPr>
        <w:t>1.承包人应按设计和有关标准要求采购工程所需材料，并提供材料、产品合格证明，报发包人代表和监理工程师签字验收认可后方可进场，不合格的材料、设备不得进场。</w:t>
      </w:r>
    </w:p>
    <w:p w14:paraId="2DEDA70C">
      <w:pPr>
        <w:shd w:val="clear" w:color="auto" w:fill="auto"/>
        <w:spacing w:line="380" w:lineRule="exact"/>
        <w:ind w:firstLine="480" w:firstLineChars="200"/>
        <w:jc w:val="left"/>
        <w:rPr>
          <w:rFonts w:hint="eastAsia" w:ascii="宋体" w:hAnsi="宋体" w:cs="宋体"/>
          <w:color w:val="auto"/>
          <w:sz w:val="24"/>
          <w:szCs w:val="24"/>
          <w:highlight w:val="none"/>
          <w:u w:val="single"/>
          <w:lang w:bidi="ar"/>
        </w:rPr>
      </w:pPr>
      <w:r>
        <w:rPr>
          <w:rFonts w:hint="eastAsia" w:ascii="宋体" w:hAnsi="宋体" w:cs="宋体"/>
          <w:color w:val="auto"/>
          <w:sz w:val="24"/>
          <w:szCs w:val="24"/>
          <w:highlight w:val="none"/>
          <w:u w:val="single"/>
          <w:lang w:bidi="ar"/>
        </w:rPr>
        <w:t>2.承包人采购的材料、设备在使用前，应按要求进行检验或试验，检验合格且报发包人和监理工程师签字验收认可后方可使用，不合格的材料不得使用，检验、试验费由承包人承担。</w:t>
      </w:r>
    </w:p>
    <w:p w14:paraId="446790F1">
      <w:pPr>
        <w:shd w:val="clear" w:color="auto" w:fill="auto"/>
        <w:spacing w:line="380" w:lineRule="exact"/>
        <w:ind w:firstLine="480" w:firstLineChars="200"/>
        <w:jc w:val="left"/>
        <w:rPr>
          <w:rFonts w:hint="eastAsia" w:ascii="宋体" w:hAnsi="宋体" w:cs="宋体"/>
          <w:color w:val="auto"/>
          <w:sz w:val="24"/>
          <w:szCs w:val="24"/>
          <w:highlight w:val="none"/>
          <w:u w:val="single"/>
          <w:lang w:bidi="ar"/>
        </w:rPr>
      </w:pPr>
      <w:r>
        <w:rPr>
          <w:rFonts w:hint="eastAsia" w:ascii="宋体" w:hAnsi="宋体" w:cs="宋体"/>
          <w:color w:val="auto"/>
          <w:sz w:val="24"/>
          <w:szCs w:val="24"/>
          <w:highlight w:val="none"/>
          <w:u w:val="single"/>
          <w:lang w:bidi="ar"/>
        </w:rPr>
        <w:t>3.发包人和监理人发现在施工中有以次充好的、没有产品合格证的、经抽查检验或实验不合规格的材料或设备，承包人必须立即无条件地将这些材料或设备清理出场，并向发包人支付材料或设备价200%的经济补偿赔偿金，赔偿对发包人造成的损失。抽检中涉及的检验、试验费由承包人承担。</w:t>
      </w:r>
    </w:p>
    <w:p w14:paraId="4E440CE6">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s="宋体"/>
          <w:color w:val="auto"/>
          <w:sz w:val="24"/>
          <w:szCs w:val="24"/>
          <w:highlight w:val="none"/>
          <w:u w:val="single"/>
          <w:lang w:bidi="ar"/>
        </w:rPr>
        <w:t>4.材料在进货前由承包人组织，由发包人、监理人、承包人共同考察确定，承包人按三方认可的产品进货。且所有购货合同必须由发包人代表和监理工程师签字，到货产品必须与样品一致。不合格的材料、与样品不符的材料不准进入施工现场。否则，发包人可以通过监理人强行清理出场，其费用由承包人承担，并从工程款中直接扣除</w:t>
      </w:r>
      <w:r>
        <w:rPr>
          <w:rFonts w:hint="eastAsia" w:ascii="宋体" w:hAnsi="宋体"/>
          <w:color w:val="auto"/>
          <w:sz w:val="24"/>
          <w:szCs w:val="24"/>
          <w:highlight w:val="none"/>
        </w:rPr>
        <w:t>。</w:t>
      </w:r>
    </w:p>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14:paraId="2501B790">
      <w:pPr>
        <w:keepNext/>
        <w:keepLines/>
        <w:shd w:val="clear" w:color="auto" w:fill="auto"/>
        <w:spacing w:line="380" w:lineRule="exact"/>
        <w:ind w:firstLine="482"/>
        <w:outlineLvl w:val="3"/>
        <w:rPr>
          <w:rFonts w:hint="eastAsia" w:ascii="宋体" w:hAnsi="宋体"/>
          <w:bCs/>
          <w:color w:val="auto"/>
          <w:sz w:val="24"/>
          <w:szCs w:val="24"/>
          <w:highlight w:val="none"/>
        </w:rPr>
      </w:pPr>
      <w:bookmarkStart w:id="892" w:name="_Toc351203641"/>
      <w:r>
        <w:rPr>
          <w:rFonts w:hint="eastAsia" w:ascii="宋体" w:hAnsi="宋体"/>
          <w:bCs/>
          <w:color w:val="auto"/>
          <w:sz w:val="24"/>
          <w:szCs w:val="24"/>
          <w:highlight w:val="none"/>
        </w:rPr>
        <w:t>9</w:t>
      </w:r>
      <w:bookmarkEnd w:id="855"/>
      <w:bookmarkEnd w:id="856"/>
      <w:bookmarkEnd w:id="857"/>
      <w:bookmarkStart w:id="893" w:name="_Toc304295559"/>
      <w:bookmarkStart w:id="894" w:name="_Toc303539139"/>
      <w:bookmarkStart w:id="895" w:name="_Toc297123533"/>
      <w:bookmarkStart w:id="896" w:name="_Toc312677495"/>
      <w:bookmarkStart w:id="897" w:name="_Toc312678021"/>
      <w:bookmarkStart w:id="898" w:name="_Toc300934982"/>
      <w:bookmarkStart w:id="899" w:name="_Toc297216192"/>
      <w:bookmarkStart w:id="900" w:name="_Toc296891001"/>
      <w:bookmarkStart w:id="901" w:name="_Toc297048359"/>
      <w:bookmarkStart w:id="902" w:name="_Toc292559378"/>
      <w:bookmarkStart w:id="903" w:name="_Toc296346674"/>
      <w:bookmarkStart w:id="904" w:name="_Toc292559883"/>
      <w:bookmarkStart w:id="905" w:name="_Toc296891213"/>
      <w:bookmarkStart w:id="906" w:name="_Toc267251428"/>
      <w:bookmarkStart w:id="907" w:name="_Toc296347172"/>
      <w:bookmarkStart w:id="908" w:name="_Toc296503173"/>
      <w:bookmarkStart w:id="909" w:name="_Toc297120473"/>
      <w:bookmarkStart w:id="910" w:name="_Toc296944512"/>
      <w:bookmarkStart w:id="911" w:name="_Toc267251427"/>
      <w:r>
        <w:rPr>
          <w:rFonts w:hint="eastAsia" w:ascii="宋体" w:hAnsi="宋体"/>
          <w:bCs/>
          <w:color w:val="auto"/>
          <w:sz w:val="24"/>
          <w:szCs w:val="24"/>
          <w:highlight w:val="none"/>
        </w:rPr>
        <w:t>. 试验与检验</w:t>
      </w:r>
      <w:bookmarkEnd w:id="892"/>
    </w:p>
    <w:bookmarkEnd w:id="893"/>
    <w:bookmarkEnd w:id="894"/>
    <w:bookmarkEnd w:id="895"/>
    <w:bookmarkEnd w:id="896"/>
    <w:bookmarkEnd w:id="897"/>
    <w:bookmarkEnd w:id="898"/>
    <w:bookmarkEnd w:id="899"/>
    <w:p w14:paraId="3ADAB9DD">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9</w:t>
      </w:r>
      <w:bookmarkStart w:id="912" w:name="_Toc297216193"/>
      <w:bookmarkStart w:id="913" w:name="_Toc297123534"/>
      <w:bookmarkStart w:id="914" w:name="_Toc303539140"/>
      <w:bookmarkStart w:id="915" w:name="_Toc300934983"/>
      <w:bookmarkStart w:id="916" w:name="_Toc312678022"/>
      <w:bookmarkStart w:id="917" w:name="_Toc312677496"/>
      <w:bookmarkStart w:id="918" w:name="_Toc304295560"/>
      <w:r>
        <w:rPr>
          <w:rFonts w:hint="eastAsia" w:ascii="宋体" w:hAnsi="宋体"/>
          <w:color w:val="auto"/>
          <w:sz w:val="24"/>
          <w:szCs w:val="24"/>
          <w:highlight w:val="none"/>
        </w:rPr>
        <w:t>.1试验设备与试验人员</w:t>
      </w:r>
    </w:p>
    <w:bookmarkEnd w:id="912"/>
    <w:bookmarkEnd w:id="913"/>
    <w:bookmarkEnd w:id="914"/>
    <w:bookmarkEnd w:id="915"/>
    <w:bookmarkEnd w:id="916"/>
    <w:bookmarkEnd w:id="917"/>
    <w:bookmarkEnd w:id="918"/>
    <w:p w14:paraId="3074718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9</w:t>
      </w:r>
      <w:bookmarkStart w:id="919" w:name="_Toc297123535"/>
      <w:bookmarkStart w:id="920" w:name="_Toc312678023"/>
      <w:bookmarkStart w:id="921" w:name="_Toc297216194"/>
      <w:bookmarkStart w:id="922" w:name="_Toc304295561"/>
      <w:bookmarkStart w:id="923" w:name="_Toc303539141"/>
      <w:bookmarkStart w:id="924" w:name="_Toc312677497"/>
      <w:bookmarkStart w:id="925" w:name="_Toc300934984"/>
      <w:bookmarkStart w:id="926" w:name="_Toc318581174"/>
      <w:r>
        <w:rPr>
          <w:rFonts w:hint="eastAsia" w:ascii="宋体" w:hAnsi="宋体"/>
          <w:color w:val="auto"/>
          <w:sz w:val="24"/>
          <w:szCs w:val="24"/>
          <w:highlight w:val="none"/>
        </w:rPr>
        <w:t>.1.2 试验设备</w:t>
      </w:r>
    </w:p>
    <w:p w14:paraId="5C58E80C">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施工现场需要配置的试验场所：</w:t>
      </w:r>
      <w:bookmarkEnd w:id="919"/>
      <w:bookmarkEnd w:id="920"/>
      <w:bookmarkEnd w:id="921"/>
      <w:bookmarkEnd w:id="922"/>
      <w:bookmarkEnd w:id="923"/>
      <w:bookmarkEnd w:id="924"/>
      <w:bookmarkEnd w:id="925"/>
      <w:bookmarkStart w:id="927" w:name="_Toc303539142"/>
      <w:bookmarkStart w:id="928" w:name="_Toc297216195"/>
      <w:bookmarkStart w:id="929" w:name="_Toc312678024"/>
      <w:bookmarkStart w:id="930" w:name="_Toc300934985"/>
      <w:bookmarkStart w:id="931" w:name="_Toc304295562"/>
      <w:bookmarkStart w:id="932" w:name="_Toc297123536"/>
      <w:bookmarkStart w:id="933" w:name="_Toc312677498"/>
      <w:r>
        <w:rPr>
          <w:rFonts w:hint="eastAsia" w:ascii="宋体" w:hAnsi="宋体"/>
          <w:color w:val="auto"/>
          <w:sz w:val="24"/>
          <w:szCs w:val="24"/>
          <w:highlight w:val="none"/>
          <w:u w:val="single"/>
          <w:lang w:val="zh-TW" w:eastAsia="zh-TW"/>
        </w:rPr>
        <w:t>执行通用条款</w:t>
      </w:r>
      <w:r>
        <w:rPr>
          <w:rFonts w:hint="eastAsia" w:ascii="宋体" w:hAnsi="宋体"/>
          <w:color w:val="auto"/>
          <w:sz w:val="24"/>
          <w:szCs w:val="24"/>
          <w:highlight w:val="none"/>
        </w:rPr>
        <w:t>。</w:t>
      </w:r>
    </w:p>
    <w:p w14:paraId="04608B1C">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施工现场需要配备的试验设备：</w:t>
      </w:r>
      <w:r>
        <w:rPr>
          <w:rFonts w:hint="eastAsia" w:ascii="宋体" w:hAnsi="宋体"/>
          <w:color w:val="auto"/>
          <w:sz w:val="24"/>
          <w:szCs w:val="24"/>
          <w:highlight w:val="none"/>
          <w:u w:val="single"/>
          <w:lang w:val="zh-TW" w:eastAsia="zh-TW"/>
        </w:rPr>
        <w:t>执行通用条款</w:t>
      </w:r>
      <w:r>
        <w:rPr>
          <w:rFonts w:hint="eastAsia" w:ascii="宋体" w:hAnsi="宋体"/>
          <w:color w:val="auto"/>
          <w:sz w:val="24"/>
          <w:szCs w:val="24"/>
          <w:highlight w:val="none"/>
        </w:rPr>
        <w:t>。</w:t>
      </w:r>
    </w:p>
    <w:p w14:paraId="0DEEB845">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施工现场需要具备的其他试验条件：</w:t>
      </w:r>
      <w:r>
        <w:rPr>
          <w:rFonts w:hint="eastAsia" w:ascii="宋体" w:hAnsi="宋体"/>
          <w:color w:val="auto"/>
          <w:sz w:val="24"/>
          <w:szCs w:val="24"/>
          <w:highlight w:val="none"/>
          <w:u w:val="single"/>
          <w:lang w:val="zh-TW" w:eastAsia="zh-TW"/>
        </w:rPr>
        <w:t>执行通用条款</w:t>
      </w:r>
      <w:r>
        <w:rPr>
          <w:rFonts w:hint="eastAsia" w:ascii="宋体" w:hAnsi="宋体"/>
          <w:color w:val="auto"/>
          <w:sz w:val="24"/>
          <w:szCs w:val="24"/>
          <w:highlight w:val="none"/>
        </w:rPr>
        <w:t>。</w:t>
      </w:r>
    </w:p>
    <w:p w14:paraId="5D1D56BD">
      <w:pPr>
        <w:shd w:val="clear" w:color="auto" w:fill="auto"/>
        <w:spacing w:line="380" w:lineRule="exact"/>
        <w:ind w:firstLine="480" w:firstLineChars="200"/>
        <w:outlineLvl w:val="0"/>
        <w:rPr>
          <w:rFonts w:hint="eastAsia" w:ascii="宋体" w:hAnsi="宋体"/>
          <w:color w:val="auto"/>
          <w:sz w:val="24"/>
          <w:szCs w:val="24"/>
          <w:highlight w:val="none"/>
        </w:rPr>
      </w:pPr>
      <w:bookmarkStart w:id="934" w:name="_Toc24363"/>
      <w:bookmarkStart w:id="935" w:name="_Toc3544"/>
      <w:bookmarkStart w:id="936" w:name="_Toc32105"/>
      <w:bookmarkStart w:id="937" w:name="_Toc2724"/>
      <w:bookmarkStart w:id="938" w:name="_Toc10194"/>
      <w:bookmarkStart w:id="939" w:name="_Toc26424"/>
      <w:bookmarkStart w:id="940" w:name="_Toc21575"/>
      <w:bookmarkStart w:id="941" w:name="_Toc17353"/>
      <w:r>
        <w:rPr>
          <w:rFonts w:hint="eastAsia" w:ascii="宋体" w:hAnsi="宋体"/>
          <w:color w:val="auto"/>
          <w:sz w:val="24"/>
          <w:szCs w:val="24"/>
          <w:highlight w:val="none"/>
        </w:rPr>
        <w:t>9.4 现场工艺试验</w:t>
      </w:r>
      <w:bookmarkEnd w:id="934"/>
      <w:bookmarkEnd w:id="935"/>
      <w:bookmarkEnd w:id="936"/>
      <w:bookmarkEnd w:id="937"/>
      <w:bookmarkEnd w:id="938"/>
      <w:bookmarkEnd w:id="939"/>
      <w:bookmarkEnd w:id="940"/>
      <w:bookmarkEnd w:id="941"/>
    </w:p>
    <w:p w14:paraId="0B15E527">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现场工艺试验的有关约定：</w:t>
      </w:r>
      <w:r>
        <w:rPr>
          <w:rFonts w:hint="eastAsia" w:ascii="宋体" w:hAnsi="宋体"/>
          <w:color w:val="auto"/>
          <w:sz w:val="24"/>
          <w:szCs w:val="24"/>
          <w:highlight w:val="none"/>
          <w:u w:val="single"/>
          <w:lang w:val="zh-TW" w:eastAsia="zh-TW"/>
        </w:rPr>
        <w:t>执行通用条款</w:t>
      </w:r>
      <w:r>
        <w:rPr>
          <w:rFonts w:hint="eastAsia" w:ascii="宋体" w:hAnsi="宋体"/>
          <w:color w:val="auto"/>
          <w:sz w:val="24"/>
          <w:szCs w:val="24"/>
          <w:highlight w:val="none"/>
        </w:rPr>
        <w:t>。</w:t>
      </w:r>
    </w:p>
    <w:bookmarkEnd w:id="926"/>
    <w:bookmarkEnd w:id="927"/>
    <w:bookmarkEnd w:id="928"/>
    <w:bookmarkEnd w:id="929"/>
    <w:bookmarkEnd w:id="930"/>
    <w:bookmarkEnd w:id="931"/>
    <w:bookmarkEnd w:id="932"/>
    <w:bookmarkEnd w:id="933"/>
    <w:p w14:paraId="0A9FCBC3">
      <w:pPr>
        <w:keepNext/>
        <w:keepLines/>
        <w:shd w:val="clear" w:color="auto" w:fill="auto"/>
        <w:spacing w:line="380" w:lineRule="exact"/>
        <w:ind w:firstLine="482"/>
        <w:outlineLvl w:val="3"/>
        <w:rPr>
          <w:rFonts w:hint="eastAsia" w:ascii="宋体" w:hAnsi="宋体"/>
          <w:bCs/>
          <w:color w:val="auto"/>
          <w:sz w:val="24"/>
          <w:szCs w:val="24"/>
          <w:highlight w:val="none"/>
        </w:rPr>
      </w:pPr>
      <w:bookmarkStart w:id="942" w:name="_Toc351203642"/>
      <w:r>
        <w:rPr>
          <w:rFonts w:hint="eastAsia" w:ascii="宋体" w:hAnsi="宋体"/>
          <w:bCs/>
          <w:color w:val="auto"/>
          <w:sz w:val="24"/>
          <w:szCs w:val="24"/>
          <w:highlight w:val="none"/>
        </w:rPr>
        <w:t>1</w:t>
      </w:r>
      <w:bookmarkEnd w:id="900"/>
      <w:bookmarkEnd w:id="901"/>
      <w:bookmarkEnd w:id="902"/>
      <w:bookmarkEnd w:id="903"/>
      <w:bookmarkEnd w:id="904"/>
      <w:bookmarkEnd w:id="905"/>
      <w:bookmarkEnd w:id="906"/>
      <w:bookmarkEnd w:id="907"/>
      <w:bookmarkEnd w:id="908"/>
      <w:bookmarkEnd w:id="909"/>
      <w:bookmarkEnd w:id="910"/>
      <w:bookmarkEnd w:id="911"/>
      <w:bookmarkStart w:id="943" w:name="_Toc292559903"/>
      <w:bookmarkStart w:id="944" w:name="_Toc297048379"/>
      <w:bookmarkStart w:id="945" w:name="_Toc303539146"/>
      <w:bookmarkStart w:id="946" w:name="_Toc296346694"/>
      <w:bookmarkStart w:id="947" w:name="_Toc297216199"/>
      <w:bookmarkStart w:id="948" w:name="_Toc297123540"/>
      <w:bookmarkStart w:id="949" w:name="_Toc304295566"/>
      <w:bookmarkStart w:id="950" w:name="_Toc292559398"/>
      <w:bookmarkStart w:id="951" w:name="_Toc296891021"/>
      <w:bookmarkStart w:id="952" w:name="_Toc296347192"/>
      <w:bookmarkStart w:id="953" w:name="_Toc300934989"/>
      <w:bookmarkStart w:id="954" w:name="_Toc296944532"/>
      <w:bookmarkStart w:id="955" w:name="_Toc297120493"/>
      <w:bookmarkStart w:id="956" w:name="_Toc296891233"/>
      <w:bookmarkStart w:id="957" w:name="_Toc296503193"/>
      <w:bookmarkStart w:id="958" w:name="_Toc312677499"/>
      <w:bookmarkStart w:id="959" w:name="_Toc312678025"/>
      <w:bookmarkStart w:id="960" w:name="_Toc267251437"/>
      <w:bookmarkStart w:id="961" w:name="_Toc267251435"/>
      <w:bookmarkStart w:id="962" w:name="_Toc267251441"/>
      <w:bookmarkStart w:id="963" w:name="_Toc267251439"/>
      <w:bookmarkStart w:id="964" w:name="_Toc267251440"/>
      <w:bookmarkStart w:id="965" w:name="_Toc267251433"/>
      <w:bookmarkStart w:id="966" w:name="_Toc267251442"/>
      <w:r>
        <w:rPr>
          <w:rFonts w:hint="eastAsia" w:ascii="宋体" w:hAnsi="宋体"/>
          <w:bCs/>
          <w:color w:val="auto"/>
          <w:sz w:val="24"/>
          <w:szCs w:val="24"/>
          <w:highlight w:val="none"/>
        </w:rPr>
        <w:t>0. 变更</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p>
    <w:bookmarkEnd w:id="958"/>
    <w:bookmarkEnd w:id="959"/>
    <w:p w14:paraId="7F51C7C4">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bookmarkStart w:id="967" w:name="_Toc303539147"/>
      <w:bookmarkStart w:id="968" w:name="_Toc296944533"/>
      <w:bookmarkStart w:id="969" w:name="_Toc296346695"/>
      <w:bookmarkStart w:id="970" w:name="_Toc296503194"/>
      <w:bookmarkStart w:id="971" w:name="_Toc296891234"/>
      <w:bookmarkStart w:id="972" w:name="_Toc297048380"/>
      <w:bookmarkStart w:id="973" w:name="_Toc297216200"/>
      <w:bookmarkStart w:id="974" w:name="_Toc300934990"/>
      <w:bookmarkStart w:id="975" w:name="_Toc304295567"/>
      <w:bookmarkStart w:id="976" w:name="_Toc312678026"/>
      <w:bookmarkStart w:id="977" w:name="_Toc292559399"/>
      <w:bookmarkStart w:id="978" w:name="_Toc297120494"/>
      <w:bookmarkStart w:id="979" w:name="_Toc292559904"/>
      <w:bookmarkStart w:id="980" w:name="_Toc296347193"/>
      <w:bookmarkStart w:id="981" w:name="_Toc297123541"/>
      <w:bookmarkStart w:id="982" w:name="_Toc296891022"/>
      <w:bookmarkStart w:id="983" w:name="_Toc312677500"/>
      <w:r>
        <w:rPr>
          <w:rFonts w:hint="eastAsia" w:ascii="宋体" w:hAnsi="宋体"/>
          <w:color w:val="auto"/>
          <w:sz w:val="24"/>
          <w:szCs w:val="24"/>
          <w:highlight w:val="none"/>
        </w:rPr>
        <w:t>0.1变更的范围</w:t>
      </w:r>
    </w:p>
    <w:p w14:paraId="2FDD87D0">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关于变更的范围的约定：</w:t>
      </w:r>
      <w:r>
        <w:rPr>
          <w:rFonts w:hint="eastAsia" w:ascii="宋体" w:hAnsi="宋体" w:cs="宋体"/>
          <w:color w:val="auto"/>
          <w:sz w:val="24"/>
          <w:szCs w:val="24"/>
          <w:highlight w:val="none"/>
          <w:u w:val="single"/>
          <w:lang w:bidi="ar"/>
        </w:rPr>
        <w:t>增加或减少合同中任何工作，或追加额外的工作；改变合同中任何工作的质量标准或其他特性</w:t>
      </w:r>
      <w:r>
        <w:rPr>
          <w:rFonts w:hint="eastAsia" w:ascii="宋体" w:hAnsi="宋体"/>
          <w:color w:val="auto"/>
          <w:sz w:val="24"/>
          <w:szCs w:val="24"/>
          <w:highlight w:val="none"/>
        </w:rPr>
        <w:t>。</w:t>
      </w:r>
    </w:p>
    <w:p w14:paraId="66487ACB">
      <w:pPr>
        <w:shd w:val="clear" w:color="auto" w:fill="auto"/>
        <w:spacing w:line="380" w:lineRule="exact"/>
        <w:ind w:firstLine="480" w:firstLineChars="200"/>
        <w:outlineLvl w:val="0"/>
        <w:rPr>
          <w:rFonts w:hint="eastAsia" w:ascii="宋体" w:hAnsi="宋体"/>
          <w:color w:val="auto"/>
          <w:sz w:val="24"/>
          <w:szCs w:val="24"/>
          <w:highlight w:val="none"/>
        </w:rPr>
      </w:pPr>
      <w:bookmarkStart w:id="984" w:name="_Toc3593"/>
      <w:bookmarkStart w:id="985" w:name="_Toc14085"/>
      <w:bookmarkStart w:id="986" w:name="_Toc19051"/>
      <w:bookmarkStart w:id="987" w:name="_Toc30468"/>
      <w:bookmarkStart w:id="988" w:name="_Toc172"/>
      <w:bookmarkStart w:id="989" w:name="_Toc20064"/>
      <w:bookmarkStart w:id="990" w:name="_Toc16420"/>
      <w:bookmarkStart w:id="991" w:name="_Toc22985"/>
      <w:r>
        <w:rPr>
          <w:rFonts w:hint="eastAsia" w:ascii="宋体" w:hAnsi="宋体"/>
          <w:color w:val="auto"/>
          <w:sz w:val="24"/>
          <w:szCs w:val="24"/>
          <w:highlight w:val="none"/>
        </w:rPr>
        <w:t>10.4 变更估价</w:t>
      </w:r>
      <w:bookmarkEnd w:id="984"/>
      <w:bookmarkEnd w:id="985"/>
      <w:bookmarkEnd w:id="986"/>
      <w:bookmarkEnd w:id="987"/>
      <w:bookmarkEnd w:id="988"/>
      <w:bookmarkEnd w:id="989"/>
      <w:bookmarkEnd w:id="990"/>
      <w:bookmarkEnd w:id="991"/>
    </w:p>
    <w:p w14:paraId="0FA0167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10.4.1 变更估价原则</w:t>
      </w:r>
    </w:p>
    <w:p w14:paraId="212DFD21">
      <w:pPr>
        <w:shd w:val="clear" w:color="auto" w:fill="auto"/>
        <w:spacing w:line="380" w:lineRule="exact"/>
        <w:ind w:firstLine="482"/>
        <w:jc w:val="left"/>
        <w:rPr>
          <w:rFonts w:hint="eastAsia" w:ascii="宋体" w:hAnsi="宋体"/>
          <w:color w:val="auto"/>
          <w:sz w:val="24"/>
          <w:szCs w:val="24"/>
          <w:highlight w:val="none"/>
          <w:u w:val="single"/>
        </w:rPr>
      </w:pPr>
      <w:r>
        <w:rPr>
          <w:rFonts w:hint="eastAsia" w:ascii="宋体" w:hAnsi="宋体"/>
          <w:color w:val="auto"/>
          <w:sz w:val="24"/>
          <w:szCs w:val="24"/>
          <w:highlight w:val="none"/>
        </w:rPr>
        <w:t xml:space="preserve">关于变更估价的约定: </w:t>
      </w:r>
      <w:r>
        <w:rPr>
          <w:rFonts w:hint="eastAsia" w:ascii="宋体" w:hAnsi="宋体"/>
          <w:color w:val="auto"/>
          <w:sz w:val="24"/>
          <w:szCs w:val="24"/>
          <w:highlight w:val="none"/>
          <w:u w:val="single"/>
          <w:lang w:val="zh-TW" w:eastAsia="zh-TW"/>
        </w:rPr>
        <w:t>执行通用条款</w:t>
      </w:r>
      <w:r>
        <w:rPr>
          <w:rFonts w:hint="eastAsia" w:ascii="宋体" w:hAnsi="宋体"/>
          <w:color w:val="auto"/>
          <w:sz w:val="24"/>
          <w:szCs w:val="24"/>
          <w:highlight w:val="none"/>
        </w:rPr>
        <w:t>。</w:t>
      </w:r>
    </w:p>
    <w:p w14:paraId="7EE5EE9D">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w:t>
      </w:r>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Start w:id="992" w:name="_Toc303539150"/>
      <w:bookmarkStart w:id="993" w:name="_Toc296347196"/>
      <w:bookmarkStart w:id="994" w:name="_Toc296891025"/>
      <w:bookmarkStart w:id="995" w:name="_Toc297216203"/>
      <w:bookmarkStart w:id="996" w:name="_Toc296891237"/>
      <w:bookmarkStart w:id="997" w:name="_Toc296346698"/>
      <w:bookmarkStart w:id="998" w:name="_Toc292559402"/>
      <w:bookmarkStart w:id="999" w:name="_Toc300934993"/>
      <w:bookmarkStart w:id="1000" w:name="_Toc296944536"/>
      <w:bookmarkStart w:id="1001" w:name="_Toc292559907"/>
      <w:bookmarkStart w:id="1002" w:name="_Toc297123544"/>
      <w:bookmarkStart w:id="1003" w:name="_Toc296503197"/>
      <w:bookmarkStart w:id="1004" w:name="_Toc297048383"/>
      <w:bookmarkStart w:id="1005" w:name="_Toc297120497"/>
      <w:bookmarkStart w:id="1006" w:name="_Toc304295570"/>
      <w:bookmarkStart w:id="1007" w:name="_Toc312678029"/>
      <w:bookmarkStart w:id="1008" w:name="_Toc312677503"/>
      <w:r>
        <w:rPr>
          <w:rFonts w:hint="eastAsia" w:ascii="宋体" w:hAnsi="宋体"/>
          <w:color w:val="auto"/>
          <w:sz w:val="24"/>
          <w:szCs w:val="24"/>
          <w:highlight w:val="none"/>
        </w:rPr>
        <w:t>0.5承</w:t>
      </w:r>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Start w:id="1009" w:name="_Toc296503203"/>
      <w:bookmarkStart w:id="1010" w:name="_Toc297123545"/>
      <w:bookmarkStart w:id="1011" w:name="_Toc297120503"/>
      <w:bookmarkStart w:id="1012" w:name="_Toc296891031"/>
      <w:bookmarkStart w:id="1013" w:name="_Toc297048389"/>
      <w:bookmarkStart w:id="1014" w:name="_Toc292559408"/>
      <w:bookmarkStart w:id="1015" w:name="_Toc296891243"/>
      <w:bookmarkStart w:id="1016" w:name="_Toc296347202"/>
      <w:bookmarkStart w:id="1017" w:name="_Toc296944542"/>
      <w:bookmarkStart w:id="1018" w:name="_Toc296346704"/>
      <w:bookmarkStart w:id="1019" w:name="_Toc292559913"/>
      <w:bookmarkStart w:id="1020" w:name="_Toc303539151"/>
      <w:bookmarkStart w:id="1021" w:name="_Toc300934994"/>
      <w:bookmarkStart w:id="1022" w:name="_Toc297216204"/>
      <w:r>
        <w:rPr>
          <w:rFonts w:hint="eastAsia" w:ascii="宋体" w:hAnsi="宋体"/>
          <w:color w:val="auto"/>
          <w:sz w:val="24"/>
          <w:szCs w:val="24"/>
          <w:highlight w:val="none"/>
        </w:rPr>
        <w:t>包人的合理化建议</w:t>
      </w:r>
    </w:p>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p w14:paraId="2F136CEB">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监理人审查承包人合理化建议的期限：</w:t>
      </w:r>
      <w:r>
        <w:rPr>
          <w:rFonts w:hint="eastAsia" w:ascii="宋体" w:hAnsi="宋体" w:cs="宋体"/>
          <w:color w:val="auto"/>
          <w:sz w:val="24"/>
          <w:szCs w:val="24"/>
          <w:highlight w:val="none"/>
          <w:u w:val="single"/>
          <w:lang w:bidi="ar"/>
        </w:rPr>
        <w:t>7天内</w:t>
      </w:r>
      <w:r>
        <w:rPr>
          <w:rFonts w:hint="eastAsia" w:ascii="宋体" w:hAnsi="宋体"/>
          <w:color w:val="auto"/>
          <w:sz w:val="24"/>
          <w:szCs w:val="24"/>
          <w:highlight w:val="none"/>
        </w:rPr>
        <w:t>。</w:t>
      </w:r>
    </w:p>
    <w:p w14:paraId="6BAF7742">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发包人审批承包人合理化建议的期限：</w:t>
      </w:r>
      <w:r>
        <w:rPr>
          <w:rFonts w:hint="eastAsia" w:ascii="宋体" w:hAnsi="宋体" w:cs="宋体"/>
          <w:color w:val="auto"/>
          <w:sz w:val="24"/>
          <w:szCs w:val="24"/>
          <w:highlight w:val="none"/>
          <w:u w:val="single"/>
          <w:lang w:bidi="ar"/>
        </w:rPr>
        <w:t>7天内</w:t>
      </w:r>
      <w:r>
        <w:rPr>
          <w:rFonts w:hint="eastAsia" w:ascii="宋体" w:hAnsi="宋体"/>
          <w:color w:val="auto"/>
          <w:sz w:val="24"/>
          <w:szCs w:val="24"/>
          <w:highlight w:val="none"/>
        </w:rPr>
        <w:t>。</w:t>
      </w:r>
    </w:p>
    <w:p w14:paraId="29FDE6CE">
      <w:pPr>
        <w:shd w:val="clear" w:color="auto" w:fill="auto"/>
        <w:spacing w:line="380" w:lineRule="exact"/>
        <w:ind w:firstLine="482"/>
        <w:jc w:val="left"/>
        <w:rPr>
          <w:rFonts w:hint="eastAsia" w:ascii="宋体" w:hAnsi="宋体"/>
          <w:color w:val="auto"/>
          <w:sz w:val="24"/>
          <w:szCs w:val="24"/>
          <w:highlight w:val="none"/>
          <w:u w:val="single"/>
        </w:rPr>
      </w:pPr>
      <w:r>
        <w:rPr>
          <w:rFonts w:hint="eastAsia" w:ascii="宋体" w:hAnsi="宋体"/>
          <w:color w:val="auto"/>
          <w:sz w:val="24"/>
          <w:szCs w:val="24"/>
          <w:highlight w:val="none"/>
        </w:rPr>
        <w:t>承</w:t>
      </w:r>
      <w:bookmarkStart w:id="1023" w:name="_Toc312677504"/>
      <w:bookmarkStart w:id="1024" w:name="_Toc318581175"/>
      <w:bookmarkStart w:id="1025" w:name="_Toc296891244"/>
      <w:bookmarkStart w:id="1026" w:name="_Toc296347203"/>
      <w:bookmarkStart w:id="1027" w:name="_Toc297123546"/>
      <w:bookmarkStart w:id="1028" w:name="_Toc312678030"/>
      <w:bookmarkStart w:id="1029" w:name="_Toc304295571"/>
      <w:bookmarkStart w:id="1030" w:name="_Toc292559914"/>
      <w:bookmarkStart w:id="1031" w:name="_Toc296891032"/>
      <w:bookmarkStart w:id="1032" w:name="_Toc297216205"/>
      <w:bookmarkStart w:id="1033" w:name="_Toc292559409"/>
      <w:bookmarkStart w:id="1034" w:name="_Toc296503204"/>
      <w:bookmarkStart w:id="1035" w:name="_Toc297120504"/>
      <w:bookmarkStart w:id="1036" w:name="_Toc303539152"/>
      <w:bookmarkStart w:id="1037" w:name="_Toc297048390"/>
      <w:bookmarkStart w:id="1038" w:name="_Toc300934995"/>
      <w:bookmarkStart w:id="1039" w:name="_Toc296346705"/>
      <w:bookmarkStart w:id="1040" w:name="_Toc296944543"/>
      <w:r>
        <w:rPr>
          <w:rFonts w:hint="eastAsia" w:ascii="宋体" w:hAnsi="宋体"/>
          <w:color w:val="auto"/>
          <w:sz w:val="24"/>
          <w:szCs w:val="24"/>
          <w:highlight w:val="none"/>
        </w:rPr>
        <w:t>包人提出的合理化建议降低了合同价格或者提高了工程经济效益的奖励的方法和金额为：</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p w14:paraId="43D101A3">
      <w:pPr>
        <w:shd w:val="clear" w:color="auto" w:fill="auto"/>
        <w:spacing w:line="380" w:lineRule="exact"/>
        <w:ind w:firstLine="480" w:firstLineChars="200"/>
        <w:outlineLvl w:val="0"/>
        <w:rPr>
          <w:rFonts w:hint="eastAsia" w:ascii="宋体" w:hAnsi="宋体"/>
          <w:color w:val="auto"/>
          <w:sz w:val="24"/>
          <w:szCs w:val="24"/>
          <w:highlight w:val="none"/>
        </w:rPr>
      </w:pPr>
      <w:bookmarkStart w:id="1041" w:name="_Toc3697"/>
      <w:bookmarkStart w:id="1042" w:name="_Toc11106"/>
      <w:bookmarkStart w:id="1043" w:name="_Toc3640"/>
      <w:bookmarkStart w:id="1044" w:name="_Toc8923"/>
      <w:bookmarkStart w:id="1045" w:name="_Toc9265"/>
      <w:bookmarkStart w:id="1046" w:name="_Toc23449"/>
      <w:bookmarkStart w:id="1047" w:name="_Toc24799"/>
      <w:bookmarkStart w:id="1048" w:name="_Toc24439"/>
      <w:r>
        <w:rPr>
          <w:rFonts w:hint="eastAsia" w:ascii="宋体" w:hAnsi="宋体"/>
          <w:color w:val="auto"/>
          <w:sz w:val="24"/>
          <w:szCs w:val="24"/>
          <w:highlight w:val="none"/>
        </w:rPr>
        <w:t>1</w:t>
      </w:r>
      <w:bookmarkStart w:id="1049" w:name="_Toc296347198"/>
      <w:bookmarkStart w:id="1050" w:name="_Toc296891027"/>
      <w:bookmarkStart w:id="1051" w:name="_Toc296346700"/>
      <w:bookmarkStart w:id="1052" w:name="_Toc312677507"/>
      <w:bookmarkStart w:id="1053" w:name="_Toc296503199"/>
      <w:bookmarkStart w:id="1054" w:name="_Toc296944538"/>
      <w:bookmarkStart w:id="1055" w:name="_Toc297216207"/>
      <w:bookmarkStart w:id="1056" w:name="_Toc292559404"/>
      <w:bookmarkStart w:id="1057" w:name="_Toc312678033"/>
      <w:bookmarkStart w:id="1058" w:name="_Toc297123548"/>
      <w:bookmarkStart w:id="1059" w:name="_Toc300934997"/>
      <w:bookmarkStart w:id="1060" w:name="_Toc292559909"/>
      <w:bookmarkStart w:id="1061" w:name="_Toc296891239"/>
      <w:bookmarkStart w:id="1062" w:name="_Toc304295574"/>
      <w:bookmarkStart w:id="1063" w:name="_Toc297120499"/>
      <w:bookmarkStart w:id="1064" w:name="_Toc297048385"/>
      <w:bookmarkStart w:id="1065" w:name="_Toc303539154"/>
      <w:r>
        <w:rPr>
          <w:rFonts w:hint="eastAsia" w:ascii="宋体" w:hAnsi="宋体"/>
          <w:color w:val="auto"/>
          <w:sz w:val="24"/>
          <w:szCs w:val="24"/>
          <w:highlight w:val="none"/>
        </w:rPr>
        <w:t>0.7 暂估价</w:t>
      </w:r>
      <w:bookmarkEnd w:id="1041"/>
      <w:bookmarkEnd w:id="1042"/>
      <w:bookmarkEnd w:id="1043"/>
      <w:bookmarkEnd w:id="1044"/>
      <w:bookmarkEnd w:id="1045"/>
      <w:bookmarkEnd w:id="1046"/>
      <w:bookmarkEnd w:id="1047"/>
      <w:bookmarkEnd w:id="1048"/>
    </w:p>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14:paraId="7594B87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kern w:val="0"/>
          <w:sz w:val="24"/>
          <w:szCs w:val="24"/>
          <w:highlight w:val="none"/>
        </w:rPr>
        <w:t>暂</w:t>
      </w:r>
      <w:bookmarkStart w:id="1066" w:name="_Toc312677508"/>
      <w:bookmarkStart w:id="1067" w:name="_Toc312678034"/>
      <w:bookmarkStart w:id="1068" w:name="_Toc318581176"/>
      <w:r>
        <w:rPr>
          <w:rFonts w:hint="eastAsia" w:ascii="宋体" w:hAnsi="宋体"/>
          <w:color w:val="auto"/>
          <w:kern w:val="0"/>
          <w:sz w:val="24"/>
          <w:szCs w:val="24"/>
          <w:highlight w:val="none"/>
        </w:rPr>
        <w:t>估价材料和工程设备的明细详见附件11：《</w:t>
      </w:r>
      <w:r>
        <w:rPr>
          <w:rFonts w:hint="eastAsia" w:ascii="宋体" w:hAnsi="宋体"/>
          <w:color w:val="auto"/>
          <w:sz w:val="24"/>
          <w:szCs w:val="24"/>
          <w:highlight w:val="none"/>
        </w:rPr>
        <w:t>暂估价一览表》</w:t>
      </w:r>
      <w:r>
        <w:rPr>
          <w:rFonts w:hint="eastAsia" w:ascii="宋体" w:hAnsi="宋体"/>
          <w:color w:val="auto"/>
          <w:kern w:val="0"/>
          <w:sz w:val="24"/>
          <w:szCs w:val="24"/>
          <w:highlight w:val="none"/>
        </w:rPr>
        <w:t>。</w:t>
      </w:r>
    </w:p>
    <w:bookmarkEnd w:id="1066"/>
    <w:bookmarkEnd w:id="1067"/>
    <w:bookmarkEnd w:id="1068"/>
    <w:p w14:paraId="19B49082">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w:t>
      </w:r>
      <w:bookmarkStart w:id="1069" w:name="_Toc312677509"/>
      <w:bookmarkStart w:id="1070" w:name="_Toc312678035"/>
      <w:bookmarkStart w:id="1071" w:name="_Toc318581177"/>
      <w:r>
        <w:rPr>
          <w:rFonts w:hint="eastAsia" w:ascii="宋体" w:hAnsi="宋体"/>
          <w:color w:val="auto"/>
          <w:sz w:val="24"/>
          <w:szCs w:val="24"/>
          <w:highlight w:val="none"/>
        </w:rPr>
        <w:t>0.7.1 依法必须招标的暂估价项目</w:t>
      </w:r>
    </w:p>
    <w:bookmarkEnd w:id="1069"/>
    <w:bookmarkEnd w:id="1070"/>
    <w:bookmarkEnd w:id="1071"/>
    <w:p w14:paraId="2FDD3BE2">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对于依法必须招标的暂估价项目的确认和批准采取第种方式确定。</w:t>
      </w:r>
    </w:p>
    <w:p w14:paraId="77C58CFA">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10.7.2 不属于依法必须招标的暂估价项目</w:t>
      </w:r>
    </w:p>
    <w:p w14:paraId="0673084F">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对于不属于依法必须招标的暂估价项目的确认和批准采取第 种方式确定。</w:t>
      </w:r>
    </w:p>
    <w:p w14:paraId="7D12FD3A">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sz w:val="24"/>
          <w:szCs w:val="24"/>
          <w:highlight w:val="none"/>
        </w:rPr>
        <w:t>第3种方式：</w:t>
      </w:r>
      <w:r>
        <w:rPr>
          <w:rFonts w:hint="eastAsia" w:ascii="宋体" w:hAnsi="宋体"/>
          <w:color w:val="auto"/>
          <w:kern w:val="0"/>
          <w:sz w:val="24"/>
          <w:szCs w:val="24"/>
          <w:highlight w:val="none"/>
        </w:rPr>
        <w:t>承包人直接实施的暂估价项目</w:t>
      </w:r>
    </w:p>
    <w:p w14:paraId="0619547C">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承包人直接实施的暂估价项目的约定：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4717FBA6">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10.8 暂列金额</w:t>
      </w:r>
    </w:p>
    <w:p w14:paraId="32CB7DD7">
      <w:pPr>
        <w:shd w:val="clear" w:color="auto" w:fill="auto"/>
        <w:autoSpaceDE w:val="0"/>
        <w:autoSpaceDN w:val="0"/>
        <w:adjustRightInd w:val="0"/>
        <w:spacing w:line="380" w:lineRule="exact"/>
        <w:ind w:firstLine="482"/>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合同当事人关于暂列金额使用的约定：</w:t>
      </w:r>
      <w:r>
        <w:rPr>
          <w:rFonts w:hint="eastAsia" w:ascii="宋体" w:hAnsi="宋体"/>
          <w:color w:val="auto"/>
          <w:sz w:val="24"/>
          <w:szCs w:val="24"/>
          <w:highlight w:val="none"/>
          <w:u w:val="single"/>
        </w:rPr>
        <w:t>/</w:t>
      </w:r>
      <w:r>
        <w:rPr>
          <w:rFonts w:hint="eastAsia" w:ascii="宋体" w:hAnsi="宋体"/>
          <w:color w:val="auto"/>
          <w:kern w:val="0"/>
          <w:sz w:val="24"/>
          <w:szCs w:val="24"/>
          <w:highlight w:val="none"/>
        </w:rPr>
        <w:t>。</w:t>
      </w:r>
    </w:p>
    <w:p w14:paraId="446F12C9">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072" w:name="_Toc351203643"/>
      <w:r>
        <w:rPr>
          <w:rFonts w:hint="eastAsia" w:ascii="宋体" w:hAnsi="宋体"/>
          <w:bCs/>
          <w:color w:val="auto"/>
          <w:sz w:val="24"/>
          <w:szCs w:val="24"/>
          <w:highlight w:val="none"/>
        </w:rPr>
        <w:t>11. 价格调整</w:t>
      </w:r>
      <w:bookmarkEnd w:id="1072"/>
    </w:p>
    <w:p w14:paraId="2E41D077">
      <w:pPr>
        <w:shd w:val="clear" w:color="auto" w:fill="auto"/>
        <w:spacing w:line="380" w:lineRule="exact"/>
        <w:ind w:firstLine="480" w:firstLineChars="200"/>
        <w:rPr>
          <w:rFonts w:hint="eastAsia" w:ascii="宋体" w:hAnsi="宋体"/>
          <w:color w:val="auto"/>
          <w:sz w:val="24"/>
          <w:szCs w:val="24"/>
          <w:highlight w:val="none"/>
        </w:rPr>
      </w:pPr>
      <w:bookmarkStart w:id="1073" w:name="_Toc296944540"/>
      <w:bookmarkStart w:id="1074" w:name="_Toc292559911"/>
      <w:bookmarkStart w:id="1075" w:name="_Toc297123550"/>
      <w:bookmarkStart w:id="1076" w:name="_Toc296891241"/>
      <w:bookmarkStart w:id="1077" w:name="_Toc297048387"/>
      <w:bookmarkStart w:id="1078" w:name="_Toc303539157"/>
      <w:bookmarkStart w:id="1079" w:name="_Toc292559406"/>
      <w:bookmarkStart w:id="1080" w:name="_Toc312678039"/>
      <w:bookmarkStart w:id="1081" w:name="_Toc296503201"/>
      <w:bookmarkStart w:id="1082" w:name="_Toc297120501"/>
      <w:bookmarkStart w:id="1083" w:name="_Toc296347200"/>
      <w:bookmarkStart w:id="1084" w:name="_Toc296346702"/>
      <w:bookmarkStart w:id="1085" w:name="_Toc304295577"/>
      <w:bookmarkStart w:id="1086" w:name="_Toc300935000"/>
      <w:bookmarkStart w:id="1087" w:name="_Toc296891029"/>
      <w:bookmarkStart w:id="1088" w:name="_Toc297216209"/>
      <w:r>
        <w:rPr>
          <w:rFonts w:hint="eastAsia" w:ascii="宋体" w:hAnsi="宋体"/>
          <w:color w:val="auto"/>
          <w:sz w:val="24"/>
          <w:szCs w:val="24"/>
          <w:highlight w:val="none"/>
        </w:rPr>
        <w:t>11.1 市场价格波动引起的调整</w:t>
      </w:r>
    </w:p>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p w14:paraId="02593A5B">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kern w:val="0"/>
          <w:sz w:val="24"/>
          <w:szCs w:val="24"/>
          <w:highlight w:val="none"/>
        </w:rPr>
        <w:t>市场价格波动是否调整合同价格的约定：</w:t>
      </w:r>
      <w:r>
        <w:rPr>
          <w:rFonts w:hint="eastAsia" w:ascii="宋体" w:hAnsi="宋体"/>
          <w:color w:val="auto"/>
          <w:sz w:val="24"/>
          <w:szCs w:val="24"/>
          <w:highlight w:val="none"/>
        </w:rPr>
        <w:t>。</w:t>
      </w:r>
    </w:p>
    <w:p w14:paraId="76503713">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因市场价格波动调整合同价格，采用以下第</w:t>
      </w:r>
      <w:r>
        <w:rPr>
          <w:rFonts w:hint="eastAsia" w:ascii="宋体" w:hAnsi="宋体"/>
          <w:color w:val="auto"/>
          <w:sz w:val="24"/>
          <w:szCs w:val="24"/>
          <w:highlight w:val="none"/>
          <w:u w:val="single"/>
        </w:rPr>
        <w:t>2</w:t>
      </w:r>
      <w:r>
        <w:rPr>
          <w:rFonts w:hint="eastAsia" w:ascii="宋体" w:hAnsi="宋体"/>
          <w:color w:val="auto"/>
          <w:sz w:val="24"/>
          <w:szCs w:val="24"/>
          <w:highlight w:val="none"/>
        </w:rPr>
        <w:t>种方式对合同价格进行调整：</w:t>
      </w:r>
    </w:p>
    <w:p w14:paraId="7A05F422">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第1种方式：采用价格指数进行价格调整。</w:t>
      </w:r>
    </w:p>
    <w:p w14:paraId="0AE44A57">
      <w:pPr>
        <w:shd w:val="clear" w:color="auto" w:fill="auto"/>
        <w:spacing w:line="380" w:lineRule="exact"/>
        <w:ind w:firstLine="480" w:firstLineChars="200"/>
        <w:jc w:val="left"/>
        <w:rPr>
          <w:rFonts w:hint="eastAsia" w:ascii="宋体" w:hAnsi="宋体"/>
          <w:color w:val="auto"/>
          <w:sz w:val="24"/>
          <w:szCs w:val="24"/>
          <w:highlight w:val="none"/>
          <w:u w:val="single"/>
        </w:rPr>
      </w:pPr>
      <w:r>
        <w:rPr>
          <w:rFonts w:hint="eastAsia" w:ascii="宋体" w:hAnsi="宋体"/>
          <w:color w:val="auto"/>
          <w:sz w:val="24"/>
          <w:szCs w:val="24"/>
          <w:highlight w:val="none"/>
        </w:rPr>
        <w:t>关于各可调因子、定值和变值权重，以及基本价格指数及其来源的约定：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 xml:space="preserve">；  </w:t>
      </w:r>
    </w:p>
    <w:p w14:paraId="5E75E829">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第2种方式：采用造价信息进行价格调整。</w:t>
      </w:r>
    </w:p>
    <w:p w14:paraId="7A3B407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（2）关于基准价格的约定：</w:t>
      </w:r>
      <w:r>
        <w:rPr>
          <w:rFonts w:hint="eastAsia" w:ascii="宋体" w:hAnsi="宋体" w:cs="宋体"/>
          <w:color w:val="auto"/>
          <w:sz w:val="24"/>
          <w:szCs w:val="24"/>
          <w:highlight w:val="none"/>
          <w:u w:val="single"/>
          <w:lang w:bidi="ar"/>
        </w:rPr>
        <w:t>以投标当月当地建设工程价格信息为基准价格</w:t>
      </w:r>
      <w:r>
        <w:rPr>
          <w:rFonts w:hint="eastAsia" w:ascii="宋体" w:hAnsi="宋体"/>
          <w:color w:val="auto"/>
          <w:sz w:val="24"/>
          <w:szCs w:val="24"/>
          <w:highlight w:val="none"/>
        </w:rPr>
        <w:t>。</w:t>
      </w:r>
    </w:p>
    <w:p w14:paraId="33CFE1E5">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专用合同草案</w:t>
      </w:r>
      <w:r>
        <w:rPr>
          <w:rFonts w:hint="eastAsia" w:ascii="宋体" w:hAnsi="宋体" w:cs="宋体"/>
          <w:color w:val="auto"/>
          <w:sz w:val="24"/>
          <w:szCs w:val="24"/>
          <w:highlight w:val="none"/>
        </w:rPr>
        <w:t>①</w:t>
      </w:r>
      <w:r>
        <w:rPr>
          <w:rFonts w:hint="eastAsia" w:ascii="宋体" w:hAnsi="宋体"/>
          <w:color w:val="auto"/>
          <w:sz w:val="24"/>
          <w:szCs w:val="24"/>
          <w:highlight w:val="none"/>
        </w:rPr>
        <w:t>承包人在已标价工程量清单或预算书中载明的材料单价低于基准价格的：专用合同草案合同履行期间材料单价涨幅以基准价格为基础超过10%时，或材料单价跌幅以已标价工程量清单或预算书中载明材料单价为基础超过10%时，其超过部分据实调整。</w:t>
      </w:r>
    </w:p>
    <w:p w14:paraId="178F839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s="宋体"/>
          <w:color w:val="auto"/>
          <w:sz w:val="24"/>
          <w:szCs w:val="24"/>
          <w:highlight w:val="none"/>
        </w:rPr>
        <w:t>②</w:t>
      </w:r>
      <w:r>
        <w:rPr>
          <w:rFonts w:hint="eastAsia" w:ascii="宋体" w:hAnsi="宋体"/>
          <w:color w:val="auto"/>
          <w:sz w:val="24"/>
          <w:szCs w:val="24"/>
          <w:highlight w:val="none"/>
        </w:rPr>
        <w:t>承包人在已标价工程量清单或预算书中载明的材料单价高于基准价格的：专用合同草案合同履行期间材料单价跌幅以基准价格为基础超过10%时，材料单价涨幅以已标价工程量清单或预算书中载明材料单价为基础超过10%时，其超过部分据实调整。</w:t>
      </w:r>
    </w:p>
    <w:p w14:paraId="53906D3D">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s="宋体"/>
          <w:color w:val="auto"/>
          <w:sz w:val="24"/>
          <w:szCs w:val="24"/>
          <w:highlight w:val="none"/>
        </w:rPr>
        <w:t>③</w:t>
      </w:r>
      <w:r>
        <w:rPr>
          <w:rFonts w:hint="eastAsia" w:ascii="宋体" w:hAnsi="宋体"/>
          <w:color w:val="auto"/>
          <w:sz w:val="24"/>
          <w:szCs w:val="24"/>
          <w:highlight w:val="none"/>
        </w:rPr>
        <w:t>承包人在已标价工程量清单或预算书中载明的材料单价等于基准单价的：专用合同草案合同履行期间材料单价涨跌幅以基准单价为基础超过±</w:t>
      </w:r>
      <w:r>
        <w:rPr>
          <w:rFonts w:hint="eastAsia" w:ascii="宋体" w:hAnsi="宋体"/>
          <w:color w:val="auto"/>
          <w:sz w:val="24"/>
          <w:szCs w:val="24"/>
          <w:highlight w:val="none"/>
          <w:u w:val="single"/>
        </w:rPr>
        <w:t>10</w:t>
      </w:r>
      <w:r>
        <w:rPr>
          <w:rFonts w:hint="eastAsia" w:ascii="宋体" w:hAnsi="宋体"/>
          <w:color w:val="auto"/>
          <w:sz w:val="24"/>
          <w:szCs w:val="24"/>
          <w:highlight w:val="none"/>
        </w:rPr>
        <w:t>%时，其超过部分据实调整。</w:t>
      </w:r>
    </w:p>
    <w:p w14:paraId="6D80DCA2">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第3种方式：其他价格调整方式：</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bookmarkEnd w:id="960"/>
    <w:bookmarkEnd w:id="961"/>
    <w:bookmarkEnd w:id="962"/>
    <w:bookmarkEnd w:id="963"/>
    <w:bookmarkEnd w:id="964"/>
    <w:bookmarkEnd w:id="965"/>
    <w:p w14:paraId="4B42EC93">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089" w:name="_Toc296891033"/>
      <w:bookmarkStart w:id="1090" w:name="_Toc296944544"/>
      <w:bookmarkStart w:id="1091" w:name="_Toc296347204"/>
      <w:bookmarkStart w:id="1092" w:name="_Toc296346706"/>
      <w:bookmarkStart w:id="1093" w:name="_Toc297048391"/>
      <w:bookmarkStart w:id="1094" w:name="_Toc296891245"/>
      <w:bookmarkStart w:id="1095" w:name="_Toc297120505"/>
      <w:bookmarkStart w:id="1096" w:name="_Toc292559915"/>
      <w:bookmarkStart w:id="1097" w:name="_Toc296503205"/>
      <w:bookmarkStart w:id="1098" w:name="_Toc292559410"/>
      <w:bookmarkStart w:id="1099" w:name="_Toc351203644"/>
      <w:bookmarkStart w:id="1100" w:name="_Toc297123552"/>
      <w:bookmarkStart w:id="1101" w:name="_Toc304295579"/>
      <w:bookmarkStart w:id="1102" w:name="_Toc303539159"/>
      <w:bookmarkStart w:id="1103" w:name="_Toc312678040"/>
      <w:bookmarkStart w:id="1104" w:name="_Toc297216211"/>
      <w:bookmarkStart w:id="1105" w:name="_Toc300935002"/>
      <w:r>
        <w:rPr>
          <w:rFonts w:hint="eastAsia" w:ascii="宋体" w:hAnsi="宋体"/>
          <w:bCs/>
          <w:color w:val="auto"/>
          <w:sz w:val="24"/>
          <w:szCs w:val="24"/>
          <w:highlight w:val="none"/>
        </w:rPr>
        <w:t xml:space="preserve">12. </w:t>
      </w:r>
      <w:bookmarkEnd w:id="1089"/>
      <w:bookmarkEnd w:id="1090"/>
      <w:bookmarkEnd w:id="1091"/>
      <w:bookmarkEnd w:id="1092"/>
      <w:bookmarkEnd w:id="1093"/>
      <w:bookmarkEnd w:id="1094"/>
      <w:bookmarkEnd w:id="1095"/>
      <w:bookmarkEnd w:id="1096"/>
      <w:bookmarkEnd w:id="1097"/>
      <w:bookmarkEnd w:id="1098"/>
      <w:r>
        <w:rPr>
          <w:rFonts w:hint="eastAsia" w:ascii="宋体" w:hAnsi="宋体"/>
          <w:bCs/>
          <w:color w:val="auto"/>
          <w:sz w:val="24"/>
          <w:szCs w:val="24"/>
          <w:highlight w:val="none"/>
        </w:rPr>
        <w:t>合同价格、计量与支付</w:t>
      </w:r>
      <w:bookmarkEnd w:id="1099"/>
    </w:p>
    <w:bookmarkEnd w:id="1100"/>
    <w:bookmarkEnd w:id="1101"/>
    <w:bookmarkEnd w:id="1102"/>
    <w:bookmarkEnd w:id="1103"/>
    <w:bookmarkEnd w:id="1104"/>
    <w:bookmarkEnd w:id="1105"/>
    <w:p w14:paraId="454F9112">
      <w:pPr>
        <w:shd w:val="clear" w:color="auto" w:fill="auto"/>
        <w:spacing w:line="380" w:lineRule="exact"/>
        <w:ind w:firstLine="480" w:firstLineChars="200"/>
        <w:rPr>
          <w:rFonts w:hint="eastAsia" w:ascii="宋体" w:hAnsi="宋体"/>
          <w:color w:val="auto"/>
          <w:sz w:val="24"/>
          <w:szCs w:val="24"/>
          <w:highlight w:val="none"/>
        </w:rPr>
      </w:pPr>
      <w:bookmarkStart w:id="1106" w:name="_Toc267251461"/>
      <w:bookmarkStart w:id="1107" w:name="_Toc292559411"/>
      <w:bookmarkStart w:id="1108" w:name="_Toc292559916"/>
      <w:bookmarkStart w:id="1109" w:name="_Toc296347205"/>
      <w:bookmarkStart w:id="1110" w:name="_Toc296891034"/>
      <w:bookmarkStart w:id="1111" w:name="_Toc296944545"/>
      <w:bookmarkStart w:id="1112" w:name="_Toc297048392"/>
      <w:bookmarkStart w:id="1113" w:name="_Toc297120506"/>
      <w:bookmarkStart w:id="1114" w:name="_Toc296346707"/>
      <w:bookmarkStart w:id="1115" w:name="_Toc296503206"/>
      <w:bookmarkStart w:id="1116" w:name="_Toc296891246"/>
      <w:bookmarkStart w:id="1117" w:name="_Toc297123553"/>
      <w:bookmarkStart w:id="1118" w:name="_Toc300935003"/>
      <w:bookmarkStart w:id="1119" w:name="_Toc303539160"/>
      <w:bookmarkStart w:id="1120" w:name="_Toc297216212"/>
      <w:bookmarkStart w:id="1121" w:name="_Toc304295580"/>
      <w:bookmarkStart w:id="1122" w:name="_Toc312678041"/>
      <w:r>
        <w:rPr>
          <w:rFonts w:hint="eastAsia" w:ascii="宋体" w:hAnsi="宋体"/>
          <w:color w:val="auto"/>
          <w:sz w:val="24"/>
          <w:szCs w:val="24"/>
          <w:highlight w:val="none"/>
        </w:rPr>
        <w:t>12.1 合</w:t>
      </w:r>
      <w:bookmarkEnd w:id="1106"/>
      <w:bookmarkEnd w:id="1107"/>
      <w:bookmarkEnd w:id="1108"/>
      <w:r>
        <w:rPr>
          <w:rFonts w:hint="eastAsia" w:ascii="宋体" w:hAnsi="宋体"/>
          <w:color w:val="auto"/>
          <w:sz w:val="24"/>
          <w:szCs w:val="24"/>
          <w:highlight w:val="none"/>
        </w:rPr>
        <w:t>同价</w:t>
      </w:r>
      <w:bookmarkEnd w:id="1109"/>
      <w:bookmarkEnd w:id="1110"/>
      <w:bookmarkEnd w:id="1111"/>
      <w:bookmarkEnd w:id="1112"/>
      <w:bookmarkEnd w:id="1113"/>
      <w:bookmarkEnd w:id="1114"/>
      <w:bookmarkEnd w:id="1115"/>
      <w:bookmarkEnd w:id="1116"/>
      <w:r>
        <w:rPr>
          <w:rFonts w:hint="eastAsia" w:ascii="宋体" w:hAnsi="宋体"/>
          <w:color w:val="auto"/>
          <w:sz w:val="24"/>
          <w:szCs w:val="24"/>
          <w:highlight w:val="none"/>
        </w:rPr>
        <w:t>格形式</w:t>
      </w:r>
    </w:p>
    <w:bookmarkEnd w:id="1117"/>
    <w:bookmarkEnd w:id="1118"/>
    <w:bookmarkEnd w:id="1119"/>
    <w:bookmarkEnd w:id="1120"/>
    <w:bookmarkEnd w:id="1121"/>
    <w:bookmarkEnd w:id="1122"/>
    <w:p w14:paraId="70ABFAD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1、单价合同。</w:t>
      </w:r>
    </w:p>
    <w:p w14:paraId="3946A248">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综合单价包含的风险范围：</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1AAC889D">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风险费用的计算方法：</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563176F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风险范围以外合同价格的调整方法：</w:t>
      </w:r>
      <w:r>
        <w:rPr>
          <w:rFonts w:hint="eastAsia" w:ascii="宋体" w:hAnsi="宋体"/>
          <w:color w:val="auto"/>
          <w:sz w:val="24"/>
          <w:szCs w:val="24"/>
          <w:highlight w:val="none"/>
          <w:u w:val="single"/>
          <w:lang w:val="zh-TW" w:eastAsia="zh-TW"/>
        </w:rPr>
        <w:t>设计变更，工程签证，具实调整</w:t>
      </w:r>
      <w:r>
        <w:rPr>
          <w:rFonts w:hint="eastAsia" w:ascii="宋体" w:hAnsi="宋体"/>
          <w:color w:val="auto"/>
          <w:sz w:val="24"/>
          <w:szCs w:val="24"/>
          <w:highlight w:val="none"/>
        </w:rPr>
        <w:t>。</w:t>
      </w:r>
    </w:p>
    <w:p w14:paraId="1E0EE6F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2、总价合同。</w:t>
      </w:r>
    </w:p>
    <w:p w14:paraId="02AFE8E0">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总价包含的风险范围：</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2279D0BF">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风险费用的计算方法：</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33043D16">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风险范围以外合同价格的调整方法：</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366954CB">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3、其他价格方式：</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6305DD1F">
      <w:pPr>
        <w:shd w:val="clear" w:color="auto" w:fill="auto"/>
        <w:spacing w:line="380" w:lineRule="exact"/>
        <w:ind w:firstLine="480" w:firstLineChars="200"/>
        <w:rPr>
          <w:rFonts w:hint="eastAsia" w:ascii="宋体" w:hAnsi="宋体"/>
          <w:color w:val="auto"/>
          <w:sz w:val="24"/>
          <w:szCs w:val="24"/>
          <w:highlight w:val="none"/>
        </w:rPr>
      </w:pPr>
      <w:bookmarkStart w:id="1123" w:name="_Toc303539161"/>
      <w:bookmarkStart w:id="1124" w:name="_Toc312678042"/>
      <w:bookmarkStart w:id="1125" w:name="_Toc297123554"/>
      <w:bookmarkStart w:id="1126" w:name="_Toc300935004"/>
      <w:bookmarkStart w:id="1127" w:name="_Toc297216213"/>
      <w:bookmarkStart w:id="1128" w:name="_Toc304295581"/>
      <w:bookmarkStart w:id="1129" w:name="_Toc297048393"/>
      <w:bookmarkStart w:id="1130" w:name="_Toc296346708"/>
      <w:bookmarkStart w:id="1131" w:name="_Toc296944546"/>
      <w:bookmarkStart w:id="1132" w:name="_Toc297120507"/>
      <w:bookmarkStart w:id="1133" w:name="_Toc292559917"/>
      <w:bookmarkStart w:id="1134" w:name="_Toc296503207"/>
      <w:bookmarkStart w:id="1135" w:name="_Toc292559412"/>
      <w:bookmarkStart w:id="1136" w:name="_Toc296891247"/>
      <w:bookmarkStart w:id="1137" w:name="_Toc296891035"/>
      <w:bookmarkStart w:id="1138" w:name="_Toc296347206"/>
      <w:r>
        <w:rPr>
          <w:rFonts w:hint="eastAsia" w:ascii="宋体" w:hAnsi="宋体"/>
          <w:color w:val="auto"/>
          <w:sz w:val="24"/>
          <w:szCs w:val="24"/>
          <w:highlight w:val="none"/>
        </w:rPr>
        <w:t>12.2 预付款</w:t>
      </w:r>
    </w:p>
    <w:bookmarkEnd w:id="1123"/>
    <w:bookmarkEnd w:id="1124"/>
    <w:bookmarkEnd w:id="1125"/>
    <w:bookmarkEnd w:id="1126"/>
    <w:bookmarkEnd w:id="1127"/>
    <w:bookmarkEnd w:id="1128"/>
    <w:p w14:paraId="48DAC6A8">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12.2.1 预付款的支付</w:t>
      </w:r>
    </w:p>
    <w:p w14:paraId="78933D4B">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预付款支付比例或金额：</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77977DA6">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预付款支付期限：</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2E428AF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预付款扣回的方式：</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2A13F68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12.2.2 预付款担保</w:t>
      </w:r>
    </w:p>
    <w:p w14:paraId="68F3A97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承包人提交预付款担保的期限：</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0AF3A59E">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预付款担保的形式为：</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bookmarkEnd w:id="1129"/>
    <w:bookmarkEnd w:id="1130"/>
    <w:bookmarkEnd w:id="1131"/>
    <w:bookmarkEnd w:id="1132"/>
    <w:bookmarkEnd w:id="1133"/>
    <w:bookmarkEnd w:id="1134"/>
    <w:bookmarkEnd w:id="1135"/>
    <w:bookmarkEnd w:id="1136"/>
    <w:bookmarkEnd w:id="1137"/>
    <w:bookmarkEnd w:id="1138"/>
    <w:p w14:paraId="037C0274">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12.3 计量</w:t>
      </w:r>
    </w:p>
    <w:p w14:paraId="0B9C77EE">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12.3.1 计量原则</w:t>
      </w:r>
    </w:p>
    <w:p w14:paraId="73B8B5DE">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工程量计算规则：</w:t>
      </w:r>
      <w:r>
        <w:rPr>
          <w:rFonts w:hint="eastAsia" w:ascii="宋体" w:hAnsi="宋体"/>
          <w:color w:val="auto"/>
          <w:sz w:val="24"/>
          <w:szCs w:val="24"/>
          <w:highlight w:val="none"/>
          <w:u w:val="single"/>
          <w:lang w:val="zh-TW" w:eastAsia="zh-TW"/>
        </w:rPr>
        <w:t>按《建设工程工程量清单计价规范》（</w:t>
      </w:r>
      <w:r>
        <w:rPr>
          <w:rFonts w:hint="eastAsia" w:ascii="宋体" w:hAnsi="宋体"/>
          <w:color w:val="auto"/>
          <w:sz w:val="24"/>
          <w:szCs w:val="24"/>
          <w:highlight w:val="none"/>
          <w:u w:val="single"/>
        </w:rPr>
        <w:t>GB50500-2013</w:t>
      </w:r>
      <w:r>
        <w:rPr>
          <w:rFonts w:hint="eastAsia" w:ascii="宋体" w:hAnsi="宋体"/>
          <w:color w:val="auto"/>
          <w:sz w:val="24"/>
          <w:szCs w:val="24"/>
          <w:highlight w:val="none"/>
          <w:u w:val="single"/>
          <w:lang w:val="zh-TW" w:eastAsia="zh-TW"/>
        </w:rPr>
        <w:t>）及配套计量规范计算</w:t>
      </w:r>
      <w:r>
        <w:rPr>
          <w:rFonts w:hint="eastAsia" w:ascii="宋体" w:hAnsi="宋体"/>
          <w:color w:val="auto"/>
          <w:sz w:val="24"/>
          <w:szCs w:val="24"/>
          <w:highlight w:val="none"/>
        </w:rPr>
        <w:t>。</w:t>
      </w:r>
    </w:p>
    <w:p w14:paraId="5DBEDBF3">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12.3.2 计量周期</w:t>
      </w:r>
    </w:p>
    <w:p w14:paraId="7CFA042E">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关于计量周期的约定：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1197867F">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12.3.3 单价合同的计量</w:t>
      </w:r>
    </w:p>
    <w:p w14:paraId="3F92DC1A">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关于单价合同计量的约定：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2A2E6CE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12.3.4 总价合同的计量</w:t>
      </w:r>
    </w:p>
    <w:p w14:paraId="19C47E59">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关于总价合同计量的约定：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58BBB0E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12.3.5总价合同采用支付分解表计量支付的，是否适用第</w:t>
      </w:r>
      <w:r>
        <w:rPr>
          <w:rFonts w:hint="eastAsia" w:ascii="宋体" w:hAnsi="宋体"/>
          <w:color w:val="auto"/>
          <w:kern w:val="0"/>
          <w:sz w:val="24"/>
          <w:szCs w:val="24"/>
          <w:highlight w:val="none"/>
        </w:rPr>
        <w:t xml:space="preserve">12.3.4 </w:t>
      </w:r>
      <w:r>
        <w:rPr>
          <w:rFonts w:hint="eastAsia" w:ascii="宋体" w:hAnsi="宋体"/>
          <w:color w:val="auto"/>
          <w:sz w:val="24"/>
          <w:szCs w:val="24"/>
          <w:highlight w:val="none"/>
        </w:rPr>
        <w:t>项</w:t>
      </w:r>
      <w:r>
        <w:rPr>
          <w:rFonts w:hint="eastAsia" w:ascii="宋体" w:hAnsi="宋体"/>
          <w:color w:val="auto"/>
          <w:kern w:val="0"/>
          <w:sz w:val="24"/>
          <w:szCs w:val="24"/>
          <w:highlight w:val="none"/>
        </w:rPr>
        <w:t>〔总价合同的计量〕</w:t>
      </w:r>
      <w:r>
        <w:rPr>
          <w:rFonts w:hint="eastAsia" w:ascii="宋体" w:hAnsi="宋体"/>
          <w:color w:val="auto"/>
          <w:sz w:val="24"/>
          <w:szCs w:val="24"/>
          <w:highlight w:val="none"/>
        </w:rPr>
        <w:t>约定进行计量：</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4C5B4EBC">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12.3.6 其他价格形式合同的计量</w:t>
      </w:r>
    </w:p>
    <w:p w14:paraId="3966707A">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其他价格形式的计量方式和程序：</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7D31AAE6">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12.4 工程进度款支付</w:t>
      </w:r>
    </w:p>
    <w:p w14:paraId="65829666">
      <w:pPr>
        <w:shd w:val="clear" w:color="auto" w:fill="auto"/>
        <w:spacing w:line="380" w:lineRule="exact"/>
        <w:ind w:firstLine="480" w:firstLineChars="200"/>
        <w:jc w:val="left"/>
        <w:rPr>
          <w:rFonts w:hint="eastAsia" w:ascii="宋体" w:hAnsi="宋体"/>
          <w:color w:val="auto"/>
          <w:sz w:val="24"/>
          <w:szCs w:val="24"/>
          <w:highlight w:val="none"/>
        </w:rPr>
      </w:pPr>
      <w:bookmarkStart w:id="1139" w:name="_Toc297123556"/>
      <w:bookmarkStart w:id="1140" w:name="_Toc297048397"/>
      <w:bookmarkStart w:id="1141" w:name="_Toc296891251"/>
      <w:bookmarkStart w:id="1142" w:name="_Toc303539163"/>
      <w:bookmarkStart w:id="1143" w:name="_Toc296891039"/>
      <w:bookmarkStart w:id="1144" w:name="_Toc296503211"/>
      <w:bookmarkStart w:id="1145" w:name="_Toc300935006"/>
      <w:bookmarkStart w:id="1146" w:name="_Toc292559921"/>
      <w:bookmarkStart w:id="1147" w:name="_Toc297120511"/>
      <w:bookmarkStart w:id="1148" w:name="_Toc296346712"/>
      <w:bookmarkStart w:id="1149" w:name="_Toc296944550"/>
      <w:bookmarkStart w:id="1150" w:name="_Toc292559416"/>
      <w:bookmarkStart w:id="1151" w:name="_Toc296347210"/>
      <w:bookmarkStart w:id="1152" w:name="_Toc297216215"/>
      <w:r>
        <w:rPr>
          <w:rFonts w:hint="eastAsia" w:ascii="宋体" w:hAnsi="宋体"/>
          <w:color w:val="auto"/>
          <w:sz w:val="24"/>
          <w:szCs w:val="24"/>
          <w:highlight w:val="none"/>
        </w:rPr>
        <w:t>12.4.1 付款周期</w:t>
      </w:r>
    </w:p>
    <w:p w14:paraId="07E912CF">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关于付款办法的约定：</w:t>
      </w:r>
      <w:r>
        <w:rPr>
          <w:rFonts w:hint="eastAsia" w:ascii="宋体" w:hAnsi="宋体"/>
          <w:color w:val="auto"/>
          <w:sz w:val="24"/>
          <w:szCs w:val="24"/>
          <w:highlight w:val="none"/>
          <w:u w:val="single"/>
        </w:rPr>
        <w:t>双方另行协商</w:t>
      </w:r>
    </w:p>
    <w:p w14:paraId="74BCA8A6">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12.4.2 进度付款申请单的编制</w:t>
      </w:r>
    </w:p>
    <w:p w14:paraId="214035FF">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关于进度付款申请单编制的约定：</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6D11907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r>
        <w:rPr>
          <w:rFonts w:hint="eastAsia" w:ascii="宋体" w:hAnsi="宋体"/>
          <w:color w:val="auto"/>
          <w:sz w:val="24"/>
          <w:szCs w:val="24"/>
          <w:highlight w:val="none"/>
        </w:rPr>
        <w:t>2.4.3 进度付款申请单的提交</w:t>
      </w:r>
    </w:p>
    <w:p w14:paraId="2145534F">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（1）单价合同进度付款申请单提交的约定：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2BCEF97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（2）总价合同进度付款申请单提交的约定：</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1212D57A">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（3）其他价格形式合同进度付款申请单提交的约定：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01AB9843">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12.4.4 进度款审核和支付</w:t>
      </w:r>
    </w:p>
    <w:p w14:paraId="631B5454">
      <w:pPr>
        <w:shd w:val="clear" w:color="auto" w:fill="auto"/>
        <w:spacing w:line="380" w:lineRule="exact"/>
        <w:ind w:firstLine="480" w:firstLineChars="200"/>
        <w:jc w:val="left"/>
        <w:rPr>
          <w:rFonts w:hint="eastAsia" w:ascii="宋体" w:hAnsi="宋体"/>
          <w:color w:val="auto"/>
          <w:sz w:val="24"/>
          <w:szCs w:val="24"/>
          <w:highlight w:val="none"/>
          <w:u w:val="single"/>
        </w:rPr>
      </w:pPr>
      <w:r>
        <w:rPr>
          <w:rFonts w:hint="eastAsia" w:ascii="宋体" w:hAnsi="宋体"/>
          <w:color w:val="auto"/>
          <w:sz w:val="24"/>
          <w:szCs w:val="24"/>
          <w:highlight w:val="none"/>
        </w:rPr>
        <w:t>（1）监理人审查并报送发包人的期限：</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2C9C1985">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发包人完成审批并签发进度款支付证书的期限：</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3EB1D518">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（2）发包人支付进度款的期限：</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0983B77B">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发包人逾期支付进度款的违约金的计算方式：</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0A1EB406">
      <w:pPr>
        <w:shd w:val="clear" w:color="auto" w:fill="auto"/>
        <w:spacing w:line="380" w:lineRule="exact"/>
        <w:ind w:firstLine="600" w:firstLineChars="250"/>
        <w:jc w:val="left"/>
        <w:rPr>
          <w:rFonts w:hint="eastAsia" w:ascii="宋体" w:hAnsi="宋体"/>
          <w:color w:val="auto"/>
          <w:sz w:val="24"/>
          <w:szCs w:val="24"/>
          <w:highlight w:val="none"/>
        </w:rPr>
      </w:pPr>
      <w:r>
        <w:rPr>
          <w:rFonts w:hint="eastAsia" w:ascii="宋体" w:hAnsi="宋体"/>
          <w:color w:val="auto"/>
          <w:sz w:val="24"/>
          <w:szCs w:val="24"/>
          <w:highlight w:val="none"/>
        </w:rPr>
        <w:t>12.4.6 支付分解表的编制</w:t>
      </w:r>
    </w:p>
    <w:p w14:paraId="6E78CA11">
      <w:pPr>
        <w:shd w:val="clear" w:color="auto" w:fill="auto"/>
        <w:spacing w:line="380" w:lineRule="exact"/>
        <w:ind w:left="4800" w:hanging="4800" w:hangingChars="2000"/>
        <w:jc w:val="left"/>
        <w:rPr>
          <w:rFonts w:hint="eastAsia" w:ascii="宋体" w:hAnsi="宋体"/>
          <w:color w:val="auto"/>
          <w:sz w:val="24"/>
          <w:szCs w:val="24"/>
          <w:highlight w:val="none"/>
        </w:rPr>
      </w:pPr>
      <w:r>
        <w:rPr>
          <w:rFonts w:hint="eastAsia" w:ascii="宋体" w:hAnsi="宋体"/>
          <w:color w:val="auto"/>
          <w:sz w:val="24"/>
          <w:szCs w:val="24"/>
          <w:highlight w:val="none"/>
        </w:rPr>
        <w:t>2、总价合同支付分解表的编制与审批：</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56622456">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3、单价合同的总价项目支付分解表的编制与审批：</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bookmarkEnd w:id="966"/>
    <w:p w14:paraId="124A120D">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153" w:name="_Toc351203645"/>
      <w:bookmarkStart w:id="1154" w:name="_Toc296346720"/>
      <w:bookmarkStart w:id="1155" w:name="_Toc297123564"/>
      <w:bookmarkStart w:id="1156" w:name="_Toc304295593"/>
      <w:bookmarkStart w:id="1157" w:name="_Toc297048405"/>
      <w:bookmarkStart w:id="1158" w:name="_Toc297120519"/>
      <w:bookmarkStart w:id="1159" w:name="_Toc296891047"/>
      <w:bookmarkStart w:id="1160" w:name="_Toc312678053"/>
      <w:bookmarkStart w:id="1161" w:name="_Toc296891259"/>
      <w:bookmarkStart w:id="1162" w:name="_Toc296347218"/>
      <w:bookmarkStart w:id="1163" w:name="_Toc296944558"/>
      <w:bookmarkStart w:id="1164" w:name="_Toc303539172"/>
      <w:bookmarkStart w:id="1165" w:name="_Toc292559929"/>
      <w:bookmarkStart w:id="1166" w:name="_Toc300935015"/>
      <w:bookmarkStart w:id="1167" w:name="_Toc292559424"/>
      <w:bookmarkStart w:id="1168" w:name="_Toc296503219"/>
      <w:bookmarkStart w:id="1169" w:name="_Toc297216223"/>
      <w:r>
        <w:rPr>
          <w:rFonts w:hint="eastAsia" w:ascii="宋体" w:hAnsi="宋体"/>
          <w:bCs/>
          <w:color w:val="auto"/>
          <w:sz w:val="24"/>
          <w:szCs w:val="24"/>
          <w:highlight w:val="none"/>
        </w:rPr>
        <w:t>13.验收和工程试车</w:t>
      </w:r>
      <w:bookmarkEnd w:id="1153"/>
    </w:p>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p w14:paraId="47AF3218">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13.1 分部分项工程验收</w:t>
      </w:r>
    </w:p>
    <w:p w14:paraId="356E186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13.1.2监理人不能按时进行验收时，应提前</w:t>
      </w:r>
      <w:r>
        <w:rPr>
          <w:rFonts w:hint="eastAsia" w:ascii="宋体" w:hAnsi="宋体"/>
          <w:color w:val="auto"/>
          <w:sz w:val="24"/>
          <w:szCs w:val="24"/>
          <w:highlight w:val="none"/>
          <w:u w:val="single"/>
        </w:rPr>
        <w:t>24</w:t>
      </w:r>
      <w:r>
        <w:rPr>
          <w:rFonts w:hint="eastAsia" w:ascii="宋体" w:hAnsi="宋体"/>
          <w:color w:val="auto"/>
          <w:sz w:val="24"/>
          <w:szCs w:val="24"/>
          <w:highlight w:val="none"/>
        </w:rPr>
        <w:t>小时提交书面延期要求。</w:t>
      </w:r>
    </w:p>
    <w:p w14:paraId="68CF59CB">
      <w:pPr>
        <w:shd w:val="clear" w:color="auto" w:fill="auto"/>
        <w:spacing w:line="380" w:lineRule="exact"/>
        <w:ind w:firstLine="480" w:firstLineChars="200"/>
        <w:jc w:val="left"/>
        <w:rPr>
          <w:rFonts w:hint="eastAsia" w:ascii="宋体" w:hAnsi="宋体"/>
          <w:b/>
          <w:color w:val="auto"/>
          <w:sz w:val="24"/>
          <w:szCs w:val="24"/>
          <w:highlight w:val="none"/>
        </w:rPr>
      </w:pPr>
      <w:r>
        <w:rPr>
          <w:rFonts w:hint="eastAsia" w:ascii="宋体" w:hAnsi="宋体"/>
          <w:color w:val="auto"/>
          <w:sz w:val="24"/>
          <w:szCs w:val="24"/>
          <w:highlight w:val="none"/>
        </w:rPr>
        <w:t>关于延期最长不得超过：</w:t>
      </w:r>
      <w:r>
        <w:rPr>
          <w:rFonts w:hint="eastAsia" w:ascii="宋体" w:hAnsi="宋体"/>
          <w:color w:val="auto"/>
          <w:sz w:val="24"/>
          <w:szCs w:val="24"/>
          <w:highlight w:val="none"/>
          <w:u w:val="single"/>
        </w:rPr>
        <w:t>48</w:t>
      </w:r>
      <w:r>
        <w:rPr>
          <w:rFonts w:hint="eastAsia" w:ascii="宋体" w:hAnsi="宋体"/>
          <w:color w:val="auto"/>
          <w:sz w:val="24"/>
          <w:szCs w:val="24"/>
          <w:highlight w:val="none"/>
        </w:rPr>
        <w:t>小时。</w:t>
      </w:r>
    </w:p>
    <w:p w14:paraId="5294DF37">
      <w:pPr>
        <w:shd w:val="clear" w:color="auto" w:fill="auto"/>
        <w:spacing w:line="380" w:lineRule="exact"/>
        <w:ind w:firstLine="480" w:firstLineChars="200"/>
        <w:rPr>
          <w:rFonts w:hint="eastAsia" w:ascii="宋体" w:hAnsi="宋体"/>
          <w:color w:val="auto"/>
          <w:sz w:val="24"/>
          <w:szCs w:val="24"/>
          <w:highlight w:val="none"/>
        </w:rPr>
      </w:pPr>
      <w:bookmarkStart w:id="1170" w:name="_Toc297123565"/>
      <w:bookmarkStart w:id="1171" w:name="_Toc296347222"/>
      <w:bookmarkStart w:id="1172" w:name="_Toc297048409"/>
      <w:bookmarkStart w:id="1173" w:name="_Toc296891051"/>
      <w:bookmarkStart w:id="1174" w:name="_Toc303539173"/>
      <w:bookmarkStart w:id="1175" w:name="_Toc292559428"/>
      <w:bookmarkStart w:id="1176" w:name="_Toc296891263"/>
      <w:bookmarkStart w:id="1177" w:name="_Toc297216224"/>
      <w:bookmarkStart w:id="1178" w:name="_Toc312678056"/>
      <w:bookmarkStart w:id="1179" w:name="_Toc296503223"/>
      <w:bookmarkStart w:id="1180" w:name="_Toc292559933"/>
      <w:bookmarkStart w:id="1181" w:name="_Toc296346724"/>
      <w:bookmarkStart w:id="1182" w:name="_Toc297120523"/>
      <w:bookmarkStart w:id="1183" w:name="_Toc296944562"/>
      <w:bookmarkStart w:id="1184" w:name="_Toc300935016"/>
      <w:bookmarkStart w:id="1185" w:name="_Toc304295596"/>
      <w:bookmarkStart w:id="1186" w:name="_Toc267251473"/>
      <w:bookmarkStart w:id="1187" w:name="_Toc267251475"/>
      <w:bookmarkStart w:id="1188" w:name="_Toc267251474"/>
      <w:bookmarkStart w:id="1189" w:name="_Toc267251470"/>
      <w:bookmarkStart w:id="1190" w:name="_Toc267251472"/>
      <w:bookmarkStart w:id="1191" w:name="_Toc267251476"/>
      <w:bookmarkStart w:id="1192" w:name="_Toc267251471"/>
      <w:r>
        <w:rPr>
          <w:rFonts w:hint="eastAsia" w:ascii="宋体" w:hAnsi="宋体"/>
          <w:color w:val="auto"/>
          <w:sz w:val="24"/>
          <w:szCs w:val="24"/>
          <w:highlight w:val="none"/>
        </w:rPr>
        <w:t>13.2 竣工验收</w:t>
      </w:r>
    </w:p>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p w14:paraId="22C2ACB5">
      <w:pPr>
        <w:shd w:val="clear" w:color="auto" w:fill="auto"/>
        <w:spacing w:line="380" w:lineRule="exact"/>
        <w:ind w:firstLine="480" w:firstLineChars="200"/>
        <w:jc w:val="left"/>
        <w:rPr>
          <w:rFonts w:hint="eastAsia" w:ascii="宋体" w:hAnsi="宋体"/>
          <w:color w:val="auto"/>
          <w:sz w:val="24"/>
          <w:szCs w:val="24"/>
          <w:highlight w:val="none"/>
        </w:rPr>
      </w:pPr>
      <w:bookmarkStart w:id="1193" w:name="_Toc280868704"/>
      <w:bookmarkStart w:id="1194" w:name="_Toc280868705"/>
      <w:bookmarkStart w:id="1195" w:name="_Toc280868706"/>
      <w:bookmarkStart w:id="1196" w:name="_Toc280868707"/>
      <w:bookmarkStart w:id="1197" w:name="_Toc280868708"/>
      <w:bookmarkStart w:id="1198" w:name="_Toc280868709"/>
      <w:r>
        <w:rPr>
          <w:rFonts w:hint="eastAsia" w:ascii="宋体" w:hAnsi="宋体"/>
          <w:color w:val="auto"/>
          <w:sz w:val="24"/>
          <w:szCs w:val="24"/>
          <w:highlight w:val="none"/>
        </w:rPr>
        <w:t>13.2.2竣工验收程序</w:t>
      </w:r>
    </w:p>
    <w:bookmarkEnd w:id="1193"/>
    <w:p w14:paraId="68A49BDE">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kern w:val="0"/>
          <w:sz w:val="24"/>
          <w:szCs w:val="24"/>
          <w:highlight w:val="none"/>
        </w:rPr>
        <w:t>关于竣工验收程序的约定：</w:t>
      </w:r>
      <w:r>
        <w:rPr>
          <w:rFonts w:hint="eastAsia" w:ascii="宋体" w:hAnsi="宋体" w:cs="宋体"/>
          <w:color w:val="auto"/>
          <w:sz w:val="24"/>
          <w:szCs w:val="24"/>
          <w:highlight w:val="none"/>
          <w:u w:val="single"/>
          <w:lang w:bidi="ar"/>
        </w:rPr>
        <w:t>按照现行</w:t>
      </w:r>
      <w:r>
        <w:rPr>
          <w:rFonts w:hint="eastAsia" w:ascii="宋体" w:hAnsi="宋体" w:cs="宋体"/>
          <w:color w:val="auto"/>
          <w:sz w:val="24"/>
          <w:szCs w:val="24"/>
          <w:highlight w:val="none"/>
          <w:u w:val="single"/>
          <w:lang w:eastAsia="zh-CN" w:bidi="ar"/>
        </w:rPr>
        <w:t>建筑工程</w:t>
      </w:r>
      <w:r>
        <w:rPr>
          <w:rFonts w:hint="eastAsia" w:ascii="宋体" w:hAnsi="宋体" w:cs="宋体"/>
          <w:color w:val="auto"/>
          <w:sz w:val="24"/>
          <w:szCs w:val="24"/>
          <w:highlight w:val="none"/>
          <w:u w:val="single"/>
          <w:lang w:bidi="ar"/>
        </w:rPr>
        <w:t>监理规范和地方质量监督部门的要求执行</w:t>
      </w:r>
      <w:r>
        <w:rPr>
          <w:rFonts w:hint="eastAsia" w:ascii="宋体" w:hAnsi="宋体"/>
          <w:color w:val="auto"/>
          <w:sz w:val="24"/>
          <w:szCs w:val="24"/>
          <w:highlight w:val="none"/>
        </w:rPr>
        <w:t>。</w:t>
      </w:r>
    </w:p>
    <w:p w14:paraId="5F440229">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kern w:val="0"/>
          <w:sz w:val="24"/>
          <w:szCs w:val="24"/>
          <w:highlight w:val="none"/>
        </w:rPr>
        <w:t>发包人不按照本项约定组织竣工验收、颁发工程接收证书的违约金的计算方法：</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bookmarkEnd w:id="1194"/>
    <w:p w14:paraId="033A7BEA">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13.2.5移交、接收全部与部分工程</w:t>
      </w:r>
    </w:p>
    <w:bookmarkEnd w:id="1195"/>
    <w:p w14:paraId="5D217695">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承包人向发包人移交工程的期限：</w:t>
      </w:r>
      <w:r>
        <w:rPr>
          <w:rFonts w:hint="eastAsia" w:ascii="宋体" w:hAnsi="宋体" w:cs="宋体"/>
          <w:color w:val="auto"/>
          <w:sz w:val="24"/>
          <w:szCs w:val="24"/>
          <w:highlight w:val="none"/>
          <w:u w:val="single"/>
          <w:lang w:bidi="ar"/>
        </w:rPr>
        <w:t>在颁发工程接收证书后7天内完成工程的移交</w:t>
      </w:r>
      <w:r>
        <w:rPr>
          <w:rFonts w:hint="eastAsia" w:ascii="宋体" w:hAnsi="宋体"/>
          <w:color w:val="auto"/>
          <w:sz w:val="24"/>
          <w:szCs w:val="24"/>
          <w:highlight w:val="none"/>
        </w:rPr>
        <w:t>。</w:t>
      </w:r>
    </w:p>
    <w:p w14:paraId="1DDC78BF">
      <w:pPr>
        <w:shd w:val="clear" w:color="auto" w:fill="auto"/>
        <w:spacing w:line="380" w:lineRule="exact"/>
        <w:ind w:firstLine="480" w:firstLineChars="200"/>
        <w:jc w:val="left"/>
        <w:rPr>
          <w:rFonts w:hint="eastAsia" w:ascii="宋体" w:hAnsi="宋体"/>
          <w:color w:val="auto"/>
          <w:sz w:val="24"/>
          <w:szCs w:val="24"/>
          <w:highlight w:val="none"/>
          <w:u w:val="single"/>
        </w:rPr>
      </w:pPr>
      <w:r>
        <w:rPr>
          <w:rFonts w:hint="eastAsia" w:ascii="宋体" w:hAnsi="宋体"/>
          <w:color w:val="auto"/>
          <w:kern w:val="0"/>
          <w:sz w:val="24"/>
          <w:szCs w:val="24"/>
          <w:highlight w:val="none"/>
        </w:rPr>
        <w:t>发包人未按本合同约定接收全部或部分工程的，违约金的计算方法为：</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bookmarkEnd w:id="1196"/>
    <w:p w14:paraId="5E87D3F8">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承包人未按时移交工程的，违约金的计算方法为：</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7D5697E2">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13.3 工程试车</w:t>
      </w:r>
    </w:p>
    <w:bookmarkEnd w:id="1197"/>
    <w:p w14:paraId="46A8C4F6">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13.3.1 试车程序</w:t>
      </w:r>
    </w:p>
    <w:p w14:paraId="7CCAF814">
      <w:pPr>
        <w:shd w:val="clear" w:color="auto" w:fill="auto"/>
        <w:spacing w:line="380" w:lineRule="exact"/>
        <w:ind w:firstLine="482"/>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工程试车内容：</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5C232E94">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（1）单机无负荷试车费用由</w:t>
      </w:r>
      <w:r>
        <w:rPr>
          <w:rFonts w:hint="eastAsia" w:ascii="宋体" w:hAnsi="宋体"/>
          <w:color w:val="auto"/>
          <w:sz w:val="24"/>
          <w:szCs w:val="24"/>
          <w:highlight w:val="none"/>
          <w:u w:val="single"/>
        </w:rPr>
        <w:t>/</w:t>
      </w:r>
      <w:r>
        <w:rPr>
          <w:rFonts w:hint="eastAsia" w:ascii="宋体" w:hAnsi="宋体"/>
          <w:color w:val="auto"/>
          <w:kern w:val="0"/>
          <w:sz w:val="24"/>
          <w:szCs w:val="24"/>
          <w:highlight w:val="none"/>
        </w:rPr>
        <w:t>承担；</w:t>
      </w:r>
    </w:p>
    <w:p w14:paraId="39189C7D">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（2）无负荷联动试车费用由</w:t>
      </w:r>
      <w:r>
        <w:rPr>
          <w:rFonts w:hint="eastAsia" w:ascii="宋体" w:hAnsi="宋体"/>
          <w:color w:val="auto"/>
          <w:sz w:val="24"/>
          <w:szCs w:val="24"/>
          <w:highlight w:val="none"/>
          <w:u w:val="single"/>
        </w:rPr>
        <w:t>/</w:t>
      </w:r>
      <w:r>
        <w:rPr>
          <w:rFonts w:hint="eastAsia" w:ascii="宋体" w:hAnsi="宋体"/>
          <w:color w:val="auto"/>
          <w:kern w:val="0"/>
          <w:sz w:val="24"/>
          <w:szCs w:val="24"/>
          <w:highlight w:val="none"/>
        </w:rPr>
        <w:t>承担。</w:t>
      </w:r>
    </w:p>
    <w:p w14:paraId="7EAA2023">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13.3.3 投料试车</w:t>
      </w:r>
    </w:p>
    <w:p w14:paraId="313ADCC4">
      <w:pPr>
        <w:shd w:val="clear" w:color="auto" w:fill="auto"/>
        <w:spacing w:line="380" w:lineRule="exact"/>
        <w:ind w:firstLine="482"/>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关于投料试车相关事项的约定：</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w:t>
      </w:r>
    </w:p>
    <w:p w14:paraId="35FCAA61">
      <w:pPr>
        <w:shd w:val="clear" w:color="auto" w:fill="auto"/>
        <w:spacing w:line="380" w:lineRule="exact"/>
        <w:ind w:firstLine="480" w:firstLineChars="200"/>
        <w:outlineLvl w:val="0"/>
        <w:rPr>
          <w:rFonts w:hint="eastAsia" w:ascii="宋体" w:hAnsi="宋体"/>
          <w:color w:val="auto"/>
          <w:sz w:val="24"/>
          <w:szCs w:val="24"/>
          <w:highlight w:val="none"/>
        </w:rPr>
      </w:pPr>
      <w:bookmarkStart w:id="1199" w:name="_Toc28494"/>
      <w:bookmarkStart w:id="1200" w:name="_Toc26696"/>
      <w:bookmarkStart w:id="1201" w:name="_Toc2300"/>
      <w:bookmarkStart w:id="1202" w:name="_Toc30445"/>
      <w:bookmarkStart w:id="1203" w:name="_Toc27034"/>
      <w:bookmarkStart w:id="1204" w:name="_Toc21325"/>
      <w:bookmarkStart w:id="1205" w:name="_Toc13191"/>
      <w:bookmarkStart w:id="1206" w:name="_Toc31517"/>
      <w:r>
        <w:rPr>
          <w:rFonts w:hint="eastAsia" w:ascii="宋体" w:hAnsi="宋体"/>
          <w:color w:val="auto"/>
          <w:sz w:val="24"/>
          <w:szCs w:val="24"/>
          <w:highlight w:val="none"/>
        </w:rPr>
        <w:t>13.6 竣工退场</w:t>
      </w:r>
      <w:bookmarkEnd w:id="1199"/>
      <w:bookmarkEnd w:id="1200"/>
      <w:bookmarkEnd w:id="1201"/>
      <w:bookmarkEnd w:id="1202"/>
      <w:bookmarkEnd w:id="1203"/>
      <w:bookmarkEnd w:id="1204"/>
      <w:bookmarkEnd w:id="1205"/>
      <w:bookmarkEnd w:id="1206"/>
    </w:p>
    <w:p w14:paraId="6233B1B4">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13.6.1 竣工退场</w:t>
      </w:r>
    </w:p>
    <w:p w14:paraId="1956145E">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承包人完成竣工退场的期限：</w:t>
      </w:r>
      <w:r>
        <w:rPr>
          <w:rFonts w:hint="eastAsia" w:ascii="宋体" w:hAnsi="宋体" w:cs="宋体"/>
          <w:color w:val="auto"/>
          <w:sz w:val="24"/>
          <w:szCs w:val="24"/>
          <w:highlight w:val="none"/>
          <w:u w:val="single"/>
          <w:lang w:bidi="ar"/>
        </w:rPr>
        <w:t>执行通用条款</w:t>
      </w:r>
      <w:r>
        <w:rPr>
          <w:rFonts w:hint="eastAsia" w:ascii="宋体" w:hAnsi="宋体"/>
          <w:color w:val="auto"/>
          <w:kern w:val="0"/>
          <w:sz w:val="24"/>
          <w:szCs w:val="24"/>
          <w:highlight w:val="none"/>
        </w:rPr>
        <w:t>。</w:t>
      </w:r>
    </w:p>
    <w:p w14:paraId="3EB83D82">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207" w:name="_Toc351203646"/>
      <w:r>
        <w:rPr>
          <w:rFonts w:hint="eastAsia" w:ascii="宋体" w:hAnsi="宋体"/>
          <w:bCs/>
          <w:color w:val="auto"/>
          <w:sz w:val="24"/>
          <w:szCs w:val="24"/>
          <w:highlight w:val="none"/>
        </w:rPr>
        <w:t>14. 竣工结算</w:t>
      </w:r>
      <w:bookmarkEnd w:id="1207"/>
    </w:p>
    <w:p w14:paraId="501C7D7A">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14.1 竣工结算申请</w:t>
      </w:r>
    </w:p>
    <w:p w14:paraId="6F8F5FA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承包人提交竣工结算申请单的期限：</w:t>
      </w:r>
      <w:r>
        <w:rPr>
          <w:rFonts w:hint="eastAsia" w:ascii="宋体" w:hAnsi="宋体" w:cs="宋体"/>
          <w:color w:val="auto"/>
          <w:sz w:val="24"/>
          <w:szCs w:val="24"/>
          <w:highlight w:val="none"/>
          <w:u w:val="single"/>
          <w:lang w:bidi="ar"/>
        </w:rPr>
        <w:t>竣工验收合格后28天内</w:t>
      </w:r>
      <w:r>
        <w:rPr>
          <w:rFonts w:hint="eastAsia" w:ascii="宋体" w:hAnsi="宋体"/>
          <w:color w:val="auto"/>
          <w:sz w:val="24"/>
          <w:szCs w:val="24"/>
          <w:highlight w:val="none"/>
        </w:rPr>
        <w:t>。</w:t>
      </w:r>
    </w:p>
    <w:p w14:paraId="3ADF4B4A">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竣工结算申请单应包括的内容：</w:t>
      </w:r>
      <w:r>
        <w:rPr>
          <w:rFonts w:hint="eastAsia" w:ascii="宋体" w:hAnsi="宋体" w:cs="宋体"/>
          <w:color w:val="auto"/>
          <w:sz w:val="24"/>
          <w:szCs w:val="24"/>
          <w:highlight w:val="none"/>
          <w:u w:val="single"/>
          <w:lang w:bidi="ar"/>
        </w:rPr>
        <w:t>（1）竣工结算报送价格；（2）发包人已支付承包人的款项；（3）发包人应支付承包人的合同价款</w:t>
      </w:r>
      <w:r>
        <w:rPr>
          <w:rFonts w:hint="eastAsia" w:ascii="宋体" w:hAnsi="宋体"/>
          <w:color w:val="auto"/>
          <w:sz w:val="24"/>
          <w:szCs w:val="24"/>
          <w:highlight w:val="none"/>
        </w:rPr>
        <w:t>。</w:t>
      </w:r>
    </w:p>
    <w:p w14:paraId="5FC7BF6B">
      <w:pPr>
        <w:shd w:val="clear" w:color="auto" w:fill="auto"/>
        <w:spacing w:line="380" w:lineRule="exact"/>
        <w:ind w:firstLine="480" w:firstLineChars="200"/>
        <w:outlineLvl w:val="0"/>
        <w:rPr>
          <w:rFonts w:hint="eastAsia" w:ascii="宋体" w:hAnsi="宋体"/>
          <w:color w:val="auto"/>
          <w:sz w:val="24"/>
          <w:szCs w:val="24"/>
          <w:highlight w:val="none"/>
        </w:rPr>
      </w:pPr>
      <w:bookmarkStart w:id="1208" w:name="_Toc19211"/>
      <w:bookmarkStart w:id="1209" w:name="_Toc30276"/>
      <w:bookmarkStart w:id="1210" w:name="_Toc31660"/>
      <w:bookmarkStart w:id="1211" w:name="_Toc3374"/>
      <w:bookmarkStart w:id="1212" w:name="_Toc29886"/>
      <w:bookmarkStart w:id="1213" w:name="_Toc22215"/>
      <w:bookmarkStart w:id="1214" w:name="_Toc3259"/>
      <w:bookmarkStart w:id="1215" w:name="_Toc6269"/>
      <w:r>
        <w:rPr>
          <w:rFonts w:hint="eastAsia" w:ascii="宋体" w:hAnsi="宋体"/>
          <w:color w:val="auto"/>
          <w:sz w:val="24"/>
          <w:szCs w:val="24"/>
          <w:highlight w:val="none"/>
        </w:rPr>
        <w:t>14.2 竣工结算审核</w:t>
      </w:r>
      <w:bookmarkEnd w:id="1208"/>
      <w:bookmarkEnd w:id="1209"/>
      <w:bookmarkEnd w:id="1210"/>
      <w:bookmarkEnd w:id="1211"/>
      <w:bookmarkEnd w:id="1212"/>
      <w:bookmarkEnd w:id="1213"/>
      <w:bookmarkEnd w:id="1214"/>
      <w:bookmarkEnd w:id="1215"/>
    </w:p>
    <w:p w14:paraId="2D5CB6B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发包人审批竣工付款申请单的期限：</w:t>
      </w:r>
      <w:r>
        <w:rPr>
          <w:rFonts w:hint="eastAsia" w:ascii="宋体" w:hAnsi="宋体" w:cs="宋体"/>
          <w:color w:val="auto"/>
          <w:sz w:val="24"/>
          <w:szCs w:val="24"/>
          <w:highlight w:val="none"/>
          <w:u w:val="single"/>
          <w:lang w:bidi="ar"/>
        </w:rPr>
        <w:t>30天内</w:t>
      </w:r>
      <w:r>
        <w:rPr>
          <w:rFonts w:hint="eastAsia" w:ascii="宋体" w:hAnsi="宋体"/>
          <w:color w:val="auto"/>
          <w:sz w:val="24"/>
          <w:szCs w:val="24"/>
          <w:highlight w:val="none"/>
        </w:rPr>
        <w:t>。</w:t>
      </w:r>
    </w:p>
    <w:p w14:paraId="4E250163">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发包人完成竣工付款的期限：</w:t>
      </w:r>
      <w:r>
        <w:rPr>
          <w:rFonts w:hint="eastAsia" w:ascii="宋体" w:hAnsi="宋体" w:cs="宋体"/>
          <w:color w:val="auto"/>
          <w:sz w:val="24"/>
          <w:szCs w:val="24"/>
          <w:highlight w:val="none"/>
          <w:u w:val="single"/>
          <w:lang w:bidi="ar"/>
        </w:rPr>
        <w:t>三方确认的审计结果出具后30天内</w:t>
      </w:r>
      <w:r>
        <w:rPr>
          <w:rFonts w:hint="eastAsia" w:ascii="宋体" w:hAnsi="宋体"/>
          <w:color w:val="auto"/>
          <w:sz w:val="24"/>
          <w:szCs w:val="24"/>
          <w:highlight w:val="none"/>
        </w:rPr>
        <w:t>。</w:t>
      </w:r>
    </w:p>
    <w:p w14:paraId="466E2F3F">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关于竣工付款证书异议部分复核的方式和程序：</w:t>
      </w:r>
      <w:r>
        <w:rPr>
          <w:rFonts w:hint="eastAsia" w:ascii="宋体" w:hAnsi="宋体" w:cs="宋体"/>
          <w:color w:val="auto"/>
          <w:sz w:val="24"/>
          <w:szCs w:val="24"/>
          <w:highlight w:val="none"/>
          <w:u w:val="single"/>
          <w:lang w:bidi="ar"/>
        </w:rPr>
        <w:t>执行通用条款</w:t>
      </w:r>
      <w:r>
        <w:rPr>
          <w:rFonts w:hint="eastAsia" w:ascii="宋体" w:hAnsi="宋体"/>
          <w:color w:val="auto"/>
          <w:sz w:val="24"/>
          <w:szCs w:val="24"/>
          <w:highlight w:val="none"/>
        </w:rPr>
        <w:t>。</w:t>
      </w:r>
    </w:p>
    <w:p w14:paraId="01E3D221">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14.4 最终结清</w:t>
      </w:r>
    </w:p>
    <w:p w14:paraId="795FD914">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14.4.1 最终结清申请单</w:t>
      </w:r>
    </w:p>
    <w:p w14:paraId="21E92309">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承包人提交最终结清申请单的份数：</w:t>
      </w:r>
      <w:r>
        <w:rPr>
          <w:rFonts w:hint="eastAsia" w:ascii="宋体" w:hAnsi="宋体" w:cs="宋体"/>
          <w:color w:val="auto"/>
          <w:sz w:val="24"/>
          <w:szCs w:val="24"/>
          <w:highlight w:val="none"/>
          <w:u w:val="single"/>
          <w:lang w:bidi="ar"/>
        </w:rPr>
        <w:t>伍份</w:t>
      </w:r>
      <w:r>
        <w:rPr>
          <w:rFonts w:hint="eastAsia" w:ascii="宋体" w:hAnsi="宋体"/>
          <w:color w:val="auto"/>
          <w:sz w:val="24"/>
          <w:szCs w:val="24"/>
          <w:highlight w:val="none"/>
        </w:rPr>
        <w:t>。</w:t>
      </w:r>
    </w:p>
    <w:p w14:paraId="06162AE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kern w:val="0"/>
          <w:sz w:val="24"/>
          <w:szCs w:val="24"/>
          <w:highlight w:val="none"/>
        </w:rPr>
        <w:t>承包人提交最终结算申请单的期限：</w:t>
      </w:r>
      <w:r>
        <w:rPr>
          <w:rFonts w:hint="eastAsia" w:ascii="宋体" w:hAnsi="宋体" w:cs="宋体"/>
          <w:color w:val="auto"/>
          <w:sz w:val="24"/>
          <w:szCs w:val="24"/>
          <w:highlight w:val="none"/>
          <w:u w:val="single"/>
          <w:lang w:bidi="ar"/>
        </w:rPr>
        <w:t>缺陷责任期终止后7天内</w:t>
      </w:r>
      <w:r>
        <w:rPr>
          <w:rFonts w:hint="eastAsia" w:ascii="宋体" w:hAnsi="宋体"/>
          <w:color w:val="auto"/>
          <w:sz w:val="24"/>
          <w:szCs w:val="24"/>
          <w:highlight w:val="none"/>
        </w:rPr>
        <w:t xml:space="preserve">。 </w:t>
      </w:r>
    </w:p>
    <w:p w14:paraId="17F5683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14.4.2 最终结清证书和支付</w:t>
      </w:r>
    </w:p>
    <w:p w14:paraId="2F28EA3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（1）发包人完成最终结清申请单的审批并颁发最终结清证书的期限：</w:t>
      </w:r>
      <w:r>
        <w:rPr>
          <w:rFonts w:hint="eastAsia" w:ascii="宋体" w:hAnsi="宋体" w:cs="宋体"/>
          <w:color w:val="auto"/>
          <w:sz w:val="24"/>
          <w:szCs w:val="24"/>
          <w:highlight w:val="none"/>
          <w:u w:val="single"/>
          <w:lang w:bidi="ar"/>
        </w:rPr>
        <w:t>收到承包人提交的最终结清证书7天内</w:t>
      </w:r>
      <w:r>
        <w:rPr>
          <w:rFonts w:hint="eastAsia" w:ascii="宋体" w:hAnsi="宋体"/>
          <w:color w:val="auto"/>
          <w:sz w:val="24"/>
          <w:szCs w:val="24"/>
          <w:highlight w:val="none"/>
        </w:rPr>
        <w:t>。</w:t>
      </w:r>
    </w:p>
    <w:p w14:paraId="5F646A9B">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（2）发包人完成支付的期限：</w:t>
      </w:r>
      <w:r>
        <w:rPr>
          <w:rFonts w:hint="eastAsia" w:ascii="宋体" w:hAnsi="宋体" w:cs="宋体"/>
          <w:color w:val="auto"/>
          <w:sz w:val="24"/>
          <w:szCs w:val="24"/>
          <w:highlight w:val="none"/>
          <w:u w:val="single"/>
          <w:lang w:bidi="ar"/>
        </w:rPr>
        <w:t>7天内</w:t>
      </w:r>
      <w:r>
        <w:rPr>
          <w:rFonts w:hint="eastAsia" w:ascii="宋体" w:hAnsi="宋体"/>
          <w:color w:val="auto"/>
          <w:sz w:val="24"/>
          <w:szCs w:val="24"/>
          <w:highlight w:val="none"/>
        </w:rPr>
        <w:t>。</w:t>
      </w:r>
    </w:p>
    <w:bookmarkEnd w:id="1186"/>
    <w:bookmarkEnd w:id="1187"/>
    <w:bookmarkEnd w:id="1188"/>
    <w:bookmarkEnd w:id="1189"/>
    <w:bookmarkEnd w:id="1190"/>
    <w:bookmarkEnd w:id="1191"/>
    <w:bookmarkEnd w:id="1192"/>
    <w:bookmarkEnd w:id="1198"/>
    <w:p w14:paraId="5E0ADB40">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216" w:name="_Toc351203647"/>
      <w:bookmarkStart w:id="1217" w:name="_Toc267251483"/>
      <w:bookmarkStart w:id="1218" w:name="_Toc267251484"/>
      <w:bookmarkStart w:id="1219" w:name="_Toc267251482"/>
      <w:bookmarkStart w:id="1220" w:name="_Toc267251485"/>
      <w:bookmarkStart w:id="1221" w:name="_Toc267251490"/>
      <w:bookmarkStart w:id="1222" w:name="_Toc267251486"/>
      <w:bookmarkStart w:id="1223" w:name="_Toc267251488"/>
      <w:bookmarkStart w:id="1224" w:name="_Toc267251489"/>
      <w:bookmarkStart w:id="1225" w:name="_Toc267251498"/>
      <w:bookmarkStart w:id="1226" w:name="_Toc267251503"/>
      <w:bookmarkStart w:id="1227" w:name="_Toc267251497"/>
      <w:bookmarkStart w:id="1228" w:name="_Toc267251491"/>
      <w:bookmarkStart w:id="1229" w:name="_Toc267251496"/>
      <w:bookmarkStart w:id="1230" w:name="_Toc267251494"/>
      <w:bookmarkStart w:id="1231" w:name="_Toc267251499"/>
      <w:bookmarkStart w:id="1232" w:name="_Toc267251502"/>
      <w:bookmarkStart w:id="1233" w:name="_Toc267251493"/>
      <w:bookmarkStart w:id="1234" w:name="_Toc267251495"/>
      <w:bookmarkStart w:id="1235" w:name="_Toc267251492"/>
      <w:bookmarkStart w:id="1236" w:name="_Toc267251501"/>
      <w:bookmarkStart w:id="1237" w:name="_Toc267251504"/>
      <w:bookmarkStart w:id="1238" w:name="_Toc267251506"/>
      <w:bookmarkStart w:id="1239" w:name="_Toc267251507"/>
      <w:bookmarkStart w:id="1240" w:name="_Toc267251508"/>
      <w:bookmarkStart w:id="1241" w:name="_Toc267251514"/>
      <w:bookmarkStart w:id="1242" w:name="_Toc267251515"/>
      <w:bookmarkStart w:id="1243" w:name="_Toc267251511"/>
      <w:bookmarkStart w:id="1244" w:name="_Toc267251513"/>
      <w:bookmarkStart w:id="1245" w:name="_Toc267251509"/>
      <w:bookmarkStart w:id="1246" w:name="_Toc267251510"/>
      <w:r>
        <w:rPr>
          <w:rFonts w:hint="eastAsia" w:ascii="宋体" w:hAnsi="宋体"/>
          <w:bCs/>
          <w:color w:val="auto"/>
          <w:sz w:val="24"/>
          <w:szCs w:val="24"/>
          <w:highlight w:val="none"/>
        </w:rPr>
        <w:t>15. 缺陷责任期与保修</w:t>
      </w:r>
      <w:bookmarkEnd w:id="1216"/>
    </w:p>
    <w:p w14:paraId="46F25913">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15.2缺陷责任期</w:t>
      </w:r>
      <w:bookmarkEnd w:id="1217"/>
    </w:p>
    <w:p w14:paraId="25DFD635">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缺陷责任期的具体期限：</w:t>
      </w:r>
      <w:r>
        <w:rPr>
          <w:rFonts w:hint="eastAsia" w:ascii="宋体" w:hAnsi="宋体"/>
          <w:color w:val="auto"/>
          <w:sz w:val="24"/>
          <w:szCs w:val="24"/>
          <w:highlight w:val="none"/>
          <w:u w:val="single"/>
          <w:lang w:val="zh-TW" w:eastAsia="zh-TW"/>
        </w:rPr>
        <w:t>按附件《工程质量保修书》执行</w:t>
      </w:r>
      <w:r>
        <w:rPr>
          <w:rFonts w:hint="eastAsia" w:ascii="宋体" w:hAnsi="宋体"/>
          <w:color w:val="auto"/>
          <w:sz w:val="24"/>
          <w:szCs w:val="24"/>
          <w:highlight w:val="none"/>
        </w:rPr>
        <w:t>。</w:t>
      </w:r>
    </w:p>
    <w:p w14:paraId="384E23DA">
      <w:pPr>
        <w:shd w:val="clear" w:color="auto" w:fill="auto"/>
        <w:spacing w:line="380" w:lineRule="exact"/>
        <w:ind w:firstLine="480" w:firstLineChars="200"/>
        <w:outlineLvl w:val="0"/>
        <w:rPr>
          <w:rFonts w:hint="eastAsia" w:ascii="宋体" w:hAnsi="宋体"/>
          <w:color w:val="auto"/>
          <w:sz w:val="24"/>
          <w:szCs w:val="24"/>
          <w:highlight w:val="none"/>
        </w:rPr>
      </w:pPr>
      <w:bookmarkStart w:id="1247" w:name="_Toc20177"/>
      <w:bookmarkStart w:id="1248" w:name="_Toc2594"/>
      <w:bookmarkStart w:id="1249" w:name="_Toc14625"/>
      <w:bookmarkStart w:id="1250" w:name="_Toc1466"/>
      <w:bookmarkStart w:id="1251" w:name="_Toc30258"/>
      <w:bookmarkStart w:id="1252" w:name="_Toc13030"/>
      <w:bookmarkStart w:id="1253" w:name="_Toc31755"/>
      <w:bookmarkStart w:id="1254" w:name="_Toc18347"/>
      <w:r>
        <w:rPr>
          <w:rFonts w:hint="eastAsia" w:ascii="宋体" w:hAnsi="宋体"/>
          <w:color w:val="auto"/>
          <w:sz w:val="24"/>
          <w:szCs w:val="24"/>
          <w:highlight w:val="none"/>
        </w:rPr>
        <w:t>15.3 质量保证金</w:t>
      </w:r>
      <w:bookmarkEnd w:id="1247"/>
      <w:bookmarkEnd w:id="1248"/>
      <w:bookmarkEnd w:id="1249"/>
      <w:bookmarkEnd w:id="1250"/>
      <w:bookmarkEnd w:id="1251"/>
      <w:bookmarkEnd w:id="1252"/>
      <w:bookmarkEnd w:id="1253"/>
      <w:bookmarkEnd w:id="1254"/>
    </w:p>
    <w:p w14:paraId="7F69C9A5">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关于是否扣留质量保证金的约定：</w:t>
      </w:r>
      <w:r>
        <w:rPr>
          <w:rFonts w:hint="eastAsia" w:ascii="宋体" w:hAnsi="宋体" w:cs="宋体"/>
          <w:color w:val="auto"/>
          <w:sz w:val="24"/>
          <w:szCs w:val="24"/>
          <w:highlight w:val="none"/>
          <w:u w:val="single"/>
          <w:lang w:bidi="ar"/>
        </w:rPr>
        <w:t>扣留最终审计结果的3%</w:t>
      </w:r>
      <w:r>
        <w:rPr>
          <w:rFonts w:hint="eastAsia" w:ascii="宋体" w:hAnsi="宋体"/>
          <w:color w:val="auto"/>
          <w:sz w:val="24"/>
          <w:szCs w:val="24"/>
          <w:highlight w:val="none"/>
        </w:rPr>
        <w:t>。在工程项目竣工前，承包人按专用合同草案第3.7条提供履约担保的，发包人不得同时预留工程质量保证金。</w:t>
      </w:r>
    </w:p>
    <w:p w14:paraId="0189F6FD">
      <w:pPr>
        <w:shd w:val="clear" w:color="auto" w:fill="auto"/>
        <w:spacing w:line="380" w:lineRule="exact"/>
        <w:ind w:firstLine="480" w:firstLineChars="200"/>
        <w:jc w:val="left"/>
        <w:outlineLvl w:val="0"/>
        <w:rPr>
          <w:rFonts w:hint="eastAsia" w:ascii="宋体" w:hAnsi="宋体"/>
          <w:color w:val="auto"/>
          <w:sz w:val="24"/>
          <w:szCs w:val="24"/>
          <w:highlight w:val="none"/>
        </w:rPr>
      </w:pPr>
      <w:bookmarkStart w:id="1255" w:name="_Toc28723"/>
      <w:bookmarkStart w:id="1256" w:name="_Toc24323"/>
      <w:bookmarkStart w:id="1257" w:name="_Toc21830"/>
      <w:bookmarkStart w:id="1258" w:name="_Toc29769"/>
      <w:bookmarkStart w:id="1259" w:name="_Toc17088"/>
      <w:bookmarkStart w:id="1260" w:name="_Toc10745"/>
      <w:bookmarkStart w:id="1261" w:name="_Toc3933"/>
      <w:bookmarkStart w:id="1262" w:name="_Toc11209"/>
      <w:r>
        <w:rPr>
          <w:rFonts w:hint="eastAsia" w:ascii="宋体" w:hAnsi="宋体"/>
          <w:color w:val="auto"/>
          <w:sz w:val="24"/>
          <w:szCs w:val="24"/>
          <w:highlight w:val="none"/>
        </w:rPr>
        <w:t>15.3.1 承包人提供质量保证金的方式</w:t>
      </w:r>
      <w:bookmarkEnd w:id="1255"/>
      <w:bookmarkEnd w:id="1256"/>
      <w:bookmarkEnd w:id="1257"/>
      <w:bookmarkEnd w:id="1258"/>
      <w:bookmarkEnd w:id="1259"/>
      <w:bookmarkEnd w:id="1260"/>
      <w:bookmarkEnd w:id="1261"/>
      <w:bookmarkEnd w:id="1262"/>
    </w:p>
    <w:p w14:paraId="4062987E">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质量保证金采用以下第</w:t>
      </w:r>
      <w:r>
        <w:rPr>
          <w:rFonts w:hint="eastAsia" w:ascii="宋体" w:hAnsi="宋体"/>
          <w:color w:val="auto"/>
          <w:sz w:val="24"/>
          <w:szCs w:val="24"/>
          <w:highlight w:val="none"/>
          <w:u w:val="single"/>
        </w:rPr>
        <w:t xml:space="preserve"> 2</w:t>
      </w:r>
      <w:r>
        <w:rPr>
          <w:rFonts w:hint="eastAsia" w:ascii="宋体" w:hAnsi="宋体"/>
          <w:color w:val="auto"/>
          <w:sz w:val="24"/>
          <w:szCs w:val="24"/>
          <w:highlight w:val="none"/>
        </w:rPr>
        <w:t>种方式：</w:t>
      </w:r>
    </w:p>
    <w:p w14:paraId="63735B18">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（1）质量保证金保函，保证金额为：</w:t>
      </w:r>
      <w:r>
        <w:rPr>
          <w:rFonts w:hint="eastAsia" w:ascii="宋体" w:hAnsi="宋体"/>
          <w:color w:val="auto"/>
          <w:kern w:val="0"/>
          <w:sz w:val="24"/>
          <w:szCs w:val="24"/>
          <w:highlight w:val="none"/>
          <w:u w:val="single"/>
        </w:rPr>
        <w:t xml:space="preserve">    /        </w:t>
      </w:r>
      <w:r>
        <w:rPr>
          <w:rFonts w:hint="eastAsia" w:ascii="宋体" w:hAnsi="宋体"/>
          <w:color w:val="auto"/>
          <w:kern w:val="0"/>
          <w:sz w:val="24"/>
          <w:szCs w:val="24"/>
          <w:highlight w:val="none"/>
        </w:rPr>
        <w:t xml:space="preserve">； </w:t>
      </w:r>
    </w:p>
    <w:p w14:paraId="2955C4C3">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（2）</w:t>
      </w:r>
      <w:r>
        <w:rPr>
          <w:rFonts w:hint="eastAsia" w:ascii="宋体" w:hAnsi="宋体"/>
          <w:color w:val="auto"/>
          <w:kern w:val="0"/>
          <w:sz w:val="24"/>
          <w:szCs w:val="24"/>
          <w:highlight w:val="none"/>
          <w:u w:val="single"/>
        </w:rPr>
        <w:t>3</w:t>
      </w:r>
      <w:r>
        <w:rPr>
          <w:rFonts w:hint="eastAsia" w:ascii="宋体" w:hAnsi="宋体"/>
          <w:color w:val="auto"/>
          <w:kern w:val="0"/>
          <w:sz w:val="24"/>
          <w:szCs w:val="24"/>
          <w:highlight w:val="none"/>
        </w:rPr>
        <w:t>%的工程款；</w:t>
      </w:r>
    </w:p>
    <w:p w14:paraId="294ED9C2">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（3）其他方式:</w:t>
      </w:r>
      <w:r>
        <w:rPr>
          <w:rFonts w:hint="eastAsia" w:ascii="宋体" w:hAnsi="宋体"/>
          <w:color w:val="auto"/>
          <w:kern w:val="0"/>
          <w:sz w:val="24"/>
          <w:szCs w:val="24"/>
          <w:highlight w:val="none"/>
          <w:u w:val="single"/>
        </w:rPr>
        <w:t xml:space="preserve">     /                  </w:t>
      </w:r>
      <w:r>
        <w:rPr>
          <w:rFonts w:hint="eastAsia" w:ascii="宋体" w:hAnsi="宋体"/>
          <w:color w:val="auto"/>
          <w:kern w:val="0"/>
          <w:sz w:val="24"/>
          <w:szCs w:val="24"/>
          <w:highlight w:val="none"/>
        </w:rPr>
        <w:t>。</w:t>
      </w:r>
    </w:p>
    <w:p w14:paraId="49B08530">
      <w:pPr>
        <w:shd w:val="clear" w:color="auto" w:fill="auto"/>
        <w:spacing w:line="380" w:lineRule="exact"/>
        <w:ind w:firstLine="480" w:firstLineChars="200"/>
        <w:jc w:val="left"/>
        <w:outlineLvl w:val="0"/>
        <w:rPr>
          <w:rFonts w:hint="eastAsia" w:ascii="宋体" w:hAnsi="宋体"/>
          <w:color w:val="auto"/>
          <w:sz w:val="24"/>
          <w:szCs w:val="24"/>
          <w:highlight w:val="none"/>
        </w:rPr>
      </w:pPr>
      <w:bookmarkStart w:id="1263" w:name="_Toc18925"/>
      <w:bookmarkStart w:id="1264" w:name="_Toc25079"/>
      <w:bookmarkStart w:id="1265" w:name="_Toc1797"/>
      <w:bookmarkStart w:id="1266" w:name="_Toc29035"/>
      <w:bookmarkStart w:id="1267" w:name="_Toc13201"/>
      <w:bookmarkStart w:id="1268" w:name="_Toc16478"/>
      <w:bookmarkStart w:id="1269" w:name="_Toc12502"/>
      <w:bookmarkStart w:id="1270" w:name="_Toc28913"/>
      <w:r>
        <w:rPr>
          <w:rFonts w:hint="eastAsia" w:ascii="宋体" w:hAnsi="宋体"/>
          <w:color w:val="auto"/>
          <w:sz w:val="24"/>
          <w:szCs w:val="24"/>
          <w:highlight w:val="none"/>
        </w:rPr>
        <w:t>15.3.2 质量保证金的扣留</w:t>
      </w:r>
      <w:bookmarkEnd w:id="1263"/>
      <w:bookmarkEnd w:id="1264"/>
      <w:bookmarkEnd w:id="1265"/>
      <w:bookmarkEnd w:id="1266"/>
      <w:bookmarkEnd w:id="1267"/>
      <w:bookmarkEnd w:id="1268"/>
      <w:bookmarkEnd w:id="1269"/>
      <w:bookmarkEnd w:id="1270"/>
    </w:p>
    <w:p w14:paraId="0291B24F">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质量保证金的扣留采取以下第</w:t>
      </w:r>
      <w:r>
        <w:rPr>
          <w:rFonts w:hint="eastAsia" w:ascii="宋体" w:hAnsi="宋体"/>
          <w:color w:val="auto"/>
          <w:sz w:val="24"/>
          <w:szCs w:val="24"/>
          <w:highlight w:val="none"/>
          <w:u w:val="single"/>
        </w:rPr>
        <w:t xml:space="preserve"> 2</w:t>
      </w:r>
      <w:r>
        <w:rPr>
          <w:rFonts w:hint="eastAsia" w:ascii="宋体" w:hAnsi="宋体"/>
          <w:color w:val="auto"/>
          <w:sz w:val="24"/>
          <w:szCs w:val="24"/>
          <w:highlight w:val="none"/>
        </w:rPr>
        <w:t>种方式：</w:t>
      </w:r>
    </w:p>
    <w:p w14:paraId="382F83A2">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（1）在支付工程进度款时逐次扣留，在此情形下，质量保证金的计算基数不包括预付款的支付、扣回以及价格调整的金额；</w:t>
      </w:r>
    </w:p>
    <w:p w14:paraId="274D9821">
      <w:pPr>
        <w:shd w:val="clear" w:color="auto" w:fill="auto"/>
        <w:autoSpaceDE w:val="0"/>
        <w:autoSpaceDN w:val="0"/>
        <w:adjustRightInd w:val="0"/>
        <w:spacing w:line="380" w:lineRule="exact"/>
        <w:ind w:firstLine="480" w:firstLineChars="200"/>
        <w:jc w:val="left"/>
        <w:outlineLvl w:val="0"/>
        <w:rPr>
          <w:rFonts w:hint="eastAsia" w:ascii="宋体" w:hAnsi="宋体"/>
          <w:color w:val="auto"/>
          <w:kern w:val="0"/>
          <w:sz w:val="24"/>
          <w:szCs w:val="24"/>
          <w:highlight w:val="none"/>
        </w:rPr>
      </w:pPr>
      <w:bookmarkStart w:id="1271" w:name="_Toc5068"/>
      <w:bookmarkStart w:id="1272" w:name="_Toc4414"/>
      <w:bookmarkStart w:id="1273" w:name="_Toc4854"/>
      <w:bookmarkStart w:id="1274" w:name="_Toc21198"/>
      <w:bookmarkStart w:id="1275" w:name="_Toc11904"/>
      <w:bookmarkStart w:id="1276" w:name="_Toc23803"/>
      <w:bookmarkStart w:id="1277" w:name="_Toc15791"/>
      <w:bookmarkStart w:id="1278" w:name="_Toc1627"/>
      <w:r>
        <w:rPr>
          <w:rFonts w:hint="eastAsia" w:ascii="宋体" w:hAnsi="宋体"/>
          <w:color w:val="auto"/>
          <w:kern w:val="0"/>
          <w:sz w:val="24"/>
          <w:szCs w:val="24"/>
          <w:highlight w:val="none"/>
        </w:rPr>
        <w:t>（2）工程竣工结算时一次性扣留质量保证金；</w:t>
      </w:r>
      <w:bookmarkEnd w:id="1271"/>
      <w:bookmarkEnd w:id="1272"/>
      <w:bookmarkEnd w:id="1273"/>
      <w:bookmarkEnd w:id="1274"/>
      <w:bookmarkEnd w:id="1275"/>
      <w:bookmarkEnd w:id="1276"/>
      <w:bookmarkEnd w:id="1277"/>
      <w:bookmarkEnd w:id="1278"/>
    </w:p>
    <w:p w14:paraId="57A0813F">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（3）其他扣留方式:</w:t>
      </w:r>
      <w:r>
        <w:rPr>
          <w:rFonts w:hint="eastAsia" w:ascii="宋体" w:hAnsi="宋体"/>
          <w:color w:val="auto"/>
          <w:kern w:val="0"/>
          <w:sz w:val="24"/>
          <w:szCs w:val="24"/>
          <w:highlight w:val="none"/>
          <w:u w:val="single"/>
        </w:rPr>
        <w:t xml:space="preserve">/  </w:t>
      </w:r>
      <w:r>
        <w:rPr>
          <w:rFonts w:hint="eastAsia" w:ascii="宋体" w:hAnsi="宋体"/>
          <w:color w:val="auto"/>
          <w:kern w:val="0"/>
          <w:sz w:val="24"/>
          <w:szCs w:val="24"/>
          <w:highlight w:val="none"/>
        </w:rPr>
        <w:t>。</w:t>
      </w:r>
    </w:p>
    <w:p w14:paraId="78A26AAB">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关于质量保证金的补充约定：</w:t>
      </w:r>
      <w:r>
        <w:rPr>
          <w:rFonts w:hint="eastAsia" w:ascii="宋体" w:hAnsi="宋体"/>
          <w:color w:val="auto"/>
          <w:kern w:val="0"/>
          <w:sz w:val="24"/>
          <w:szCs w:val="24"/>
          <w:highlight w:val="none"/>
          <w:u w:val="single"/>
        </w:rPr>
        <w:t xml:space="preserve">/    </w:t>
      </w:r>
      <w:r>
        <w:rPr>
          <w:rFonts w:hint="eastAsia" w:ascii="宋体" w:hAnsi="宋体"/>
          <w:color w:val="auto"/>
          <w:kern w:val="0"/>
          <w:sz w:val="24"/>
          <w:szCs w:val="24"/>
          <w:highlight w:val="none"/>
        </w:rPr>
        <w:t>。</w:t>
      </w:r>
    </w:p>
    <w:bookmarkEnd w:id="1218"/>
    <w:bookmarkEnd w:id="1219"/>
    <w:p w14:paraId="290AF2EA">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15.4保修</w:t>
      </w:r>
    </w:p>
    <w:bookmarkEnd w:id="1220"/>
    <w:p w14:paraId="5C08EE67">
      <w:pPr>
        <w:shd w:val="clear" w:color="auto" w:fill="auto"/>
        <w:spacing w:line="380" w:lineRule="exact"/>
        <w:ind w:firstLine="468" w:firstLineChars="195"/>
        <w:jc w:val="left"/>
        <w:rPr>
          <w:rFonts w:hint="eastAsia" w:ascii="宋体" w:hAnsi="宋体"/>
          <w:color w:val="auto"/>
          <w:sz w:val="24"/>
          <w:szCs w:val="24"/>
          <w:highlight w:val="none"/>
        </w:rPr>
      </w:pPr>
      <w:r>
        <w:rPr>
          <w:rFonts w:hint="eastAsia" w:ascii="宋体" w:hAnsi="宋体"/>
          <w:color w:val="auto"/>
          <w:sz w:val="24"/>
          <w:szCs w:val="24"/>
          <w:highlight w:val="none"/>
        </w:rPr>
        <w:t>15.4.1 保修责任</w:t>
      </w:r>
    </w:p>
    <w:p w14:paraId="747CBD12">
      <w:pPr>
        <w:shd w:val="clear" w:color="auto" w:fill="auto"/>
        <w:spacing w:line="380" w:lineRule="exact"/>
        <w:ind w:firstLine="482"/>
        <w:jc w:val="left"/>
        <w:rPr>
          <w:rFonts w:hint="eastAsia" w:ascii="宋体" w:hAnsi="宋体"/>
          <w:color w:val="auto"/>
          <w:kern w:val="0"/>
          <w:sz w:val="24"/>
          <w:szCs w:val="24"/>
          <w:highlight w:val="none"/>
        </w:rPr>
      </w:pPr>
      <w:r>
        <w:rPr>
          <w:rFonts w:hint="eastAsia" w:ascii="宋体" w:hAnsi="宋体"/>
          <w:color w:val="auto"/>
          <w:sz w:val="24"/>
          <w:szCs w:val="24"/>
          <w:highlight w:val="none"/>
        </w:rPr>
        <w:t>工程保修期为：</w:t>
      </w:r>
      <w:r>
        <w:rPr>
          <w:rFonts w:hint="eastAsia" w:ascii="宋体" w:hAnsi="宋体" w:cs="宋体"/>
          <w:color w:val="auto"/>
          <w:kern w:val="0"/>
          <w:sz w:val="24"/>
          <w:szCs w:val="24"/>
          <w:highlight w:val="none"/>
          <w:u w:val="single"/>
          <w:lang w:bidi="ar"/>
        </w:rPr>
        <w:t>见《工程质量保修书》</w:t>
      </w:r>
      <w:r>
        <w:rPr>
          <w:rFonts w:hint="eastAsia" w:ascii="宋体" w:hAnsi="宋体"/>
          <w:color w:val="auto"/>
          <w:kern w:val="0"/>
          <w:sz w:val="24"/>
          <w:szCs w:val="24"/>
          <w:highlight w:val="none"/>
        </w:rPr>
        <w:t>。</w:t>
      </w:r>
    </w:p>
    <w:p w14:paraId="57753132">
      <w:pPr>
        <w:shd w:val="clear" w:color="auto" w:fill="auto"/>
        <w:spacing w:line="380" w:lineRule="exact"/>
        <w:ind w:firstLine="468" w:firstLineChars="195"/>
        <w:jc w:val="left"/>
        <w:rPr>
          <w:rFonts w:hint="eastAsia" w:ascii="宋体" w:hAnsi="宋体"/>
          <w:color w:val="auto"/>
          <w:sz w:val="24"/>
          <w:szCs w:val="24"/>
          <w:highlight w:val="none"/>
        </w:rPr>
      </w:pPr>
      <w:r>
        <w:rPr>
          <w:rFonts w:hint="eastAsia" w:ascii="宋体" w:hAnsi="宋体"/>
          <w:color w:val="auto"/>
          <w:sz w:val="24"/>
          <w:szCs w:val="24"/>
          <w:highlight w:val="none"/>
        </w:rPr>
        <w:t>15.4.3 修复通知</w:t>
      </w:r>
    </w:p>
    <w:p w14:paraId="2345184C">
      <w:pPr>
        <w:shd w:val="clear" w:color="auto" w:fill="auto"/>
        <w:spacing w:line="380" w:lineRule="exact"/>
        <w:ind w:firstLine="482"/>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承包人收到保修通知并到达工程现场的合理时间：</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bookmarkEnd w:id="1221"/>
    <w:bookmarkEnd w:id="1222"/>
    <w:bookmarkEnd w:id="1223"/>
    <w:bookmarkEnd w:id="1224"/>
    <w:p w14:paraId="12342FE7">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279" w:name="_Toc351203648"/>
      <w:bookmarkStart w:id="1280" w:name="_Toc280868717"/>
      <w:bookmarkStart w:id="1281" w:name="_Toc280868718"/>
      <w:r>
        <w:rPr>
          <w:rFonts w:hint="eastAsia" w:ascii="宋体" w:hAnsi="宋体"/>
          <w:bCs/>
          <w:color w:val="auto"/>
          <w:sz w:val="24"/>
          <w:szCs w:val="24"/>
          <w:highlight w:val="none"/>
        </w:rPr>
        <w:t>16. 违约</w:t>
      </w:r>
      <w:bookmarkEnd w:id="1279"/>
    </w:p>
    <w:p w14:paraId="717CEFD7">
      <w:pPr>
        <w:shd w:val="clear" w:color="auto" w:fill="auto"/>
        <w:spacing w:line="380" w:lineRule="exact"/>
        <w:ind w:firstLine="480" w:firstLineChars="200"/>
        <w:outlineLvl w:val="0"/>
        <w:rPr>
          <w:rFonts w:hint="eastAsia" w:ascii="宋体" w:hAnsi="宋体"/>
          <w:color w:val="auto"/>
          <w:sz w:val="24"/>
          <w:szCs w:val="24"/>
          <w:highlight w:val="none"/>
        </w:rPr>
      </w:pPr>
      <w:bookmarkStart w:id="1282" w:name="_Toc9051"/>
      <w:bookmarkStart w:id="1283" w:name="_Toc31188"/>
      <w:bookmarkStart w:id="1284" w:name="_Toc18879"/>
      <w:bookmarkStart w:id="1285" w:name="_Toc19168"/>
      <w:bookmarkStart w:id="1286" w:name="_Toc5760"/>
      <w:bookmarkStart w:id="1287" w:name="_Toc16401"/>
      <w:bookmarkStart w:id="1288" w:name="_Toc14899"/>
      <w:bookmarkStart w:id="1289" w:name="_Toc21104"/>
      <w:r>
        <w:rPr>
          <w:rFonts w:hint="eastAsia" w:ascii="宋体" w:hAnsi="宋体"/>
          <w:color w:val="auto"/>
          <w:sz w:val="24"/>
          <w:szCs w:val="24"/>
          <w:highlight w:val="none"/>
        </w:rPr>
        <w:t>16.1 发包人违约</w:t>
      </w:r>
      <w:bookmarkEnd w:id="1282"/>
      <w:bookmarkEnd w:id="1283"/>
      <w:bookmarkEnd w:id="1284"/>
      <w:bookmarkEnd w:id="1285"/>
      <w:bookmarkEnd w:id="1286"/>
      <w:bookmarkEnd w:id="1287"/>
      <w:bookmarkEnd w:id="1288"/>
      <w:bookmarkEnd w:id="1289"/>
    </w:p>
    <w:p w14:paraId="70624997">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16.1.1发包人违约的情形</w:t>
      </w:r>
    </w:p>
    <w:p w14:paraId="3C9163CD">
      <w:pPr>
        <w:shd w:val="clear" w:color="auto" w:fill="auto"/>
        <w:spacing w:line="380" w:lineRule="exact"/>
        <w:ind w:left="1200" w:hanging="1200" w:hangingChars="5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发包人违约的其他情形：</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4D325FE5">
      <w:pPr>
        <w:shd w:val="clear" w:color="auto" w:fill="auto"/>
        <w:spacing w:line="380" w:lineRule="exact"/>
        <w:ind w:left="1200" w:hanging="1200" w:hangingChars="5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 xml:space="preserve">    16.1.2 发包人违约的责任</w:t>
      </w:r>
    </w:p>
    <w:p w14:paraId="28CDD72E">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发包人违约责任的承担方式和计算方法：</w:t>
      </w:r>
    </w:p>
    <w:p w14:paraId="0FE13EB4">
      <w:pPr>
        <w:shd w:val="clear" w:color="auto" w:fill="auto"/>
        <w:spacing w:line="380" w:lineRule="exact"/>
        <w:ind w:firstLine="480" w:firstLineChars="200"/>
        <w:jc w:val="left"/>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（1）因发包人原因未能在计划开工日期前7天内下达开工通知的违约责任：</w:t>
      </w:r>
      <w:r>
        <w:rPr>
          <w:rFonts w:hint="eastAsia" w:ascii="宋体" w:hAnsi="宋体"/>
          <w:color w:val="auto"/>
          <w:kern w:val="0"/>
          <w:sz w:val="24"/>
          <w:szCs w:val="24"/>
          <w:highlight w:val="none"/>
          <w:u w:val="single"/>
        </w:rPr>
        <w:t xml:space="preserve"> /            </w:t>
      </w:r>
      <w:r>
        <w:rPr>
          <w:rFonts w:hint="eastAsia" w:ascii="宋体" w:hAnsi="宋体"/>
          <w:color w:val="auto"/>
          <w:kern w:val="0"/>
          <w:sz w:val="24"/>
          <w:szCs w:val="24"/>
          <w:highlight w:val="none"/>
        </w:rPr>
        <w:t>。</w:t>
      </w:r>
    </w:p>
    <w:p w14:paraId="6593C837">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（2）因发包人原因未能按合同约定支付合同价款的违约责任：</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455FB113">
      <w:pPr>
        <w:shd w:val="clear" w:color="auto" w:fill="auto"/>
        <w:spacing w:line="380" w:lineRule="exact"/>
        <w:ind w:firstLine="482"/>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（3）发包人违反第10.1款〔变更的范围〕第（2）项约定，自行实施被取消的工作或转由他人实施的违约责任：</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29268D5F">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color w:val="auto"/>
          <w:kern w:val="0"/>
          <w:sz w:val="24"/>
          <w:szCs w:val="24"/>
          <w:highlight w:val="none"/>
          <w:u w:val="single"/>
        </w:rPr>
        <w:t xml:space="preserve">/ </w:t>
      </w:r>
      <w:r>
        <w:rPr>
          <w:rFonts w:hint="eastAsia" w:ascii="宋体" w:hAnsi="宋体"/>
          <w:color w:val="auto"/>
          <w:kern w:val="0"/>
          <w:sz w:val="24"/>
          <w:szCs w:val="24"/>
          <w:highlight w:val="none"/>
        </w:rPr>
        <w:t>。</w:t>
      </w:r>
    </w:p>
    <w:p w14:paraId="07702F28">
      <w:pPr>
        <w:shd w:val="clear" w:color="auto" w:fill="auto"/>
        <w:spacing w:line="380" w:lineRule="exact"/>
        <w:ind w:firstLine="482"/>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（5）因发包人违反合同约定造成暂停施工的违约责任：</w:t>
      </w:r>
      <w:r>
        <w:rPr>
          <w:rFonts w:hint="eastAsia" w:ascii="宋体" w:hAnsi="宋体"/>
          <w:color w:val="auto"/>
          <w:kern w:val="0"/>
          <w:sz w:val="24"/>
          <w:szCs w:val="24"/>
          <w:highlight w:val="none"/>
          <w:u w:val="single"/>
        </w:rPr>
        <w:t xml:space="preserve">  /     </w:t>
      </w:r>
      <w:r>
        <w:rPr>
          <w:rFonts w:hint="eastAsia" w:ascii="宋体" w:hAnsi="宋体"/>
          <w:color w:val="auto"/>
          <w:kern w:val="0"/>
          <w:sz w:val="24"/>
          <w:szCs w:val="24"/>
          <w:highlight w:val="none"/>
        </w:rPr>
        <w:t>。</w:t>
      </w:r>
    </w:p>
    <w:p w14:paraId="4E425338">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（6）发包人无正当理由没有在约定期限内发出复工指示，导致承包人无法复工的违约责任：</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43FAD8FD">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（7）其他：</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4D2B8474">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16.1.3 因发包人违约解除合同</w:t>
      </w:r>
    </w:p>
    <w:p w14:paraId="0BCDC063">
      <w:pPr>
        <w:shd w:val="clear" w:color="auto" w:fill="auto"/>
        <w:autoSpaceDE w:val="0"/>
        <w:autoSpaceDN w:val="0"/>
        <w:adjustRightInd w:val="0"/>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承包人按16.1.1项〔发包人违约的情形〕约定暂停施工满</w:t>
      </w:r>
      <w:r>
        <w:rPr>
          <w:rFonts w:hint="eastAsia" w:ascii="宋体" w:hAnsi="宋体"/>
          <w:color w:val="auto"/>
          <w:kern w:val="0"/>
          <w:sz w:val="24"/>
          <w:szCs w:val="24"/>
          <w:highlight w:val="none"/>
          <w:u w:val="single"/>
        </w:rPr>
        <w:t>28</w:t>
      </w:r>
      <w:r>
        <w:rPr>
          <w:rFonts w:hint="eastAsia" w:ascii="宋体" w:hAnsi="宋体"/>
          <w:color w:val="auto"/>
          <w:kern w:val="0"/>
          <w:sz w:val="24"/>
          <w:szCs w:val="24"/>
          <w:highlight w:val="none"/>
        </w:rPr>
        <w:t>天后发包人仍不纠正其违约行为并致使合同目的不能实现的，承包人有权解除合同。</w:t>
      </w:r>
    </w:p>
    <w:p w14:paraId="2827F82F">
      <w:pPr>
        <w:shd w:val="clear" w:color="auto" w:fill="auto"/>
        <w:spacing w:line="380" w:lineRule="exact"/>
        <w:ind w:firstLine="480" w:firstLineChars="200"/>
        <w:outlineLvl w:val="0"/>
        <w:rPr>
          <w:rFonts w:hint="eastAsia" w:ascii="宋体" w:hAnsi="宋体"/>
          <w:color w:val="auto"/>
          <w:sz w:val="24"/>
          <w:szCs w:val="24"/>
          <w:highlight w:val="none"/>
        </w:rPr>
      </w:pPr>
      <w:bookmarkStart w:id="1290" w:name="_Toc28855"/>
      <w:bookmarkStart w:id="1291" w:name="_Toc2877"/>
      <w:bookmarkStart w:id="1292" w:name="_Toc7668"/>
      <w:bookmarkStart w:id="1293" w:name="_Toc5351"/>
      <w:bookmarkStart w:id="1294" w:name="_Toc8498"/>
      <w:bookmarkStart w:id="1295" w:name="_Toc27941"/>
      <w:bookmarkStart w:id="1296" w:name="_Toc7468"/>
      <w:bookmarkStart w:id="1297" w:name="_Toc29950"/>
      <w:r>
        <w:rPr>
          <w:rFonts w:hint="eastAsia" w:ascii="宋体" w:hAnsi="宋体"/>
          <w:color w:val="auto"/>
          <w:sz w:val="24"/>
          <w:szCs w:val="24"/>
          <w:highlight w:val="none"/>
        </w:rPr>
        <w:t>16.2 承包人违约</w:t>
      </w:r>
      <w:bookmarkEnd w:id="1290"/>
      <w:bookmarkEnd w:id="1291"/>
      <w:bookmarkEnd w:id="1292"/>
      <w:bookmarkEnd w:id="1293"/>
      <w:bookmarkEnd w:id="1294"/>
      <w:bookmarkEnd w:id="1295"/>
      <w:bookmarkEnd w:id="1296"/>
      <w:bookmarkEnd w:id="1297"/>
    </w:p>
    <w:p w14:paraId="1333613C">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16.2.1 承包人违约的情形</w:t>
      </w:r>
    </w:p>
    <w:p w14:paraId="3EEC8F3D">
      <w:pPr>
        <w:shd w:val="clear" w:color="auto" w:fill="auto"/>
        <w:spacing w:line="380" w:lineRule="exact"/>
        <w:ind w:firstLine="482"/>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承包人违约的其他情形：</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0BB23B66">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16.2.2承包人违约的责任</w:t>
      </w:r>
    </w:p>
    <w:p w14:paraId="17AC88CB">
      <w:pPr>
        <w:shd w:val="clear" w:color="auto" w:fill="auto"/>
        <w:spacing w:line="380" w:lineRule="exact"/>
        <w:ind w:left="1200" w:hanging="1200" w:hangingChars="500"/>
        <w:jc w:val="left"/>
        <w:rPr>
          <w:rFonts w:hint="eastAsia" w:ascii="宋体" w:hAnsi="宋体"/>
          <w:color w:val="auto"/>
          <w:kern w:val="0"/>
          <w:sz w:val="24"/>
          <w:szCs w:val="24"/>
          <w:highlight w:val="none"/>
          <w:u w:val="single"/>
        </w:rPr>
      </w:pPr>
      <w:r>
        <w:rPr>
          <w:rFonts w:hint="eastAsia" w:ascii="宋体" w:hAnsi="宋体"/>
          <w:color w:val="auto"/>
          <w:kern w:val="0"/>
          <w:sz w:val="24"/>
          <w:szCs w:val="24"/>
          <w:highlight w:val="none"/>
        </w:rPr>
        <w:t>承包人违约责任的承担方式和计算方法：</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4FEEFFE5">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16.2.3 因承包人违约解除合同</w:t>
      </w:r>
    </w:p>
    <w:p w14:paraId="03273534">
      <w:pPr>
        <w:shd w:val="clear" w:color="auto" w:fill="auto"/>
        <w:spacing w:line="380" w:lineRule="exact"/>
        <w:ind w:firstLine="482"/>
        <w:rPr>
          <w:rFonts w:hint="eastAsia" w:ascii="宋体" w:hAnsi="宋体"/>
          <w:color w:val="auto"/>
          <w:kern w:val="0"/>
          <w:sz w:val="24"/>
          <w:szCs w:val="24"/>
          <w:highlight w:val="none"/>
        </w:rPr>
      </w:pPr>
      <w:r>
        <w:rPr>
          <w:rFonts w:hint="eastAsia" w:ascii="宋体" w:hAnsi="宋体"/>
          <w:color w:val="auto"/>
          <w:kern w:val="0"/>
          <w:sz w:val="24"/>
          <w:szCs w:val="24"/>
          <w:highlight w:val="none"/>
        </w:rPr>
        <w:t>关于承包人违约解除合同的特别约定：</w:t>
      </w:r>
      <w:r>
        <w:rPr>
          <w:rFonts w:hint="eastAsia" w:ascii="宋体" w:hAnsi="宋体"/>
          <w:color w:val="auto"/>
          <w:kern w:val="0"/>
          <w:sz w:val="24"/>
          <w:szCs w:val="24"/>
          <w:highlight w:val="none"/>
          <w:u w:val="single"/>
        </w:rPr>
        <w:t xml:space="preserve">  /  </w:t>
      </w:r>
      <w:r>
        <w:rPr>
          <w:rFonts w:hint="eastAsia" w:ascii="宋体" w:hAnsi="宋体"/>
          <w:color w:val="auto"/>
          <w:kern w:val="0"/>
          <w:sz w:val="24"/>
          <w:szCs w:val="24"/>
          <w:highlight w:val="none"/>
        </w:rPr>
        <w:t>。</w:t>
      </w:r>
    </w:p>
    <w:p w14:paraId="0E1ED46A">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宋体" w:hAnsi="宋体"/>
          <w:color w:val="auto"/>
          <w:kern w:val="0"/>
          <w:sz w:val="24"/>
          <w:szCs w:val="24"/>
          <w:highlight w:val="none"/>
          <w:u w:val="single"/>
        </w:rPr>
        <w:t xml:space="preserve">  /   </w:t>
      </w:r>
      <w:r>
        <w:rPr>
          <w:rFonts w:hint="eastAsia" w:ascii="宋体" w:hAnsi="宋体"/>
          <w:color w:val="auto"/>
          <w:kern w:val="0"/>
          <w:sz w:val="24"/>
          <w:szCs w:val="24"/>
          <w:highlight w:val="none"/>
        </w:rPr>
        <w:t>。</w:t>
      </w:r>
    </w:p>
    <w:p w14:paraId="2B63AD94">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298" w:name="_Toc351203649"/>
      <w:r>
        <w:rPr>
          <w:rFonts w:hint="eastAsia" w:ascii="宋体" w:hAnsi="宋体"/>
          <w:bCs/>
          <w:color w:val="auto"/>
          <w:sz w:val="24"/>
          <w:szCs w:val="24"/>
          <w:highlight w:val="none"/>
        </w:rPr>
        <w:t>17. 不可抗力</w:t>
      </w:r>
      <w:bookmarkEnd w:id="1280"/>
      <w:bookmarkEnd w:id="1298"/>
    </w:p>
    <w:p w14:paraId="407116D7">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17.1 不可抗力的确认</w:t>
      </w:r>
    </w:p>
    <w:p w14:paraId="771CE8EF">
      <w:pPr>
        <w:shd w:val="clear" w:color="auto" w:fill="auto"/>
        <w:spacing w:line="380" w:lineRule="exact"/>
        <w:ind w:firstLine="480" w:firstLineChars="200"/>
        <w:jc w:val="left"/>
        <w:rPr>
          <w:rFonts w:hint="eastAsia" w:ascii="宋体" w:hAnsi="宋体"/>
          <w:color w:val="auto"/>
          <w:kern w:val="0"/>
          <w:sz w:val="24"/>
          <w:szCs w:val="24"/>
          <w:highlight w:val="none"/>
          <w:u w:val="single"/>
        </w:rPr>
      </w:pPr>
      <w:r>
        <w:rPr>
          <w:rFonts w:hint="eastAsia" w:ascii="宋体" w:hAnsi="宋体"/>
          <w:color w:val="auto"/>
          <w:sz w:val="24"/>
          <w:szCs w:val="24"/>
          <w:highlight w:val="none"/>
        </w:rPr>
        <w:t xml:space="preserve">除通用合同草案约定的不可抗力事件之外，视为不可抗力的其他情形： </w:t>
      </w:r>
      <w:r>
        <w:rPr>
          <w:rFonts w:hint="eastAsia" w:ascii="宋体" w:hAnsi="宋体"/>
          <w:color w:val="auto"/>
          <w:kern w:val="0"/>
          <w:sz w:val="24"/>
          <w:szCs w:val="24"/>
          <w:highlight w:val="none"/>
          <w:u w:val="single"/>
        </w:rPr>
        <w:t>/</w:t>
      </w:r>
      <w:r>
        <w:rPr>
          <w:rFonts w:hint="eastAsia" w:ascii="宋体" w:hAnsi="宋体"/>
          <w:color w:val="auto"/>
          <w:kern w:val="0"/>
          <w:sz w:val="24"/>
          <w:szCs w:val="24"/>
          <w:highlight w:val="none"/>
        </w:rPr>
        <w:t>。</w:t>
      </w:r>
    </w:p>
    <w:p w14:paraId="169557D2">
      <w:pPr>
        <w:shd w:val="clear" w:color="auto" w:fill="auto"/>
        <w:spacing w:line="380" w:lineRule="exact"/>
        <w:ind w:firstLine="480" w:firstLineChars="200"/>
        <w:outlineLvl w:val="0"/>
        <w:rPr>
          <w:rFonts w:hint="eastAsia" w:ascii="宋体" w:hAnsi="宋体"/>
          <w:color w:val="auto"/>
          <w:sz w:val="24"/>
          <w:szCs w:val="24"/>
          <w:highlight w:val="none"/>
        </w:rPr>
      </w:pPr>
      <w:bookmarkStart w:id="1299" w:name="_Toc288"/>
      <w:bookmarkStart w:id="1300" w:name="_Toc23644"/>
      <w:bookmarkStart w:id="1301" w:name="_Toc5649"/>
      <w:bookmarkStart w:id="1302" w:name="_Toc6858"/>
      <w:bookmarkStart w:id="1303" w:name="_Toc13103"/>
      <w:bookmarkStart w:id="1304" w:name="_Toc12511"/>
      <w:bookmarkStart w:id="1305" w:name="_Toc29722"/>
      <w:bookmarkStart w:id="1306" w:name="_Toc17361"/>
      <w:r>
        <w:rPr>
          <w:rFonts w:hint="eastAsia" w:ascii="宋体" w:hAnsi="宋体"/>
          <w:color w:val="auto"/>
          <w:sz w:val="24"/>
          <w:szCs w:val="24"/>
          <w:highlight w:val="none"/>
        </w:rPr>
        <w:t>17.4 因不可抗力解除合同</w:t>
      </w:r>
      <w:bookmarkEnd w:id="1299"/>
      <w:bookmarkEnd w:id="1300"/>
      <w:bookmarkEnd w:id="1301"/>
      <w:bookmarkEnd w:id="1302"/>
      <w:bookmarkEnd w:id="1303"/>
      <w:bookmarkEnd w:id="1304"/>
      <w:bookmarkEnd w:id="1305"/>
      <w:bookmarkEnd w:id="1306"/>
    </w:p>
    <w:p w14:paraId="3E46D969">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合同解除后，发包人应在商定或确定发包人应支付款项后</w:t>
      </w:r>
      <w:r>
        <w:rPr>
          <w:rFonts w:hint="eastAsia" w:ascii="宋体" w:hAnsi="宋体"/>
          <w:color w:val="auto"/>
          <w:sz w:val="24"/>
          <w:szCs w:val="24"/>
          <w:highlight w:val="none"/>
          <w:u w:val="single"/>
        </w:rPr>
        <w:t>28</w:t>
      </w:r>
      <w:r>
        <w:rPr>
          <w:rFonts w:hint="eastAsia" w:ascii="宋体" w:hAnsi="宋体"/>
          <w:color w:val="auto"/>
          <w:sz w:val="24"/>
          <w:szCs w:val="24"/>
          <w:highlight w:val="none"/>
        </w:rPr>
        <w:t>天内完成款项的支付。</w:t>
      </w:r>
    </w:p>
    <w:p w14:paraId="053F5340">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307" w:name="_Toc351203650"/>
      <w:r>
        <w:rPr>
          <w:rFonts w:hint="eastAsia" w:ascii="宋体" w:hAnsi="宋体"/>
          <w:bCs/>
          <w:color w:val="auto"/>
          <w:sz w:val="24"/>
          <w:szCs w:val="24"/>
          <w:highlight w:val="none"/>
        </w:rPr>
        <w:t>18. 保险</w:t>
      </w:r>
      <w:bookmarkEnd w:id="1307"/>
    </w:p>
    <w:bookmarkEnd w:id="1281"/>
    <w:p w14:paraId="0697A6BF">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18.1 工程保险</w:t>
      </w:r>
    </w:p>
    <w:p w14:paraId="5F8F94E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关于工程保险的特别约定：</w:t>
      </w:r>
      <w:r>
        <w:rPr>
          <w:rFonts w:hint="eastAsia" w:ascii="宋体" w:hAnsi="宋体"/>
          <w:color w:val="auto"/>
          <w:sz w:val="24"/>
          <w:szCs w:val="24"/>
          <w:highlight w:val="none"/>
          <w:u w:val="single"/>
          <w:lang w:val="zh-TW" w:eastAsia="zh-TW"/>
        </w:rPr>
        <w:t>承包人投保，保险费及其他费用已包含在投标报价中</w:t>
      </w:r>
      <w:r>
        <w:rPr>
          <w:rFonts w:hint="eastAsia" w:ascii="宋体" w:hAnsi="宋体"/>
          <w:color w:val="auto"/>
          <w:kern w:val="0"/>
          <w:sz w:val="24"/>
          <w:szCs w:val="24"/>
          <w:highlight w:val="none"/>
        </w:rPr>
        <w:t>。</w:t>
      </w:r>
    </w:p>
    <w:p w14:paraId="15845F39">
      <w:pPr>
        <w:shd w:val="clear" w:color="auto" w:fill="auto"/>
        <w:spacing w:line="380" w:lineRule="exact"/>
        <w:ind w:firstLine="480" w:firstLineChars="200"/>
        <w:outlineLvl w:val="0"/>
        <w:rPr>
          <w:rFonts w:hint="eastAsia" w:ascii="宋体" w:hAnsi="宋体"/>
          <w:color w:val="auto"/>
          <w:sz w:val="24"/>
          <w:szCs w:val="24"/>
          <w:highlight w:val="none"/>
        </w:rPr>
      </w:pPr>
      <w:bookmarkStart w:id="1308" w:name="_Toc2094"/>
      <w:bookmarkStart w:id="1309" w:name="_Toc2890"/>
      <w:bookmarkStart w:id="1310" w:name="_Toc15675"/>
      <w:bookmarkStart w:id="1311" w:name="_Toc22289"/>
      <w:bookmarkStart w:id="1312" w:name="_Toc12707"/>
      <w:bookmarkStart w:id="1313" w:name="_Toc18019"/>
      <w:bookmarkStart w:id="1314" w:name="_Toc15738"/>
      <w:bookmarkStart w:id="1315" w:name="_Toc17245"/>
      <w:r>
        <w:rPr>
          <w:rFonts w:hint="eastAsia" w:ascii="宋体" w:hAnsi="宋体"/>
          <w:color w:val="auto"/>
          <w:sz w:val="24"/>
          <w:szCs w:val="24"/>
          <w:highlight w:val="none"/>
        </w:rPr>
        <w:t>18.3 其他保险</w:t>
      </w:r>
      <w:bookmarkEnd w:id="1308"/>
      <w:bookmarkEnd w:id="1309"/>
      <w:bookmarkEnd w:id="1310"/>
      <w:bookmarkEnd w:id="1311"/>
      <w:bookmarkEnd w:id="1312"/>
      <w:bookmarkEnd w:id="1313"/>
      <w:bookmarkEnd w:id="1314"/>
      <w:bookmarkEnd w:id="1315"/>
    </w:p>
    <w:p w14:paraId="67C7BFE4">
      <w:pPr>
        <w:shd w:val="clear" w:color="auto" w:fill="auto"/>
        <w:spacing w:line="380" w:lineRule="exact"/>
        <w:ind w:firstLine="480" w:firstLineChars="200"/>
        <w:jc w:val="left"/>
        <w:rPr>
          <w:rFonts w:hint="eastAsia" w:ascii="宋体" w:hAnsi="宋体"/>
          <w:color w:val="auto"/>
          <w:kern w:val="0"/>
          <w:sz w:val="24"/>
          <w:szCs w:val="24"/>
          <w:highlight w:val="none"/>
        </w:rPr>
      </w:pPr>
      <w:r>
        <w:rPr>
          <w:rFonts w:hint="eastAsia" w:ascii="宋体" w:hAnsi="宋体"/>
          <w:color w:val="auto"/>
          <w:sz w:val="24"/>
          <w:szCs w:val="24"/>
          <w:highlight w:val="none"/>
        </w:rPr>
        <w:t>关于其他保险的约定：</w:t>
      </w:r>
      <w:r>
        <w:rPr>
          <w:rFonts w:hint="eastAsia" w:ascii="宋体" w:hAnsi="宋体"/>
          <w:color w:val="auto"/>
          <w:sz w:val="24"/>
          <w:szCs w:val="24"/>
          <w:highlight w:val="none"/>
          <w:u w:val="single"/>
          <w:lang w:val="zh-TW" w:eastAsia="zh-TW"/>
        </w:rPr>
        <w:t>承包人负责其员工及为履行合同聘请的第三方的人员办理意外伤害保险并支付费用</w:t>
      </w:r>
      <w:r>
        <w:rPr>
          <w:rFonts w:hint="eastAsia" w:ascii="宋体" w:hAnsi="宋体"/>
          <w:color w:val="auto"/>
          <w:kern w:val="0"/>
          <w:sz w:val="24"/>
          <w:szCs w:val="24"/>
          <w:highlight w:val="none"/>
        </w:rPr>
        <w:t>。</w:t>
      </w:r>
    </w:p>
    <w:p w14:paraId="0DB440C5">
      <w:pPr>
        <w:shd w:val="clear" w:color="auto" w:fill="auto"/>
        <w:spacing w:line="380" w:lineRule="exact"/>
        <w:ind w:firstLine="482"/>
        <w:jc w:val="left"/>
        <w:rPr>
          <w:rFonts w:hint="eastAsia" w:ascii="宋体" w:hAnsi="宋体"/>
          <w:color w:val="auto"/>
          <w:kern w:val="0"/>
          <w:sz w:val="24"/>
          <w:szCs w:val="24"/>
          <w:highlight w:val="none"/>
        </w:rPr>
      </w:pPr>
      <w:r>
        <w:rPr>
          <w:rFonts w:hint="eastAsia" w:ascii="宋体" w:hAnsi="宋体"/>
          <w:color w:val="auto"/>
          <w:sz w:val="24"/>
          <w:szCs w:val="24"/>
          <w:highlight w:val="none"/>
        </w:rPr>
        <w:t>承包人是否应为其施工设备等办理财产保险：</w:t>
      </w:r>
      <w:r>
        <w:rPr>
          <w:rFonts w:hint="eastAsia" w:ascii="宋体" w:hAnsi="宋体"/>
          <w:color w:val="auto"/>
          <w:sz w:val="24"/>
          <w:szCs w:val="24"/>
          <w:highlight w:val="none"/>
          <w:u w:val="single"/>
          <w:lang w:val="zh-TW" w:eastAsia="zh-TW"/>
        </w:rPr>
        <w:t>是</w:t>
      </w:r>
      <w:r>
        <w:rPr>
          <w:rFonts w:hint="eastAsia" w:ascii="宋体" w:hAnsi="宋体"/>
          <w:color w:val="auto"/>
          <w:sz w:val="24"/>
          <w:szCs w:val="24"/>
          <w:highlight w:val="none"/>
        </w:rPr>
        <w:t>。</w:t>
      </w:r>
    </w:p>
    <w:p w14:paraId="5859F4AA">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18.7 通知义务</w:t>
      </w:r>
    </w:p>
    <w:p w14:paraId="794C84E7">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kern w:val="0"/>
          <w:sz w:val="24"/>
          <w:szCs w:val="24"/>
          <w:highlight w:val="none"/>
        </w:rPr>
        <w:t>关于变更保险合同时的通知义务的约定：</w:t>
      </w:r>
      <w:r>
        <w:rPr>
          <w:rFonts w:hint="eastAsia" w:ascii="宋体" w:hAnsi="宋体"/>
          <w:color w:val="auto"/>
          <w:sz w:val="24"/>
          <w:szCs w:val="24"/>
          <w:highlight w:val="none"/>
          <w:u w:val="single"/>
          <w:lang w:val="zh-TW" w:eastAsia="zh-TW"/>
        </w:rPr>
        <w:t>按通用条款执行</w:t>
      </w:r>
      <w:r>
        <w:rPr>
          <w:rFonts w:hint="eastAsia" w:ascii="宋体" w:hAnsi="宋体"/>
          <w:color w:val="auto"/>
          <w:sz w:val="24"/>
          <w:szCs w:val="24"/>
          <w:highlight w:val="none"/>
        </w:rPr>
        <w:t>。</w:t>
      </w:r>
    </w:p>
    <w:bookmarkEnd w:id="1225"/>
    <w:bookmarkEnd w:id="1226"/>
    <w:bookmarkEnd w:id="1227"/>
    <w:bookmarkEnd w:id="1228"/>
    <w:bookmarkEnd w:id="1229"/>
    <w:bookmarkEnd w:id="1230"/>
    <w:bookmarkEnd w:id="1231"/>
    <w:bookmarkEnd w:id="1232"/>
    <w:bookmarkEnd w:id="1233"/>
    <w:bookmarkEnd w:id="1234"/>
    <w:bookmarkEnd w:id="1235"/>
    <w:bookmarkEnd w:id="1236"/>
    <w:p w14:paraId="019505A8">
      <w:pPr>
        <w:keepNext/>
        <w:keepLines/>
        <w:shd w:val="clear" w:color="auto" w:fill="auto"/>
        <w:spacing w:line="380" w:lineRule="exact"/>
        <w:ind w:firstLine="482"/>
        <w:outlineLvl w:val="3"/>
        <w:rPr>
          <w:rFonts w:hint="eastAsia" w:ascii="宋体" w:hAnsi="宋体"/>
          <w:bCs/>
          <w:color w:val="auto"/>
          <w:sz w:val="24"/>
          <w:szCs w:val="24"/>
          <w:highlight w:val="none"/>
        </w:rPr>
      </w:pPr>
      <w:bookmarkStart w:id="1316" w:name="_Toc351203651"/>
      <w:r>
        <w:rPr>
          <w:rFonts w:hint="eastAsia" w:ascii="宋体" w:hAnsi="宋体"/>
          <w:bCs/>
          <w:color w:val="auto"/>
          <w:sz w:val="24"/>
          <w:szCs w:val="24"/>
          <w:highlight w:val="none"/>
        </w:rPr>
        <w:t>20. 争议解决</w:t>
      </w:r>
      <w:bookmarkEnd w:id="1316"/>
    </w:p>
    <w:bookmarkEnd w:id="1237"/>
    <w:bookmarkEnd w:id="1238"/>
    <w:p w14:paraId="27AF2556">
      <w:pPr>
        <w:shd w:val="clear" w:color="auto" w:fill="auto"/>
        <w:spacing w:line="380" w:lineRule="exact"/>
        <w:ind w:firstLine="480" w:firstLineChars="200"/>
        <w:outlineLvl w:val="0"/>
        <w:rPr>
          <w:rFonts w:hint="eastAsia" w:ascii="宋体" w:hAnsi="宋体"/>
          <w:color w:val="auto"/>
          <w:sz w:val="24"/>
          <w:szCs w:val="24"/>
          <w:highlight w:val="none"/>
        </w:rPr>
      </w:pPr>
      <w:bookmarkStart w:id="1317" w:name="_Toc18955"/>
      <w:bookmarkStart w:id="1318" w:name="_Toc26064"/>
      <w:bookmarkStart w:id="1319" w:name="_Toc12806"/>
      <w:bookmarkStart w:id="1320" w:name="_Toc11284"/>
      <w:bookmarkStart w:id="1321" w:name="_Toc2528"/>
      <w:bookmarkStart w:id="1322" w:name="_Toc30132"/>
      <w:bookmarkStart w:id="1323" w:name="_Toc10322"/>
      <w:bookmarkStart w:id="1324" w:name="_Toc734"/>
      <w:r>
        <w:rPr>
          <w:rFonts w:hint="eastAsia" w:ascii="宋体" w:hAnsi="宋体"/>
          <w:color w:val="auto"/>
          <w:sz w:val="24"/>
          <w:szCs w:val="24"/>
          <w:highlight w:val="none"/>
        </w:rPr>
        <w:t>20.3 争</w:t>
      </w:r>
      <w:bookmarkEnd w:id="1239"/>
      <w:r>
        <w:rPr>
          <w:rFonts w:hint="eastAsia" w:ascii="宋体" w:hAnsi="宋体"/>
          <w:color w:val="auto"/>
          <w:sz w:val="24"/>
          <w:szCs w:val="24"/>
          <w:highlight w:val="none"/>
        </w:rPr>
        <w:t>议评审</w:t>
      </w:r>
      <w:bookmarkEnd w:id="1317"/>
      <w:bookmarkEnd w:id="1318"/>
      <w:bookmarkEnd w:id="1319"/>
      <w:bookmarkEnd w:id="1320"/>
      <w:bookmarkEnd w:id="1321"/>
      <w:bookmarkEnd w:id="1322"/>
      <w:bookmarkEnd w:id="1323"/>
      <w:bookmarkEnd w:id="1324"/>
    </w:p>
    <w:p w14:paraId="23212ABB">
      <w:pPr>
        <w:shd w:val="clear" w:color="auto" w:fill="auto"/>
        <w:spacing w:line="380" w:lineRule="exact"/>
        <w:ind w:firstLine="482"/>
        <w:jc w:val="left"/>
        <w:rPr>
          <w:rFonts w:hint="eastAsia" w:ascii="宋体" w:hAnsi="宋体"/>
          <w:color w:val="auto"/>
          <w:sz w:val="24"/>
          <w:szCs w:val="24"/>
          <w:highlight w:val="none"/>
        </w:rPr>
      </w:pPr>
      <w:r>
        <w:rPr>
          <w:rFonts w:hint="eastAsia" w:ascii="宋体" w:hAnsi="宋体"/>
          <w:color w:val="auto"/>
          <w:sz w:val="24"/>
          <w:szCs w:val="24"/>
          <w:highlight w:val="none"/>
        </w:rPr>
        <w:t>合同当事人是否同意将工程争议提交争议评审小组决定：</w:t>
      </w:r>
      <w:r>
        <w:rPr>
          <w:rFonts w:hint="eastAsia" w:ascii="宋体" w:hAnsi="宋体"/>
          <w:color w:val="auto"/>
          <w:sz w:val="24"/>
          <w:szCs w:val="24"/>
          <w:highlight w:val="none"/>
          <w:u w:val="single"/>
        </w:rPr>
        <w:t xml:space="preserve">     /         </w:t>
      </w:r>
      <w:r>
        <w:rPr>
          <w:rFonts w:hint="eastAsia" w:ascii="宋体" w:hAnsi="宋体"/>
          <w:color w:val="auto"/>
          <w:sz w:val="24"/>
          <w:szCs w:val="24"/>
          <w:highlight w:val="none"/>
        </w:rPr>
        <w:t xml:space="preserve">。  </w:t>
      </w:r>
    </w:p>
    <w:p w14:paraId="45BA67FC">
      <w:pPr>
        <w:shd w:val="clear" w:color="auto" w:fill="auto"/>
        <w:spacing w:line="380" w:lineRule="exact"/>
        <w:ind w:firstLine="480" w:firstLineChars="200"/>
        <w:jc w:val="left"/>
        <w:outlineLvl w:val="0"/>
        <w:rPr>
          <w:rFonts w:hint="eastAsia" w:ascii="宋体" w:hAnsi="宋体"/>
          <w:color w:val="auto"/>
          <w:sz w:val="24"/>
          <w:szCs w:val="24"/>
          <w:highlight w:val="none"/>
        </w:rPr>
      </w:pPr>
      <w:bookmarkStart w:id="1325" w:name="_Toc30551"/>
      <w:bookmarkStart w:id="1326" w:name="_Toc21197"/>
      <w:bookmarkStart w:id="1327" w:name="_Toc5873"/>
      <w:bookmarkStart w:id="1328" w:name="_Toc13149"/>
      <w:bookmarkStart w:id="1329" w:name="_Toc3412"/>
      <w:bookmarkStart w:id="1330" w:name="_Toc24250"/>
      <w:bookmarkStart w:id="1331" w:name="_Toc14604"/>
      <w:bookmarkStart w:id="1332" w:name="_Toc4797"/>
      <w:r>
        <w:rPr>
          <w:rFonts w:hint="eastAsia" w:ascii="宋体" w:hAnsi="宋体"/>
          <w:color w:val="auto"/>
          <w:sz w:val="24"/>
          <w:szCs w:val="24"/>
          <w:highlight w:val="none"/>
        </w:rPr>
        <w:t>20.3.1 争议评审小组的确定</w:t>
      </w:r>
      <w:bookmarkEnd w:id="1325"/>
      <w:bookmarkEnd w:id="1326"/>
      <w:bookmarkEnd w:id="1327"/>
      <w:bookmarkEnd w:id="1328"/>
      <w:bookmarkEnd w:id="1329"/>
      <w:bookmarkEnd w:id="1330"/>
      <w:bookmarkEnd w:id="1331"/>
      <w:bookmarkEnd w:id="1332"/>
    </w:p>
    <w:p w14:paraId="4386F8E8">
      <w:pPr>
        <w:shd w:val="clear" w:color="auto" w:fill="auto"/>
        <w:spacing w:line="380" w:lineRule="exact"/>
        <w:ind w:firstLine="480" w:firstLineChars="200"/>
        <w:jc w:val="left"/>
        <w:rPr>
          <w:rFonts w:hint="eastAsia" w:ascii="宋体" w:hAnsi="宋体"/>
          <w:color w:val="auto"/>
          <w:sz w:val="24"/>
          <w:szCs w:val="24"/>
          <w:highlight w:val="none"/>
          <w:u w:val="single"/>
        </w:rPr>
      </w:pPr>
      <w:r>
        <w:rPr>
          <w:rFonts w:hint="eastAsia" w:ascii="宋体" w:hAnsi="宋体"/>
          <w:color w:val="auto"/>
          <w:sz w:val="24"/>
          <w:szCs w:val="24"/>
          <w:highlight w:val="none"/>
        </w:rPr>
        <w:t>争议评审小组成员的确定：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5C6E53B0">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选定争议评审员的期限：</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634FC9F1">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争议评审小组成员的报酬承担方式：</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w:t>
      </w:r>
    </w:p>
    <w:p w14:paraId="42EF2A9F">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其他事项的约定：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1DAD0B9C">
      <w:pPr>
        <w:shd w:val="clear" w:color="auto" w:fill="auto"/>
        <w:autoSpaceDE w:val="0"/>
        <w:autoSpaceDN w:val="0"/>
        <w:adjustRightInd w:val="0"/>
        <w:spacing w:line="380" w:lineRule="exact"/>
        <w:ind w:firstLine="480" w:firstLineChars="200"/>
        <w:jc w:val="left"/>
        <w:outlineLvl w:val="0"/>
        <w:rPr>
          <w:rFonts w:hint="eastAsia" w:ascii="宋体" w:hAnsi="宋体"/>
          <w:color w:val="auto"/>
          <w:kern w:val="0"/>
          <w:sz w:val="24"/>
          <w:szCs w:val="24"/>
          <w:highlight w:val="none"/>
        </w:rPr>
      </w:pPr>
      <w:bookmarkStart w:id="1333" w:name="_Toc7152"/>
      <w:bookmarkStart w:id="1334" w:name="_Toc14038"/>
      <w:bookmarkStart w:id="1335" w:name="_Toc13982"/>
      <w:bookmarkStart w:id="1336" w:name="_Toc17117"/>
      <w:bookmarkStart w:id="1337" w:name="_Toc14020"/>
      <w:bookmarkStart w:id="1338" w:name="_Toc11779"/>
      <w:bookmarkStart w:id="1339" w:name="_Toc31498"/>
      <w:bookmarkStart w:id="1340" w:name="_Toc27411"/>
      <w:r>
        <w:rPr>
          <w:rFonts w:hint="eastAsia" w:ascii="宋体" w:hAnsi="宋体"/>
          <w:color w:val="auto"/>
          <w:kern w:val="0"/>
          <w:sz w:val="24"/>
          <w:szCs w:val="24"/>
          <w:highlight w:val="none"/>
        </w:rPr>
        <w:t>20.3.2 争议评审小组的决定</w:t>
      </w:r>
      <w:bookmarkEnd w:id="1333"/>
      <w:bookmarkEnd w:id="1334"/>
      <w:bookmarkEnd w:id="1335"/>
      <w:bookmarkEnd w:id="1336"/>
      <w:bookmarkEnd w:id="1337"/>
      <w:bookmarkEnd w:id="1338"/>
      <w:bookmarkEnd w:id="1339"/>
      <w:bookmarkEnd w:id="1340"/>
    </w:p>
    <w:p w14:paraId="2040819A">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合同当事人关于本项的约定：</w:t>
      </w:r>
      <w:r>
        <w:rPr>
          <w:rFonts w:hint="eastAsia" w:ascii="宋体" w:hAnsi="宋体"/>
          <w:color w:val="auto"/>
          <w:sz w:val="24"/>
          <w:szCs w:val="24"/>
          <w:highlight w:val="none"/>
          <w:u w:val="single"/>
        </w:rPr>
        <w:t>/</w:t>
      </w:r>
      <w:r>
        <w:rPr>
          <w:rFonts w:hint="eastAsia" w:ascii="宋体" w:hAnsi="宋体"/>
          <w:color w:val="auto"/>
          <w:sz w:val="24"/>
          <w:szCs w:val="24"/>
          <w:highlight w:val="none"/>
        </w:rPr>
        <w:t>。</w:t>
      </w:r>
    </w:p>
    <w:p w14:paraId="623616F6">
      <w:pPr>
        <w:shd w:val="clear" w:color="auto" w:fill="auto"/>
        <w:spacing w:line="380" w:lineRule="exact"/>
        <w:ind w:firstLine="480" w:firstLineChars="200"/>
        <w:outlineLvl w:val="0"/>
        <w:rPr>
          <w:rFonts w:hint="eastAsia" w:ascii="宋体" w:hAnsi="宋体"/>
          <w:color w:val="auto"/>
          <w:sz w:val="24"/>
          <w:szCs w:val="24"/>
          <w:highlight w:val="none"/>
        </w:rPr>
      </w:pPr>
      <w:bookmarkStart w:id="1341" w:name="_Toc11441"/>
      <w:bookmarkStart w:id="1342" w:name="_Toc20013"/>
      <w:bookmarkStart w:id="1343" w:name="_Toc15108"/>
      <w:bookmarkStart w:id="1344" w:name="_Toc20728"/>
      <w:bookmarkStart w:id="1345" w:name="_Toc16335"/>
      <w:bookmarkStart w:id="1346" w:name="_Toc19006"/>
      <w:bookmarkStart w:id="1347" w:name="_Toc13460"/>
      <w:bookmarkStart w:id="1348" w:name="_Toc5500"/>
      <w:r>
        <w:rPr>
          <w:rFonts w:hint="eastAsia" w:ascii="宋体" w:hAnsi="宋体"/>
          <w:color w:val="auto"/>
          <w:sz w:val="24"/>
          <w:szCs w:val="24"/>
          <w:highlight w:val="none"/>
        </w:rPr>
        <w:t>20.4仲裁或诉讼</w:t>
      </w:r>
      <w:bookmarkEnd w:id="1240"/>
      <w:bookmarkEnd w:id="1341"/>
      <w:bookmarkEnd w:id="1342"/>
      <w:bookmarkEnd w:id="1343"/>
      <w:bookmarkEnd w:id="1344"/>
      <w:bookmarkEnd w:id="1345"/>
      <w:bookmarkEnd w:id="1346"/>
      <w:bookmarkEnd w:id="1347"/>
      <w:bookmarkEnd w:id="1348"/>
    </w:p>
    <w:p w14:paraId="7DED9537">
      <w:pPr>
        <w:shd w:val="clear" w:color="auto" w:fill="auto"/>
        <w:spacing w:line="380" w:lineRule="exact"/>
        <w:ind w:firstLine="480" w:firstLineChars="200"/>
        <w:rPr>
          <w:rFonts w:hint="eastAsia" w:ascii="宋体" w:hAnsi="宋体"/>
          <w:color w:val="auto"/>
          <w:sz w:val="24"/>
          <w:szCs w:val="24"/>
          <w:highlight w:val="none"/>
        </w:rPr>
      </w:pPr>
      <w:r>
        <w:rPr>
          <w:rFonts w:hint="eastAsia" w:ascii="宋体" w:hAnsi="宋体"/>
          <w:color w:val="auto"/>
          <w:sz w:val="24"/>
          <w:szCs w:val="24"/>
          <w:highlight w:val="none"/>
        </w:rPr>
        <w:t>因合同及合同有关事项发生的争议，按下列第</w:t>
      </w:r>
      <w:r>
        <w:rPr>
          <w:rFonts w:hint="eastAsia" w:ascii="宋体" w:hAnsi="宋体"/>
          <w:color w:val="auto"/>
          <w:sz w:val="24"/>
          <w:szCs w:val="24"/>
          <w:highlight w:val="none"/>
          <w:u w:val="single"/>
        </w:rPr>
        <w:t>2</w:t>
      </w:r>
      <w:r>
        <w:rPr>
          <w:rFonts w:hint="eastAsia" w:ascii="宋体" w:hAnsi="宋体"/>
          <w:color w:val="auto"/>
          <w:sz w:val="24"/>
          <w:szCs w:val="24"/>
          <w:highlight w:val="none"/>
        </w:rPr>
        <w:t>种方式解决：</w:t>
      </w:r>
    </w:p>
    <w:p w14:paraId="31C062A6">
      <w:pPr>
        <w:shd w:val="clear" w:color="auto" w:fill="auto"/>
        <w:spacing w:line="380" w:lineRule="exact"/>
        <w:ind w:firstLine="480" w:firstLineChars="200"/>
        <w:jc w:val="left"/>
        <w:rPr>
          <w:rFonts w:hint="eastAsia" w:ascii="宋体" w:hAnsi="宋体"/>
          <w:color w:val="auto"/>
          <w:sz w:val="24"/>
          <w:szCs w:val="24"/>
          <w:highlight w:val="none"/>
        </w:rPr>
      </w:pPr>
      <w:r>
        <w:rPr>
          <w:rFonts w:hint="eastAsia" w:ascii="宋体" w:hAnsi="宋体"/>
          <w:color w:val="auto"/>
          <w:sz w:val="24"/>
          <w:szCs w:val="24"/>
          <w:highlight w:val="none"/>
        </w:rPr>
        <w:t>（1）向</w:t>
      </w:r>
      <w:r>
        <w:rPr>
          <w:rFonts w:hint="eastAsia" w:ascii="宋体" w:hAnsi="宋体"/>
          <w:color w:val="auto"/>
          <w:sz w:val="24"/>
          <w:szCs w:val="24"/>
          <w:highlight w:val="none"/>
          <w:u w:val="single"/>
        </w:rPr>
        <w:t>三门峡</w:t>
      </w:r>
      <w:r>
        <w:rPr>
          <w:rFonts w:hint="eastAsia" w:ascii="宋体" w:hAnsi="宋体"/>
          <w:color w:val="auto"/>
          <w:sz w:val="24"/>
          <w:szCs w:val="24"/>
          <w:highlight w:val="none"/>
        </w:rPr>
        <w:t>仲裁委员会申请仲裁；</w:t>
      </w:r>
    </w:p>
    <w:p w14:paraId="06711BE5">
      <w:pPr>
        <w:shd w:val="clear" w:color="auto" w:fill="auto"/>
        <w:spacing w:line="380" w:lineRule="exact"/>
        <w:ind w:firstLine="480" w:firstLineChars="200"/>
        <w:rPr>
          <w:rFonts w:hint="eastAsia" w:ascii="宋体" w:hAnsi="宋体" w:cs="宋体"/>
          <w:bCs/>
          <w:color w:val="auto"/>
          <w:sz w:val="24"/>
          <w:szCs w:val="24"/>
          <w:highlight w:val="none"/>
        </w:rPr>
      </w:pPr>
      <w:r>
        <w:rPr>
          <w:rFonts w:hint="eastAsia" w:ascii="宋体" w:hAnsi="宋体"/>
          <w:color w:val="auto"/>
          <w:sz w:val="24"/>
          <w:szCs w:val="24"/>
          <w:highlight w:val="none"/>
        </w:rPr>
        <w:t>（2）向</w:t>
      </w:r>
      <w:r>
        <w:rPr>
          <w:rFonts w:hint="eastAsia" w:ascii="宋体" w:hAnsi="宋体"/>
          <w:color w:val="auto"/>
          <w:sz w:val="24"/>
          <w:szCs w:val="24"/>
          <w:highlight w:val="none"/>
          <w:u w:val="single"/>
        </w:rPr>
        <w:t xml:space="preserve">项目所在地       </w:t>
      </w:r>
      <w:r>
        <w:rPr>
          <w:rFonts w:hint="eastAsia" w:ascii="宋体" w:hAnsi="宋体"/>
          <w:color w:val="auto"/>
          <w:sz w:val="24"/>
          <w:szCs w:val="24"/>
          <w:highlight w:val="none"/>
        </w:rPr>
        <w:t>人民法院起诉。</w:t>
      </w:r>
      <w:bookmarkEnd w:id="1241"/>
      <w:bookmarkEnd w:id="1242"/>
      <w:bookmarkEnd w:id="1243"/>
      <w:bookmarkEnd w:id="1244"/>
      <w:bookmarkEnd w:id="1245"/>
      <w:bookmarkEnd w:id="1246"/>
    </w:p>
    <w:p w14:paraId="5DC6BB76">
      <w:pPr>
        <w:shd w:val="clear" w:color="auto" w:fill="auto"/>
        <w:spacing w:before="100" w:beforeAutospacing="1" w:after="100" w:afterAutospacing="1" w:line="500" w:lineRule="exact"/>
        <w:ind w:left="7913" w:leftChars="60" w:hanging="7787" w:hangingChars="2424"/>
        <w:jc w:val="center"/>
        <w:outlineLvl w:val="0"/>
        <w:rPr>
          <w:rFonts w:ascii="宋体" w:hAnsi="宋体" w:cs="宋体"/>
          <w:b/>
          <w:bCs/>
          <w:kern w:val="0"/>
          <w:sz w:val="32"/>
          <w:szCs w:val="32"/>
          <w:highlight w:val="none"/>
        </w:rPr>
      </w:pPr>
      <w:r>
        <w:rPr>
          <w:rFonts w:hint="eastAsia" w:ascii="宋体" w:hAnsi="宋体" w:cs="宋体"/>
          <w:b/>
          <w:bCs/>
          <w:kern w:val="0"/>
          <w:sz w:val="32"/>
          <w:szCs w:val="32"/>
          <w:highlight w:val="none"/>
        </w:rPr>
        <w:br w:type="page"/>
      </w:r>
      <w:bookmarkStart w:id="1349" w:name="_Toc24974"/>
      <w:r>
        <w:rPr>
          <w:rFonts w:hint="eastAsia" w:ascii="宋体" w:hAnsi="宋体" w:cs="宋体"/>
          <w:b/>
          <w:bCs/>
          <w:kern w:val="0"/>
          <w:sz w:val="32"/>
          <w:szCs w:val="32"/>
          <w:highlight w:val="none"/>
        </w:rPr>
        <w:t>第五章  工程量清单及图纸（另附）</w:t>
      </w:r>
      <w:bookmarkEnd w:id="1349"/>
    </w:p>
    <w:p w14:paraId="48D3C4F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宋体" w:hAnsi="宋体" w:cs="宋体"/>
          <w:sz w:val="24"/>
          <w:szCs w:val="24"/>
        </w:rPr>
      </w:pPr>
      <w:bookmarkStart w:id="1350" w:name="_Toc179632804"/>
      <w:bookmarkStart w:id="1351" w:name="_Toc152042574"/>
      <w:bookmarkStart w:id="1352" w:name="_Toc144974854"/>
      <w:bookmarkStart w:id="1353" w:name="_Toc6878"/>
      <w:bookmarkStart w:id="1354" w:name="_Toc152045785"/>
      <w:bookmarkStart w:id="1355" w:name="_Toc246997096"/>
      <w:bookmarkStart w:id="1356" w:name="_Toc247085870"/>
      <w:bookmarkStart w:id="1357" w:name="_Toc77586966"/>
      <w:bookmarkStart w:id="1358" w:name="_Toc296602599"/>
      <w:bookmarkStart w:id="1359" w:name="_Toc246996353"/>
    </w:p>
    <w:p w14:paraId="10AEA634">
      <w:pPr>
        <w:shd w:val="clear" w:color="auto" w:fill="auto"/>
        <w:spacing w:before="100" w:beforeAutospacing="1" w:after="100" w:afterAutospacing="1" w:line="600" w:lineRule="exact"/>
        <w:jc w:val="center"/>
        <w:outlineLvl w:val="0"/>
        <w:rPr>
          <w:rFonts w:hint="eastAsia" w:ascii="宋体" w:hAnsi="宋体" w:eastAsia="宋体" w:cs="宋体"/>
          <w:b/>
          <w:bCs/>
          <w:kern w:val="0"/>
          <w:sz w:val="32"/>
          <w:szCs w:val="32"/>
          <w:highlight w:val="none"/>
          <w:lang w:val="en-US" w:eastAsia="zh-CN"/>
        </w:rPr>
      </w:pPr>
      <w:r>
        <w:rPr>
          <w:rFonts w:hint="eastAsia" w:ascii="宋体" w:hAnsi="宋体" w:cs="宋体"/>
          <w:b/>
          <w:bCs/>
          <w:kern w:val="0"/>
          <w:sz w:val="32"/>
          <w:szCs w:val="32"/>
          <w:highlight w:val="none"/>
          <w:lang w:val="en-US" w:eastAsia="zh-CN"/>
        </w:rPr>
        <w:t>另附</w:t>
      </w:r>
    </w:p>
    <w:bookmarkEnd w:id="1350"/>
    <w:bookmarkEnd w:id="1351"/>
    <w:bookmarkEnd w:id="1352"/>
    <w:bookmarkEnd w:id="1353"/>
    <w:bookmarkEnd w:id="1354"/>
    <w:bookmarkEnd w:id="1355"/>
    <w:bookmarkEnd w:id="1356"/>
    <w:bookmarkEnd w:id="1357"/>
    <w:bookmarkEnd w:id="1358"/>
    <w:bookmarkEnd w:id="1359"/>
    <w:p w14:paraId="1238EC1A">
      <w:pPr>
        <w:numPr>
          <w:ilvl w:val="0"/>
          <w:numId w:val="5"/>
        </w:numPr>
        <w:shd w:val="clear" w:color="auto" w:fill="auto"/>
        <w:jc w:val="center"/>
        <w:outlineLvl w:val="0"/>
        <w:rPr>
          <w:rFonts w:hint="eastAsia" w:ascii="宋体" w:hAnsi="宋体"/>
          <w:b/>
          <w:bCs/>
          <w:sz w:val="32"/>
          <w:szCs w:val="32"/>
          <w:highlight w:val="none"/>
        </w:rPr>
      </w:pPr>
      <w:bookmarkStart w:id="1360" w:name="_Toc508179891"/>
      <w:bookmarkStart w:id="1361" w:name="_Toc16520680"/>
      <w:bookmarkStart w:id="1362" w:name="_Toc16520168"/>
      <w:r>
        <w:rPr>
          <w:rFonts w:hint="eastAsia" w:ascii="宋体" w:hAnsi="宋体"/>
          <w:b/>
          <w:bCs/>
          <w:sz w:val="32"/>
          <w:szCs w:val="32"/>
          <w:highlight w:val="none"/>
        </w:rPr>
        <w:br w:type="page"/>
      </w:r>
      <w:bookmarkStart w:id="1363" w:name="_Toc17494"/>
      <w:r>
        <w:rPr>
          <w:rFonts w:hint="eastAsia" w:ascii="宋体" w:hAnsi="宋体"/>
          <w:b/>
          <w:bCs/>
          <w:sz w:val="32"/>
          <w:szCs w:val="32"/>
          <w:highlight w:val="none"/>
        </w:rPr>
        <w:t>响应性文件部分格式</w:t>
      </w:r>
      <w:bookmarkEnd w:id="1363"/>
    </w:p>
    <w:p w14:paraId="18BEE7EA">
      <w:pPr>
        <w:numPr>
          <w:ilvl w:val="0"/>
          <w:numId w:val="0"/>
        </w:numPr>
        <w:shd w:val="clear" w:color="auto" w:fill="auto"/>
        <w:ind w:firstLine="643" w:firstLineChars="200"/>
        <w:jc w:val="both"/>
        <w:outlineLvl w:val="0"/>
        <w:rPr>
          <w:rFonts w:hint="eastAsia" w:ascii="宋体" w:hAnsi="宋体"/>
          <w:b/>
          <w:bCs/>
          <w:sz w:val="32"/>
          <w:szCs w:val="32"/>
          <w:highlight w:val="none"/>
        </w:rPr>
      </w:pPr>
    </w:p>
    <w:bookmarkEnd w:id="1360"/>
    <w:bookmarkEnd w:id="1361"/>
    <w:bookmarkEnd w:id="1362"/>
    <w:p w14:paraId="5588C9B6">
      <w:pPr>
        <w:numPr>
          <w:ilvl w:val="0"/>
          <w:numId w:val="0"/>
        </w:numPr>
        <w:shd w:val="clear" w:color="auto" w:fill="auto"/>
        <w:ind w:firstLine="643" w:firstLineChars="200"/>
        <w:jc w:val="both"/>
        <w:outlineLvl w:val="0"/>
        <w:rPr>
          <w:rFonts w:hint="eastAsia" w:ascii="宋体" w:hAnsi="宋体"/>
          <w:b/>
          <w:bCs/>
          <w:sz w:val="32"/>
          <w:szCs w:val="32"/>
          <w:highlight w:val="none"/>
        </w:rPr>
      </w:pPr>
    </w:p>
    <w:p w14:paraId="4405056F">
      <w:pPr>
        <w:shd w:val="clear" w:color="auto" w:fill="auto"/>
        <w:ind w:firstLine="480"/>
        <w:jc w:val="center"/>
        <w:rPr>
          <w:rFonts w:hint="eastAsia" w:ascii="宋体" w:hAnsi="宋体" w:cs="宋体"/>
          <w:b/>
          <w:color w:val="auto"/>
          <w:sz w:val="24"/>
          <w:szCs w:val="24"/>
          <w:highlight w:val="none"/>
        </w:rPr>
      </w:pPr>
      <w:r>
        <w:rPr>
          <w:rFonts w:hint="eastAsia" w:ascii="宋体" w:hAnsi="宋体" w:cs="宋体"/>
          <w:b/>
          <w:color w:val="auto"/>
          <w:sz w:val="24"/>
          <w:szCs w:val="24"/>
          <w:highlight w:val="none"/>
        </w:rPr>
        <w:t>（此格式仅供参考）</w:t>
      </w:r>
    </w:p>
    <w:p w14:paraId="74FD925E">
      <w:pPr>
        <w:shd w:val="clear" w:color="auto" w:fill="auto"/>
        <w:spacing w:line="400" w:lineRule="exact"/>
        <w:ind w:firstLine="482"/>
        <w:rPr>
          <w:rFonts w:hint="eastAsia" w:ascii="宋体" w:hAnsi="宋体" w:cs="宋体"/>
          <w:color w:val="auto"/>
          <w:highlight w:val="none"/>
        </w:rPr>
      </w:pPr>
    </w:p>
    <w:p w14:paraId="086B4A0A">
      <w:pPr>
        <w:shd w:val="clear" w:color="auto" w:fill="auto"/>
        <w:ind w:firstLine="600"/>
        <w:jc w:val="center"/>
        <w:rPr>
          <w:rFonts w:hint="eastAsia" w:ascii="宋体" w:hAnsi="宋体" w:cs="宋体"/>
          <w:b/>
          <w:bCs/>
          <w:color w:val="auto"/>
          <w:sz w:val="44"/>
          <w:szCs w:val="36"/>
          <w:highlight w:val="none"/>
        </w:rPr>
      </w:pPr>
      <w:bookmarkStart w:id="1364" w:name="_Toc246997098"/>
      <w:bookmarkStart w:id="1365" w:name="_Toc296602601"/>
      <w:bookmarkStart w:id="1366" w:name="_Toc247085873"/>
      <w:bookmarkStart w:id="1367" w:name="_Toc152042576"/>
      <w:bookmarkStart w:id="1368" w:name="_Toc246996355"/>
      <w:bookmarkStart w:id="1369" w:name="_Toc144974856"/>
      <w:bookmarkStart w:id="1370" w:name="_Toc152045787"/>
      <w:bookmarkStart w:id="1371" w:name="_Toc179632807"/>
      <w:r>
        <w:rPr>
          <w:rFonts w:hint="eastAsia" w:ascii="宋体" w:hAnsi="宋体" w:cs="宋体"/>
          <w:b/>
          <w:color w:val="auto"/>
          <w:sz w:val="30"/>
          <w:szCs w:val="30"/>
          <w:highlight w:val="none"/>
        </w:rPr>
        <w:t>（项目名称）</w:t>
      </w:r>
    </w:p>
    <w:p w14:paraId="44D775BE">
      <w:pPr>
        <w:pStyle w:val="10"/>
        <w:shd w:val="clear" w:color="auto" w:fill="auto"/>
        <w:ind w:firstLine="562"/>
        <w:rPr>
          <w:rFonts w:hint="eastAsia" w:ascii="宋体" w:hAnsi="宋体" w:eastAsia="宋体" w:cs="宋体"/>
          <w:color w:val="auto"/>
          <w:highlight w:val="none"/>
        </w:rPr>
      </w:pPr>
    </w:p>
    <w:p w14:paraId="07104C69">
      <w:pPr>
        <w:shd w:val="clear" w:color="auto" w:fill="auto"/>
        <w:ind w:firstLine="1440"/>
        <w:jc w:val="center"/>
        <w:rPr>
          <w:rFonts w:hint="eastAsia" w:ascii="宋体" w:hAnsi="宋体" w:cs="宋体"/>
          <w:b/>
          <w:bCs/>
          <w:color w:val="auto"/>
          <w:sz w:val="72"/>
          <w:szCs w:val="72"/>
          <w:highlight w:val="none"/>
        </w:rPr>
      </w:pPr>
      <w:r>
        <w:rPr>
          <w:rFonts w:hint="eastAsia" w:ascii="宋体" w:hAnsi="宋体" w:cs="宋体"/>
          <w:b/>
          <w:bCs/>
          <w:color w:val="auto"/>
          <w:sz w:val="72"/>
          <w:szCs w:val="72"/>
          <w:highlight w:val="none"/>
        </w:rPr>
        <w:t>响 应 文 件</w:t>
      </w:r>
    </w:p>
    <w:p w14:paraId="129CE027">
      <w:pPr>
        <w:shd w:val="clear" w:color="auto" w:fill="auto"/>
        <w:ind w:firstLine="640"/>
        <w:jc w:val="center"/>
        <w:rPr>
          <w:rFonts w:hint="eastAsia" w:ascii="宋体" w:hAnsi="宋体" w:cs="宋体"/>
          <w:b/>
          <w:color w:val="auto"/>
          <w:sz w:val="32"/>
          <w:szCs w:val="32"/>
          <w:highlight w:val="none"/>
        </w:rPr>
      </w:pPr>
    </w:p>
    <w:p w14:paraId="2CFE34BF">
      <w:pPr>
        <w:shd w:val="clear" w:color="auto" w:fill="auto"/>
        <w:spacing w:line="700" w:lineRule="exact"/>
        <w:ind w:left="3534" w:hanging="3534" w:hangingChars="110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 xml:space="preserve">项目编号：     </w:t>
      </w:r>
    </w:p>
    <w:p w14:paraId="3DD0CCCB">
      <w:pPr>
        <w:pStyle w:val="2"/>
        <w:shd w:val="clear" w:color="auto" w:fill="auto"/>
        <w:ind w:firstLine="600"/>
        <w:rPr>
          <w:rFonts w:hint="eastAsia"/>
          <w:color w:val="auto"/>
          <w:highlight w:val="none"/>
        </w:rPr>
      </w:pPr>
    </w:p>
    <w:p w14:paraId="1458F96E">
      <w:pPr>
        <w:shd w:val="clear" w:color="auto" w:fill="auto"/>
        <w:spacing w:line="700" w:lineRule="exact"/>
        <w:ind w:left="3534" w:hanging="3534" w:hangingChars="1100"/>
        <w:rPr>
          <w:rFonts w:ascii="宋体" w:hAnsi="宋体" w:cs="宋体"/>
          <w:b/>
          <w:color w:val="auto"/>
          <w:sz w:val="32"/>
          <w:szCs w:val="32"/>
          <w:highlight w:val="none"/>
        </w:rPr>
      </w:pPr>
    </w:p>
    <w:p w14:paraId="7440569F">
      <w:pPr>
        <w:shd w:val="clear" w:color="auto" w:fill="auto"/>
        <w:spacing w:line="700" w:lineRule="exact"/>
        <w:ind w:firstLine="640"/>
        <w:jc w:val="left"/>
        <w:rPr>
          <w:rFonts w:hint="eastAsia" w:ascii="宋体" w:hAnsi="宋体" w:cs="宋体"/>
          <w:b/>
          <w:color w:val="auto"/>
          <w:sz w:val="32"/>
          <w:szCs w:val="32"/>
          <w:highlight w:val="none"/>
        </w:rPr>
      </w:pPr>
    </w:p>
    <w:p w14:paraId="584A47A6">
      <w:pPr>
        <w:shd w:val="clear" w:color="auto" w:fill="auto"/>
        <w:spacing w:line="700" w:lineRule="exact"/>
        <w:ind w:firstLine="640"/>
        <w:jc w:val="left"/>
        <w:rPr>
          <w:rFonts w:hint="eastAsia" w:ascii="宋体" w:hAnsi="宋体" w:cs="宋体"/>
          <w:b/>
          <w:bCs/>
          <w:color w:val="auto"/>
          <w:sz w:val="32"/>
          <w:szCs w:val="32"/>
          <w:highlight w:val="none"/>
        </w:rPr>
      </w:pPr>
    </w:p>
    <w:p w14:paraId="0375A5B2">
      <w:pPr>
        <w:shd w:val="clear" w:color="auto" w:fill="auto"/>
        <w:ind w:firstLine="640"/>
        <w:jc w:val="left"/>
        <w:rPr>
          <w:rFonts w:hint="eastAsia" w:ascii="宋体" w:hAnsi="宋体" w:cs="宋体"/>
          <w:b/>
          <w:color w:val="auto"/>
          <w:sz w:val="32"/>
          <w:szCs w:val="32"/>
          <w:highlight w:val="none"/>
        </w:rPr>
      </w:pPr>
    </w:p>
    <w:p w14:paraId="03747569">
      <w:pPr>
        <w:widowControl/>
        <w:shd w:val="clear" w:color="auto" w:fill="auto"/>
        <w:adjustRightInd w:val="0"/>
        <w:spacing w:line="360" w:lineRule="auto"/>
        <w:ind w:firstLine="482"/>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供应商：（电子签章）</w:t>
      </w:r>
    </w:p>
    <w:p w14:paraId="55EF3B0C">
      <w:pPr>
        <w:widowControl/>
        <w:shd w:val="clear" w:color="auto" w:fill="auto"/>
        <w:adjustRightInd w:val="0"/>
        <w:spacing w:line="360" w:lineRule="auto"/>
        <w:ind w:firstLine="482"/>
        <w:jc w:val="center"/>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法定代表人或其委托代理人：（电子签章）</w:t>
      </w:r>
    </w:p>
    <w:p w14:paraId="4FF161BD">
      <w:pPr>
        <w:widowControl/>
        <w:shd w:val="clear" w:color="auto" w:fill="auto"/>
        <w:adjustRightInd w:val="0"/>
        <w:spacing w:line="360" w:lineRule="auto"/>
        <w:ind w:firstLine="482"/>
        <w:jc w:val="center"/>
        <w:rPr>
          <w:rFonts w:hint="eastAsia" w:ascii="宋体" w:hAnsi="宋体" w:cs="宋体"/>
          <w:color w:val="auto"/>
          <w:kern w:val="0"/>
          <w:sz w:val="22"/>
          <w:szCs w:val="22"/>
          <w:highlight w:val="none"/>
        </w:rPr>
      </w:pPr>
      <w:r>
        <w:rPr>
          <w:rFonts w:hint="eastAsia" w:ascii="宋体" w:hAnsi="宋体" w:cs="宋体"/>
          <w:color w:val="auto"/>
          <w:kern w:val="0"/>
          <w:sz w:val="24"/>
          <w:szCs w:val="24"/>
          <w:highlight w:val="none"/>
        </w:rPr>
        <w:t>日期：  年  月  日</w:t>
      </w:r>
    </w:p>
    <w:p w14:paraId="26803656">
      <w:pPr>
        <w:shd w:val="clear" w:color="auto" w:fill="auto"/>
        <w:ind w:firstLine="643"/>
        <w:jc w:val="left"/>
        <w:rPr>
          <w:rFonts w:hint="eastAsia" w:ascii="宋体" w:hAnsi="宋体" w:cs="宋体"/>
          <w:color w:val="auto"/>
          <w:sz w:val="32"/>
          <w:szCs w:val="32"/>
          <w:highlight w:val="none"/>
        </w:rPr>
      </w:pPr>
    </w:p>
    <w:p w14:paraId="0588D770">
      <w:pPr>
        <w:shd w:val="clear" w:color="auto" w:fill="auto"/>
        <w:ind w:firstLine="883"/>
        <w:jc w:val="center"/>
        <w:rPr>
          <w:rFonts w:hint="eastAsia" w:ascii="宋体" w:hAnsi="宋体" w:cs="宋体"/>
          <w:color w:val="auto"/>
          <w:sz w:val="44"/>
          <w:szCs w:val="44"/>
          <w:highlight w:val="none"/>
        </w:rPr>
      </w:pPr>
    </w:p>
    <w:p w14:paraId="363DDFC9">
      <w:pPr>
        <w:shd w:val="clear" w:color="auto" w:fill="auto"/>
        <w:jc w:val="center"/>
        <w:rPr>
          <w:rFonts w:hint="eastAsia"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目   录</w:t>
      </w:r>
      <w:bookmarkEnd w:id="1364"/>
      <w:bookmarkEnd w:id="1365"/>
      <w:bookmarkEnd w:id="1366"/>
      <w:bookmarkEnd w:id="1367"/>
      <w:bookmarkEnd w:id="1368"/>
      <w:bookmarkEnd w:id="1369"/>
      <w:bookmarkEnd w:id="1370"/>
      <w:bookmarkEnd w:id="1371"/>
    </w:p>
    <w:p w14:paraId="20F9A0C0">
      <w:pPr>
        <w:shd w:val="clear" w:color="auto" w:fill="auto"/>
        <w:spacing w:line="540" w:lineRule="exact"/>
        <w:ind w:firstLine="482"/>
        <w:jc w:val="center"/>
        <w:rPr>
          <w:rFonts w:hint="eastAsia" w:ascii="宋体" w:hAnsi="宋体" w:cs="宋体"/>
          <w:color w:val="auto"/>
          <w:highlight w:val="none"/>
        </w:rPr>
      </w:pPr>
    </w:p>
    <w:p w14:paraId="2C6AC91D">
      <w:pPr>
        <w:shd w:val="clear" w:color="auto" w:fill="auto"/>
        <w:spacing w:line="540" w:lineRule="exact"/>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格式自拟</w:t>
      </w:r>
    </w:p>
    <w:p w14:paraId="5BB047EE">
      <w:pPr>
        <w:shd w:val="clear" w:color="auto" w:fill="auto"/>
        <w:spacing w:line="540" w:lineRule="exact"/>
        <w:ind w:firstLine="402"/>
        <w:rPr>
          <w:rFonts w:hint="eastAsia" w:ascii="宋体" w:hAnsi="宋体" w:cs="宋体"/>
          <w:color w:val="auto"/>
          <w:sz w:val="20"/>
          <w:szCs w:val="20"/>
          <w:highlight w:val="none"/>
        </w:rPr>
      </w:pPr>
    </w:p>
    <w:p w14:paraId="2774DBC7">
      <w:pPr>
        <w:shd w:val="clear" w:color="auto" w:fill="auto"/>
        <w:spacing w:line="540" w:lineRule="exact"/>
        <w:ind w:firstLine="402"/>
        <w:rPr>
          <w:rFonts w:hint="eastAsia" w:ascii="宋体" w:hAnsi="宋体" w:cs="宋体"/>
          <w:color w:val="auto"/>
          <w:sz w:val="20"/>
          <w:szCs w:val="20"/>
          <w:highlight w:val="none"/>
        </w:rPr>
      </w:pPr>
    </w:p>
    <w:p w14:paraId="2999548B">
      <w:pPr>
        <w:shd w:val="clear" w:color="auto" w:fill="auto"/>
        <w:spacing w:line="540" w:lineRule="exact"/>
        <w:ind w:firstLine="402"/>
        <w:rPr>
          <w:rFonts w:hint="eastAsia" w:ascii="宋体" w:hAnsi="宋体" w:cs="宋体"/>
          <w:color w:val="auto"/>
          <w:sz w:val="20"/>
          <w:szCs w:val="20"/>
          <w:highlight w:val="none"/>
        </w:rPr>
      </w:pPr>
    </w:p>
    <w:p w14:paraId="075967D4">
      <w:pPr>
        <w:pStyle w:val="3"/>
        <w:shd w:val="clear" w:color="auto" w:fill="auto"/>
        <w:ind w:firstLine="643"/>
        <w:jc w:val="center"/>
        <w:rPr>
          <w:rFonts w:hint="eastAsia" w:ascii="宋体" w:hAnsi="宋体" w:cs="宋体"/>
          <w:color w:val="auto"/>
          <w:highlight w:val="none"/>
        </w:rPr>
      </w:pPr>
      <w:r>
        <w:rPr>
          <w:rFonts w:hint="eastAsia" w:ascii="宋体" w:hAnsi="宋体" w:cs="宋体"/>
          <w:b w:val="0"/>
          <w:bCs w:val="0"/>
          <w:color w:val="auto"/>
          <w:highlight w:val="none"/>
        </w:rPr>
        <w:br w:type="page"/>
      </w:r>
      <w:bookmarkStart w:id="1372" w:name="_Toc246996357"/>
      <w:bookmarkStart w:id="1373" w:name="_Toc296602603"/>
      <w:bookmarkStart w:id="1374" w:name="_Toc246997100"/>
      <w:bookmarkStart w:id="1375" w:name="_Toc77586968"/>
      <w:bookmarkStart w:id="1376" w:name="_Toc152045789"/>
      <w:bookmarkStart w:id="1377" w:name="_Toc26756"/>
      <w:bookmarkStart w:id="1378" w:name="_Toc77586870"/>
      <w:bookmarkStart w:id="1379" w:name="_Toc179632809"/>
      <w:bookmarkStart w:id="1380" w:name="_Toc144974858"/>
      <w:bookmarkStart w:id="1381" w:name="_Toc247085875"/>
      <w:bookmarkStart w:id="1382" w:name="_Toc152042578"/>
      <w:bookmarkStart w:id="1383" w:name="_Toc10619"/>
      <w:r>
        <w:rPr>
          <w:rFonts w:hint="eastAsia" w:ascii="宋体" w:hAnsi="宋体" w:cs="宋体"/>
          <w:color w:val="auto"/>
          <w:highlight w:val="none"/>
        </w:rPr>
        <w:t>一、磋商响应函</w:t>
      </w:r>
      <w:bookmarkEnd w:id="1372"/>
      <w:bookmarkEnd w:id="1373"/>
      <w:bookmarkEnd w:id="1374"/>
      <w:bookmarkEnd w:id="1375"/>
      <w:bookmarkEnd w:id="1376"/>
      <w:bookmarkEnd w:id="1377"/>
      <w:bookmarkEnd w:id="1378"/>
      <w:bookmarkEnd w:id="1379"/>
      <w:bookmarkEnd w:id="1380"/>
      <w:bookmarkEnd w:id="1381"/>
      <w:bookmarkEnd w:id="1382"/>
      <w:bookmarkEnd w:id="1383"/>
    </w:p>
    <w:p w14:paraId="3469AC97">
      <w:pPr>
        <w:widowControl/>
        <w:shd w:val="clear" w:color="auto" w:fill="auto"/>
        <w:adjustRightInd w:val="0"/>
        <w:spacing w:line="400" w:lineRule="exact"/>
        <w:ind w:firstLine="48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致：</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采购人</w:t>
      </w:r>
      <w:r>
        <w:rPr>
          <w:rFonts w:hint="eastAsia" w:ascii="宋体" w:hAnsi="宋体" w:cs="宋体"/>
          <w:color w:val="auto"/>
          <w:kern w:val="0"/>
          <w:sz w:val="24"/>
          <w:szCs w:val="24"/>
          <w:highlight w:val="none"/>
          <w:u w:val="single"/>
        </w:rPr>
        <w:t>名称）</w:t>
      </w:r>
    </w:p>
    <w:p w14:paraId="02A7897C">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1．根据你方招标工程项目编号为</w:t>
      </w:r>
      <w:r>
        <w:rPr>
          <w:rFonts w:hint="eastAsia" w:ascii="宋体" w:hAnsi="宋体" w:cs="宋体"/>
          <w:color w:val="auto"/>
          <w:kern w:val="0"/>
          <w:sz w:val="24"/>
          <w:szCs w:val="24"/>
          <w:highlight w:val="none"/>
          <w:u w:val="single"/>
        </w:rPr>
        <w:t xml:space="preserve">   （项目编号）</w:t>
      </w:r>
      <w:r>
        <w:rPr>
          <w:rFonts w:hint="eastAsia" w:ascii="宋体" w:hAnsi="宋体" w:cs="宋体"/>
          <w:color w:val="auto"/>
          <w:kern w:val="0"/>
          <w:sz w:val="24"/>
          <w:szCs w:val="24"/>
          <w:highlight w:val="none"/>
        </w:rPr>
        <w:t>的</w:t>
      </w:r>
      <w:r>
        <w:rPr>
          <w:rFonts w:hint="eastAsia" w:ascii="宋体" w:hAnsi="宋体" w:cs="宋体"/>
          <w:color w:val="auto"/>
          <w:kern w:val="0"/>
          <w:sz w:val="24"/>
          <w:szCs w:val="24"/>
          <w:highlight w:val="none"/>
          <w:u w:val="single"/>
        </w:rPr>
        <w:t xml:space="preserve">   （工程项目名称）</w:t>
      </w:r>
      <w:r>
        <w:rPr>
          <w:rFonts w:hint="eastAsia" w:ascii="宋体" w:hAnsi="宋体" w:cs="宋体"/>
          <w:color w:val="auto"/>
          <w:kern w:val="0"/>
          <w:sz w:val="24"/>
          <w:szCs w:val="24"/>
          <w:highlight w:val="none"/>
        </w:rPr>
        <w:t>竞争性磋商文件，遵照竞争性磋商文件的投标须知、合同条款、工程建设标准及其他有关文件后，我方愿以磋商总报价人民币（小写）：</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元、(大写)：</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的报价，工期</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rPr>
        <w:t>日历天，并按上述竞争性磋商文件及相关资料的条件要求承包上述工程的实施，并承担任何质量缺陷保修责任，工程质量达到</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w:t>
      </w:r>
    </w:p>
    <w:p w14:paraId="45BC073C">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2．我方已详细审核全部竞争性磋商文件，包括修改文件（如有时）及有关附件，已充分理解并掌握了本工程磋商的全部有关情况，同意接受竞争性磋商文件的全部内容和条件。</w:t>
      </w:r>
    </w:p>
    <w:p w14:paraId="1BF91D20">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3．我方承诺在磋商有效期</w:t>
      </w:r>
      <w:r>
        <w:rPr>
          <w:rFonts w:hint="eastAsia" w:ascii="宋体" w:hAnsi="宋体" w:cs="宋体"/>
          <w:color w:val="auto"/>
          <w:kern w:val="0"/>
          <w:sz w:val="24"/>
          <w:szCs w:val="24"/>
          <w:highlight w:val="none"/>
          <w:u w:val="single"/>
        </w:rPr>
        <w:t xml:space="preserve"> </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日历天（从响应文件递交截止时间起）内不修改、撤销响应文件。</w:t>
      </w:r>
    </w:p>
    <w:p w14:paraId="7B327F39">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4．除非另达成协议并生效，你方的成交通知书和本磋商响应文件将成为约束双方的合同文件的组成部分。</w:t>
      </w:r>
    </w:p>
    <w:p w14:paraId="3D515A26">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5．如我方成交确定为成交人：</w:t>
      </w:r>
    </w:p>
    <w:p w14:paraId="37C6206F">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（1）我方承诺在收到成交通知书后，在成交通知书规定的期限内与你方签订合同。</w:t>
      </w:r>
    </w:p>
    <w:p w14:paraId="277B2DA2">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（2）随同本磋商响应函递交的磋商响应函附录属于合同文件的组成部分。</w:t>
      </w:r>
    </w:p>
    <w:p w14:paraId="779BCFB4">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（3）我方承诺按照磋商文件规定向你方递交履约担保，并按照磋商文件“合同条款及格式”规定的权利义务履行合同。</w:t>
      </w:r>
    </w:p>
    <w:p w14:paraId="414104D9">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（4）我方承诺响应竞争性磋商文件要求，严格按照竞争性磋商文件中“技术标准和要求”的规定进行施工、满足招标人进度要求并按时移交全部合同工程。</w:t>
      </w:r>
    </w:p>
    <w:p w14:paraId="720D2B46">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6．我方在此声明，所递交的响应文件及有关资料内容完整、真实和准确。</w:t>
      </w:r>
    </w:p>
    <w:p w14:paraId="49057AAC">
      <w:pPr>
        <w:widowControl/>
        <w:shd w:val="clear" w:color="auto" w:fill="auto"/>
        <w:adjustRightInd w:val="0"/>
        <w:spacing w:line="400" w:lineRule="exact"/>
        <w:ind w:firstLine="628" w:firstLineChars="26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7．</w:t>
      </w:r>
      <w:r>
        <w:rPr>
          <w:rFonts w:hint="eastAsia" w:ascii="宋体" w:hAnsi="宋体" w:cs="宋体"/>
          <w:color w:val="auto"/>
          <w:kern w:val="0"/>
          <w:sz w:val="24"/>
          <w:szCs w:val="24"/>
          <w:highlight w:val="none"/>
          <w:u w:val="single"/>
          <w:lang w:val="en-US" w:eastAsia="zh-CN"/>
        </w:rPr>
        <w:t xml:space="preserve">                       </w:t>
      </w:r>
      <w:r>
        <w:rPr>
          <w:rFonts w:hint="eastAsia" w:ascii="宋体" w:hAnsi="宋体" w:cs="宋体"/>
          <w:color w:val="auto"/>
          <w:kern w:val="0"/>
          <w:sz w:val="24"/>
          <w:szCs w:val="24"/>
          <w:highlight w:val="none"/>
        </w:rPr>
        <w:t>（其他补充说明）。</w:t>
      </w:r>
    </w:p>
    <w:p w14:paraId="79B09C35">
      <w:pPr>
        <w:widowControl/>
        <w:shd w:val="clear" w:color="auto" w:fill="auto"/>
        <w:adjustRightInd w:val="0"/>
        <w:spacing w:line="400" w:lineRule="exact"/>
        <w:ind w:firstLine="628" w:firstLineChars="26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供应商：（电子签章）</w:t>
      </w:r>
    </w:p>
    <w:p w14:paraId="635064BB">
      <w:pPr>
        <w:widowControl/>
        <w:shd w:val="clear" w:color="auto" w:fill="auto"/>
        <w:adjustRightInd w:val="0"/>
        <w:spacing w:line="400" w:lineRule="exact"/>
        <w:ind w:firstLine="628" w:firstLineChars="26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法定代表人或其委托代理人：（电子签章）</w:t>
      </w:r>
    </w:p>
    <w:p w14:paraId="7AD3B668">
      <w:pPr>
        <w:widowControl/>
        <w:shd w:val="clear" w:color="auto" w:fill="auto"/>
        <w:adjustRightInd w:val="0"/>
        <w:spacing w:line="400" w:lineRule="exact"/>
        <w:ind w:firstLine="628" w:firstLineChars="26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地址：</w:t>
      </w:r>
    </w:p>
    <w:p w14:paraId="6F973B4A">
      <w:pPr>
        <w:widowControl/>
        <w:shd w:val="clear" w:color="auto" w:fill="auto"/>
        <w:adjustRightInd w:val="0"/>
        <w:spacing w:line="400" w:lineRule="exact"/>
        <w:ind w:firstLine="628" w:firstLineChars="262"/>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联系电话：（填写能联系到的电话号码，方便通知二次报价</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制作文件时可删除描述</w:t>
      </w:r>
      <w:r>
        <w:rPr>
          <w:rFonts w:hint="eastAsia" w:ascii="宋体" w:hAnsi="宋体" w:eastAsia="宋体" w:cs="宋体"/>
          <w:color w:val="auto"/>
          <w:kern w:val="0"/>
          <w:sz w:val="24"/>
          <w:szCs w:val="24"/>
          <w:highlight w:val="none"/>
        </w:rPr>
        <w:t>）</w:t>
      </w:r>
    </w:p>
    <w:p w14:paraId="5E49120B">
      <w:pPr>
        <w:widowControl/>
        <w:shd w:val="clear" w:color="auto" w:fill="auto"/>
        <w:adjustRightInd w:val="0"/>
        <w:spacing w:line="400" w:lineRule="exact"/>
        <w:ind w:firstLine="628" w:firstLineChars="262"/>
        <w:jc w:val="left"/>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邮箱：（必填项，制作文件时可删除描述）</w:t>
      </w:r>
    </w:p>
    <w:p w14:paraId="04E1584F">
      <w:pPr>
        <w:widowControl/>
        <w:shd w:val="clear" w:color="auto" w:fill="auto"/>
        <w:adjustRightInd w:val="0"/>
        <w:spacing w:line="360" w:lineRule="auto"/>
        <w:ind w:firstLine="789" w:firstLineChars="329"/>
        <w:jc w:val="center"/>
        <w:rPr>
          <w:rFonts w:hint="eastAsia" w:ascii="宋体" w:hAnsi="宋体" w:cs="宋体"/>
          <w:color w:val="auto"/>
          <w:highlight w:val="none"/>
        </w:rPr>
      </w:pPr>
      <w:r>
        <w:rPr>
          <w:rFonts w:hint="eastAsia" w:ascii="宋体" w:hAnsi="宋体" w:cs="宋体"/>
          <w:color w:val="auto"/>
          <w:kern w:val="0"/>
          <w:sz w:val="24"/>
          <w:szCs w:val="24"/>
          <w:highlight w:val="none"/>
        </w:rPr>
        <w:t>日期：  年  月  日</w:t>
      </w:r>
      <w:r>
        <w:rPr>
          <w:rFonts w:hint="eastAsia" w:ascii="宋体" w:hAnsi="宋体" w:cs="宋体"/>
          <w:b/>
          <w:bCs/>
          <w:color w:val="auto"/>
          <w:sz w:val="22"/>
          <w:szCs w:val="22"/>
          <w:highlight w:val="none"/>
        </w:rPr>
        <w:br w:type="page"/>
      </w:r>
      <w:bookmarkStart w:id="1384" w:name="_Toc30373"/>
      <w:bookmarkStart w:id="1385" w:name="_Toc77586871"/>
      <w:bookmarkStart w:id="1386" w:name="_Toc77586969"/>
      <w:r>
        <w:rPr>
          <w:rFonts w:hint="eastAsia" w:ascii="宋体" w:hAnsi="宋体" w:eastAsia="宋体" w:cs="宋体"/>
          <w:b/>
          <w:bCs/>
          <w:color w:val="auto"/>
          <w:kern w:val="0"/>
          <w:sz w:val="32"/>
          <w:szCs w:val="32"/>
          <w:highlight w:val="none"/>
          <w:lang w:val="en-US" w:eastAsia="zh-CN" w:bidi="ar-SA"/>
        </w:rPr>
        <w:t>二、首次报价一览表</w:t>
      </w:r>
      <w:bookmarkEnd w:id="1384"/>
      <w:bookmarkEnd w:id="1385"/>
      <w:bookmarkEnd w:id="1386"/>
    </w:p>
    <w:tbl>
      <w:tblPr>
        <w:tblStyle w:val="12"/>
        <w:tblpPr w:leftFromText="181" w:rightFromText="181" w:vertAnchor="text" w:horzAnchor="margin" w:tblpXSpec="center" w:tblpY="128"/>
        <w:tblOverlap w:val="never"/>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5"/>
        <w:gridCol w:w="1360"/>
        <w:gridCol w:w="1361"/>
        <w:gridCol w:w="1361"/>
        <w:gridCol w:w="1361"/>
        <w:gridCol w:w="1361"/>
      </w:tblGrid>
      <w:tr w14:paraId="5E45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8" w:hRule="exact"/>
        </w:trPr>
        <w:tc>
          <w:tcPr>
            <w:tcW w:w="1595" w:type="dxa"/>
            <w:tcBorders>
              <w:top w:val="single" w:color="auto" w:sz="4" w:space="0"/>
              <w:left w:val="single" w:color="auto" w:sz="4" w:space="0"/>
              <w:bottom w:val="single" w:color="auto" w:sz="4" w:space="0"/>
              <w:right w:val="single" w:color="auto" w:sz="4" w:space="0"/>
            </w:tcBorders>
            <w:noWrap w:val="0"/>
            <w:vAlign w:val="center"/>
          </w:tcPr>
          <w:p w14:paraId="4C38B613">
            <w:pPr>
              <w:shd w:val="clear" w:color="auto" w:fill="auto"/>
              <w:spacing w:line="0" w:lineRule="atLeas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项目名称</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01B34B23">
            <w:pPr>
              <w:shd w:val="clear" w:color="auto" w:fill="auto"/>
              <w:spacing w:line="0" w:lineRule="atLeast"/>
              <w:rPr>
                <w:rFonts w:hint="eastAsia" w:ascii="宋体" w:hAnsi="宋体" w:cs="宋体"/>
                <w:color w:val="auto"/>
                <w:sz w:val="24"/>
                <w:szCs w:val="24"/>
                <w:highlight w:val="none"/>
              </w:rPr>
            </w:pPr>
          </w:p>
        </w:tc>
      </w:tr>
      <w:tr w14:paraId="3FB7A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exact"/>
        </w:trPr>
        <w:tc>
          <w:tcPr>
            <w:tcW w:w="1595" w:type="dxa"/>
            <w:tcBorders>
              <w:top w:val="single" w:color="auto" w:sz="4" w:space="0"/>
              <w:left w:val="single" w:color="auto" w:sz="4" w:space="0"/>
              <w:bottom w:val="single" w:color="auto" w:sz="4" w:space="0"/>
              <w:right w:val="single" w:color="auto" w:sz="4" w:space="0"/>
            </w:tcBorders>
            <w:noWrap w:val="0"/>
            <w:vAlign w:val="center"/>
          </w:tcPr>
          <w:p w14:paraId="61A7377E">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投标人名称</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61FD1A21">
            <w:pPr>
              <w:shd w:val="clear" w:color="auto" w:fill="auto"/>
              <w:spacing w:line="0" w:lineRule="atLeast"/>
              <w:rPr>
                <w:rFonts w:hint="eastAsia" w:ascii="宋体" w:hAnsi="宋体" w:cs="宋体"/>
                <w:color w:val="auto"/>
                <w:sz w:val="24"/>
                <w:szCs w:val="24"/>
                <w:highlight w:val="none"/>
              </w:rPr>
            </w:pPr>
          </w:p>
        </w:tc>
      </w:tr>
      <w:tr w14:paraId="7ADA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exact"/>
        </w:trPr>
        <w:tc>
          <w:tcPr>
            <w:tcW w:w="1595" w:type="dxa"/>
            <w:tcBorders>
              <w:top w:val="single" w:color="auto" w:sz="4" w:space="0"/>
              <w:left w:val="single" w:color="auto" w:sz="4" w:space="0"/>
              <w:bottom w:val="single" w:color="auto" w:sz="4" w:space="0"/>
              <w:right w:val="single" w:color="auto" w:sz="4" w:space="0"/>
            </w:tcBorders>
            <w:noWrap w:val="0"/>
            <w:vAlign w:val="center"/>
          </w:tcPr>
          <w:p w14:paraId="70580138">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统一社会信用代码</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2AD06A97">
            <w:pPr>
              <w:shd w:val="clear" w:color="auto" w:fill="auto"/>
              <w:spacing w:line="0" w:lineRule="atLeast"/>
              <w:rPr>
                <w:rFonts w:hint="eastAsia" w:ascii="宋体" w:hAnsi="宋体" w:cs="宋体"/>
                <w:color w:val="auto"/>
                <w:sz w:val="24"/>
                <w:szCs w:val="24"/>
                <w:highlight w:val="none"/>
              </w:rPr>
            </w:pPr>
          </w:p>
        </w:tc>
      </w:tr>
      <w:tr w14:paraId="6E3F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4" w:hRule="exact"/>
        </w:trPr>
        <w:tc>
          <w:tcPr>
            <w:tcW w:w="1595" w:type="dxa"/>
            <w:tcBorders>
              <w:top w:val="single" w:color="auto" w:sz="4" w:space="0"/>
              <w:left w:val="single" w:color="auto" w:sz="4" w:space="0"/>
              <w:bottom w:val="single" w:color="auto" w:sz="4" w:space="0"/>
              <w:right w:val="single" w:color="auto" w:sz="4" w:space="0"/>
            </w:tcBorders>
            <w:noWrap w:val="0"/>
            <w:vAlign w:val="center"/>
          </w:tcPr>
          <w:p w14:paraId="6CFD78BE">
            <w:pPr>
              <w:shd w:val="clear" w:color="auto" w:fill="auto"/>
              <w:spacing w:line="0" w:lineRule="atLeas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地址</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6E1DB800">
            <w:pPr>
              <w:shd w:val="clear" w:color="auto" w:fill="auto"/>
              <w:spacing w:line="0" w:lineRule="atLeast"/>
              <w:rPr>
                <w:rFonts w:hint="eastAsia" w:ascii="宋体" w:hAnsi="宋体" w:cs="宋体"/>
                <w:color w:val="auto"/>
                <w:sz w:val="24"/>
                <w:szCs w:val="24"/>
                <w:highlight w:val="none"/>
              </w:rPr>
            </w:pPr>
          </w:p>
        </w:tc>
      </w:tr>
      <w:tr w14:paraId="1732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exact"/>
        </w:trPr>
        <w:tc>
          <w:tcPr>
            <w:tcW w:w="1595" w:type="dxa"/>
            <w:vMerge w:val="restart"/>
            <w:tcBorders>
              <w:top w:val="single" w:color="auto" w:sz="4" w:space="0"/>
              <w:left w:val="single" w:color="auto" w:sz="4" w:space="0"/>
              <w:right w:val="single" w:color="auto" w:sz="4" w:space="0"/>
            </w:tcBorders>
            <w:noWrap w:val="0"/>
            <w:vAlign w:val="center"/>
          </w:tcPr>
          <w:p w14:paraId="382A38EB">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项目经理</w:t>
            </w:r>
          </w:p>
        </w:tc>
        <w:tc>
          <w:tcPr>
            <w:tcW w:w="1360" w:type="dxa"/>
            <w:vMerge w:val="restart"/>
            <w:tcBorders>
              <w:top w:val="single" w:color="auto" w:sz="4" w:space="0"/>
              <w:left w:val="single" w:color="auto" w:sz="4" w:space="0"/>
              <w:right w:val="single" w:color="auto" w:sz="4" w:space="0"/>
            </w:tcBorders>
            <w:noWrap w:val="0"/>
            <w:vAlign w:val="center"/>
          </w:tcPr>
          <w:p w14:paraId="7B3E00CB">
            <w:pPr>
              <w:shd w:val="clear" w:color="auto" w:fill="auto"/>
              <w:spacing w:line="0" w:lineRule="atLeast"/>
              <w:rPr>
                <w:rFonts w:hint="eastAsia" w:ascii="宋体" w:hAnsi="宋体" w:cs="宋体"/>
                <w:color w:val="auto"/>
                <w:sz w:val="24"/>
                <w:szCs w:val="24"/>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4309D885">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级别</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B19B2D9">
            <w:pPr>
              <w:shd w:val="clear" w:color="auto" w:fill="auto"/>
              <w:spacing w:line="0" w:lineRule="atLeast"/>
              <w:rPr>
                <w:rFonts w:hint="eastAsia" w:ascii="宋体" w:hAnsi="宋体" w:cs="宋体"/>
                <w:color w:val="auto"/>
                <w:sz w:val="24"/>
                <w:szCs w:val="24"/>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374C44E3">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注册编号</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5C6F1CE0">
            <w:pPr>
              <w:shd w:val="clear" w:color="auto" w:fill="auto"/>
              <w:spacing w:line="0" w:lineRule="atLeast"/>
              <w:rPr>
                <w:rFonts w:hint="eastAsia" w:ascii="宋体" w:hAnsi="宋体" w:cs="宋体"/>
                <w:color w:val="auto"/>
                <w:sz w:val="24"/>
                <w:szCs w:val="24"/>
                <w:highlight w:val="none"/>
              </w:rPr>
            </w:pPr>
          </w:p>
        </w:tc>
      </w:tr>
      <w:tr w14:paraId="4D13F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exact"/>
        </w:trPr>
        <w:tc>
          <w:tcPr>
            <w:tcW w:w="1595" w:type="dxa"/>
            <w:vMerge w:val="continue"/>
            <w:tcBorders>
              <w:left w:val="single" w:color="auto" w:sz="4" w:space="0"/>
              <w:bottom w:val="single" w:color="auto" w:sz="4" w:space="0"/>
              <w:right w:val="single" w:color="auto" w:sz="4" w:space="0"/>
            </w:tcBorders>
            <w:noWrap w:val="0"/>
            <w:vAlign w:val="center"/>
          </w:tcPr>
          <w:p w14:paraId="31B84AB6">
            <w:pPr>
              <w:shd w:val="clear" w:color="auto" w:fill="auto"/>
              <w:spacing w:line="0" w:lineRule="atLeast"/>
              <w:rPr>
                <w:rFonts w:hint="eastAsia" w:ascii="宋体" w:hAnsi="宋体" w:cs="宋体"/>
                <w:color w:val="auto"/>
                <w:sz w:val="24"/>
                <w:szCs w:val="24"/>
                <w:highlight w:val="none"/>
              </w:rPr>
            </w:pPr>
          </w:p>
        </w:tc>
        <w:tc>
          <w:tcPr>
            <w:tcW w:w="1360" w:type="dxa"/>
            <w:vMerge w:val="continue"/>
            <w:tcBorders>
              <w:left w:val="single" w:color="auto" w:sz="4" w:space="0"/>
              <w:bottom w:val="single" w:color="auto" w:sz="4" w:space="0"/>
              <w:right w:val="single" w:color="auto" w:sz="4" w:space="0"/>
            </w:tcBorders>
            <w:noWrap w:val="0"/>
            <w:vAlign w:val="center"/>
          </w:tcPr>
          <w:p w14:paraId="25B4C123">
            <w:pPr>
              <w:shd w:val="clear" w:color="auto" w:fill="auto"/>
              <w:spacing w:line="0" w:lineRule="atLeast"/>
              <w:rPr>
                <w:rFonts w:hint="eastAsia" w:ascii="宋体" w:hAnsi="宋体" w:cs="宋体"/>
                <w:color w:val="auto"/>
                <w:sz w:val="24"/>
                <w:szCs w:val="24"/>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4E61104">
            <w:pPr>
              <w:shd w:val="clear" w:color="auto" w:fill="auto"/>
              <w:spacing w:line="0" w:lineRule="atLeast"/>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身份证号</w:t>
            </w:r>
          </w:p>
        </w:tc>
        <w:tc>
          <w:tcPr>
            <w:tcW w:w="4083" w:type="dxa"/>
            <w:gridSpan w:val="3"/>
            <w:tcBorders>
              <w:top w:val="single" w:color="auto" w:sz="4" w:space="0"/>
              <w:left w:val="single" w:color="auto" w:sz="4" w:space="0"/>
              <w:bottom w:val="single" w:color="auto" w:sz="4" w:space="0"/>
              <w:right w:val="single" w:color="auto" w:sz="4" w:space="0"/>
            </w:tcBorders>
            <w:noWrap w:val="0"/>
            <w:vAlign w:val="center"/>
          </w:tcPr>
          <w:p w14:paraId="7762D54E">
            <w:pPr>
              <w:shd w:val="clear" w:color="auto" w:fill="auto"/>
              <w:spacing w:line="0" w:lineRule="atLeast"/>
              <w:rPr>
                <w:rFonts w:hint="eastAsia" w:ascii="宋体" w:hAnsi="宋体" w:cs="宋体"/>
                <w:color w:val="auto"/>
                <w:sz w:val="24"/>
                <w:szCs w:val="24"/>
                <w:highlight w:val="none"/>
              </w:rPr>
            </w:pPr>
          </w:p>
        </w:tc>
      </w:tr>
      <w:tr w14:paraId="7D6FB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exact"/>
        </w:trPr>
        <w:tc>
          <w:tcPr>
            <w:tcW w:w="1595" w:type="dxa"/>
            <w:tcBorders>
              <w:top w:val="single" w:color="auto" w:sz="4" w:space="0"/>
              <w:left w:val="single" w:color="auto" w:sz="4" w:space="0"/>
              <w:bottom w:val="single" w:color="auto" w:sz="4" w:space="0"/>
              <w:right w:val="single" w:color="auto" w:sz="4" w:space="0"/>
            </w:tcBorders>
            <w:noWrap w:val="0"/>
            <w:vAlign w:val="center"/>
          </w:tcPr>
          <w:p w14:paraId="2A91D305">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技术负责人</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6B621C2B">
            <w:pPr>
              <w:shd w:val="clear" w:color="auto" w:fill="auto"/>
              <w:spacing w:line="0" w:lineRule="atLeast"/>
              <w:rPr>
                <w:rFonts w:hint="eastAsia" w:ascii="宋体" w:hAnsi="宋体" w:cs="宋体"/>
                <w:color w:val="auto"/>
                <w:sz w:val="24"/>
                <w:szCs w:val="24"/>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D863AE7">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级别</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3E2102C1">
            <w:pPr>
              <w:shd w:val="clear" w:color="auto" w:fill="auto"/>
              <w:spacing w:line="0" w:lineRule="atLeast"/>
              <w:rPr>
                <w:rFonts w:hint="eastAsia" w:ascii="宋体" w:hAnsi="宋体" w:cs="宋体"/>
                <w:color w:val="auto"/>
                <w:sz w:val="24"/>
                <w:szCs w:val="24"/>
                <w:highlight w:val="none"/>
              </w:rPr>
            </w:pPr>
          </w:p>
        </w:tc>
        <w:tc>
          <w:tcPr>
            <w:tcW w:w="1361" w:type="dxa"/>
            <w:tcBorders>
              <w:top w:val="single" w:color="auto" w:sz="4" w:space="0"/>
              <w:left w:val="single" w:color="auto" w:sz="4" w:space="0"/>
              <w:bottom w:val="single" w:color="auto" w:sz="4" w:space="0"/>
              <w:right w:val="single" w:color="auto" w:sz="4" w:space="0"/>
            </w:tcBorders>
            <w:noWrap w:val="0"/>
            <w:vAlign w:val="center"/>
          </w:tcPr>
          <w:p w14:paraId="7B8848A3">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注册编号</w:t>
            </w:r>
          </w:p>
        </w:tc>
        <w:tc>
          <w:tcPr>
            <w:tcW w:w="1361" w:type="dxa"/>
            <w:tcBorders>
              <w:top w:val="single" w:color="auto" w:sz="4" w:space="0"/>
              <w:left w:val="single" w:color="auto" w:sz="4" w:space="0"/>
              <w:bottom w:val="single" w:color="auto" w:sz="4" w:space="0"/>
              <w:right w:val="single" w:color="auto" w:sz="4" w:space="0"/>
            </w:tcBorders>
            <w:noWrap w:val="0"/>
            <w:vAlign w:val="center"/>
          </w:tcPr>
          <w:p w14:paraId="22F1B10B">
            <w:pPr>
              <w:shd w:val="clear" w:color="auto" w:fill="auto"/>
              <w:spacing w:line="0" w:lineRule="atLeast"/>
              <w:rPr>
                <w:rFonts w:hint="eastAsia" w:ascii="宋体" w:hAnsi="宋体" w:cs="宋体"/>
                <w:color w:val="auto"/>
                <w:sz w:val="24"/>
                <w:szCs w:val="24"/>
                <w:highlight w:val="none"/>
              </w:rPr>
            </w:pPr>
          </w:p>
        </w:tc>
      </w:tr>
      <w:tr w14:paraId="27614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4" w:hRule="exact"/>
        </w:trPr>
        <w:tc>
          <w:tcPr>
            <w:tcW w:w="1595" w:type="dxa"/>
            <w:tcBorders>
              <w:top w:val="single" w:color="auto" w:sz="4" w:space="0"/>
              <w:left w:val="single" w:color="auto" w:sz="4" w:space="0"/>
              <w:bottom w:val="single" w:color="auto" w:sz="4" w:space="0"/>
              <w:right w:val="single" w:color="auto" w:sz="4" w:space="0"/>
            </w:tcBorders>
            <w:noWrap w:val="0"/>
            <w:vAlign w:val="center"/>
          </w:tcPr>
          <w:p w14:paraId="06CC2C35">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投标范围</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3E2065ED">
            <w:pPr>
              <w:shd w:val="clear" w:color="auto" w:fill="auto"/>
              <w:spacing w:line="0" w:lineRule="atLeast"/>
              <w:rPr>
                <w:rFonts w:hint="eastAsia" w:ascii="宋体" w:hAnsi="宋体" w:cs="宋体"/>
                <w:color w:val="auto"/>
                <w:sz w:val="24"/>
                <w:szCs w:val="24"/>
                <w:highlight w:val="none"/>
              </w:rPr>
            </w:pPr>
          </w:p>
        </w:tc>
      </w:tr>
      <w:tr w14:paraId="3468E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exact"/>
        </w:trPr>
        <w:tc>
          <w:tcPr>
            <w:tcW w:w="1595" w:type="dxa"/>
            <w:tcBorders>
              <w:top w:val="single" w:color="auto" w:sz="4" w:space="0"/>
              <w:left w:val="single" w:color="auto" w:sz="4" w:space="0"/>
              <w:bottom w:val="single" w:color="auto" w:sz="4" w:space="0"/>
              <w:right w:val="single" w:color="auto" w:sz="4" w:space="0"/>
            </w:tcBorders>
            <w:noWrap w:val="0"/>
            <w:vAlign w:val="center"/>
          </w:tcPr>
          <w:p w14:paraId="44D2A0E7">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磋商总报价（元）</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6C507F5E">
            <w:pPr>
              <w:shd w:val="clear" w:color="auto" w:fill="auto"/>
              <w:spacing w:line="0" w:lineRule="atLeast"/>
              <w:ind w:firstLine="482"/>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 xml:space="preserve">（大写）                   </w:t>
            </w:r>
          </w:p>
          <w:p w14:paraId="7868E214">
            <w:pPr>
              <w:shd w:val="clear" w:color="auto" w:fill="auto"/>
              <w:spacing w:line="0" w:lineRule="atLeast"/>
              <w:ind w:firstLine="482"/>
              <w:rPr>
                <w:rFonts w:hint="eastAsia" w:ascii="宋体" w:hAnsi="宋体" w:cs="宋体"/>
                <w:color w:val="auto"/>
                <w:sz w:val="24"/>
                <w:szCs w:val="24"/>
                <w:highlight w:val="none"/>
                <w:u w:val="single"/>
              </w:rPr>
            </w:pPr>
            <w:r>
              <w:rPr>
                <w:rFonts w:hint="eastAsia" w:ascii="宋体" w:hAnsi="宋体" w:cs="宋体"/>
                <w:color w:val="auto"/>
                <w:sz w:val="24"/>
                <w:szCs w:val="24"/>
                <w:highlight w:val="none"/>
                <w:u w:val="single"/>
              </w:rPr>
              <w:t xml:space="preserve">（小写）                    </w:t>
            </w:r>
          </w:p>
          <w:p w14:paraId="50BF0050">
            <w:pPr>
              <w:shd w:val="clear" w:color="auto" w:fill="auto"/>
              <w:spacing w:line="0" w:lineRule="atLeast"/>
              <w:rPr>
                <w:rFonts w:hint="eastAsia" w:ascii="宋体" w:hAnsi="宋体" w:cs="宋体"/>
                <w:color w:val="auto"/>
                <w:sz w:val="24"/>
                <w:szCs w:val="24"/>
                <w:highlight w:val="none"/>
                <w:u w:val="single"/>
              </w:rPr>
            </w:pPr>
            <w:r>
              <w:rPr>
                <w:rFonts w:hint="eastAsia" w:ascii="宋体" w:hAnsi="宋体" w:cs="宋体"/>
                <w:b/>
                <w:bCs/>
                <w:snapToGrid w:val="0"/>
                <w:sz w:val="24"/>
                <w:szCs w:val="22"/>
                <w:highlight w:val="none"/>
              </w:rPr>
              <w:t>（响应人应在此填列第一次报价，但以响应人最后一次的磋商报价为成交价）</w:t>
            </w:r>
          </w:p>
        </w:tc>
      </w:tr>
      <w:tr w14:paraId="0CE23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75A25D5E">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质量要求</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00DF7238">
            <w:pPr>
              <w:shd w:val="clear" w:color="auto" w:fill="auto"/>
              <w:spacing w:line="0" w:lineRule="atLeast"/>
              <w:ind w:firstLine="482"/>
              <w:jc w:val="center"/>
              <w:rPr>
                <w:rFonts w:ascii="宋体" w:hAnsi="宋体" w:cs="宋体"/>
                <w:color w:val="auto"/>
                <w:sz w:val="24"/>
                <w:szCs w:val="24"/>
                <w:highlight w:val="none"/>
              </w:rPr>
            </w:pPr>
          </w:p>
        </w:tc>
      </w:tr>
      <w:tr w14:paraId="5C5E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61E3C9C9">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工 期</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5A2A13AB">
            <w:pPr>
              <w:shd w:val="clear" w:color="auto" w:fill="auto"/>
              <w:spacing w:line="0" w:lineRule="atLeast"/>
              <w:ind w:firstLine="482"/>
              <w:jc w:val="center"/>
              <w:rPr>
                <w:rFonts w:ascii="宋体" w:hAnsi="宋体" w:cs="宋体"/>
                <w:color w:val="auto"/>
                <w:sz w:val="24"/>
                <w:szCs w:val="24"/>
                <w:highlight w:val="none"/>
              </w:rPr>
            </w:pPr>
          </w:p>
        </w:tc>
      </w:tr>
      <w:tr w14:paraId="012E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8"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20538D3D">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联系人及电话</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25566C80">
            <w:pPr>
              <w:shd w:val="clear" w:color="auto" w:fill="auto"/>
              <w:spacing w:line="0" w:lineRule="atLeast"/>
              <w:ind w:firstLine="482"/>
              <w:jc w:val="center"/>
              <w:rPr>
                <w:rFonts w:ascii="宋体" w:hAnsi="宋体" w:cs="宋体"/>
                <w:color w:val="auto"/>
                <w:sz w:val="24"/>
                <w:szCs w:val="24"/>
                <w:highlight w:val="none"/>
              </w:rPr>
            </w:pPr>
          </w:p>
        </w:tc>
      </w:tr>
      <w:tr w14:paraId="71972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trPr>
        <w:tc>
          <w:tcPr>
            <w:tcW w:w="1595" w:type="dxa"/>
            <w:tcBorders>
              <w:top w:val="single" w:color="auto" w:sz="4" w:space="0"/>
              <w:left w:val="single" w:color="auto" w:sz="4" w:space="0"/>
              <w:bottom w:val="single" w:color="auto" w:sz="4" w:space="0"/>
              <w:right w:val="single" w:color="auto" w:sz="4" w:space="0"/>
            </w:tcBorders>
            <w:noWrap w:val="0"/>
            <w:vAlign w:val="center"/>
          </w:tcPr>
          <w:p w14:paraId="785A135D">
            <w:pPr>
              <w:shd w:val="clear" w:color="auto" w:fill="auto"/>
              <w:spacing w:line="0" w:lineRule="atLeast"/>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tc>
        <w:tc>
          <w:tcPr>
            <w:tcW w:w="6804" w:type="dxa"/>
            <w:gridSpan w:val="5"/>
            <w:tcBorders>
              <w:top w:val="single" w:color="auto" w:sz="4" w:space="0"/>
              <w:left w:val="single" w:color="auto" w:sz="4" w:space="0"/>
              <w:bottom w:val="single" w:color="auto" w:sz="4" w:space="0"/>
              <w:right w:val="single" w:color="auto" w:sz="4" w:space="0"/>
            </w:tcBorders>
            <w:noWrap w:val="0"/>
            <w:vAlign w:val="center"/>
          </w:tcPr>
          <w:p w14:paraId="19DA038F">
            <w:pPr>
              <w:shd w:val="clear" w:color="auto" w:fill="auto"/>
              <w:spacing w:line="0" w:lineRule="atLeast"/>
              <w:ind w:firstLine="482"/>
              <w:rPr>
                <w:rFonts w:ascii="宋体" w:hAnsi="宋体" w:cs="宋体"/>
                <w:color w:val="auto"/>
                <w:sz w:val="24"/>
                <w:szCs w:val="24"/>
                <w:highlight w:val="none"/>
              </w:rPr>
            </w:pPr>
          </w:p>
        </w:tc>
      </w:tr>
    </w:tbl>
    <w:p w14:paraId="084F14CC">
      <w:pPr>
        <w:widowControl/>
        <w:shd w:val="clear" w:color="auto" w:fill="auto"/>
        <w:adjustRightInd w:val="0"/>
        <w:spacing w:line="165" w:lineRule="atLeast"/>
        <w:ind w:firstLine="482"/>
        <w:jc w:val="left"/>
        <w:rPr>
          <w:rFonts w:hint="eastAsia" w:ascii="宋体" w:hAnsi="宋体" w:cs="宋体"/>
          <w:color w:val="auto"/>
          <w:kern w:val="0"/>
          <w:sz w:val="24"/>
          <w:szCs w:val="24"/>
          <w:highlight w:val="none"/>
        </w:rPr>
      </w:pPr>
    </w:p>
    <w:p w14:paraId="0D1A3B32">
      <w:pPr>
        <w:widowControl/>
        <w:shd w:val="clear" w:color="auto" w:fill="auto"/>
        <w:adjustRightInd w:val="0"/>
        <w:spacing w:line="360" w:lineRule="auto"/>
        <w:ind w:firstLine="48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供应商：（电子签章）</w:t>
      </w:r>
    </w:p>
    <w:p w14:paraId="467E90F4">
      <w:pPr>
        <w:widowControl/>
        <w:shd w:val="clear" w:color="auto" w:fill="auto"/>
        <w:adjustRightInd w:val="0"/>
        <w:spacing w:line="360" w:lineRule="auto"/>
        <w:ind w:firstLine="48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法定代表人或其委托代理人：（电子签章）</w:t>
      </w:r>
    </w:p>
    <w:p w14:paraId="03F45804">
      <w:pPr>
        <w:widowControl/>
        <w:shd w:val="clear" w:color="auto" w:fill="auto"/>
        <w:adjustRightInd w:val="0"/>
        <w:spacing w:line="360" w:lineRule="auto"/>
        <w:ind w:firstLine="482"/>
        <w:jc w:val="left"/>
        <w:rPr>
          <w:rFonts w:hint="eastAsia" w:ascii="宋体" w:hAnsi="宋体" w:cs="宋体"/>
          <w:color w:val="auto"/>
          <w:kern w:val="0"/>
          <w:sz w:val="22"/>
          <w:szCs w:val="22"/>
          <w:highlight w:val="none"/>
        </w:rPr>
      </w:pPr>
      <w:r>
        <w:rPr>
          <w:rFonts w:hint="eastAsia" w:ascii="宋体" w:hAnsi="宋体" w:cs="宋体"/>
          <w:color w:val="auto"/>
          <w:kern w:val="0"/>
          <w:sz w:val="24"/>
          <w:szCs w:val="24"/>
          <w:highlight w:val="none"/>
        </w:rPr>
        <w:t>日期：  年  月  日</w:t>
      </w:r>
      <w:bookmarkStart w:id="1387" w:name="_Toc246996359"/>
      <w:bookmarkStart w:id="1388" w:name="_Toc247085877"/>
      <w:bookmarkStart w:id="1389" w:name="_Toc152045791"/>
      <w:bookmarkStart w:id="1390" w:name="_Toc179632811"/>
      <w:bookmarkStart w:id="1391" w:name="_Toc152042580"/>
      <w:bookmarkStart w:id="1392" w:name="_Toc246997102"/>
      <w:bookmarkStart w:id="1393" w:name="_Toc296602605"/>
      <w:bookmarkStart w:id="1394" w:name="_Toc144974860"/>
    </w:p>
    <w:p w14:paraId="4A9F148D">
      <w:pPr>
        <w:pStyle w:val="2"/>
        <w:shd w:val="clear" w:color="auto" w:fill="auto"/>
        <w:jc w:val="center"/>
        <w:rPr>
          <w:rFonts w:hint="eastAsia" w:ascii="宋体" w:hAnsi="宋体" w:eastAsia="宋体" w:cs="宋体"/>
          <w:color w:val="auto"/>
          <w:highlight w:val="none"/>
        </w:rPr>
      </w:pPr>
      <w:r>
        <w:rPr>
          <w:rFonts w:hint="eastAsia" w:ascii="宋体" w:hAnsi="宋体" w:cs="宋体"/>
          <w:b w:val="0"/>
          <w:bCs w:val="0"/>
          <w:color w:val="auto"/>
          <w:highlight w:val="none"/>
        </w:rPr>
        <w:br w:type="page"/>
      </w:r>
      <w:bookmarkStart w:id="1395" w:name="_Toc77586872"/>
      <w:bookmarkStart w:id="1396" w:name="_Toc77586970"/>
      <w:bookmarkStart w:id="1397" w:name="_Toc28691"/>
      <w:bookmarkStart w:id="1398" w:name="_Toc1781"/>
      <w:r>
        <w:rPr>
          <w:rFonts w:hint="eastAsia" w:ascii="宋体" w:hAnsi="宋体" w:eastAsia="宋体" w:cs="宋体"/>
          <w:color w:val="auto"/>
          <w:highlight w:val="none"/>
        </w:rPr>
        <w:t>三、</w:t>
      </w:r>
      <w:bookmarkEnd w:id="1387"/>
      <w:bookmarkEnd w:id="1388"/>
      <w:bookmarkEnd w:id="1389"/>
      <w:bookmarkEnd w:id="1390"/>
      <w:bookmarkEnd w:id="1391"/>
      <w:bookmarkEnd w:id="1392"/>
      <w:bookmarkEnd w:id="1393"/>
      <w:bookmarkEnd w:id="1394"/>
      <w:bookmarkEnd w:id="1395"/>
      <w:bookmarkEnd w:id="1396"/>
      <w:r>
        <w:rPr>
          <w:rFonts w:hint="eastAsia" w:ascii="宋体" w:hAnsi="宋体" w:eastAsia="宋体" w:cs="宋体"/>
          <w:color w:val="auto"/>
          <w:highlight w:val="none"/>
        </w:rPr>
        <w:t>法定代表人身份证明及授权委托书</w:t>
      </w:r>
      <w:bookmarkEnd w:id="1397"/>
      <w:bookmarkEnd w:id="1398"/>
    </w:p>
    <w:p w14:paraId="7B898C83">
      <w:pPr>
        <w:shd w:val="clear" w:color="auto" w:fill="auto"/>
        <w:spacing w:line="360" w:lineRule="auto"/>
        <w:jc w:val="center"/>
        <w:rPr>
          <w:rFonts w:hint="eastAsia" w:ascii="宋体" w:cs="宋体"/>
          <w:b/>
          <w:color w:val="auto"/>
          <w:sz w:val="24"/>
          <w:szCs w:val="24"/>
          <w:highlight w:val="none"/>
        </w:rPr>
      </w:pPr>
      <w:r>
        <w:rPr>
          <w:rFonts w:hint="eastAsia" w:ascii="宋体" w:hAnsi="宋体" w:cs="宋体"/>
          <w:b/>
          <w:color w:val="auto"/>
          <w:sz w:val="24"/>
          <w:szCs w:val="24"/>
          <w:highlight w:val="none"/>
        </w:rPr>
        <w:t>（一）法定代表人身份证明</w:t>
      </w:r>
    </w:p>
    <w:p w14:paraId="0FCE91D3">
      <w:pPr>
        <w:shd w:val="clear" w:color="auto" w:fill="auto"/>
        <w:spacing w:line="440" w:lineRule="exact"/>
        <w:ind w:firstLine="482"/>
        <w:rPr>
          <w:rFonts w:hint="eastAsia" w:ascii="宋体" w:hAnsi="宋体" w:cs="宋体"/>
          <w:color w:val="auto"/>
          <w:sz w:val="24"/>
          <w:szCs w:val="24"/>
          <w:highlight w:val="none"/>
        </w:rPr>
      </w:pPr>
    </w:p>
    <w:p w14:paraId="2B7413EF">
      <w:pPr>
        <w:shd w:val="clear" w:color="auto" w:fill="auto"/>
        <w:spacing w:line="440" w:lineRule="exact"/>
        <w:ind w:left="424" w:leftChars="202"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投标人名称：</w:t>
      </w:r>
    </w:p>
    <w:p w14:paraId="527A63A5">
      <w:pPr>
        <w:shd w:val="clear" w:color="auto" w:fill="auto"/>
        <w:spacing w:line="440" w:lineRule="exact"/>
        <w:ind w:left="424" w:leftChars="202"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单位性质：</w:t>
      </w:r>
    </w:p>
    <w:p w14:paraId="1C26406C">
      <w:pPr>
        <w:shd w:val="clear" w:color="auto" w:fill="auto"/>
        <w:spacing w:line="440" w:lineRule="exact"/>
        <w:ind w:left="424" w:leftChars="202"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地址：</w:t>
      </w:r>
    </w:p>
    <w:p w14:paraId="7B9FDB3D">
      <w:pPr>
        <w:shd w:val="clear" w:color="auto" w:fill="auto"/>
        <w:spacing w:line="440" w:lineRule="exact"/>
        <w:ind w:left="424" w:leftChars="202"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成立时间：   年   月  日</w:t>
      </w:r>
    </w:p>
    <w:p w14:paraId="7C5E5C15">
      <w:pPr>
        <w:shd w:val="clear" w:color="auto" w:fill="auto"/>
        <w:spacing w:line="440" w:lineRule="exact"/>
        <w:ind w:left="424" w:leftChars="202"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经营期限：</w:t>
      </w:r>
    </w:p>
    <w:p w14:paraId="2ABA2501">
      <w:pPr>
        <w:shd w:val="clear" w:color="auto" w:fill="auto"/>
        <w:spacing w:line="440" w:lineRule="exact"/>
        <w:ind w:left="424" w:leftChars="202"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姓名： 性别：年龄：职务：</w:t>
      </w:r>
    </w:p>
    <w:p w14:paraId="10BAAACD">
      <w:pPr>
        <w:shd w:val="clear" w:color="auto" w:fill="auto"/>
        <w:spacing w:line="440" w:lineRule="exact"/>
        <w:ind w:left="424" w:leftChars="202"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系 （投标人名称）的法定代表人。</w:t>
      </w:r>
    </w:p>
    <w:p w14:paraId="27FC2669">
      <w:pPr>
        <w:shd w:val="clear" w:color="auto" w:fill="auto"/>
        <w:spacing w:line="440" w:lineRule="exact"/>
        <w:ind w:left="424" w:leftChars="202" w:firstLine="480" w:firstLineChars="200"/>
        <w:rPr>
          <w:rFonts w:hint="eastAsia" w:ascii="宋体" w:hAnsi="宋体" w:cs="宋体"/>
          <w:color w:val="auto"/>
          <w:sz w:val="24"/>
          <w:szCs w:val="24"/>
          <w:highlight w:val="none"/>
        </w:rPr>
      </w:pPr>
    </w:p>
    <w:p w14:paraId="54EE0600">
      <w:pPr>
        <w:shd w:val="clear" w:color="auto" w:fill="auto"/>
        <w:spacing w:line="440" w:lineRule="exact"/>
        <w:ind w:left="424" w:leftChars="202"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特此证明。</w:t>
      </w:r>
    </w:p>
    <w:p w14:paraId="5AB49FCC">
      <w:pPr>
        <w:shd w:val="clear" w:color="auto" w:fill="auto"/>
        <w:ind w:firstLine="482"/>
        <w:rPr>
          <w:rFonts w:hint="eastAsia"/>
          <w:color w:val="auto"/>
          <w:highlight w:val="none"/>
        </w:rPr>
      </w:pPr>
    </w:p>
    <w:p w14:paraId="5A112F16">
      <w:pPr>
        <w:shd w:val="clear" w:color="auto" w:fill="auto"/>
        <w:snapToGrid w:val="0"/>
        <w:ind w:firstLine="480"/>
        <w:rPr>
          <w:rFonts w:ascii="宋体" w:hAnsi="宋体" w:cs="宋体"/>
          <w:b/>
          <w:color w:val="auto"/>
          <w:kern w:val="10"/>
          <w:sz w:val="24"/>
          <w:szCs w:val="24"/>
          <w:highlight w:val="none"/>
        </w:rPr>
      </w:pPr>
      <w:r>
        <w:rPr>
          <w:rFonts w:hint="eastAsia" w:ascii="宋体" w:hAnsi="宋体" w:cs="宋体"/>
          <w:b/>
          <w:color w:val="auto"/>
          <w:kern w:val="10"/>
          <w:sz w:val="24"/>
          <w:szCs w:val="24"/>
          <w:highlight w:val="none"/>
        </w:rPr>
        <w:t>附：（法定代表人身份证正反面原件扫描件）</w:t>
      </w:r>
    </w:p>
    <w:p w14:paraId="32191053">
      <w:pPr>
        <w:shd w:val="clear" w:color="auto" w:fill="auto"/>
        <w:spacing w:line="440" w:lineRule="exact"/>
        <w:ind w:firstLine="482"/>
        <w:rPr>
          <w:rFonts w:hint="eastAsia" w:ascii="宋体" w:hAnsi="宋体" w:cs="宋体"/>
          <w:color w:val="auto"/>
          <w:sz w:val="24"/>
          <w:szCs w:val="24"/>
          <w:highlight w:val="none"/>
        </w:rPr>
      </w:pPr>
    </w:p>
    <w:p w14:paraId="14398847">
      <w:pPr>
        <w:shd w:val="clear" w:color="auto" w:fill="auto"/>
        <w:spacing w:line="440" w:lineRule="exact"/>
        <w:ind w:firstLine="482"/>
        <w:rPr>
          <w:rFonts w:hint="eastAsia" w:ascii="宋体" w:hAnsi="宋体" w:cs="宋体"/>
          <w:color w:val="auto"/>
          <w:sz w:val="24"/>
          <w:szCs w:val="24"/>
          <w:highlight w:val="none"/>
        </w:rPr>
      </w:pPr>
    </w:p>
    <w:p w14:paraId="03ED11C8">
      <w:pPr>
        <w:shd w:val="clear" w:color="auto" w:fill="auto"/>
        <w:spacing w:line="480" w:lineRule="auto"/>
        <w:ind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投标单位：（电子签章）</w:t>
      </w:r>
    </w:p>
    <w:p w14:paraId="04C31FC2">
      <w:pPr>
        <w:shd w:val="clear" w:color="auto" w:fill="auto"/>
        <w:spacing w:line="480" w:lineRule="auto"/>
        <w:ind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法定代表人：（电子签章）</w:t>
      </w:r>
    </w:p>
    <w:p w14:paraId="690C19C2">
      <w:pPr>
        <w:shd w:val="clear" w:color="auto" w:fill="auto"/>
        <w:spacing w:line="480" w:lineRule="auto"/>
        <w:ind w:firstLine="482"/>
        <w:rPr>
          <w:rFonts w:hint="eastAsia" w:ascii="宋体" w:hAnsi="宋体" w:cs="宋体"/>
          <w:color w:val="auto"/>
          <w:sz w:val="24"/>
          <w:szCs w:val="24"/>
          <w:highlight w:val="none"/>
        </w:rPr>
      </w:pPr>
      <w:r>
        <w:rPr>
          <w:rFonts w:hint="eastAsia" w:ascii="宋体" w:hAnsi="宋体" w:cs="宋体"/>
          <w:color w:val="auto"/>
          <w:sz w:val="24"/>
          <w:szCs w:val="24"/>
          <w:highlight w:val="none"/>
        </w:rPr>
        <w:t xml:space="preserve">日期：  年  月  日    </w:t>
      </w:r>
    </w:p>
    <w:p w14:paraId="6A028556">
      <w:pPr>
        <w:shd w:val="clear" w:color="auto" w:fill="auto"/>
        <w:spacing w:line="440" w:lineRule="exact"/>
        <w:ind w:firstLine="482"/>
        <w:jc w:val="center"/>
        <w:rPr>
          <w:rFonts w:hint="eastAsia" w:ascii="宋体" w:hAnsi="宋体" w:cs="宋体"/>
          <w:color w:val="auto"/>
          <w:sz w:val="24"/>
          <w:szCs w:val="24"/>
          <w:highlight w:val="none"/>
        </w:rPr>
      </w:pPr>
    </w:p>
    <w:p w14:paraId="3DEA05C9">
      <w:pPr>
        <w:shd w:val="clear" w:color="auto" w:fill="auto"/>
        <w:spacing w:line="440" w:lineRule="exact"/>
        <w:ind w:firstLine="482"/>
        <w:jc w:val="center"/>
        <w:rPr>
          <w:rFonts w:hint="eastAsia" w:ascii="宋体" w:hAnsi="宋体" w:cs="宋体"/>
          <w:color w:val="auto"/>
          <w:sz w:val="24"/>
          <w:szCs w:val="24"/>
          <w:highlight w:val="none"/>
        </w:rPr>
      </w:pPr>
    </w:p>
    <w:p w14:paraId="4FD02B7E">
      <w:pPr>
        <w:shd w:val="clear" w:color="auto" w:fill="auto"/>
        <w:spacing w:line="360" w:lineRule="auto"/>
        <w:ind w:firstLine="640"/>
        <w:jc w:val="center"/>
        <w:rPr>
          <w:rFonts w:hint="eastAsia" w:ascii="宋体" w:cs="宋体"/>
          <w:color w:val="auto"/>
          <w:highlight w:val="none"/>
        </w:rPr>
      </w:pPr>
      <w:r>
        <w:rPr>
          <w:rFonts w:hint="eastAsia" w:ascii="宋体" w:hAnsi="宋体" w:cs="宋体"/>
          <w:b/>
          <w:color w:val="auto"/>
          <w:sz w:val="32"/>
          <w:highlight w:val="none"/>
        </w:rPr>
        <w:br w:type="page"/>
      </w:r>
      <w:bookmarkStart w:id="1399" w:name="_Toc144974862"/>
      <w:bookmarkStart w:id="1400" w:name="_Toc247085880"/>
      <w:bookmarkStart w:id="1401" w:name="_Toc152045794"/>
      <w:bookmarkStart w:id="1402" w:name="_Toc246997105"/>
      <w:bookmarkStart w:id="1403" w:name="_Toc246996362"/>
      <w:bookmarkStart w:id="1404" w:name="_Toc296602607"/>
      <w:bookmarkStart w:id="1405" w:name="_Toc179632814"/>
      <w:bookmarkStart w:id="1406" w:name="_Toc152042583"/>
      <w:r>
        <w:rPr>
          <w:rFonts w:hint="eastAsia" w:ascii="宋体" w:hAnsi="宋体" w:cs="宋体"/>
          <w:b/>
          <w:bCs/>
          <w:color w:val="auto"/>
          <w:kern w:val="44"/>
          <w:sz w:val="24"/>
          <w:szCs w:val="24"/>
          <w:highlight w:val="none"/>
        </w:rPr>
        <w:t>（二）授权委托书</w:t>
      </w:r>
    </w:p>
    <w:p w14:paraId="491C8315">
      <w:pPr>
        <w:shd w:val="clear" w:color="auto" w:fill="auto"/>
        <w:spacing w:line="500" w:lineRule="exact"/>
        <w:ind w:firstLine="480" w:firstLineChars="200"/>
        <w:rPr>
          <w:rFonts w:hint="eastAsia"/>
          <w:color w:val="auto"/>
          <w:sz w:val="24"/>
          <w:szCs w:val="24"/>
          <w:highlight w:val="none"/>
        </w:rPr>
      </w:pPr>
      <w:r>
        <w:rPr>
          <w:rFonts w:hint="eastAsia"/>
          <w:color w:val="auto"/>
          <w:sz w:val="24"/>
          <w:szCs w:val="24"/>
          <w:highlight w:val="none"/>
        </w:rPr>
        <w:t>本人</w:t>
      </w:r>
      <w:r>
        <w:rPr>
          <w:color w:val="auto"/>
          <w:sz w:val="24"/>
          <w:szCs w:val="24"/>
          <w:highlight w:val="none"/>
          <w:u w:val="single"/>
        </w:rPr>
        <w:t xml:space="preserve">         </w:t>
      </w:r>
      <w:r>
        <w:rPr>
          <w:rFonts w:hint="eastAsia"/>
          <w:color w:val="auto"/>
          <w:sz w:val="24"/>
          <w:szCs w:val="24"/>
          <w:highlight w:val="none"/>
        </w:rPr>
        <w:t>（姓名）系</w:t>
      </w:r>
      <w:r>
        <w:rPr>
          <w:color w:val="auto"/>
          <w:sz w:val="24"/>
          <w:szCs w:val="24"/>
          <w:highlight w:val="none"/>
          <w:u w:val="single"/>
        </w:rPr>
        <w:t xml:space="preserve">         </w:t>
      </w:r>
      <w:r>
        <w:rPr>
          <w:rFonts w:hint="eastAsia"/>
          <w:color w:val="auto"/>
          <w:sz w:val="24"/>
          <w:szCs w:val="24"/>
          <w:highlight w:val="none"/>
        </w:rPr>
        <w:t>（投标人名称）的法定代表人，现委托</w:t>
      </w:r>
    </w:p>
    <w:p w14:paraId="146E8376">
      <w:pPr>
        <w:shd w:val="clear" w:color="auto" w:fill="auto"/>
        <w:spacing w:line="500" w:lineRule="exact"/>
        <w:rPr>
          <w:rFonts w:hint="eastAsia"/>
          <w:color w:val="auto"/>
          <w:sz w:val="24"/>
          <w:szCs w:val="24"/>
          <w:highlight w:val="none"/>
        </w:rPr>
      </w:pPr>
      <w:r>
        <w:rPr>
          <w:color w:val="auto"/>
          <w:sz w:val="24"/>
          <w:szCs w:val="24"/>
          <w:highlight w:val="none"/>
          <w:u w:val="single"/>
        </w:rPr>
        <w:t xml:space="preserve">         </w:t>
      </w:r>
      <w:r>
        <w:rPr>
          <w:rFonts w:hint="eastAsia"/>
          <w:color w:val="auto"/>
          <w:sz w:val="24"/>
          <w:szCs w:val="24"/>
          <w:highlight w:val="none"/>
        </w:rPr>
        <w:t>（姓名）为我方代理人。代理人根据授权，以我方名义签署、澄清、说明、补正、递交、撤回、修改</w:t>
      </w:r>
      <w:r>
        <w:rPr>
          <w:color w:val="auto"/>
          <w:sz w:val="24"/>
          <w:szCs w:val="24"/>
          <w:highlight w:val="none"/>
          <w:u w:val="single"/>
        </w:rPr>
        <w:t xml:space="preserve">         </w:t>
      </w:r>
      <w:r>
        <w:rPr>
          <w:rFonts w:hint="eastAsia"/>
          <w:color w:val="auto"/>
          <w:sz w:val="24"/>
          <w:szCs w:val="24"/>
          <w:highlight w:val="none"/>
        </w:rPr>
        <w:t>（项目名称）投标文件、签订合同和处理有关事宜，其法律后果由我方承担。</w:t>
      </w:r>
    </w:p>
    <w:p w14:paraId="0BE21DD1">
      <w:pPr>
        <w:pStyle w:val="10"/>
        <w:shd w:val="clear" w:color="auto" w:fill="auto"/>
        <w:ind w:firstLine="562"/>
        <w:rPr>
          <w:color w:val="auto"/>
          <w:highlight w:val="none"/>
        </w:rPr>
      </w:pPr>
    </w:p>
    <w:p w14:paraId="060C175C">
      <w:pPr>
        <w:pStyle w:val="10"/>
        <w:shd w:val="clear" w:color="auto" w:fill="auto"/>
        <w:ind w:firstLine="482"/>
        <w:rPr>
          <w:rFonts w:eastAsia="宋体"/>
          <w:color w:val="auto"/>
          <w:highlight w:val="none"/>
        </w:rPr>
      </w:pPr>
      <w:r>
        <w:rPr>
          <w:rFonts w:hint="eastAsia" w:eastAsia="宋体"/>
          <w:color w:val="auto"/>
          <w:sz w:val="24"/>
          <w:szCs w:val="24"/>
          <w:highlight w:val="none"/>
        </w:rPr>
        <w:t>委托期限：</w:t>
      </w:r>
      <w:r>
        <w:rPr>
          <w:rFonts w:hint="eastAsia" w:ascii="宋体" w:hAnsi="宋体" w:cs="宋体"/>
          <w:sz w:val="24"/>
          <w:highlight w:val="none"/>
          <w:u w:val="single"/>
        </w:rPr>
        <w:t xml:space="preserve"> </w:t>
      </w:r>
      <w:r>
        <w:rPr>
          <w:rFonts w:hint="eastAsia" w:ascii="宋体" w:hAnsi="宋体" w:cs="宋体"/>
          <w:sz w:val="24"/>
          <w:highlight w:val="none"/>
          <w:u w:val="single"/>
          <w:lang w:bidi="ar"/>
        </w:rPr>
        <w:t xml:space="preserve">自本委托书签署之日起至项目结束 </w:t>
      </w:r>
      <w:r>
        <w:rPr>
          <w:rFonts w:hint="eastAsia" w:ascii="宋体" w:hAnsi="宋体" w:cs="宋体"/>
          <w:sz w:val="24"/>
          <w:highlight w:val="none"/>
          <w:lang w:bidi="ar"/>
        </w:rPr>
        <w:t xml:space="preserve">。 </w:t>
      </w:r>
    </w:p>
    <w:p w14:paraId="2A16BC8F">
      <w:pPr>
        <w:shd w:val="clear" w:color="auto" w:fill="auto"/>
        <w:spacing w:before="312" w:beforeLines="100" w:after="312" w:afterLines="100" w:line="360" w:lineRule="auto"/>
        <w:ind w:firstLine="480" w:firstLineChars="200"/>
        <w:rPr>
          <w:color w:val="auto"/>
          <w:sz w:val="24"/>
          <w:szCs w:val="24"/>
          <w:highlight w:val="none"/>
        </w:rPr>
      </w:pPr>
      <w:r>
        <w:rPr>
          <w:rFonts w:hint="eastAsia"/>
          <w:color w:val="auto"/>
          <w:sz w:val="24"/>
          <w:szCs w:val="24"/>
          <w:highlight w:val="none"/>
        </w:rPr>
        <w:t>代理人无转委托权。</w:t>
      </w:r>
    </w:p>
    <w:p w14:paraId="2FBA8259">
      <w:pPr>
        <w:shd w:val="clear" w:color="auto" w:fill="auto"/>
        <w:spacing w:after="312" w:afterLines="100" w:line="360" w:lineRule="auto"/>
        <w:ind w:firstLine="480" w:firstLineChars="200"/>
        <w:rPr>
          <w:color w:val="auto"/>
          <w:sz w:val="24"/>
          <w:szCs w:val="24"/>
          <w:highlight w:val="none"/>
        </w:rPr>
      </w:pPr>
      <w:r>
        <w:rPr>
          <w:rFonts w:hint="eastAsia"/>
          <w:color w:val="auto"/>
          <w:sz w:val="24"/>
          <w:szCs w:val="24"/>
          <w:highlight w:val="none"/>
        </w:rPr>
        <w:t>附：</w:t>
      </w:r>
      <w:r>
        <w:rPr>
          <w:rFonts w:hint="eastAsia" w:ascii="宋体" w:hAnsi="宋体" w:cs="宋体"/>
          <w:color w:val="auto"/>
          <w:sz w:val="24"/>
          <w:szCs w:val="24"/>
          <w:highlight w:val="none"/>
        </w:rPr>
        <w:t>法定代表人身份证及授权委托代理人身份证正反面原件扫描件</w:t>
      </w:r>
    </w:p>
    <w:p w14:paraId="2A81A515">
      <w:pPr>
        <w:shd w:val="clear" w:color="auto" w:fill="auto"/>
        <w:spacing w:line="440" w:lineRule="exact"/>
        <w:ind w:firstLine="2700" w:firstLineChars="1125"/>
        <w:rPr>
          <w:rFonts w:hint="eastAsia" w:ascii="Times New Roman" w:hAnsi="Times New Roman" w:eastAsia="宋体" w:cs="Times New Roman"/>
          <w:color w:val="auto"/>
          <w:sz w:val="24"/>
          <w:szCs w:val="24"/>
          <w:highlight w:val="none"/>
        </w:rPr>
      </w:pPr>
    </w:p>
    <w:p w14:paraId="73218C0A">
      <w:pPr>
        <w:shd w:val="clear" w:color="auto" w:fill="auto"/>
        <w:spacing w:line="440" w:lineRule="exact"/>
        <w:ind w:firstLine="2700" w:firstLineChars="1125"/>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响  应  人：（电子签章）</w:t>
      </w:r>
    </w:p>
    <w:p w14:paraId="405AE240">
      <w:pPr>
        <w:shd w:val="clear" w:color="auto" w:fill="auto"/>
        <w:spacing w:line="440" w:lineRule="exact"/>
        <w:ind w:firstLine="2700" w:firstLineChars="1125"/>
        <w:rPr>
          <w:rFonts w:hint="eastAsia" w:ascii="Times New Roman" w:hAnsi="Times New Roman" w:eastAsia="宋体" w:cs="Times New Roman"/>
          <w:color w:val="auto"/>
          <w:sz w:val="24"/>
          <w:szCs w:val="24"/>
          <w:highlight w:val="none"/>
        </w:rPr>
      </w:pPr>
    </w:p>
    <w:p w14:paraId="709CE600">
      <w:pPr>
        <w:shd w:val="clear" w:color="auto" w:fill="auto"/>
        <w:spacing w:line="440" w:lineRule="exact"/>
        <w:ind w:firstLine="2700" w:firstLineChars="1125"/>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法定代表人：（电子签章）</w:t>
      </w:r>
    </w:p>
    <w:p w14:paraId="2194EB6B">
      <w:pPr>
        <w:shd w:val="clear" w:color="auto" w:fill="auto"/>
        <w:spacing w:line="440" w:lineRule="exact"/>
        <w:ind w:firstLine="2700" w:firstLineChars="1125"/>
        <w:rPr>
          <w:rFonts w:hint="eastAsia" w:ascii="Times New Roman" w:hAnsi="Times New Roman" w:eastAsia="宋体" w:cs="Times New Roman"/>
          <w:color w:val="auto"/>
          <w:sz w:val="24"/>
          <w:szCs w:val="24"/>
          <w:highlight w:val="none"/>
        </w:rPr>
      </w:pPr>
    </w:p>
    <w:p w14:paraId="4179B7B1">
      <w:pPr>
        <w:shd w:val="clear" w:color="auto" w:fill="auto"/>
        <w:spacing w:line="440" w:lineRule="exact"/>
        <w:ind w:firstLine="2700" w:firstLineChars="1125"/>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委托代理人：（</w:t>
      </w:r>
      <w:r>
        <w:rPr>
          <w:rFonts w:hint="eastAsia" w:ascii="Times New Roman" w:hAnsi="Times New Roman" w:eastAsia="宋体" w:cs="Times New Roman"/>
          <w:color w:val="auto"/>
          <w:sz w:val="24"/>
          <w:szCs w:val="24"/>
          <w:highlight w:val="none"/>
          <w:lang w:val="en-US" w:eastAsia="zh-CN"/>
        </w:rPr>
        <w:t>签字或盖章</w:t>
      </w:r>
      <w:r>
        <w:rPr>
          <w:rFonts w:hint="eastAsia" w:ascii="Times New Roman" w:hAnsi="Times New Roman" w:eastAsia="宋体" w:cs="Times New Roman"/>
          <w:color w:val="auto"/>
          <w:sz w:val="24"/>
          <w:szCs w:val="24"/>
          <w:highlight w:val="none"/>
        </w:rPr>
        <w:t>）</w:t>
      </w:r>
    </w:p>
    <w:p w14:paraId="2B4C02C6">
      <w:pPr>
        <w:shd w:val="clear" w:color="auto" w:fill="auto"/>
        <w:spacing w:line="440" w:lineRule="exact"/>
        <w:ind w:firstLine="2700" w:firstLineChars="1125"/>
        <w:rPr>
          <w:rFonts w:hint="eastAsia" w:ascii="Times New Roman" w:hAnsi="Times New Roman" w:eastAsia="宋体" w:cs="Times New Roman"/>
          <w:color w:val="auto"/>
          <w:sz w:val="24"/>
          <w:szCs w:val="24"/>
          <w:highlight w:val="none"/>
        </w:rPr>
      </w:pPr>
    </w:p>
    <w:p w14:paraId="569C2D15">
      <w:pPr>
        <w:shd w:val="clear" w:color="auto" w:fill="auto"/>
        <w:spacing w:line="440" w:lineRule="exact"/>
        <w:ind w:firstLine="2700" w:firstLineChars="1125"/>
        <w:rPr>
          <w:rFonts w:hint="eastAsia"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en-US" w:eastAsia="zh-CN"/>
        </w:rPr>
        <w:t>手机号码</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lang w:val="en-US" w:eastAsia="zh-CN"/>
        </w:rPr>
        <w:t>必填项</w:t>
      </w:r>
      <w:r>
        <w:rPr>
          <w:rFonts w:hint="eastAsia" w:ascii="Times New Roman" w:hAnsi="Times New Roman" w:eastAsia="宋体" w:cs="Times New Roman"/>
          <w:color w:val="auto"/>
          <w:sz w:val="24"/>
          <w:szCs w:val="24"/>
          <w:highlight w:val="none"/>
          <w:lang w:eastAsia="zh-CN"/>
        </w:rPr>
        <w:t>）</w:t>
      </w:r>
      <w:r>
        <w:rPr>
          <w:rFonts w:hint="eastAsia" w:ascii="Times New Roman" w:hAnsi="Times New Roman" w:eastAsia="宋体" w:cs="Times New Roman"/>
          <w:color w:val="auto"/>
          <w:sz w:val="24"/>
          <w:szCs w:val="24"/>
          <w:highlight w:val="none"/>
        </w:rPr>
        <w:t>：</w:t>
      </w:r>
    </w:p>
    <w:p w14:paraId="555E7B7A">
      <w:pPr>
        <w:shd w:val="clear" w:color="auto" w:fill="auto"/>
        <w:spacing w:line="440" w:lineRule="exact"/>
        <w:ind w:firstLine="2700" w:firstLineChars="1125"/>
        <w:rPr>
          <w:color w:val="auto"/>
          <w:sz w:val="24"/>
          <w:szCs w:val="24"/>
          <w:highlight w:val="none"/>
        </w:rPr>
      </w:pPr>
    </w:p>
    <w:p w14:paraId="15F1EE64">
      <w:pPr>
        <w:shd w:val="clear" w:color="auto" w:fill="auto"/>
        <w:spacing w:line="440" w:lineRule="exact"/>
        <w:ind w:firstLine="2700" w:firstLineChars="1125"/>
        <w:rPr>
          <w:color w:val="auto"/>
          <w:sz w:val="24"/>
          <w:szCs w:val="24"/>
          <w:highlight w:val="none"/>
        </w:rPr>
      </w:pPr>
      <w:r>
        <w:rPr>
          <w:rFonts w:hint="eastAsia"/>
          <w:color w:val="auto"/>
          <w:sz w:val="24"/>
          <w:szCs w:val="24"/>
          <w:highlight w:val="none"/>
        </w:rPr>
        <w:t>日期：  年  月  日</w:t>
      </w:r>
    </w:p>
    <w:p w14:paraId="3EA43F40">
      <w:pPr>
        <w:shd w:val="clear" w:color="auto" w:fill="auto"/>
        <w:spacing w:line="480" w:lineRule="auto"/>
        <w:ind w:firstLine="480"/>
        <w:rPr>
          <w:b/>
          <w:bCs/>
          <w:color w:val="auto"/>
          <w:sz w:val="24"/>
          <w:szCs w:val="24"/>
          <w:highlight w:val="none"/>
        </w:rPr>
      </w:pPr>
      <w:r>
        <w:rPr>
          <w:rFonts w:hint="eastAsia"/>
          <w:b/>
          <w:bCs/>
          <w:color w:val="auto"/>
          <w:sz w:val="24"/>
          <w:szCs w:val="24"/>
          <w:highlight w:val="none"/>
        </w:rPr>
        <w:t>注：因投标文件中授权委托书授权代理人无法手写签字及盖章，可以以印刷体代替（印刷体为电脑打出的字体）。</w:t>
      </w:r>
    </w:p>
    <w:p w14:paraId="16C41080">
      <w:pPr>
        <w:shd w:val="clear" w:color="auto" w:fill="auto"/>
        <w:ind w:firstLine="482"/>
        <w:rPr>
          <w:color w:val="auto"/>
          <w:sz w:val="24"/>
          <w:szCs w:val="24"/>
          <w:highlight w:val="none"/>
        </w:rPr>
      </w:pPr>
    </w:p>
    <w:p w14:paraId="183F6A7F">
      <w:pPr>
        <w:shd w:val="clear" w:color="auto" w:fill="auto"/>
        <w:spacing w:line="360" w:lineRule="auto"/>
        <w:ind w:firstLine="640"/>
        <w:jc w:val="center"/>
        <w:rPr>
          <w:rFonts w:ascii="宋体" w:hAnsi="宋体" w:cs="宋体"/>
          <w:b/>
          <w:bCs/>
          <w:color w:val="auto"/>
          <w:sz w:val="32"/>
          <w:szCs w:val="32"/>
          <w:highlight w:val="none"/>
        </w:rPr>
      </w:pPr>
      <w:r>
        <w:rPr>
          <w:rFonts w:hint="eastAsia" w:ascii="宋体" w:hAnsi="宋体" w:cs="宋体"/>
          <w:b/>
          <w:color w:val="auto"/>
          <w:sz w:val="32"/>
          <w:highlight w:val="none"/>
        </w:rPr>
        <w:br w:type="page"/>
      </w:r>
      <w:r>
        <w:rPr>
          <w:rFonts w:hint="eastAsia" w:ascii="宋体" w:hAnsi="宋体" w:cs="宋体"/>
          <w:b/>
          <w:color w:val="auto"/>
          <w:sz w:val="32"/>
          <w:highlight w:val="none"/>
        </w:rPr>
        <w:t>四、</w:t>
      </w:r>
      <w:bookmarkEnd w:id="1399"/>
      <w:bookmarkEnd w:id="1400"/>
      <w:bookmarkEnd w:id="1401"/>
      <w:bookmarkEnd w:id="1402"/>
      <w:bookmarkEnd w:id="1403"/>
      <w:bookmarkEnd w:id="1404"/>
      <w:bookmarkEnd w:id="1405"/>
      <w:bookmarkEnd w:id="1406"/>
      <w:r>
        <w:rPr>
          <w:rFonts w:hint="eastAsia" w:ascii="宋体" w:hAnsi="宋体" w:cs="宋体"/>
          <w:b/>
          <w:bCs/>
          <w:color w:val="auto"/>
          <w:sz w:val="32"/>
          <w:szCs w:val="32"/>
          <w:highlight w:val="none"/>
        </w:rPr>
        <w:t>投标承诺函</w:t>
      </w:r>
    </w:p>
    <w:p w14:paraId="55C7CA18">
      <w:pPr>
        <w:shd w:val="clear" w:color="auto" w:fill="auto"/>
        <w:spacing w:line="480" w:lineRule="auto"/>
        <w:ind w:firstLine="480" w:firstLineChars="200"/>
        <w:rPr>
          <w:rFonts w:hint="eastAsia" w:ascii="宋体" w:cs="宋体"/>
          <w:b/>
          <w:bCs/>
          <w:color w:val="auto"/>
          <w:sz w:val="32"/>
          <w:szCs w:val="32"/>
          <w:highlight w:val="none"/>
        </w:rPr>
      </w:pPr>
      <w:r>
        <w:rPr>
          <w:rFonts w:hint="eastAsia" w:ascii="宋体" w:hAnsi="宋体" w:cs="宋体"/>
          <w:color w:val="auto"/>
          <w:sz w:val="24"/>
          <w:szCs w:val="24"/>
          <w:highlight w:val="none"/>
        </w:rPr>
        <w:t>我公司在参加</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项目的磋商活动中，郑重承诺如下：</w:t>
      </w:r>
    </w:p>
    <w:p w14:paraId="31642A74">
      <w:pPr>
        <w:shd w:val="clear" w:color="auto" w:fill="auto"/>
        <w:tabs>
          <w:tab w:val="right" w:pos="6077"/>
        </w:tabs>
        <w:autoSpaceDE w:val="0"/>
        <w:autoSpaceDN w:val="0"/>
        <w:spacing w:line="480" w:lineRule="auto"/>
        <w:ind w:firstLine="480" w:firstLineChars="200"/>
        <w:rPr>
          <w:rFonts w:hint="eastAsia" w:ascii="宋体" w:cs="宋体"/>
          <w:color w:val="auto"/>
          <w:sz w:val="24"/>
          <w:szCs w:val="24"/>
          <w:highlight w:val="none"/>
        </w:rPr>
      </w:pPr>
      <w:r>
        <w:rPr>
          <w:rFonts w:hint="eastAsia" w:ascii="宋体" w:hAnsi="宋体" w:cs="宋体"/>
          <w:color w:val="auto"/>
          <w:sz w:val="24"/>
          <w:szCs w:val="24"/>
          <w:highlight w:val="none"/>
        </w:rPr>
        <w:t>1.我方同意承担磋商所发生的一切费用；</w:t>
      </w:r>
    </w:p>
    <w:p w14:paraId="5679046A">
      <w:pPr>
        <w:shd w:val="clear" w:color="auto" w:fill="auto"/>
        <w:tabs>
          <w:tab w:val="right" w:pos="6077"/>
        </w:tabs>
        <w:autoSpaceDE w:val="0"/>
        <w:autoSpaceDN w:val="0"/>
        <w:spacing w:line="480" w:lineRule="auto"/>
        <w:ind w:firstLine="480" w:firstLineChars="200"/>
        <w:rPr>
          <w:rFonts w:hint="eastAsia" w:ascii="宋体" w:cs="宋体"/>
          <w:color w:val="auto"/>
          <w:sz w:val="24"/>
          <w:szCs w:val="24"/>
          <w:highlight w:val="none"/>
        </w:rPr>
      </w:pPr>
      <w:r>
        <w:rPr>
          <w:rFonts w:hint="eastAsia" w:ascii="宋体" w:hAnsi="宋体" w:cs="宋体"/>
          <w:color w:val="auto"/>
          <w:sz w:val="24"/>
          <w:szCs w:val="24"/>
          <w:highlight w:val="none"/>
        </w:rPr>
        <w:t>2.我方在此声明，本次采购活动中申报的所有资料都是真实、准确完整的，如发现虚假资料，或与事实不符而导致磋商无效，甚至造成任何法律和经济责任，完全由我方负责；</w:t>
      </w:r>
    </w:p>
    <w:p w14:paraId="47F613BB">
      <w:pPr>
        <w:shd w:val="clear" w:color="auto" w:fill="auto"/>
        <w:tabs>
          <w:tab w:val="right" w:pos="6077"/>
        </w:tabs>
        <w:autoSpaceDE w:val="0"/>
        <w:autoSpaceDN w:val="0"/>
        <w:spacing w:line="480" w:lineRule="auto"/>
        <w:ind w:firstLine="480" w:firstLineChars="200"/>
        <w:rPr>
          <w:rFonts w:hint="eastAsia" w:ascii="宋体" w:cs="宋体"/>
          <w:color w:val="auto"/>
          <w:sz w:val="24"/>
          <w:szCs w:val="24"/>
          <w:highlight w:val="none"/>
        </w:rPr>
      </w:pPr>
      <w:r>
        <w:rPr>
          <w:rFonts w:hint="eastAsia" w:ascii="宋体" w:hAnsi="宋体" w:cs="宋体"/>
          <w:color w:val="auto"/>
          <w:sz w:val="24"/>
          <w:szCs w:val="24"/>
          <w:highlight w:val="none"/>
        </w:rPr>
        <w:t>3.我方在本次磋商活动中绝无资质挂靠、串标、围标情形，若经贵方查出，立即取消我方磋商资格并承担相应的法律责任；</w:t>
      </w:r>
    </w:p>
    <w:p w14:paraId="154EF152">
      <w:pPr>
        <w:shd w:val="clear" w:color="auto" w:fill="auto"/>
        <w:tabs>
          <w:tab w:val="right" w:pos="6077"/>
        </w:tabs>
        <w:autoSpaceDE w:val="0"/>
        <w:autoSpaceDN w:val="0"/>
        <w:spacing w:line="480" w:lineRule="auto"/>
        <w:ind w:firstLine="480" w:firstLineChars="200"/>
        <w:rPr>
          <w:rFonts w:hint="eastAsia" w:ascii="宋体" w:cs="宋体"/>
          <w:color w:val="auto"/>
          <w:sz w:val="24"/>
          <w:szCs w:val="24"/>
          <w:highlight w:val="none"/>
        </w:rPr>
      </w:pPr>
      <w:r>
        <w:rPr>
          <w:rFonts w:hint="eastAsia" w:ascii="宋体" w:hAnsi="宋体" w:cs="宋体"/>
          <w:color w:val="auto"/>
          <w:sz w:val="24"/>
          <w:szCs w:val="24"/>
          <w:highlight w:val="none"/>
        </w:rPr>
        <w:t>4.我方一旦成交，将按规定及时与采购单位签订合同，并严格按照投标文件中所承诺的报价、质量、工期、投标方案、项目经理等资料组织实施；</w:t>
      </w:r>
    </w:p>
    <w:p w14:paraId="5D75D238">
      <w:pPr>
        <w:shd w:val="clear" w:color="auto" w:fill="auto"/>
        <w:tabs>
          <w:tab w:val="right" w:pos="6077"/>
        </w:tabs>
        <w:autoSpaceDE w:val="0"/>
        <w:autoSpaceDN w:val="0"/>
        <w:spacing w:line="480" w:lineRule="auto"/>
        <w:ind w:firstLine="480" w:firstLineChars="200"/>
        <w:rPr>
          <w:rFonts w:hint="eastAsia" w:ascii="宋体" w:cs="宋体"/>
          <w:color w:val="auto"/>
          <w:sz w:val="24"/>
          <w:szCs w:val="24"/>
          <w:highlight w:val="none"/>
        </w:rPr>
      </w:pPr>
      <w:r>
        <w:rPr>
          <w:rFonts w:hint="eastAsia" w:ascii="宋体" w:hAnsi="宋体" w:cs="宋体"/>
          <w:color w:val="auto"/>
          <w:sz w:val="24"/>
          <w:szCs w:val="24"/>
          <w:highlight w:val="none"/>
        </w:rPr>
        <w:t>5.我方保证对相关法律法规及上述磋商文件中规定需要保密的内容严格履行保密义务。</w:t>
      </w:r>
    </w:p>
    <w:p w14:paraId="3BDA7234">
      <w:pPr>
        <w:shd w:val="clear" w:color="auto" w:fill="auto"/>
        <w:tabs>
          <w:tab w:val="right" w:pos="6077"/>
        </w:tabs>
        <w:autoSpaceDE w:val="0"/>
        <w:autoSpaceDN w:val="0"/>
        <w:spacing w:line="480" w:lineRule="auto"/>
        <w:ind w:firstLine="480" w:firstLineChars="200"/>
        <w:rPr>
          <w:rFonts w:hint="eastAsia" w:ascii="宋体" w:cs="宋体"/>
          <w:color w:val="auto"/>
          <w:sz w:val="24"/>
          <w:szCs w:val="24"/>
          <w:highlight w:val="none"/>
        </w:rPr>
      </w:pPr>
      <w:r>
        <w:rPr>
          <w:rFonts w:hint="eastAsia" w:ascii="宋体" w:hAnsi="宋体" w:cs="宋体"/>
          <w:color w:val="auto"/>
          <w:sz w:val="24"/>
          <w:szCs w:val="24"/>
          <w:highlight w:val="none"/>
        </w:rPr>
        <w:t>我方有上述情形之一的，贵单位有权将上述情况上报财政部门，建议财政部门将我公司列入政府采购不良行为纪录名单，在一至三年内禁止参加政府采购活动，并予以通报；给贵单位造成经济损失的，依照有关民事法律规定向贵单位承担民事责任。</w:t>
      </w:r>
    </w:p>
    <w:p w14:paraId="29D6FA05">
      <w:pPr>
        <w:shd w:val="clear" w:color="auto" w:fill="auto"/>
        <w:tabs>
          <w:tab w:val="right" w:pos="6077"/>
        </w:tabs>
        <w:autoSpaceDE w:val="0"/>
        <w:autoSpaceDN w:val="0"/>
        <w:spacing w:line="480" w:lineRule="auto"/>
        <w:ind w:firstLine="480" w:firstLineChars="200"/>
        <w:rPr>
          <w:rFonts w:hint="eastAsia" w:ascii="宋体" w:cs="宋体"/>
          <w:color w:val="auto"/>
          <w:sz w:val="24"/>
          <w:szCs w:val="24"/>
          <w:highlight w:val="none"/>
        </w:rPr>
      </w:pPr>
      <w:r>
        <w:rPr>
          <w:rFonts w:hint="eastAsia" w:ascii="宋体" w:hAnsi="宋体" w:cs="宋体"/>
          <w:color w:val="auto"/>
          <w:sz w:val="24"/>
          <w:szCs w:val="24"/>
          <w:highlight w:val="none"/>
        </w:rPr>
        <w:t>我方已明确理解了上述条款的含义并确保履行。</w:t>
      </w:r>
    </w:p>
    <w:p w14:paraId="2234B6F1">
      <w:pPr>
        <w:shd w:val="clear" w:color="auto" w:fill="auto"/>
        <w:spacing w:line="460" w:lineRule="exact"/>
        <w:ind w:firstLine="482"/>
        <w:rPr>
          <w:rFonts w:hint="eastAsia" w:ascii="宋体" w:hAnsi="宋体"/>
          <w:color w:val="auto"/>
          <w:sz w:val="24"/>
          <w:szCs w:val="24"/>
          <w:highlight w:val="none"/>
        </w:rPr>
      </w:pPr>
    </w:p>
    <w:p w14:paraId="2FA4DB02">
      <w:pPr>
        <w:widowControl/>
        <w:shd w:val="clear" w:color="auto" w:fill="auto"/>
        <w:adjustRightInd w:val="0"/>
        <w:spacing w:line="360" w:lineRule="auto"/>
        <w:ind w:firstLine="48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供应商：（电子签章）</w:t>
      </w:r>
    </w:p>
    <w:p w14:paraId="4E8886C1">
      <w:pPr>
        <w:widowControl/>
        <w:shd w:val="clear" w:color="auto" w:fill="auto"/>
        <w:adjustRightInd w:val="0"/>
        <w:spacing w:line="360" w:lineRule="auto"/>
        <w:ind w:firstLine="482"/>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法定代表人或其委托代理人：（电子签章）</w:t>
      </w:r>
    </w:p>
    <w:p w14:paraId="3E161DEB">
      <w:pPr>
        <w:widowControl/>
        <w:shd w:val="clear" w:color="auto" w:fill="auto"/>
        <w:adjustRightInd w:val="0"/>
        <w:spacing w:line="360" w:lineRule="auto"/>
        <w:ind w:firstLine="482"/>
        <w:jc w:val="left"/>
        <w:rPr>
          <w:rFonts w:hint="eastAsia" w:ascii="宋体" w:hAnsi="宋体" w:cs="宋体"/>
          <w:color w:val="auto"/>
          <w:kern w:val="0"/>
          <w:sz w:val="22"/>
          <w:szCs w:val="22"/>
          <w:highlight w:val="none"/>
        </w:rPr>
      </w:pPr>
      <w:r>
        <w:rPr>
          <w:rFonts w:hint="eastAsia" w:ascii="宋体" w:hAnsi="宋体" w:cs="宋体"/>
          <w:color w:val="auto"/>
          <w:kern w:val="0"/>
          <w:sz w:val="24"/>
          <w:szCs w:val="24"/>
          <w:highlight w:val="none"/>
        </w:rPr>
        <w:t>日期：  年  月  日</w:t>
      </w:r>
    </w:p>
    <w:p w14:paraId="0CE70E81">
      <w:pPr>
        <w:pStyle w:val="2"/>
        <w:shd w:val="clear" w:color="auto" w:fill="auto"/>
        <w:ind w:firstLine="482"/>
        <w:jc w:val="center"/>
        <w:rPr>
          <w:rFonts w:hint="eastAsia" w:ascii="宋体" w:hAnsi="宋体" w:eastAsia="宋体" w:cs="宋体"/>
          <w:color w:val="auto"/>
          <w:highlight w:val="none"/>
        </w:rPr>
      </w:pPr>
      <w:r>
        <w:rPr>
          <w:rFonts w:hint="eastAsia" w:ascii="宋体" w:hAnsi="宋体"/>
          <w:b w:val="0"/>
          <w:bCs w:val="0"/>
          <w:color w:val="auto"/>
          <w:sz w:val="24"/>
          <w:highlight w:val="none"/>
        </w:rPr>
        <w:br w:type="page"/>
      </w:r>
      <w:bookmarkStart w:id="1407" w:name="_Toc247085881"/>
      <w:bookmarkStart w:id="1408" w:name="_Toc246996363"/>
      <w:bookmarkStart w:id="1409" w:name="_Toc179632815"/>
      <w:bookmarkStart w:id="1410" w:name="_Toc77586971"/>
      <w:bookmarkStart w:id="1411" w:name="_Toc152042584"/>
      <w:bookmarkStart w:id="1412" w:name="_Toc8357"/>
      <w:bookmarkStart w:id="1413" w:name="_Toc246997106"/>
      <w:bookmarkStart w:id="1414" w:name="_Toc77586873"/>
      <w:bookmarkStart w:id="1415" w:name="_Toc296602608"/>
      <w:bookmarkStart w:id="1416" w:name="_Toc152045795"/>
      <w:bookmarkStart w:id="1417" w:name="_Toc144974863"/>
      <w:bookmarkStart w:id="1418" w:name="_Toc24154"/>
      <w:bookmarkStart w:id="1419" w:name="_Toc246996364"/>
      <w:bookmarkStart w:id="1420" w:name="_Toc152042585"/>
      <w:bookmarkStart w:id="1421" w:name="_Toc247085882"/>
      <w:bookmarkStart w:id="1422" w:name="_Toc144974864"/>
      <w:bookmarkStart w:id="1423" w:name="_Toc246997107"/>
      <w:bookmarkStart w:id="1424" w:name="_Toc296602609"/>
      <w:bookmarkStart w:id="1425" w:name="_Toc179632816"/>
      <w:bookmarkStart w:id="1426" w:name="_Toc152045796"/>
      <w:r>
        <w:rPr>
          <w:rFonts w:hint="eastAsia" w:ascii="宋体" w:hAnsi="宋体" w:eastAsia="宋体" w:cs="宋体"/>
          <w:color w:val="auto"/>
          <w:highlight w:val="none"/>
        </w:rPr>
        <w:t>五、已标价工程量清单</w:t>
      </w:r>
      <w:bookmarkEnd w:id="1407"/>
      <w:bookmarkEnd w:id="1408"/>
      <w:bookmarkEnd w:id="1409"/>
      <w:bookmarkEnd w:id="1410"/>
      <w:bookmarkEnd w:id="1411"/>
      <w:bookmarkEnd w:id="1412"/>
      <w:bookmarkEnd w:id="1413"/>
      <w:bookmarkEnd w:id="1414"/>
      <w:bookmarkEnd w:id="1415"/>
      <w:bookmarkEnd w:id="1416"/>
      <w:bookmarkEnd w:id="1417"/>
      <w:bookmarkEnd w:id="1418"/>
    </w:p>
    <w:p w14:paraId="4EA05369">
      <w:pPr>
        <w:shd w:val="clear" w:color="auto" w:fill="auto"/>
        <w:spacing w:line="440" w:lineRule="exact"/>
        <w:ind w:firstLine="640"/>
        <w:jc w:val="center"/>
        <w:rPr>
          <w:rFonts w:hint="eastAsia" w:ascii="宋体" w:hAnsi="宋体" w:cs="宋体"/>
          <w:b/>
          <w:color w:val="auto"/>
          <w:sz w:val="32"/>
          <w:szCs w:val="32"/>
          <w:highlight w:val="none"/>
        </w:rPr>
      </w:pPr>
    </w:p>
    <w:p w14:paraId="33D19548">
      <w:pPr>
        <w:shd w:val="clear" w:color="auto" w:fill="auto"/>
        <w:spacing w:line="440" w:lineRule="exact"/>
        <w:ind w:firstLine="640"/>
        <w:jc w:val="center"/>
        <w:rPr>
          <w:rFonts w:hint="eastAsia" w:ascii="宋体" w:hAnsi="宋体" w:cs="宋体"/>
          <w:b/>
          <w:color w:val="auto"/>
          <w:sz w:val="32"/>
          <w:szCs w:val="32"/>
          <w:highlight w:val="none"/>
        </w:rPr>
      </w:pPr>
    </w:p>
    <w:p w14:paraId="6FB74823">
      <w:pPr>
        <w:shd w:val="clear" w:color="auto" w:fill="auto"/>
        <w:spacing w:line="440" w:lineRule="exact"/>
        <w:ind w:firstLine="640"/>
        <w:jc w:val="center"/>
        <w:rPr>
          <w:rFonts w:hint="eastAsia" w:ascii="宋体" w:hAnsi="宋体" w:cs="宋体"/>
          <w:b/>
          <w:color w:val="auto"/>
          <w:sz w:val="32"/>
          <w:szCs w:val="32"/>
          <w:highlight w:val="none"/>
        </w:rPr>
      </w:pPr>
    </w:p>
    <w:p w14:paraId="3C49AD07">
      <w:pPr>
        <w:shd w:val="clear" w:color="auto" w:fill="auto"/>
        <w:spacing w:line="440" w:lineRule="exact"/>
        <w:ind w:firstLine="640"/>
        <w:jc w:val="center"/>
        <w:rPr>
          <w:rFonts w:hint="eastAsia" w:ascii="宋体" w:hAnsi="宋体" w:cs="宋体"/>
          <w:b/>
          <w:color w:val="auto"/>
          <w:sz w:val="32"/>
          <w:szCs w:val="32"/>
          <w:highlight w:val="none"/>
        </w:rPr>
      </w:pPr>
    </w:p>
    <w:p w14:paraId="02D01D58">
      <w:pPr>
        <w:shd w:val="clear" w:color="auto" w:fill="auto"/>
        <w:spacing w:line="440" w:lineRule="exact"/>
        <w:ind w:firstLine="640"/>
        <w:jc w:val="center"/>
        <w:rPr>
          <w:rFonts w:hint="eastAsia" w:ascii="宋体" w:hAnsi="宋体" w:cs="宋体"/>
          <w:b/>
          <w:color w:val="auto"/>
          <w:sz w:val="32"/>
          <w:szCs w:val="32"/>
          <w:highlight w:val="none"/>
        </w:rPr>
      </w:pPr>
    </w:p>
    <w:p w14:paraId="432355FC">
      <w:pPr>
        <w:shd w:val="clear" w:color="auto" w:fill="auto"/>
        <w:spacing w:line="440" w:lineRule="exact"/>
        <w:ind w:firstLine="640"/>
        <w:jc w:val="center"/>
        <w:rPr>
          <w:rFonts w:hint="eastAsia" w:ascii="宋体" w:hAnsi="宋体" w:cs="宋体"/>
          <w:b/>
          <w:color w:val="auto"/>
          <w:sz w:val="32"/>
          <w:szCs w:val="32"/>
          <w:highlight w:val="none"/>
        </w:rPr>
      </w:pPr>
    </w:p>
    <w:p w14:paraId="706EF046">
      <w:pPr>
        <w:shd w:val="clear" w:color="auto" w:fill="auto"/>
        <w:spacing w:line="440" w:lineRule="exact"/>
        <w:ind w:firstLine="640"/>
        <w:jc w:val="center"/>
        <w:rPr>
          <w:rFonts w:hint="eastAsia" w:ascii="宋体" w:hAnsi="宋体" w:cs="宋体"/>
          <w:b/>
          <w:color w:val="auto"/>
          <w:sz w:val="32"/>
          <w:szCs w:val="32"/>
          <w:highlight w:val="none"/>
        </w:rPr>
      </w:pPr>
    </w:p>
    <w:p w14:paraId="160E19AB">
      <w:pPr>
        <w:shd w:val="clear" w:color="auto" w:fill="auto"/>
        <w:spacing w:line="440" w:lineRule="exact"/>
        <w:ind w:firstLine="640"/>
        <w:jc w:val="center"/>
        <w:rPr>
          <w:rFonts w:hint="eastAsia" w:ascii="宋体" w:hAnsi="宋体" w:cs="宋体"/>
          <w:b/>
          <w:color w:val="auto"/>
          <w:sz w:val="32"/>
          <w:szCs w:val="32"/>
          <w:highlight w:val="none"/>
        </w:rPr>
      </w:pPr>
    </w:p>
    <w:p w14:paraId="77EB726E">
      <w:pPr>
        <w:shd w:val="clear" w:color="auto" w:fill="auto"/>
        <w:spacing w:line="440" w:lineRule="exact"/>
        <w:ind w:firstLine="640"/>
        <w:jc w:val="center"/>
        <w:rPr>
          <w:rFonts w:hint="eastAsia" w:ascii="宋体" w:hAnsi="宋体" w:cs="宋体"/>
          <w:b/>
          <w:color w:val="auto"/>
          <w:sz w:val="32"/>
          <w:szCs w:val="32"/>
          <w:highlight w:val="none"/>
        </w:rPr>
      </w:pPr>
    </w:p>
    <w:p w14:paraId="7D931179">
      <w:pPr>
        <w:shd w:val="clear" w:color="auto" w:fill="auto"/>
        <w:spacing w:line="440" w:lineRule="exact"/>
        <w:ind w:firstLine="640"/>
        <w:jc w:val="center"/>
        <w:rPr>
          <w:rFonts w:hint="eastAsia" w:ascii="宋体" w:hAnsi="宋体" w:cs="宋体"/>
          <w:b/>
          <w:color w:val="auto"/>
          <w:sz w:val="32"/>
          <w:szCs w:val="32"/>
          <w:highlight w:val="none"/>
        </w:rPr>
      </w:pPr>
    </w:p>
    <w:p w14:paraId="22A2651D">
      <w:pPr>
        <w:shd w:val="clear" w:color="auto" w:fill="auto"/>
        <w:spacing w:line="440" w:lineRule="exact"/>
        <w:ind w:firstLine="640"/>
        <w:jc w:val="center"/>
        <w:rPr>
          <w:rFonts w:hint="eastAsia" w:ascii="宋体" w:hAnsi="宋体" w:cs="宋体"/>
          <w:b/>
          <w:color w:val="auto"/>
          <w:sz w:val="32"/>
          <w:szCs w:val="32"/>
          <w:highlight w:val="none"/>
        </w:rPr>
      </w:pPr>
    </w:p>
    <w:p w14:paraId="71563D5F">
      <w:pPr>
        <w:shd w:val="clear" w:color="auto" w:fill="auto"/>
        <w:spacing w:line="440" w:lineRule="exact"/>
        <w:ind w:firstLine="640"/>
        <w:jc w:val="center"/>
        <w:rPr>
          <w:rFonts w:hint="eastAsia" w:ascii="宋体" w:hAnsi="宋体" w:cs="宋体"/>
          <w:b/>
          <w:color w:val="auto"/>
          <w:sz w:val="32"/>
          <w:szCs w:val="32"/>
          <w:highlight w:val="none"/>
        </w:rPr>
      </w:pPr>
    </w:p>
    <w:p w14:paraId="561EB5B2">
      <w:pPr>
        <w:shd w:val="clear" w:color="auto" w:fill="auto"/>
        <w:spacing w:line="440" w:lineRule="exact"/>
        <w:ind w:firstLine="64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六、施工组织设计</w:t>
      </w:r>
      <w:bookmarkEnd w:id="1419"/>
      <w:bookmarkEnd w:id="1420"/>
      <w:bookmarkEnd w:id="1421"/>
      <w:bookmarkEnd w:id="1422"/>
      <w:bookmarkEnd w:id="1423"/>
      <w:bookmarkEnd w:id="1424"/>
      <w:bookmarkEnd w:id="1425"/>
      <w:bookmarkEnd w:id="1426"/>
    </w:p>
    <w:p w14:paraId="2AE07697">
      <w:pPr>
        <w:shd w:val="clear" w:color="auto" w:fill="auto"/>
        <w:spacing w:line="440" w:lineRule="exact"/>
        <w:ind w:firstLine="482"/>
        <w:rPr>
          <w:rFonts w:hint="eastAsia" w:ascii="宋体" w:hAnsi="宋体" w:cs="宋体"/>
          <w:color w:val="auto"/>
          <w:highlight w:val="none"/>
        </w:rPr>
      </w:pPr>
    </w:p>
    <w:p w14:paraId="1BC5A715">
      <w:pPr>
        <w:shd w:val="clear" w:color="auto" w:fill="auto"/>
        <w:tabs>
          <w:tab w:val="left" w:pos="720"/>
        </w:tabs>
        <w:spacing w:line="440" w:lineRule="exact"/>
        <w:ind w:firstLine="480" w:firstLineChars="200"/>
        <w:rPr>
          <w:rFonts w:hint="eastAsia" w:ascii="宋体" w:hAnsi="宋体"/>
          <w:color w:val="auto"/>
          <w:sz w:val="24"/>
          <w:highlight w:val="none"/>
        </w:rPr>
      </w:pPr>
      <w:bookmarkStart w:id="1427" w:name="_Toc179632823"/>
      <w:bookmarkStart w:id="1428" w:name="_Toc152042592"/>
      <w:bookmarkStart w:id="1429" w:name="_Toc246996369"/>
      <w:bookmarkStart w:id="1430" w:name="_Toc247085887"/>
      <w:bookmarkStart w:id="1431" w:name="_Toc144974871"/>
      <w:bookmarkStart w:id="1432" w:name="_Toc152045803"/>
      <w:bookmarkStart w:id="1433" w:name="_Toc246997112"/>
      <w:bookmarkStart w:id="1434" w:name="_Toc296602614"/>
      <w:r>
        <w:rPr>
          <w:rFonts w:hint="eastAsia" w:ascii="宋体" w:hAnsi="宋体"/>
          <w:color w:val="auto"/>
          <w:sz w:val="24"/>
          <w:highlight w:val="none"/>
        </w:rPr>
        <w:t>1.投标人编制施工组织设计的要求：编制时应简明扼要地说明施工方法，工程质量、安全生产、文明施工、环境保护、工程进度、技术组织等主要措施。用图表形式阐明本项目的施工进度计划以及拟投入主要施工设备、劳动力、项目管理机构等。</w:t>
      </w:r>
    </w:p>
    <w:p w14:paraId="7F83B1EE">
      <w:pPr>
        <w:shd w:val="clear" w:color="auto" w:fill="auto"/>
        <w:tabs>
          <w:tab w:val="left" w:pos="720"/>
        </w:tabs>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2.图表及格式要求：</w:t>
      </w:r>
    </w:p>
    <w:p w14:paraId="60FB830A">
      <w:pPr>
        <w:shd w:val="clear" w:color="auto" w:fill="auto"/>
        <w:tabs>
          <w:tab w:val="left" w:pos="720"/>
        </w:tabs>
        <w:spacing w:line="440" w:lineRule="exact"/>
        <w:ind w:firstLine="864" w:firstLineChars="360"/>
        <w:rPr>
          <w:rFonts w:hint="eastAsia" w:ascii="宋体" w:hAnsi="宋体"/>
          <w:color w:val="auto"/>
          <w:sz w:val="24"/>
          <w:highlight w:val="none"/>
        </w:rPr>
      </w:pPr>
      <w:r>
        <w:rPr>
          <w:rFonts w:hint="eastAsia" w:ascii="宋体" w:hAnsi="宋体"/>
          <w:color w:val="auto"/>
          <w:sz w:val="24"/>
          <w:highlight w:val="none"/>
        </w:rPr>
        <w:t>附表一  拟投入的主要施工设备表</w:t>
      </w:r>
    </w:p>
    <w:p w14:paraId="0EE9EE84">
      <w:pPr>
        <w:shd w:val="clear" w:color="auto" w:fill="auto"/>
        <w:tabs>
          <w:tab w:val="left" w:pos="720"/>
        </w:tabs>
        <w:spacing w:line="440" w:lineRule="exact"/>
        <w:ind w:firstLine="864" w:firstLineChars="360"/>
        <w:rPr>
          <w:rFonts w:hint="eastAsia" w:ascii="宋体" w:hAnsi="宋体"/>
          <w:color w:val="auto"/>
          <w:sz w:val="24"/>
          <w:highlight w:val="none"/>
        </w:rPr>
      </w:pPr>
      <w:r>
        <w:rPr>
          <w:rFonts w:hint="eastAsia" w:ascii="宋体" w:hAnsi="宋体"/>
          <w:color w:val="auto"/>
          <w:sz w:val="24"/>
          <w:highlight w:val="none"/>
        </w:rPr>
        <w:t>附表二  劳动力计划表</w:t>
      </w:r>
    </w:p>
    <w:p w14:paraId="24314D2B">
      <w:pPr>
        <w:shd w:val="clear" w:color="auto" w:fill="auto"/>
        <w:tabs>
          <w:tab w:val="left" w:pos="720"/>
        </w:tabs>
        <w:spacing w:line="440" w:lineRule="exact"/>
        <w:ind w:firstLine="864" w:firstLineChars="360"/>
        <w:rPr>
          <w:rFonts w:hint="eastAsia" w:ascii="宋体" w:hAnsi="宋体"/>
          <w:color w:val="auto"/>
          <w:sz w:val="24"/>
          <w:highlight w:val="none"/>
        </w:rPr>
      </w:pPr>
      <w:r>
        <w:rPr>
          <w:rFonts w:hint="eastAsia" w:ascii="宋体" w:hAnsi="宋体"/>
          <w:color w:val="auto"/>
          <w:sz w:val="24"/>
          <w:highlight w:val="none"/>
        </w:rPr>
        <w:t>附表三  进度计划</w:t>
      </w:r>
    </w:p>
    <w:p w14:paraId="346CDE87">
      <w:pPr>
        <w:shd w:val="clear" w:color="auto" w:fill="auto"/>
        <w:spacing w:line="440" w:lineRule="exact"/>
        <w:ind w:firstLine="402"/>
        <w:rPr>
          <w:rFonts w:hint="eastAsia" w:ascii="宋体" w:hAnsi="宋体"/>
          <w:color w:val="auto"/>
          <w:sz w:val="20"/>
          <w:szCs w:val="20"/>
          <w:highlight w:val="none"/>
        </w:rPr>
      </w:pPr>
    </w:p>
    <w:p w14:paraId="692F91B3">
      <w:pPr>
        <w:shd w:val="clear" w:color="auto" w:fill="auto"/>
        <w:spacing w:line="440" w:lineRule="exact"/>
        <w:ind w:firstLine="402"/>
        <w:rPr>
          <w:rFonts w:hint="eastAsia" w:ascii="宋体" w:hAnsi="宋体"/>
          <w:color w:val="auto"/>
          <w:sz w:val="20"/>
          <w:szCs w:val="20"/>
          <w:highlight w:val="none"/>
        </w:rPr>
      </w:pPr>
    </w:p>
    <w:p w14:paraId="5A08E50B">
      <w:pPr>
        <w:shd w:val="clear" w:color="auto" w:fill="auto"/>
        <w:spacing w:line="440" w:lineRule="exact"/>
        <w:ind w:firstLine="402"/>
        <w:rPr>
          <w:rFonts w:hint="eastAsia" w:ascii="宋体" w:hAnsi="宋体"/>
          <w:color w:val="auto"/>
          <w:sz w:val="20"/>
          <w:szCs w:val="20"/>
          <w:highlight w:val="none"/>
        </w:rPr>
      </w:pPr>
    </w:p>
    <w:p w14:paraId="33899FED">
      <w:pPr>
        <w:shd w:val="clear" w:color="auto" w:fill="auto"/>
        <w:spacing w:line="440" w:lineRule="exact"/>
        <w:ind w:firstLine="402"/>
        <w:rPr>
          <w:rFonts w:hint="eastAsia" w:ascii="宋体" w:hAnsi="宋体"/>
          <w:color w:val="auto"/>
          <w:sz w:val="20"/>
          <w:szCs w:val="20"/>
          <w:highlight w:val="none"/>
        </w:rPr>
      </w:pPr>
    </w:p>
    <w:p w14:paraId="12F40BA7">
      <w:pPr>
        <w:shd w:val="clear" w:color="auto" w:fill="auto"/>
        <w:spacing w:line="440" w:lineRule="exact"/>
        <w:ind w:firstLine="402"/>
        <w:rPr>
          <w:rFonts w:hint="eastAsia" w:ascii="宋体" w:hAnsi="宋体"/>
          <w:color w:val="auto"/>
          <w:sz w:val="20"/>
          <w:szCs w:val="20"/>
          <w:highlight w:val="none"/>
        </w:rPr>
      </w:pPr>
    </w:p>
    <w:p w14:paraId="10DE11C0">
      <w:pPr>
        <w:shd w:val="clear" w:color="auto" w:fill="auto"/>
        <w:spacing w:line="440" w:lineRule="exact"/>
        <w:ind w:firstLine="402"/>
        <w:rPr>
          <w:rFonts w:hint="eastAsia" w:ascii="宋体" w:hAnsi="宋体"/>
          <w:color w:val="auto"/>
          <w:sz w:val="20"/>
          <w:szCs w:val="20"/>
          <w:highlight w:val="none"/>
        </w:rPr>
      </w:pPr>
    </w:p>
    <w:p w14:paraId="69314536">
      <w:pPr>
        <w:shd w:val="clear" w:color="auto" w:fill="auto"/>
        <w:spacing w:line="440" w:lineRule="exact"/>
        <w:ind w:firstLine="402"/>
        <w:rPr>
          <w:rFonts w:hint="eastAsia" w:ascii="宋体" w:hAnsi="宋体"/>
          <w:color w:val="auto"/>
          <w:sz w:val="20"/>
          <w:szCs w:val="20"/>
          <w:highlight w:val="none"/>
        </w:rPr>
      </w:pPr>
    </w:p>
    <w:p w14:paraId="2187F6F2">
      <w:pPr>
        <w:shd w:val="clear" w:color="auto" w:fill="auto"/>
        <w:spacing w:line="440" w:lineRule="exact"/>
        <w:ind w:firstLine="402"/>
        <w:rPr>
          <w:rFonts w:hint="eastAsia" w:ascii="宋体" w:hAnsi="宋体"/>
          <w:color w:val="auto"/>
          <w:sz w:val="20"/>
          <w:szCs w:val="20"/>
          <w:highlight w:val="none"/>
        </w:rPr>
      </w:pPr>
    </w:p>
    <w:p w14:paraId="5528CF96">
      <w:pPr>
        <w:shd w:val="clear" w:color="auto" w:fill="auto"/>
        <w:spacing w:line="440" w:lineRule="exact"/>
        <w:ind w:firstLine="402"/>
        <w:rPr>
          <w:rFonts w:hint="eastAsia" w:ascii="宋体" w:hAnsi="宋体"/>
          <w:color w:val="auto"/>
          <w:sz w:val="20"/>
          <w:szCs w:val="20"/>
          <w:highlight w:val="none"/>
        </w:rPr>
      </w:pPr>
    </w:p>
    <w:p w14:paraId="2B7CCA76">
      <w:pPr>
        <w:shd w:val="clear" w:color="auto" w:fill="auto"/>
        <w:spacing w:line="440" w:lineRule="exact"/>
        <w:ind w:firstLine="402"/>
        <w:rPr>
          <w:rFonts w:hint="eastAsia" w:ascii="宋体" w:hAnsi="宋体"/>
          <w:color w:val="auto"/>
          <w:sz w:val="20"/>
          <w:szCs w:val="20"/>
          <w:highlight w:val="none"/>
        </w:rPr>
      </w:pPr>
    </w:p>
    <w:p w14:paraId="5FD5203D">
      <w:pPr>
        <w:shd w:val="clear" w:color="auto" w:fill="auto"/>
        <w:spacing w:line="440" w:lineRule="exact"/>
        <w:ind w:firstLine="402"/>
        <w:rPr>
          <w:rFonts w:hint="eastAsia" w:ascii="宋体" w:hAnsi="宋体"/>
          <w:color w:val="auto"/>
          <w:sz w:val="20"/>
          <w:szCs w:val="20"/>
          <w:highlight w:val="none"/>
        </w:rPr>
      </w:pPr>
    </w:p>
    <w:p w14:paraId="0FD4624D">
      <w:pPr>
        <w:shd w:val="clear" w:color="auto" w:fill="auto"/>
        <w:spacing w:line="440" w:lineRule="exact"/>
        <w:ind w:firstLine="402"/>
        <w:rPr>
          <w:rFonts w:hint="eastAsia" w:ascii="宋体" w:hAnsi="宋体"/>
          <w:color w:val="auto"/>
          <w:sz w:val="20"/>
          <w:szCs w:val="20"/>
          <w:highlight w:val="none"/>
        </w:rPr>
      </w:pPr>
    </w:p>
    <w:p w14:paraId="04D64E6D">
      <w:pPr>
        <w:shd w:val="clear" w:color="auto" w:fill="auto"/>
        <w:spacing w:line="440" w:lineRule="exact"/>
        <w:ind w:firstLine="402"/>
        <w:rPr>
          <w:rFonts w:hint="eastAsia" w:ascii="宋体" w:hAnsi="宋体"/>
          <w:color w:val="auto"/>
          <w:sz w:val="20"/>
          <w:szCs w:val="20"/>
          <w:highlight w:val="none"/>
        </w:rPr>
      </w:pPr>
    </w:p>
    <w:p w14:paraId="15448D3D">
      <w:pPr>
        <w:shd w:val="clear" w:color="auto" w:fill="auto"/>
        <w:spacing w:line="440" w:lineRule="exact"/>
        <w:ind w:firstLine="402"/>
        <w:rPr>
          <w:rFonts w:hint="eastAsia" w:ascii="宋体" w:hAnsi="宋体"/>
          <w:color w:val="auto"/>
          <w:sz w:val="20"/>
          <w:szCs w:val="20"/>
          <w:highlight w:val="none"/>
        </w:rPr>
      </w:pPr>
    </w:p>
    <w:p w14:paraId="2D9D2B36">
      <w:pPr>
        <w:shd w:val="clear" w:color="auto" w:fill="auto"/>
        <w:spacing w:line="440" w:lineRule="exact"/>
        <w:ind w:firstLine="402"/>
        <w:rPr>
          <w:rFonts w:hint="eastAsia" w:ascii="宋体" w:hAnsi="宋体"/>
          <w:color w:val="auto"/>
          <w:sz w:val="20"/>
          <w:szCs w:val="20"/>
          <w:highlight w:val="none"/>
        </w:rPr>
      </w:pPr>
    </w:p>
    <w:p w14:paraId="533BF149">
      <w:pPr>
        <w:shd w:val="clear" w:color="auto" w:fill="auto"/>
        <w:spacing w:line="440" w:lineRule="exact"/>
        <w:ind w:firstLine="402"/>
        <w:rPr>
          <w:rFonts w:hint="eastAsia" w:ascii="宋体" w:hAnsi="宋体"/>
          <w:color w:val="auto"/>
          <w:sz w:val="20"/>
          <w:szCs w:val="20"/>
          <w:highlight w:val="none"/>
        </w:rPr>
      </w:pPr>
    </w:p>
    <w:p w14:paraId="18FF0B7F">
      <w:pPr>
        <w:shd w:val="clear" w:color="auto" w:fill="auto"/>
        <w:spacing w:line="440" w:lineRule="exact"/>
        <w:ind w:firstLine="402"/>
        <w:rPr>
          <w:rFonts w:hint="eastAsia" w:ascii="宋体" w:hAnsi="宋体"/>
          <w:color w:val="auto"/>
          <w:sz w:val="20"/>
          <w:szCs w:val="20"/>
          <w:highlight w:val="none"/>
        </w:rPr>
      </w:pPr>
    </w:p>
    <w:p w14:paraId="369D63EF">
      <w:pPr>
        <w:shd w:val="clear" w:color="auto" w:fill="auto"/>
        <w:spacing w:line="440" w:lineRule="exact"/>
        <w:ind w:firstLine="402"/>
        <w:rPr>
          <w:rFonts w:hint="eastAsia" w:ascii="宋体" w:hAnsi="宋体"/>
          <w:color w:val="auto"/>
          <w:sz w:val="20"/>
          <w:szCs w:val="20"/>
          <w:highlight w:val="none"/>
        </w:rPr>
      </w:pPr>
    </w:p>
    <w:p w14:paraId="31FFA216">
      <w:pPr>
        <w:shd w:val="clear" w:color="auto" w:fill="auto"/>
        <w:spacing w:line="440" w:lineRule="exact"/>
        <w:ind w:firstLine="402"/>
        <w:rPr>
          <w:rFonts w:hint="eastAsia" w:ascii="宋体" w:hAnsi="宋体"/>
          <w:color w:val="auto"/>
          <w:sz w:val="20"/>
          <w:szCs w:val="20"/>
          <w:highlight w:val="none"/>
        </w:rPr>
      </w:pPr>
    </w:p>
    <w:p w14:paraId="00705629">
      <w:pPr>
        <w:shd w:val="clear" w:color="auto" w:fill="auto"/>
        <w:spacing w:line="440" w:lineRule="exact"/>
        <w:ind w:firstLine="402"/>
        <w:rPr>
          <w:rFonts w:hint="eastAsia" w:ascii="宋体" w:hAnsi="宋体"/>
          <w:color w:val="auto"/>
          <w:sz w:val="20"/>
          <w:szCs w:val="20"/>
          <w:highlight w:val="none"/>
        </w:rPr>
      </w:pPr>
    </w:p>
    <w:p w14:paraId="2AEE2C6A">
      <w:pPr>
        <w:pStyle w:val="3"/>
        <w:shd w:val="clear" w:color="auto" w:fill="auto"/>
        <w:ind w:firstLine="640"/>
        <w:rPr>
          <w:rFonts w:hint="eastAsia" w:ascii="宋体" w:hAnsi="宋体"/>
          <w:color w:val="auto"/>
          <w:highlight w:val="none"/>
        </w:rPr>
      </w:pPr>
      <w:bookmarkStart w:id="1435" w:name="_Toc29247"/>
      <w:bookmarkStart w:id="1436" w:name="_Toc144974865"/>
      <w:bookmarkStart w:id="1437" w:name="_Toc152045797"/>
      <w:bookmarkStart w:id="1438" w:name="_Toc152042586"/>
      <w:bookmarkStart w:id="1439" w:name="_Toc179632817"/>
      <w:bookmarkStart w:id="1440" w:name="_Toc296602610"/>
      <w:bookmarkStart w:id="1441" w:name="_Toc246996365"/>
      <w:bookmarkStart w:id="1442" w:name="_Toc77586973"/>
      <w:bookmarkStart w:id="1443" w:name="_Toc77586875"/>
      <w:bookmarkStart w:id="1444" w:name="_Toc247085883"/>
      <w:bookmarkStart w:id="1445" w:name="_Toc246997108"/>
      <w:bookmarkStart w:id="1446" w:name="_Toc3726"/>
      <w:r>
        <w:rPr>
          <w:rFonts w:hint="eastAsia" w:ascii="宋体" w:hAnsi="宋体"/>
          <w:color w:val="auto"/>
          <w:highlight w:val="none"/>
        </w:rPr>
        <w:br w:type="page"/>
      </w:r>
      <w:r>
        <w:rPr>
          <w:rFonts w:hint="eastAsia" w:ascii="宋体" w:hAnsi="宋体"/>
          <w:color w:val="auto"/>
          <w:highlight w:val="none"/>
        </w:rPr>
        <w:t>附表一：拟投入本项目的主要施工设备表</w:t>
      </w:r>
      <w:bookmarkEnd w:id="1435"/>
      <w:bookmarkEnd w:id="1436"/>
      <w:bookmarkEnd w:id="1437"/>
      <w:bookmarkEnd w:id="1438"/>
      <w:bookmarkEnd w:id="1439"/>
      <w:bookmarkEnd w:id="1440"/>
      <w:bookmarkEnd w:id="1441"/>
      <w:bookmarkEnd w:id="1442"/>
      <w:bookmarkEnd w:id="1443"/>
      <w:bookmarkEnd w:id="1444"/>
      <w:bookmarkEnd w:id="1445"/>
      <w:bookmarkEnd w:id="1446"/>
    </w:p>
    <w:tbl>
      <w:tblPr>
        <w:tblStyle w:val="12"/>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6"/>
        <w:gridCol w:w="780"/>
        <w:gridCol w:w="851"/>
        <w:gridCol w:w="850"/>
        <w:gridCol w:w="1028"/>
        <w:gridCol w:w="865"/>
        <w:gridCol w:w="1085"/>
        <w:gridCol w:w="874"/>
        <w:gridCol w:w="1055"/>
        <w:gridCol w:w="691"/>
      </w:tblGrid>
      <w:tr w14:paraId="2CD9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center"/>
          </w:tcPr>
          <w:p w14:paraId="585F0EE6">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序号</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0B7512A2">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设备名称</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F449025">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型号</w:t>
            </w:r>
          </w:p>
          <w:p w14:paraId="77608B18">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规格</w:t>
            </w:r>
          </w:p>
        </w:tc>
        <w:tc>
          <w:tcPr>
            <w:tcW w:w="850" w:type="dxa"/>
            <w:tcBorders>
              <w:top w:val="single" w:color="auto" w:sz="4" w:space="0"/>
              <w:left w:val="single" w:color="auto" w:sz="4" w:space="0"/>
              <w:bottom w:val="single" w:color="auto" w:sz="4" w:space="0"/>
              <w:right w:val="single" w:color="auto" w:sz="4" w:space="0"/>
            </w:tcBorders>
            <w:noWrap w:val="0"/>
            <w:vAlign w:val="center"/>
          </w:tcPr>
          <w:p w14:paraId="7A986978">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数量</w:t>
            </w:r>
          </w:p>
        </w:tc>
        <w:tc>
          <w:tcPr>
            <w:tcW w:w="1028" w:type="dxa"/>
            <w:tcBorders>
              <w:top w:val="single" w:color="auto" w:sz="4" w:space="0"/>
              <w:left w:val="single" w:color="auto" w:sz="4" w:space="0"/>
              <w:bottom w:val="single" w:color="auto" w:sz="4" w:space="0"/>
              <w:right w:val="single" w:color="auto" w:sz="4" w:space="0"/>
            </w:tcBorders>
            <w:noWrap w:val="0"/>
            <w:vAlign w:val="center"/>
          </w:tcPr>
          <w:p w14:paraId="532774E9">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国别</w:t>
            </w:r>
          </w:p>
          <w:p w14:paraId="0D82066D">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产地</w:t>
            </w:r>
          </w:p>
        </w:tc>
        <w:tc>
          <w:tcPr>
            <w:tcW w:w="865" w:type="dxa"/>
            <w:tcBorders>
              <w:top w:val="single" w:color="auto" w:sz="4" w:space="0"/>
              <w:left w:val="single" w:color="auto" w:sz="4" w:space="0"/>
              <w:bottom w:val="single" w:color="auto" w:sz="4" w:space="0"/>
              <w:right w:val="single" w:color="auto" w:sz="4" w:space="0"/>
            </w:tcBorders>
            <w:noWrap w:val="0"/>
            <w:vAlign w:val="center"/>
          </w:tcPr>
          <w:p w14:paraId="6030D70E">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制造</w:t>
            </w:r>
          </w:p>
          <w:p w14:paraId="3B643C3F">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年份</w:t>
            </w:r>
          </w:p>
        </w:tc>
        <w:tc>
          <w:tcPr>
            <w:tcW w:w="1085" w:type="dxa"/>
            <w:tcBorders>
              <w:top w:val="single" w:color="auto" w:sz="4" w:space="0"/>
              <w:left w:val="single" w:color="auto" w:sz="4" w:space="0"/>
              <w:bottom w:val="single" w:color="auto" w:sz="4" w:space="0"/>
              <w:right w:val="single" w:color="auto" w:sz="4" w:space="0"/>
            </w:tcBorders>
            <w:noWrap w:val="0"/>
            <w:vAlign w:val="center"/>
          </w:tcPr>
          <w:p w14:paraId="6369830E">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额定功率（kW）</w:t>
            </w:r>
          </w:p>
        </w:tc>
        <w:tc>
          <w:tcPr>
            <w:tcW w:w="874" w:type="dxa"/>
            <w:tcBorders>
              <w:top w:val="single" w:color="auto" w:sz="4" w:space="0"/>
              <w:left w:val="single" w:color="auto" w:sz="4" w:space="0"/>
              <w:bottom w:val="single" w:color="auto" w:sz="4" w:space="0"/>
              <w:right w:val="single" w:color="auto" w:sz="4" w:space="0"/>
            </w:tcBorders>
            <w:noWrap w:val="0"/>
            <w:vAlign w:val="center"/>
          </w:tcPr>
          <w:p w14:paraId="514A221F">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生产</w:t>
            </w:r>
          </w:p>
          <w:p w14:paraId="134F743A">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能力</w:t>
            </w:r>
          </w:p>
        </w:tc>
        <w:tc>
          <w:tcPr>
            <w:tcW w:w="1055" w:type="dxa"/>
            <w:tcBorders>
              <w:top w:val="single" w:color="auto" w:sz="4" w:space="0"/>
              <w:left w:val="single" w:color="auto" w:sz="4" w:space="0"/>
              <w:bottom w:val="single" w:color="auto" w:sz="4" w:space="0"/>
              <w:right w:val="single" w:color="auto" w:sz="4" w:space="0"/>
            </w:tcBorders>
            <w:noWrap w:val="0"/>
            <w:vAlign w:val="center"/>
          </w:tcPr>
          <w:p w14:paraId="7A3C56EE">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用于施工部位</w:t>
            </w:r>
          </w:p>
        </w:tc>
        <w:tc>
          <w:tcPr>
            <w:tcW w:w="691" w:type="dxa"/>
            <w:tcBorders>
              <w:top w:val="single" w:color="auto" w:sz="4" w:space="0"/>
              <w:left w:val="single" w:color="auto" w:sz="4" w:space="0"/>
              <w:bottom w:val="single" w:color="auto" w:sz="4" w:space="0"/>
              <w:right w:val="single" w:color="auto" w:sz="4" w:space="0"/>
            </w:tcBorders>
            <w:noWrap w:val="0"/>
            <w:vAlign w:val="center"/>
          </w:tcPr>
          <w:p w14:paraId="39B4FDA8">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备注</w:t>
            </w:r>
          </w:p>
        </w:tc>
      </w:tr>
      <w:tr w14:paraId="155EC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center"/>
          </w:tcPr>
          <w:p w14:paraId="43205F55">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0C62107E">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758E0682">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2517B18A">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16D0C3CF">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3FB25163">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14:paraId="00FCF5F6">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center"/>
          </w:tcPr>
          <w:p w14:paraId="2232194E">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61B03743">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center"/>
          </w:tcPr>
          <w:p w14:paraId="0694B321">
            <w:pPr>
              <w:shd w:val="clear" w:color="auto" w:fill="auto"/>
              <w:spacing w:line="440" w:lineRule="exact"/>
              <w:ind w:firstLine="482"/>
              <w:jc w:val="center"/>
              <w:rPr>
                <w:rFonts w:ascii="宋体" w:hAnsi="宋体"/>
                <w:color w:val="auto"/>
                <w:sz w:val="24"/>
                <w:szCs w:val="24"/>
                <w:highlight w:val="none"/>
              </w:rPr>
            </w:pPr>
          </w:p>
        </w:tc>
      </w:tr>
      <w:tr w14:paraId="66BD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center"/>
          </w:tcPr>
          <w:p w14:paraId="772934B6">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3C084FB8">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0ACAFE22">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14:paraId="30D27D2F">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center"/>
          </w:tcPr>
          <w:p w14:paraId="364525E0">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center"/>
          </w:tcPr>
          <w:p w14:paraId="0D22A7F3">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center"/>
          </w:tcPr>
          <w:p w14:paraId="72F6449F">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center"/>
          </w:tcPr>
          <w:p w14:paraId="20F8811B">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center"/>
          </w:tcPr>
          <w:p w14:paraId="692C6513">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center"/>
          </w:tcPr>
          <w:p w14:paraId="608F57FA">
            <w:pPr>
              <w:shd w:val="clear" w:color="auto" w:fill="auto"/>
              <w:spacing w:line="440" w:lineRule="exact"/>
              <w:ind w:firstLine="482"/>
              <w:jc w:val="center"/>
              <w:rPr>
                <w:rFonts w:ascii="宋体" w:hAnsi="宋体"/>
                <w:color w:val="auto"/>
                <w:sz w:val="24"/>
                <w:szCs w:val="24"/>
                <w:highlight w:val="none"/>
              </w:rPr>
            </w:pPr>
          </w:p>
        </w:tc>
      </w:tr>
      <w:tr w14:paraId="67E07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6FAEE684">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21329F6C">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4E670EBC">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9E50A15">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05CE275B">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2A31E4EE">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632B2D71">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0A292BA4">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0F4E0821">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5EB9832E">
            <w:pPr>
              <w:shd w:val="clear" w:color="auto" w:fill="auto"/>
              <w:spacing w:line="440" w:lineRule="exact"/>
              <w:ind w:firstLine="482"/>
              <w:jc w:val="center"/>
              <w:rPr>
                <w:rFonts w:ascii="宋体" w:hAnsi="宋体"/>
                <w:color w:val="auto"/>
                <w:sz w:val="24"/>
                <w:szCs w:val="24"/>
                <w:highlight w:val="none"/>
              </w:rPr>
            </w:pPr>
          </w:p>
        </w:tc>
      </w:tr>
      <w:tr w14:paraId="4E13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684BFBF5">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7077B673">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6D84206">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906D26D">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3BE8218A">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2DE21DFD">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4C384671">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35E6915B">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5A8D92D6">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132A1640">
            <w:pPr>
              <w:shd w:val="clear" w:color="auto" w:fill="auto"/>
              <w:spacing w:line="440" w:lineRule="exact"/>
              <w:ind w:firstLine="482"/>
              <w:jc w:val="center"/>
              <w:rPr>
                <w:rFonts w:ascii="宋体" w:hAnsi="宋体"/>
                <w:color w:val="auto"/>
                <w:sz w:val="24"/>
                <w:szCs w:val="24"/>
                <w:highlight w:val="none"/>
              </w:rPr>
            </w:pPr>
          </w:p>
        </w:tc>
      </w:tr>
      <w:tr w14:paraId="493B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3E5ED445">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E0A2273">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685FCCCD">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76496EC5">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0BAEB7CF">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1DCEBE2C">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67808677">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55A0343B">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35202068">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45FC64D5">
            <w:pPr>
              <w:shd w:val="clear" w:color="auto" w:fill="auto"/>
              <w:spacing w:line="440" w:lineRule="exact"/>
              <w:ind w:firstLine="482"/>
              <w:jc w:val="center"/>
              <w:rPr>
                <w:rFonts w:ascii="宋体" w:hAnsi="宋体"/>
                <w:color w:val="auto"/>
                <w:sz w:val="24"/>
                <w:szCs w:val="24"/>
                <w:highlight w:val="none"/>
              </w:rPr>
            </w:pPr>
          </w:p>
        </w:tc>
      </w:tr>
      <w:tr w14:paraId="7BB5C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120D3AF6">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FB37904">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651CDA8">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470E9F95">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38F8D90D">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64A8F731">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1D01DF8">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14A88D17">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0BBE8041">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61015ABB">
            <w:pPr>
              <w:shd w:val="clear" w:color="auto" w:fill="auto"/>
              <w:spacing w:line="440" w:lineRule="exact"/>
              <w:ind w:firstLine="482"/>
              <w:jc w:val="center"/>
              <w:rPr>
                <w:rFonts w:ascii="宋体" w:hAnsi="宋体"/>
                <w:color w:val="auto"/>
                <w:sz w:val="24"/>
                <w:szCs w:val="24"/>
                <w:highlight w:val="none"/>
              </w:rPr>
            </w:pPr>
          </w:p>
        </w:tc>
      </w:tr>
      <w:tr w14:paraId="53FFF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39C65387">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02E32AB">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7BB80AB2">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4A3E367">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2A46F44D">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114384D6">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0DE8FC2F">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363D3454">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7E0DED67">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2BDBAF92">
            <w:pPr>
              <w:shd w:val="clear" w:color="auto" w:fill="auto"/>
              <w:spacing w:line="440" w:lineRule="exact"/>
              <w:ind w:firstLine="482"/>
              <w:jc w:val="center"/>
              <w:rPr>
                <w:rFonts w:ascii="宋体" w:hAnsi="宋体"/>
                <w:color w:val="auto"/>
                <w:sz w:val="24"/>
                <w:szCs w:val="24"/>
                <w:highlight w:val="none"/>
              </w:rPr>
            </w:pPr>
          </w:p>
        </w:tc>
      </w:tr>
      <w:tr w14:paraId="54503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3CA1A587">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20B43B0B">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C5D3024">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2F4C927E">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6BD3E489">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16E2D291">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64EA30F5">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55994024">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28E1A6C5">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16E227FC">
            <w:pPr>
              <w:shd w:val="clear" w:color="auto" w:fill="auto"/>
              <w:spacing w:line="440" w:lineRule="exact"/>
              <w:ind w:firstLine="482"/>
              <w:jc w:val="center"/>
              <w:rPr>
                <w:rFonts w:ascii="宋体" w:hAnsi="宋体"/>
                <w:color w:val="auto"/>
                <w:sz w:val="24"/>
                <w:szCs w:val="24"/>
                <w:highlight w:val="none"/>
              </w:rPr>
            </w:pPr>
          </w:p>
        </w:tc>
      </w:tr>
      <w:tr w14:paraId="6E4B1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0B9532E1">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2F134C67">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3E1768DF">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BA8CBFE">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673ED010">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5B025B9E">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4D420287">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0FBD58C1">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470835AB">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52F27813">
            <w:pPr>
              <w:shd w:val="clear" w:color="auto" w:fill="auto"/>
              <w:spacing w:line="440" w:lineRule="exact"/>
              <w:ind w:firstLine="482"/>
              <w:jc w:val="center"/>
              <w:rPr>
                <w:rFonts w:ascii="宋体" w:hAnsi="宋体"/>
                <w:color w:val="auto"/>
                <w:sz w:val="24"/>
                <w:szCs w:val="24"/>
                <w:highlight w:val="none"/>
              </w:rPr>
            </w:pPr>
          </w:p>
        </w:tc>
      </w:tr>
      <w:tr w14:paraId="09AF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169A97E1">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FF1DA10">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22DEBCF6">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3B1B4BD7">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28A0B056">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293AAF15">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224F7D9E">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339EACE2">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3C386243">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617EC97E">
            <w:pPr>
              <w:shd w:val="clear" w:color="auto" w:fill="auto"/>
              <w:spacing w:line="440" w:lineRule="exact"/>
              <w:ind w:firstLine="482"/>
              <w:jc w:val="center"/>
              <w:rPr>
                <w:rFonts w:ascii="宋体" w:hAnsi="宋体"/>
                <w:color w:val="auto"/>
                <w:sz w:val="24"/>
                <w:szCs w:val="24"/>
                <w:highlight w:val="none"/>
              </w:rPr>
            </w:pPr>
          </w:p>
        </w:tc>
      </w:tr>
      <w:tr w14:paraId="26F2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092BE108">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66B1D60">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06316B6A">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5E30CA24">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6312D98A">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6F8387EE">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3A5140FC">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7D85DE22">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52A0A996">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6FAC1565">
            <w:pPr>
              <w:shd w:val="clear" w:color="auto" w:fill="auto"/>
              <w:spacing w:line="440" w:lineRule="exact"/>
              <w:ind w:firstLine="482"/>
              <w:jc w:val="center"/>
              <w:rPr>
                <w:rFonts w:ascii="宋体" w:hAnsi="宋体"/>
                <w:color w:val="auto"/>
                <w:sz w:val="24"/>
                <w:szCs w:val="24"/>
                <w:highlight w:val="none"/>
              </w:rPr>
            </w:pPr>
          </w:p>
        </w:tc>
      </w:tr>
      <w:tr w14:paraId="392D2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18BDDE3C">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EAF6713">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2230604E">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1C43AD78">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47C4AC0D">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1A00829C">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250A9C77">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2470DC62">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649B7514">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0A17BFA7">
            <w:pPr>
              <w:shd w:val="clear" w:color="auto" w:fill="auto"/>
              <w:spacing w:line="440" w:lineRule="exact"/>
              <w:ind w:firstLine="482"/>
              <w:jc w:val="center"/>
              <w:rPr>
                <w:rFonts w:ascii="宋体" w:hAnsi="宋体"/>
                <w:color w:val="auto"/>
                <w:sz w:val="24"/>
                <w:szCs w:val="24"/>
                <w:highlight w:val="none"/>
              </w:rPr>
            </w:pPr>
          </w:p>
        </w:tc>
      </w:tr>
      <w:tr w14:paraId="2DA71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08B14677">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290395CE">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5B0FB1FD">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2FBBC535">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350DD1A0">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4B326B51">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6582B786">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169363D3">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3F72C340">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0C6E2E3D">
            <w:pPr>
              <w:shd w:val="clear" w:color="auto" w:fill="auto"/>
              <w:spacing w:line="440" w:lineRule="exact"/>
              <w:ind w:firstLine="482"/>
              <w:jc w:val="center"/>
              <w:rPr>
                <w:rFonts w:ascii="宋体" w:hAnsi="宋体"/>
                <w:color w:val="auto"/>
                <w:sz w:val="24"/>
                <w:szCs w:val="24"/>
                <w:highlight w:val="none"/>
              </w:rPr>
            </w:pPr>
          </w:p>
        </w:tc>
      </w:tr>
      <w:tr w14:paraId="08F08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7018E544">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6D7965A7">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F2D0DD8">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12D19EA">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5B3B0DCB">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46A8830D">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04952943">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2938A28C">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0305288C">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1464FF06">
            <w:pPr>
              <w:shd w:val="clear" w:color="auto" w:fill="auto"/>
              <w:spacing w:line="440" w:lineRule="exact"/>
              <w:ind w:firstLine="482"/>
              <w:jc w:val="center"/>
              <w:rPr>
                <w:rFonts w:ascii="宋体" w:hAnsi="宋体"/>
                <w:color w:val="auto"/>
                <w:sz w:val="24"/>
                <w:szCs w:val="24"/>
                <w:highlight w:val="none"/>
              </w:rPr>
            </w:pPr>
          </w:p>
        </w:tc>
      </w:tr>
      <w:tr w14:paraId="7BAA5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0EF64928">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7B58B6D4">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06BCF8E2">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1B6D9E8E">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2567F8DA">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0350CB8D">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3B96D055">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1F8373EC">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37A9B109">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10836E07">
            <w:pPr>
              <w:shd w:val="clear" w:color="auto" w:fill="auto"/>
              <w:spacing w:line="440" w:lineRule="exact"/>
              <w:ind w:firstLine="482"/>
              <w:jc w:val="center"/>
              <w:rPr>
                <w:rFonts w:ascii="宋体" w:hAnsi="宋体"/>
                <w:color w:val="auto"/>
                <w:sz w:val="24"/>
                <w:szCs w:val="24"/>
                <w:highlight w:val="none"/>
              </w:rPr>
            </w:pPr>
          </w:p>
        </w:tc>
      </w:tr>
      <w:tr w14:paraId="5CC76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50A44CAA">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773C8499">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496CA44D">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5C0F3B0C">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34D46BC2">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681F1204">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824DD4F">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73B9629F">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219B1C1C">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3C1BA452">
            <w:pPr>
              <w:shd w:val="clear" w:color="auto" w:fill="auto"/>
              <w:spacing w:line="440" w:lineRule="exact"/>
              <w:ind w:firstLine="482"/>
              <w:jc w:val="center"/>
              <w:rPr>
                <w:rFonts w:ascii="宋体" w:hAnsi="宋体"/>
                <w:color w:val="auto"/>
                <w:sz w:val="24"/>
                <w:szCs w:val="24"/>
                <w:highlight w:val="none"/>
              </w:rPr>
            </w:pPr>
          </w:p>
        </w:tc>
      </w:tr>
      <w:tr w14:paraId="1E95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60ACD93D">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03D65C0">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3BA2DF32">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53B72E03">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7048E9E3">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0F03E7CE">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EA4D8F0">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010431C1">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4BB208C1">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160C4D5D">
            <w:pPr>
              <w:shd w:val="clear" w:color="auto" w:fill="auto"/>
              <w:spacing w:line="440" w:lineRule="exact"/>
              <w:ind w:firstLine="482"/>
              <w:jc w:val="center"/>
              <w:rPr>
                <w:rFonts w:ascii="宋体" w:hAnsi="宋体"/>
                <w:color w:val="auto"/>
                <w:sz w:val="24"/>
                <w:szCs w:val="24"/>
                <w:highlight w:val="none"/>
              </w:rPr>
            </w:pPr>
          </w:p>
        </w:tc>
      </w:tr>
      <w:tr w14:paraId="14AE1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3C820952">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1607857B">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5FD7A66A">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872A7AE">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048457F8">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61452B32">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6E2A5649">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19C34B22">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469E363E">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579CEC6E">
            <w:pPr>
              <w:shd w:val="clear" w:color="auto" w:fill="auto"/>
              <w:spacing w:line="440" w:lineRule="exact"/>
              <w:ind w:firstLine="482"/>
              <w:jc w:val="center"/>
              <w:rPr>
                <w:rFonts w:ascii="宋体" w:hAnsi="宋体"/>
                <w:color w:val="auto"/>
                <w:sz w:val="24"/>
                <w:szCs w:val="24"/>
                <w:highlight w:val="none"/>
              </w:rPr>
            </w:pPr>
          </w:p>
        </w:tc>
      </w:tr>
      <w:tr w14:paraId="5551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56D8CECB">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6B312CA9">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7D74F2ED">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EEC154E">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33A33D37">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3DDD6592">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3D8645FE">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1E31B3EF">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4FC15AEE">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215F13CE">
            <w:pPr>
              <w:shd w:val="clear" w:color="auto" w:fill="auto"/>
              <w:spacing w:line="440" w:lineRule="exact"/>
              <w:ind w:firstLine="482"/>
              <w:jc w:val="center"/>
              <w:rPr>
                <w:rFonts w:ascii="宋体" w:hAnsi="宋体"/>
                <w:color w:val="auto"/>
                <w:sz w:val="24"/>
                <w:szCs w:val="24"/>
                <w:highlight w:val="none"/>
              </w:rPr>
            </w:pPr>
          </w:p>
        </w:tc>
      </w:tr>
      <w:tr w14:paraId="37D6A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317507B0">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7D8BD70A">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0A677447">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3DF42725">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1B11C52E">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5DFA24F7">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44FA388D">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629CFC0C">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63605835">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67E78CE1">
            <w:pPr>
              <w:shd w:val="clear" w:color="auto" w:fill="auto"/>
              <w:spacing w:line="440" w:lineRule="exact"/>
              <w:ind w:firstLine="482"/>
              <w:jc w:val="center"/>
              <w:rPr>
                <w:rFonts w:ascii="宋体" w:hAnsi="宋体"/>
                <w:color w:val="auto"/>
                <w:sz w:val="24"/>
                <w:szCs w:val="24"/>
                <w:highlight w:val="none"/>
              </w:rPr>
            </w:pPr>
          </w:p>
        </w:tc>
      </w:tr>
      <w:tr w14:paraId="3F64F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7BC14196">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37C3B9BA">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70054D0A">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0B4FD1EB">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7EBE4973">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63E7D695">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645AC21">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158617B7">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2A194D19">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1FC4E486">
            <w:pPr>
              <w:shd w:val="clear" w:color="auto" w:fill="auto"/>
              <w:spacing w:line="440" w:lineRule="exact"/>
              <w:ind w:firstLine="482"/>
              <w:jc w:val="center"/>
              <w:rPr>
                <w:rFonts w:ascii="宋体" w:hAnsi="宋体"/>
                <w:color w:val="auto"/>
                <w:sz w:val="24"/>
                <w:szCs w:val="24"/>
                <w:highlight w:val="none"/>
              </w:rPr>
            </w:pPr>
          </w:p>
        </w:tc>
      </w:tr>
      <w:tr w14:paraId="757A5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176ADBAE">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04ED6097">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15FC324B">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4C237E9F">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06C51CE1">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636854BB">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F687DAA">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61C6EFD7">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73C55C8B">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017BB4D2">
            <w:pPr>
              <w:shd w:val="clear" w:color="auto" w:fill="auto"/>
              <w:spacing w:line="440" w:lineRule="exact"/>
              <w:ind w:firstLine="482"/>
              <w:jc w:val="center"/>
              <w:rPr>
                <w:rFonts w:ascii="宋体" w:hAnsi="宋体"/>
                <w:color w:val="auto"/>
                <w:sz w:val="24"/>
                <w:szCs w:val="24"/>
                <w:highlight w:val="none"/>
              </w:rPr>
            </w:pPr>
          </w:p>
        </w:tc>
      </w:tr>
      <w:tr w14:paraId="780C4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522379A5">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405F1446">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40FD3CCE">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64A2F466">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22F954B9">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069FA81D">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1EDE7F0A">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65BD0E5C">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1BF3C2D7">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319BE748">
            <w:pPr>
              <w:shd w:val="clear" w:color="auto" w:fill="auto"/>
              <w:spacing w:line="440" w:lineRule="exact"/>
              <w:ind w:firstLine="482"/>
              <w:jc w:val="center"/>
              <w:rPr>
                <w:rFonts w:ascii="宋体" w:hAnsi="宋体"/>
                <w:color w:val="auto"/>
                <w:sz w:val="24"/>
                <w:szCs w:val="24"/>
                <w:highlight w:val="none"/>
              </w:rPr>
            </w:pPr>
          </w:p>
        </w:tc>
      </w:tr>
      <w:tr w14:paraId="72AB5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5" w:type="dxa"/>
            <w:tcBorders>
              <w:top w:val="single" w:color="auto" w:sz="4" w:space="0"/>
              <w:left w:val="single" w:color="auto" w:sz="4" w:space="0"/>
              <w:bottom w:val="single" w:color="auto" w:sz="4" w:space="0"/>
              <w:right w:val="single" w:color="auto" w:sz="4" w:space="0"/>
            </w:tcBorders>
            <w:noWrap w:val="0"/>
            <w:vAlign w:val="top"/>
          </w:tcPr>
          <w:p w14:paraId="6D8D37D8">
            <w:pPr>
              <w:shd w:val="clear" w:color="auto" w:fill="auto"/>
              <w:spacing w:line="440" w:lineRule="exact"/>
              <w:ind w:firstLine="482"/>
              <w:jc w:val="center"/>
              <w:rPr>
                <w:rFonts w:ascii="宋体" w:hAnsi="宋体"/>
                <w:color w:val="auto"/>
                <w:sz w:val="24"/>
                <w:szCs w:val="24"/>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top"/>
          </w:tcPr>
          <w:p w14:paraId="65902F24">
            <w:pPr>
              <w:shd w:val="clear" w:color="auto" w:fill="auto"/>
              <w:spacing w:line="440" w:lineRule="exact"/>
              <w:ind w:firstLine="482"/>
              <w:jc w:val="center"/>
              <w:rPr>
                <w:rFonts w:ascii="宋体" w:hAnsi="宋体"/>
                <w:color w:val="auto"/>
                <w:sz w:val="24"/>
                <w:szCs w:val="24"/>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top"/>
          </w:tcPr>
          <w:p w14:paraId="332975F0">
            <w:pPr>
              <w:shd w:val="clear" w:color="auto" w:fill="auto"/>
              <w:spacing w:line="440" w:lineRule="exact"/>
              <w:ind w:firstLine="482"/>
              <w:jc w:val="center"/>
              <w:rPr>
                <w:rFonts w:ascii="宋体" w:hAnsi="宋体"/>
                <w:color w:val="auto"/>
                <w:sz w:val="24"/>
                <w:szCs w:val="24"/>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top"/>
          </w:tcPr>
          <w:p w14:paraId="1CE2DBDE">
            <w:pPr>
              <w:shd w:val="clear" w:color="auto" w:fill="auto"/>
              <w:spacing w:line="440" w:lineRule="exact"/>
              <w:ind w:firstLine="482"/>
              <w:jc w:val="center"/>
              <w:rPr>
                <w:rFonts w:ascii="宋体" w:hAnsi="宋体"/>
                <w:color w:val="auto"/>
                <w:sz w:val="24"/>
                <w:szCs w:val="24"/>
                <w:highlight w:val="none"/>
              </w:rPr>
            </w:pPr>
          </w:p>
        </w:tc>
        <w:tc>
          <w:tcPr>
            <w:tcW w:w="1028" w:type="dxa"/>
            <w:tcBorders>
              <w:top w:val="single" w:color="auto" w:sz="4" w:space="0"/>
              <w:left w:val="single" w:color="auto" w:sz="4" w:space="0"/>
              <w:bottom w:val="single" w:color="auto" w:sz="4" w:space="0"/>
              <w:right w:val="single" w:color="auto" w:sz="4" w:space="0"/>
            </w:tcBorders>
            <w:noWrap w:val="0"/>
            <w:vAlign w:val="top"/>
          </w:tcPr>
          <w:p w14:paraId="2DF3E8C2">
            <w:pPr>
              <w:shd w:val="clear" w:color="auto" w:fill="auto"/>
              <w:spacing w:line="440" w:lineRule="exact"/>
              <w:ind w:firstLine="482"/>
              <w:jc w:val="center"/>
              <w:rPr>
                <w:rFonts w:ascii="宋体" w:hAnsi="宋体"/>
                <w:color w:val="auto"/>
                <w:sz w:val="24"/>
                <w:szCs w:val="24"/>
                <w:highlight w:val="none"/>
              </w:rPr>
            </w:pPr>
          </w:p>
        </w:tc>
        <w:tc>
          <w:tcPr>
            <w:tcW w:w="865" w:type="dxa"/>
            <w:tcBorders>
              <w:top w:val="single" w:color="auto" w:sz="4" w:space="0"/>
              <w:left w:val="single" w:color="auto" w:sz="4" w:space="0"/>
              <w:bottom w:val="single" w:color="auto" w:sz="4" w:space="0"/>
              <w:right w:val="single" w:color="auto" w:sz="4" w:space="0"/>
            </w:tcBorders>
            <w:noWrap w:val="0"/>
            <w:vAlign w:val="top"/>
          </w:tcPr>
          <w:p w14:paraId="78EDEDE3">
            <w:pPr>
              <w:shd w:val="clear" w:color="auto" w:fill="auto"/>
              <w:spacing w:line="440" w:lineRule="exact"/>
              <w:ind w:firstLine="482"/>
              <w:jc w:val="center"/>
              <w:rPr>
                <w:rFonts w:ascii="宋体" w:hAnsi="宋体"/>
                <w:color w:val="auto"/>
                <w:sz w:val="24"/>
                <w:szCs w:val="24"/>
                <w:highlight w:val="none"/>
              </w:rPr>
            </w:pPr>
          </w:p>
        </w:tc>
        <w:tc>
          <w:tcPr>
            <w:tcW w:w="1085" w:type="dxa"/>
            <w:tcBorders>
              <w:top w:val="single" w:color="auto" w:sz="4" w:space="0"/>
              <w:left w:val="single" w:color="auto" w:sz="4" w:space="0"/>
              <w:bottom w:val="single" w:color="auto" w:sz="4" w:space="0"/>
              <w:right w:val="single" w:color="auto" w:sz="4" w:space="0"/>
            </w:tcBorders>
            <w:noWrap w:val="0"/>
            <w:vAlign w:val="top"/>
          </w:tcPr>
          <w:p w14:paraId="2A9AC5B0">
            <w:pPr>
              <w:shd w:val="clear" w:color="auto" w:fill="auto"/>
              <w:spacing w:line="440" w:lineRule="exact"/>
              <w:ind w:firstLine="482"/>
              <w:jc w:val="center"/>
              <w:rPr>
                <w:rFonts w:ascii="宋体" w:hAnsi="宋体"/>
                <w:color w:val="auto"/>
                <w:sz w:val="24"/>
                <w:szCs w:val="24"/>
                <w:highlight w:val="none"/>
              </w:rPr>
            </w:pPr>
          </w:p>
        </w:tc>
        <w:tc>
          <w:tcPr>
            <w:tcW w:w="874" w:type="dxa"/>
            <w:tcBorders>
              <w:top w:val="single" w:color="auto" w:sz="4" w:space="0"/>
              <w:left w:val="single" w:color="auto" w:sz="4" w:space="0"/>
              <w:bottom w:val="single" w:color="auto" w:sz="4" w:space="0"/>
              <w:right w:val="single" w:color="auto" w:sz="4" w:space="0"/>
            </w:tcBorders>
            <w:noWrap w:val="0"/>
            <w:vAlign w:val="top"/>
          </w:tcPr>
          <w:p w14:paraId="5EFDE778">
            <w:pPr>
              <w:shd w:val="clear" w:color="auto" w:fill="auto"/>
              <w:spacing w:line="440" w:lineRule="exact"/>
              <w:ind w:firstLine="482"/>
              <w:jc w:val="center"/>
              <w:rPr>
                <w:rFonts w:ascii="宋体" w:hAnsi="宋体"/>
                <w:color w:val="auto"/>
                <w:sz w:val="24"/>
                <w:szCs w:val="24"/>
                <w:highlight w:val="none"/>
              </w:rPr>
            </w:pPr>
          </w:p>
        </w:tc>
        <w:tc>
          <w:tcPr>
            <w:tcW w:w="1055" w:type="dxa"/>
            <w:tcBorders>
              <w:top w:val="single" w:color="auto" w:sz="4" w:space="0"/>
              <w:left w:val="single" w:color="auto" w:sz="4" w:space="0"/>
              <w:bottom w:val="single" w:color="auto" w:sz="4" w:space="0"/>
              <w:right w:val="single" w:color="auto" w:sz="4" w:space="0"/>
            </w:tcBorders>
            <w:noWrap w:val="0"/>
            <w:vAlign w:val="top"/>
          </w:tcPr>
          <w:p w14:paraId="223E7779">
            <w:pPr>
              <w:shd w:val="clear" w:color="auto" w:fill="auto"/>
              <w:spacing w:line="440" w:lineRule="exact"/>
              <w:ind w:firstLine="482"/>
              <w:jc w:val="center"/>
              <w:rPr>
                <w:rFonts w:ascii="宋体" w:hAnsi="宋体"/>
                <w:color w:val="auto"/>
                <w:sz w:val="24"/>
                <w:szCs w:val="24"/>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top"/>
          </w:tcPr>
          <w:p w14:paraId="77CE3C00">
            <w:pPr>
              <w:shd w:val="clear" w:color="auto" w:fill="auto"/>
              <w:spacing w:line="440" w:lineRule="exact"/>
              <w:ind w:firstLine="482"/>
              <w:jc w:val="center"/>
              <w:rPr>
                <w:rFonts w:ascii="宋体" w:hAnsi="宋体"/>
                <w:color w:val="auto"/>
                <w:sz w:val="24"/>
                <w:szCs w:val="24"/>
                <w:highlight w:val="none"/>
              </w:rPr>
            </w:pPr>
          </w:p>
        </w:tc>
      </w:tr>
    </w:tbl>
    <w:p w14:paraId="22B97205">
      <w:pPr>
        <w:shd w:val="clear" w:color="auto" w:fill="auto"/>
        <w:spacing w:line="440" w:lineRule="exact"/>
        <w:ind w:firstLine="402"/>
        <w:rPr>
          <w:rFonts w:hint="eastAsia" w:ascii="宋体" w:hAnsi="宋体"/>
          <w:color w:val="auto"/>
          <w:sz w:val="20"/>
          <w:szCs w:val="20"/>
          <w:highlight w:val="none"/>
        </w:rPr>
      </w:pPr>
    </w:p>
    <w:p w14:paraId="070DD4BB">
      <w:pPr>
        <w:shd w:val="clear" w:color="auto" w:fill="auto"/>
        <w:spacing w:line="440" w:lineRule="exact"/>
        <w:ind w:firstLine="402"/>
        <w:rPr>
          <w:rFonts w:hint="eastAsia" w:ascii="宋体" w:hAnsi="宋体"/>
          <w:color w:val="auto"/>
          <w:sz w:val="20"/>
          <w:szCs w:val="20"/>
          <w:highlight w:val="none"/>
        </w:rPr>
      </w:pPr>
    </w:p>
    <w:p w14:paraId="0526110D">
      <w:pPr>
        <w:pStyle w:val="3"/>
        <w:shd w:val="clear" w:color="auto" w:fill="auto"/>
        <w:ind w:firstLine="640"/>
        <w:rPr>
          <w:rFonts w:hint="eastAsia" w:ascii="宋体" w:hAnsi="宋体"/>
          <w:color w:val="auto"/>
          <w:highlight w:val="none"/>
        </w:rPr>
      </w:pPr>
      <w:bookmarkStart w:id="1447" w:name="_Toc246996366"/>
      <w:bookmarkStart w:id="1448" w:name="_Toc152042588"/>
      <w:bookmarkStart w:id="1449" w:name="_Toc152045799"/>
      <w:bookmarkStart w:id="1450" w:name="_Toc77586974"/>
      <w:bookmarkStart w:id="1451" w:name="_Toc24720"/>
      <w:bookmarkStart w:id="1452" w:name="_Toc246997109"/>
      <w:bookmarkStart w:id="1453" w:name="_Toc247085884"/>
      <w:bookmarkStart w:id="1454" w:name="_Toc296602611"/>
      <w:bookmarkStart w:id="1455" w:name="_Toc24553"/>
      <w:bookmarkStart w:id="1456" w:name="_Toc179632819"/>
      <w:bookmarkStart w:id="1457" w:name="_Toc144974867"/>
      <w:bookmarkStart w:id="1458" w:name="_Toc77586876"/>
      <w:r>
        <w:rPr>
          <w:rFonts w:hint="eastAsia" w:ascii="宋体" w:hAnsi="宋体"/>
          <w:color w:val="auto"/>
          <w:highlight w:val="none"/>
        </w:rPr>
        <w:br w:type="page"/>
      </w:r>
      <w:r>
        <w:rPr>
          <w:rFonts w:hint="eastAsia" w:ascii="宋体" w:hAnsi="宋体"/>
          <w:color w:val="auto"/>
          <w:highlight w:val="none"/>
        </w:rPr>
        <w:t>附表二：劳动力计划表</w:t>
      </w:r>
      <w:bookmarkEnd w:id="1447"/>
      <w:bookmarkEnd w:id="1448"/>
      <w:bookmarkEnd w:id="1449"/>
      <w:bookmarkEnd w:id="1450"/>
      <w:bookmarkEnd w:id="1451"/>
      <w:bookmarkEnd w:id="1452"/>
      <w:bookmarkEnd w:id="1453"/>
      <w:bookmarkEnd w:id="1454"/>
      <w:bookmarkEnd w:id="1455"/>
      <w:bookmarkEnd w:id="1456"/>
      <w:bookmarkEnd w:id="1457"/>
      <w:bookmarkEnd w:id="1458"/>
    </w:p>
    <w:p w14:paraId="46946344">
      <w:pPr>
        <w:shd w:val="clear" w:color="auto" w:fill="auto"/>
        <w:spacing w:line="440" w:lineRule="exact"/>
        <w:ind w:right="200" w:firstLine="482"/>
        <w:jc w:val="right"/>
        <w:rPr>
          <w:rFonts w:hint="eastAsia" w:ascii="宋体" w:hAnsi="宋体"/>
          <w:color w:val="auto"/>
          <w:sz w:val="24"/>
          <w:highlight w:val="none"/>
        </w:rPr>
      </w:pPr>
      <w:r>
        <w:rPr>
          <w:rFonts w:hint="eastAsia" w:ascii="宋体" w:hAnsi="宋体"/>
          <w:color w:val="auto"/>
          <w:sz w:val="24"/>
          <w:highlight w:val="none"/>
        </w:rPr>
        <w:t>单位：人</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9"/>
        <w:gridCol w:w="1304"/>
        <w:gridCol w:w="1065"/>
        <w:gridCol w:w="1065"/>
        <w:gridCol w:w="1065"/>
        <w:gridCol w:w="1065"/>
        <w:gridCol w:w="1065"/>
        <w:gridCol w:w="1064"/>
      </w:tblGrid>
      <w:tr w14:paraId="0BBED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2E3B5925">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工种</w:t>
            </w:r>
          </w:p>
        </w:tc>
        <w:tc>
          <w:tcPr>
            <w:tcW w:w="7693" w:type="dxa"/>
            <w:gridSpan w:val="7"/>
            <w:tcBorders>
              <w:top w:val="single" w:color="auto" w:sz="4" w:space="0"/>
              <w:left w:val="single" w:color="auto" w:sz="4" w:space="0"/>
              <w:bottom w:val="single" w:color="auto" w:sz="4" w:space="0"/>
              <w:right w:val="single" w:color="auto" w:sz="4" w:space="0"/>
            </w:tcBorders>
            <w:noWrap w:val="0"/>
            <w:vAlign w:val="center"/>
          </w:tcPr>
          <w:p w14:paraId="3613DB97">
            <w:pPr>
              <w:shd w:val="clear" w:color="auto" w:fill="auto"/>
              <w:spacing w:line="440" w:lineRule="exact"/>
              <w:jc w:val="left"/>
              <w:rPr>
                <w:rFonts w:hint="eastAsia" w:ascii="宋体" w:hAnsi="宋体"/>
                <w:color w:val="auto"/>
                <w:sz w:val="24"/>
                <w:szCs w:val="24"/>
                <w:highlight w:val="none"/>
              </w:rPr>
            </w:pPr>
            <w:r>
              <w:rPr>
                <w:rFonts w:hint="eastAsia" w:ascii="宋体" w:hAnsi="宋体"/>
                <w:color w:val="auto"/>
                <w:sz w:val="24"/>
                <w:szCs w:val="24"/>
                <w:highlight w:val="none"/>
              </w:rPr>
              <w:t>按工程施工阶段投入劳动力情况</w:t>
            </w:r>
          </w:p>
        </w:tc>
      </w:tr>
      <w:tr w14:paraId="28B75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164D2E2A">
            <w:pPr>
              <w:shd w:val="clear" w:color="auto" w:fill="auto"/>
              <w:spacing w:line="440" w:lineRule="exact"/>
              <w:ind w:firstLine="482"/>
              <w:jc w:val="center"/>
              <w:rPr>
                <w:rFonts w:ascii="宋体" w:hAnsi="宋体"/>
                <w:color w:val="auto"/>
                <w:sz w:val="24"/>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6C124BC7">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62E8610">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5F78526">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4F931A4B">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CA66A36">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5FEBC58F">
            <w:pPr>
              <w:shd w:val="clear" w:color="auto" w:fill="auto"/>
              <w:spacing w:line="440" w:lineRule="exact"/>
              <w:ind w:firstLine="482"/>
              <w:jc w:val="center"/>
              <w:rPr>
                <w:rFonts w:ascii="宋体" w:hAnsi="宋体"/>
                <w:color w:val="auto"/>
                <w:sz w:val="24"/>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3D9C2A66">
            <w:pPr>
              <w:shd w:val="clear" w:color="auto" w:fill="auto"/>
              <w:spacing w:line="440" w:lineRule="exact"/>
              <w:ind w:firstLine="482"/>
              <w:jc w:val="center"/>
              <w:rPr>
                <w:rFonts w:ascii="宋体" w:hAnsi="宋体"/>
                <w:color w:val="auto"/>
                <w:sz w:val="24"/>
                <w:highlight w:val="none"/>
              </w:rPr>
            </w:pPr>
          </w:p>
        </w:tc>
      </w:tr>
      <w:tr w14:paraId="0504A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center"/>
          </w:tcPr>
          <w:p w14:paraId="69FE3099">
            <w:pPr>
              <w:shd w:val="clear" w:color="auto" w:fill="auto"/>
              <w:spacing w:line="440" w:lineRule="exact"/>
              <w:ind w:firstLine="482"/>
              <w:jc w:val="center"/>
              <w:rPr>
                <w:rFonts w:ascii="宋体" w:hAnsi="宋体"/>
                <w:color w:val="auto"/>
                <w:sz w:val="24"/>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center"/>
          </w:tcPr>
          <w:p w14:paraId="19ADFF9F">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17187F9C">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609C93F">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39583B2E">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05075DA">
            <w:pPr>
              <w:shd w:val="clear" w:color="auto" w:fill="auto"/>
              <w:spacing w:line="440" w:lineRule="exact"/>
              <w:ind w:firstLine="482"/>
              <w:jc w:val="center"/>
              <w:rPr>
                <w:rFonts w:ascii="宋体" w:hAnsi="宋体"/>
                <w:color w:val="auto"/>
                <w:sz w:val="24"/>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center"/>
          </w:tcPr>
          <w:p w14:paraId="67338246">
            <w:pPr>
              <w:shd w:val="clear" w:color="auto" w:fill="auto"/>
              <w:spacing w:line="440" w:lineRule="exact"/>
              <w:ind w:firstLine="482"/>
              <w:jc w:val="center"/>
              <w:rPr>
                <w:rFonts w:ascii="宋体" w:hAnsi="宋体"/>
                <w:color w:val="auto"/>
                <w:sz w:val="24"/>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center"/>
          </w:tcPr>
          <w:p w14:paraId="625B6889">
            <w:pPr>
              <w:shd w:val="clear" w:color="auto" w:fill="auto"/>
              <w:spacing w:line="440" w:lineRule="exact"/>
              <w:ind w:firstLine="482"/>
              <w:jc w:val="center"/>
              <w:rPr>
                <w:rFonts w:ascii="宋体" w:hAnsi="宋体"/>
                <w:color w:val="auto"/>
                <w:sz w:val="24"/>
                <w:highlight w:val="none"/>
              </w:rPr>
            </w:pPr>
          </w:p>
        </w:tc>
      </w:tr>
      <w:tr w14:paraId="357E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D290757">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A956EF7">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B99566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A2816CA">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B9AD1A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FC45BC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A32E20B">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0F2E729C">
            <w:pPr>
              <w:shd w:val="clear" w:color="auto" w:fill="auto"/>
              <w:spacing w:line="440" w:lineRule="exact"/>
              <w:ind w:firstLine="482"/>
              <w:jc w:val="center"/>
              <w:rPr>
                <w:rFonts w:ascii="宋体" w:hAnsi="宋体"/>
                <w:color w:val="auto"/>
                <w:highlight w:val="none"/>
              </w:rPr>
            </w:pPr>
          </w:p>
        </w:tc>
      </w:tr>
      <w:tr w14:paraId="4100E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008664F">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032E372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A655FC5">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F3A15D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D66A0B4">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146685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9BDD222">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63C0464A">
            <w:pPr>
              <w:shd w:val="clear" w:color="auto" w:fill="auto"/>
              <w:spacing w:line="440" w:lineRule="exact"/>
              <w:ind w:firstLine="482"/>
              <w:jc w:val="center"/>
              <w:rPr>
                <w:rFonts w:ascii="宋体" w:hAnsi="宋体"/>
                <w:color w:val="auto"/>
                <w:highlight w:val="none"/>
              </w:rPr>
            </w:pPr>
          </w:p>
        </w:tc>
      </w:tr>
      <w:tr w14:paraId="7A949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CC5544E">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E97BA16">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913035D">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49E9CA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ADC71E7">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AEBBC4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9BAC67E">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4BD3F343">
            <w:pPr>
              <w:shd w:val="clear" w:color="auto" w:fill="auto"/>
              <w:spacing w:line="440" w:lineRule="exact"/>
              <w:ind w:firstLine="482"/>
              <w:jc w:val="center"/>
              <w:rPr>
                <w:rFonts w:ascii="宋体" w:hAnsi="宋体"/>
                <w:color w:val="auto"/>
                <w:highlight w:val="none"/>
              </w:rPr>
            </w:pPr>
          </w:p>
        </w:tc>
      </w:tr>
      <w:tr w14:paraId="3FA2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47812B7">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A4B56D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D37CAD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5EB1B2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3680E20">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1E8D45A">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03F9C27">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633AF6AB">
            <w:pPr>
              <w:shd w:val="clear" w:color="auto" w:fill="auto"/>
              <w:spacing w:line="440" w:lineRule="exact"/>
              <w:ind w:firstLine="482"/>
              <w:jc w:val="center"/>
              <w:rPr>
                <w:rFonts w:ascii="宋体" w:hAnsi="宋体"/>
                <w:color w:val="auto"/>
                <w:highlight w:val="none"/>
              </w:rPr>
            </w:pPr>
          </w:p>
        </w:tc>
      </w:tr>
      <w:tr w14:paraId="4CE2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3227887">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90200A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E03569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C308CB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F7DC279">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9749011">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0209B8C">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2C68BC1E">
            <w:pPr>
              <w:shd w:val="clear" w:color="auto" w:fill="auto"/>
              <w:spacing w:line="440" w:lineRule="exact"/>
              <w:ind w:firstLine="482"/>
              <w:jc w:val="center"/>
              <w:rPr>
                <w:rFonts w:ascii="宋体" w:hAnsi="宋体"/>
                <w:color w:val="auto"/>
                <w:highlight w:val="none"/>
              </w:rPr>
            </w:pPr>
          </w:p>
        </w:tc>
      </w:tr>
      <w:tr w14:paraId="6D3B6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2BDA294">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E4A9C1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0711FFBA">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0EE36C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D70EDA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280C47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13B578E">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4E408C04">
            <w:pPr>
              <w:shd w:val="clear" w:color="auto" w:fill="auto"/>
              <w:spacing w:line="440" w:lineRule="exact"/>
              <w:ind w:firstLine="482"/>
              <w:jc w:val="center"/>
              <w:rPr>
                <w:rFonts w:ascii="宋体" w:hAnsi="宋体"/>
                <w:color w:val="auto"/>
                <w:highlight w:val="none"/>
              </w:rPr>
            </w:pPr>
          </w:p>
        </w:tc>
      </w:tr>
      <w:tr w14:paraId="57F52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3400CB5">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49E038C">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704B70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3208A79">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47D5A0C">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1E8B0F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2DAE4FF">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51C51F58">
            <w:pPr>
              <w:shd w:val="clear" w:color="auto" w:fill="auto"/>
              <w:spacing w:line="440" w:lineRule="exact"/>
              <w:ind w:firstLine="482"/>
              <w:jc w:val="center"/>
              <w:rPr>
                <w:rFonts w:ascii="宋体" w:hAnsi="宋体"/>
                <w:color w:val="auto"/>
                <w:highlight w:val="none"/>
              </w:rPr>
            </w:pPr>
          </w:p>
        </w:tc>
      </w:tr>
      <w:tr w14:paraId="178F6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997E66D">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80DD529">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9D224C7">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3561DC7">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D78A515">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70B2435">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FE0A206">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13C18047">
            <w:pPr>
              <w:shd w:val="clear" w:color="auto" w:fill="auto"/>
              <w:spacing w:line="440" w:lineRule="exact"/>
              <w:ind w:firstLine="482"/>
              <w:jc w:val="center"/>
              <w:rPr>
                <w:rFonts w:ascii="宋体" w:hAnsi="宋体"/>
                <w:color w:val="auto"/>
                <w:highlight w:val="none"/>
              </w:rPr>
            </w:pPr>
          </w:p>
        </w:tc>
      </w:tr>
      <w:tr w14:paraId="50E33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90ED004">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7C7B40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484D6C7">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281BE2C">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6FB0AA6">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31932E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AC0881C">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59D8C0CC">
            <w:pPr>
              <w:shd w:val="clear" w:color="auto" w:fill="auto"/>
              <w:spacing w:line="440" w:lineRule="exact"/>
              <w:ind w:firstLine="482"/>
              <w:jc w:val="center"/>
              <w:rPr>
                <w:rFonts w:ascii="宋体" w:hAnsi="宋体"/>
                <w:color w:val="auto"/>
                <w:highlight w:val="none"/>
              </w:rPr>
            </w:pPr>
          </w:p>
        </w:tc>
      </w:tr>
      <w:tr w14:paraId="5C14A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F7328C4">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C292A00">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ADA831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9FD46F8">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2744B44">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A15A34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F88CB19">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0A742FD2">
            <w:pPr>
              <w:shd w:val="clear" w:color="auto" w:fill="auto"/>
              <w:spacing w:line="440" w:lineRule="exact"/>
              <w:ind w:firstLine="482"/>
              <w:jc w:val="center"/>
              <w:rPr>
                <w:rFonts w:ascii="宋体" w:hAnsi="宋体"/>
                <w:color w:val="auto"/>
                <w:highlight w:val="none"/>
              </w:rPr>
            </w:pPr>
          </w:p>
        </w:tc>
      </w:tr>
      <w:tr w14:paraId="737A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0A9F34F7">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1C23E44">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67F614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B8D95F7">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40C29D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A25DDC8">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1240F9B">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45569286">
            <w:pPr>
              <w:shd w:val="clear" w:color="auto" w:fill="auto"/>
              <w:spacing w:line="440" w:lineRule="exact"/>
              <w:ind w:firstLine="482"/>
              <w:jc w:val="center"/>
              <w:rPr>
                <w:rFonts w:ascii="宋体" w:hAnsi="宋体"/>
                <w:color w:val="auto"/>
                <w:highlight w:val="none"/>
              </w:rPr>
            </w:pPr>
          </w:p>
        </w:tc>
      </w:tr>
      <w:tr w14:paraId="423D4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23BFA55">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59A2E5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3DA4A6A">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E760C08">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E92860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DB231F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7131C8D">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5F56F7EA">
            <w:pPr>
              <w:shd w:val="clear" w:color="auto" w:fill="auto"/>
              <w:spacing w:line="440" w:lineRule="exact"/>
              <w:ind w:firstLine="482"/>
              <w:jc w:val="center"/>
              <w:rPr>
                <w:rFonts w:ascii="宋体" w:hAnsi="宋体"/>
                <w:color w:val="auto"/>
                <w:highlight w:val="none"/>
              </w:rPr>
            </w:pPr>
          </w:p>
        </w:tc>
      </w:tr>
      <w:tr w14:paraId="5F82A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666AC8EC">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12017D60">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D29CF8A">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47BAA2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C92D0D0">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5B53DD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0EC8002">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76ACC747">
            <w:pPr>
              <w:shd w:val="clear" w:color="auto" w:fill="auto"/>
              <w:spacing w:line="440" w:lineRule="exact"/>
              <w:ind w:firstLine="482"/>
              <w:jc w:val="center"/>
              <w:rPr>
                <w:rFonts w:ascii="宋体" w:hAnsi="宋体"/>
                <w:color w:val="auto"/>
                <w:highlight w:val="none"/>
              </w:rPr>
            </w:pPr>
          </w:p>
        </w:tc>
      </w:tr>
      <w:tr w14:paraId="66CD3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5C9DCC20">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FCE92E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B7279B8">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BEF76D6">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EDD9334">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7105D75">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3813D93">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0AD61A12">
            <w:pPr>
              <w:shd w:val="clear" w:color="auto" w:fill="auto"/>
              <w:spacing w:line="440" w:lineRule="exact"/>
              <w:ind w:firstLine="482"/>
              <w:jc w:val="center"/>
              <w:rPr>
                <w:rFonts w:ascii="宋体" w:hAnsi="宋体"/>
                <w:color w:val="auto"/>
                <w:highlight w:val="none"/>
              </w:rPr>
            </w:pPr>
          </w:p>
        </w:tc>
      </w:tr>
      <w:tr w14:paraId="36FA9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2426523">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275EDFD">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D17D825">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6DCDE3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3126B1D">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BE5AEE6">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7D3ECAB">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6CCEF565">
            <w:pPr>
              <w:shd w:val="clear" w:color="auto" w:fill="auto"/>
              <w:spacing w:line="440" w:lineRule="exact"/>
              <w:ind w:firstLine="482"/>
              <w:jc w:val="center"/>
              <w:rPr>
                <w:rFonts w:ascii="宋体" w:hAnsi="宋体"/>
                <w:color w:val="auto"/>
                <w:highlight w:val="none"/>
              </w:rPr>
            </w:pPr>
          </w:p>
        </w:tc>
      </w:tr>
      <w:tr w14:paraId="2A8C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7DCB173C">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4CE650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7677C90">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6394CE8">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79F9546">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66C100C">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00772DF6">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79425A10">
            <w:pPr>
              <w:shd w:val="clear" w:color="auto" w:fill="auto"/>
              <w:spacing w:line="440" w:lineRule="exact"/>
              <w:ind w:firstLine="482"/>
              <w:jc w:val="center"/>
              <w:rPr>
                <w:rFonts w:ascii="宋体" w:hAnsi="宋体"/>
                <w:color w:val="auto"/>
                <w:highlight w:val="none"/>
              </w:rPr>
            </w:pPr>
          </w:p>
        </w:tc>
      </w:tr>
      <w:tr w14:paraId="4C5C6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78A2F1B">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3682850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932FF85">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8E2506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AEE1AD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B19AE3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C5B831A">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72A91E0F">
            <w:pPr>
              <w:shd w:val="clear" w:color="auto" w:fill="auto"/>
              <w:spacing w:line="440" w:lineRule="exact"/>
              <w:ind w:firstLine="482"/>
              <w:jc w:val="center"/>
              <w:rPr>
                <w:rFonts w:ascii="宋体" w:hAnsi="宋体"/>
                <w:color w:val="auto"/>
                <w:highlight w:val="none"/>
              </w:rPr>
            </w:pPr>
          </w:p>
        </w:tc>
      </w:tr>
      <w:tr w14:paraId="68985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E357298">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22C312E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A9ECBA6">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84F273E">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311D99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4CBF256">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21155B2">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2A16DB87">
            <w:pPr>
              <w:shd w:val="clear" w:color="auto" w:fill="auto"/>
              <w:spacing w:line="440" w:lineRule="exact"/>
              <w:ind w:firstLine="482"/>
              <w:jc w:val="center"/>
              <w:rPr>
                <w:rFonts w:ascii="宋体" w:hAnsi="宋体"/>
                <w:color w:val="auto"/>
                <w:highlight w:val="none"/>
              </w:rPr>
            </w:pPr>
          </w:p>
        </w:tc>
      </w:tr>
      <w:tr w14:paraId="0C64A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4BBDA5BD">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62F72438">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6EDBD5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0124529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894C2DD">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CE1FB4C">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8E83771">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0D6C4DA0">
            <w:pPr>
              <w:shd w:val="clear" w:color="auto" w:fill="auto"/>
              <w:spacing w:line="440" w:lineRule="exact"/>
              <w:ind w:firstLine="482"/>
              <w:jc w:val="center"/>
              <w:rPr>
                <w:rFonts w:ascii="宋体" w:hAnsi="宋体"/>
                <w:color w:val="auto"/>
                <w:highlight w:val="none"/>
              </w:rPr>
            </w:pPr>
          </w:p>
        </w:tc>
      </w:tr>
      <w:tr w14:paraId="11FBE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26150FE1">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755793D3">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D88A44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0B88F44">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5E66A684">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07AAD0F2">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A1803CB">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17F8D1FF">
            <w:pPr>
              <w:shd w:val="clear" w:color="auto" w:fill="auto"/>
              <w:spacing w:line="440" w:lineRule="exact"/>
              <w:ind w:firstLine="482"/>
              <w:jc w:val="center"/>
              <w:rPr>
                <w:rFonts w:ascii="宋体" w:hAnsi="宋体"/>
                <w:color w:val="auto"/>
                <w:highlight w:val="none"/>
              </w:rPr>
            </w:pPr>
          </w:p>
        </w:tc>
      </w:tr>
      <w:tr w14:paraId="0CEB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1A3D35B6">
            <w:pPr>
              <w:shd w:val="clear" w:color="auto" w:fill="auto"/>
              <w:spacing w:line="440" w:lineRule="exact"/>
              <w:ind w:firstLine="482"/>
              <w:jc w:val="center"/>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56DBD67D">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5C398BD">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43494F0">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DDA87E7">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477715F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77B9032B">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180EC44A">
            <w:pPr>
              <w:shd w:val="clear" w:color="auto" w:fill="auto"/>
              <w:spacing w:line="440" w:lineRule="exact"/>
              <w:ind w:firstLine="482"/>
              <w:jc w:val="center"/>
              <w:rPr>
                <w:rFonts w:ascii="宋体" w:hAnsi="宋体"/>
                <w:color w:val="auto"/>
                <w:highlight w:val="none"/>
              </w:rPr>
            </w:pPr>
          </w:p>
        </w:tc>
      </w:tr>
      <w:tr w14:paraId="5F440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9" w:type="dxa"/>
            <w:tcBorders>
              <w:top w:val="single" w:color="auto" w:sz="4" w:space="0"/>
              <w:left w:val="single" w:color="auto" w:sz="4" w:space="0"/>
              <w:bottom w:val="single" w:color="auto" w:sz="4" w:space="0"/>
              <w:right w:val="single" w:color="auto" w:sz="4" w:space="0"/>
            </w:tcBorders>
            <w:noWrap w:val="0"/>
            <w:vAlign w:val="top"/>
          </w:tcPr>
          <w:p w14:paraId="33FFA40E">
            <w:pPr>
              <w:shd w:val="clear" w:color="auto" w:fill="auto"/>
              <w:spacing w:line="440" w:lineRule="exact"/>
              <w:ind w:firstLine="482"/>
              <w:rPr>
                <w:rFonts w:ascii="宋体" w:hAnsi="宋体"/>
                <w:color w:val="auto"/>
                <w:highlight w:val="none"/>
              </w:rPr>
            </w:pPr>
          </w:p>
        </w:tc>
        <w:tc>
          <w:tcPr>
            <w:tcW w:w="1304" w:type="dxa"/>
            <w:tcBorders>
              <w:top w:val="single" w:color="auto" w:sz="4" w:space="0"/>
              <w:left w:val="single" w:color="auto" w:sz="4" w:space="0"/>
              <w:bottom w:val="single" w:color="auto" w:sz="4" w:space="0"/>
              <w:right w:val="single" w:color="auto" w:sz="4" w:space="0"/>
            </w:tcBorders>
            <w:noWrap w:val="0"/>
            <w:vAlign w:val="top"/>
          </w:tcPr>
          <w:p w14:paraId="4CBD8675">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1C3F6E00">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35F5C46F">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67A06908">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2A91ED6B">
            <w:pPr>
              <w:shd w:val="clear" w:color="auto" w:fill="auto"/>
              <w:spacing w:line="440" w:lineRule="exact"/>
              <w:ind w:firstLine="482"/>
              <w:jc w:val="center"/>
              <w:rPr>
                <w:rFonts w:ascii="宋体" w:hAnsi="宋体"/>
                <w:color w:val="auto"/>
                <w:highlight w:val="none"/>
              </w:rPr>
            </w:pPr>
          </w:p>
        </w:tc>
        <w:tc>
          <w:tcPr>
            <w:tcW w:w="1065" w:type="dxa"/>
            <w:tcBorders>
              <w:top w:val="single" w:color="auto" w:sz="4" w:space="0"/>
              <w:left w:val="single" w:color="auto" w:sz="4" w:space="0"/>
              <w:bottom w:val="single" w:color="auto" w:sz="4" w:space="0"/>
              <w:right w:val="single" w:color="auto" w:sz="4" w:space="0"/>
            </w:tcBorders>
            <w:noWrap w:val="0"/>
            <w:vAlign w:val="top"/>
          </w:tcPr>
          <w:p w14:paraId="0FF9911E">
            <w:pPr>
              <w:shd w:val="clear" w:color="auto" w:fill="auto"/>
              <w:spacing w:line="440" w:lineRule="exact"/>
              <w:ind w:firstLine="482"/>
              <w:jc w:val="center"/>
              <w:rPr>
                <w:rFonts w:ascii="宋体" w:hAnsi="宋体"/>
                <w:color w:val="auto"/>
                <w:highlight w:val="none"/>
              </w:rPr>
            </w:pPr>
          </w:p>
        </w:tc>
        <w:tc>
          <w:tcPr>
            <w:tcW w:w="1064" w:type="dxa"/>
            <w:tcBorders>
              <w:top w:val="single" w:color="auto" w:sz="4" w:space="0"/>
              <w:left w:val="single" w:color="auto" w:sz="4" w:space="0"/>
              <w:bottom w:val="single" w:color="auto" w:sz="4" w:space="0"/>
              <w:right w:val="single" w:color="auto" w:sz="4" w:space="0"/>
            </w:tcBorders>
            <w:noWrap w:val="0"/>
            <w:vAlign w:val="top"/>
          </w:tcPr>
          <w:p w14:paraId="17D33240">
            <w:pPr>
              <w:shd w:val="clear" w:color="auto" w:fill="auto"/>
              <w:spacing w:line="440" w:lineRule="exact"/>
              <w:ind w:firstLine="482"/>
              <w:jc w:val="center"/>
              <w:rPr>
                <w:rFonts w:ascii="宋体" w:hAnsi="宋体"/>
                <w:color w:val="auto"/>
                <w:highlight w:val="none"/>
              </w:rPr>
            </w:pPr>
          </w:p>
        </w:tc>
      </w:tr>
    </w:tbl>
    <w:p w14:paraId="7198A093">
      <w:pPr>
        <w:pStyle w:val="3"/>
        <w:shd w:val="clear" w:color="auto" w:fill="auto"/>
        <w:ind w:firstLine="640"/>
        <w:rPr>
          <w:rFonts w:hint="eastAsia" w:ascii="宋体" w:hAnsi="宋体"/>
          <w:b/>
          <w:color w:val="auto"/>
          <w:sz w:val="32"/>
          <w:szCs w:val="32"/>
          <w:highlight w:val="none"/>
        </w:rPr>
      </w:pPr>
      <w:bookmarkStart w:id="1459" w:name="_Toc179632820"/>
      <w:bookmarkStart w:id="1460" w:name="_Toc246997110"/>
      <w:bookmarkStart w:id="1461" w:name="_Toc246996367"/>
      <w:bookmarkStart w:id="1462" w:name="_Toc247085885"/>
      <w:bookmarkStart w:id="1463" w:name="_Toc144974868"/>
      <w:bookmarkStart w:id="1464" w:name="_Toc152042589"/>
      <w:bookmarkStart w:id="1465" w:name="_Toc152045800"/>
      <w:bookmarkStart w:id="1466" w:name="_Toc296602612"/>
      <w:r>
        <w:rPr>
          <w:rFonts w:hint="eastAsia" w:ascii="宋体" w:hAnsi="宋体"/>
          <w:b/>
          <w:color w:val="auto"/>
          <w:sz w:val="32"/>
          <w:szCs w:val="32"/>
          <w:highlight w:val="none"/>
        </w:rPr>
        <w:br w:type="page"/>
      </w:r>
      <w:r>
        <w:rPr>
          <w:rFonts w:hint="eastAsia" w:ascii="宋体" w:hAnsi="宋体" w:eastAsia="宋体" w:cs="Times New Roman"/>
          <w:color w:val="auto"/>
          <w:highlight w:val="none"/>
        </w:rPr>
        <w:t>附表三：进度计划</w:t>
      </w:r>
      <w:bookmarkEnd w:id="1459"/>
      <w:bookmarkEnd w:id="1460"/>
      <w:bookmarkEnd w:id="1461"/>
      <w:bookmarkEnd w:id="1462"/>
      <w:bookmarkEnd w:id="1463"/>
      <w:bookmarkEnd w:id="1464"/>
      <w:bookmarkEnd w:id="1465"/>
      <w:bookmarkEnd w:id="1466"/>
    </w:p>
    <w:p w14:paraId="331A32B3">
      <w:pPr>
        <w:shd w:val="clear" w:color="auto" w:fill="auto"/>
        <w:spacing w:line="440" w:lineRule="exact"/>
        <w:ind w:firstLine="402"/>
        <w:rPr>
          <w:rFonts w:hint="eastAsia" w:ascii="宋体" w:hAnsi="宋体"/>
          <w:color w:val="auto"/>
          <w:sz w:val="20"/>
          <w:szCs w:val="20"/>
          <w:highlight w:val="none"/>
        </w:rPr>
      </w:pPr>
    </w:p>
    <w:p w14:paraId="590F1CA9">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1. 投标人应递交施工进度网络图或施工进度表，说明按竞争性磋商文件要求的计划工期进行施工的各个关键日期。</w:t>
      </w:r>
    </w:p>
    <w:p w14:paraId="214C35AC">
      <w:pPr>
        <w:shd w:val="clear" w:color="auto" w:fill="auto"/>
        <w:spacing w:line="440" w:lineRule="exact"/>
        <w:ind w:firstLine="480" w:firstLineChars="200"/>
        <w:rPr>
          <w:rFonts w:hint="eastAsia" w:ascii="宋体" w:hAnsi="宋体"/>
          <w:color w:val="auto"/>
          <w:sz w:val="24"/>
          <w:highlight w:val="none"/>
        </w:rPr>
      </w:pPr>
      <w:r>
        <w:rPr>
          <w:rFonts w:hint="eastAsia" w:ascii="宋体" w:hAnsi="宋体"/>
          <w:color w:val="auto"/>
          <w:sz w:val="24"/>
          <w:highlight w:val="none"/>
        </w:rPr>
        <w:t>2. 施工进度表可采用网络图或横道图表示。</w:t>
      </w:r>
    </w:p>
    <w:p w14:paraId="7479B678">
      <w:pPr>
        <w:shd w:val="clear" w:color="auto" w:fill="auto"/>
        <w:spacing w:line="440" w:lineRule="exact"/>
        <w:ind w:firstLine="402"/>
        <w:rPr>
          <w:rFonts w:hint="eastAsia" w:ascii="宋体" w:hAnsi="宋体"/>
          <w:color w:val="auto"/>
          <w:sz w:val="20"/>
          <w:szCs w:val="20"/>
          <w:highlight w:val="none"/>
        </w:rPr>
      </w:pPr>
    </w:p>
    <w:p w14:paraId="3C28E62D">
      <w:pPr>
        <w:shd w:val="clear" w:color="auto" w:fill="auto"/>
        <w:spacing w:line="440" w:lineRule="exact"/>
        <w:ind w:firstLine="640"/>
        <w:jc w:val="center"/>
        <w:rPr>
          <w:rFonts w:hint="eastAsia" w:ascii="宋体" w:hAnsi="宋体" w:cs="宋体"/>
          <w:b/>
          <w:color w:val="auto"/>
          <w:sz w:val="32"/>
          <w:szCs w:val="32"/>
          <w:highlight w:val="none"/>
        </w:rPr>
      </w:pPr>
    </w:p>
    <w:p w14:paraId="615EF52D">
      <w:pPr>
        <w:pStyle w:val="10"/>
        <w:shd w:val="clear" w:color="auto" w:fill="auto"/>
        <w:ind w:firstLine="562"/>
        <w:rPr>
          <w:rFonts w:hint="eastAsia" w:ascii="宋体" w:hAnsi="宋体" w:eastAsia="宋体"/>
          <w:color w:val="auto"/>
          <w:highlight w:val="none"/>
        </w:rPr>
      </w:pPr>
    </w:p>
    <w:p w14:paraId="14750EDF">
      <w:pPr>
        <w:pStyle w:val="11"/>
        <w:shd w:val="clear" w:color="auto" w:fill="auto"/>
        <w:ind w:firstLine="402"/>
        <w:rPr>
          <w:rFonts w:hint="eastAsia" w:ascii="宋体" w:hAnsi="宋体" w:eastAsia="宋体"/>
          <w:color w:val="auto"/>
          <w:highlight w:val="none"/>
        </w:rPr>
      </w:pPr>
    </w:p>
    <w:p w14:paraId="139F46B6">
      <w:pPr>
        <w:pStyle w:val="11"/>
        <w:shd w:val="clear" w:color="auto" w:fill="auto"/>
        <w:ind w:firstLine="402"/>
        <w:rPr>
          <w:rFonts w:hint="eastAsia" w:ascii="宋体" w:hAnsi="宋体" w:eastAsia="宋体"/>
          <w:color w:val="auto"/>
          <w:highlight w:val="none"/>
        </w:rPr>
      </w:pPr>
    </w:p>
    <w:p w14:paraId="56DD9347">
      <w:pPr>
        <w:pStyle w:val="11"/>
        <w:shd w:val="clear" w:color="auto" w:fill="auto"/>
        <w:ind w:firstLine="402"/>
        <w:rPr>
          <w:rFonts w:hint="eastAsia" w:ascii="宋体" w:hAnsi="宋体" w:eastAsia="宋体"/>
          <w:color w:val="auto"/>
          <w:highlight w:val="none"/>
        </w:rPr>
      </w:pPr>
    </w:p>
    <w:p w14:paraId="3DD4AAFD">
      <w:pPr>
        <w:pStyle w:val="11"/>
        <w:shd w:val="clear" w:color="auto" w:fill="auto"/>
        <w:ind w:firstLine="402"/>
        <w:rPr>
          <w:rFonts w:hint="eastAsia" w:ascii="宋体" w:hAnsi="宋体" w:eastAsia="宋体"/>
          <w:color w:val="auto"/>
          <w:highlight w:val="none"/>
        </w:rPr>
      </w:pPr>
    </w:p>
    <w:p w14:paraId="7BB28F5B">
      <w:pPr>
        <w:pStyle w:val="11"/>
        <w:shd w:val="clear" w:color="auto" w:fill="auto"/>
        <w:ind w:firstLine="402"/>
        <w:rPr>
          <w:rFonts w:hint="eastAsia" w:ascii="宋体" w:hAnsi="宋体" w:eastAsia="宋体"/>
          <w:color w:val="auto"/>
          <w:highlight w:val="none"/>
        </w:rPr>
      </w:pPr>
    </w:p>
    <w:p w14:paraId="337127B2">
      <w:pPr>
        <w:pStyle w:val="11"/>
        <w:shd w:val="clear" w:color="auto" w:fill="auto"/>
        <w:ind w:firstLine="402"/>
        <w:rPr>
          <w:rFonts w:hint="eastAsia" w:ascii="宋体" w:hAnsi="宋体" w:eastAsia="宋体"/>
          <w:color w:val="auto"/>
          <w:highlight w:val="none"/>
        </w:rPr>
      </w:pPr>
    </w:p>
    <w:p w14:paraId="7EB7D395">
      <w:pPr>
        <w:shd w:val="clear" w:color="auto" w:fill="auto"/>
        <w:spacing w:line="440" w:lineRule="exact"/>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七、项目管理机构</w:t>
      </w:r>
      <w:bookmarkEnd w:id="1427"/>
      <w:bookmarkEnd w:id="1428"/>
      <w:bookmarkEnd w:id="1429"/>
      <w:bookmarkEnd w:id="1430"/>
      <w:bookmarkEnd w:id="1431"/>
      <w:bookmarkEnd w:id="1432"/>
      <w:bookmarkEnd w:id="1433"/>
      <w:bookmarkEnd w:id="1434"/>
    </w:p>
    <w:p w14:paraId="343976BC">
      <w:pPr>
        <w:pStyle w:val="3"/>
        <w:shd w:val="clear" w:color="auto" w:fill="auto"/>
        <w:jc w:val="center"/>
        <w:rPr>
          <w:rFonts w:hint="eastAsia" w:ascii="宋体" w:hAnsi="宋体" w:cs="宋体"/>
          <w:color w:val="auto"/>
          <w:highlight w:val="none"/>
        </w:rPr>
      </w:pPr>
      <w:bookmarkStart w:id="1467" w:name="_Toc144974872"/>
      <w:bookmarkStart w:id="1468" w:name="_Toc77586975"/>
      <w:bookmarkStart w:id="1469" w:name="_Toc296602615"/>
      <w:bookmarkStart w:id="1470" w:name="_Toc247085888"/>
      <w:bookmarkStart w:id="1471" w:name="_Toc3268"/>
      <w:bookmarkStart w:id="1472" w:name="_Toc152042593"/>
      <w:bookmarkStart w:id="1473" w:name="_Toc77586877"/>
      <w:bookmarkStart w:id="1474" w:name="_Toc246996370"/>
      <w:bookmarkStart w:id="1475" w:name="_Toc152045804"/>
      <w:bookmarkStart w:id="1476" w:name="_Toc179632824"/>
      <w:bookmarkStart w:id="1477" w:name="_Toc9871"/>
      <w:bookmarkStart w:id="1478" w:name="_Toc246997113"/>
      <w:r>
        <w:rPr>
          <w:rFonts w:hint="eastAsia" w:ascii="宋体" w:hAnsi="宋体" w:cs="宋体"/>
          <w:color w:val="auto"/>
          <w:highlight w:val="none"/>
        </w:rPr>
        <w:t>（一）项目管理机构组成表</w:t>
      </w:r>
      <w:bookmarkEnd w:id="1467"/>
      <w:bookmarkEnd w:id="1468"/>
      <w:bookmarkEnd w:id="1469"/>
      <w:bookmarkEnd w:id="1470"/>
      <w:bookmarkEnd w:id="1471"/>
      <w:bookmarkEnd w:id="1472"/>
      <w:bookmarkEnd w:id="1473"/>
      <w:bookmarkEnd w:id="1474"/>
      <w:bookmarkEnd w:id="1475"/>
      <w:bookmarkEnd w:id="1476"/>
      <w:bookmarkEnd w:id="1477"/>
      <w:bookmarkEnd w:id="1478"/>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3"/>
        <w:gridCol w:w="721"/>
        <w:gridCol w:w="719"/>
        <w:gridCol w:w="1232"/>
        <w:gridCol w:w="1042"/>
        <w:gridCol w:w="992"/>
        <w:gridCol w:w="1276"/>
        <w:gridCol w:w="1221"/>
        <w:gridCol w:w="672"/>
      </w:tblGrid>
      <w:tr w14:paraId="699A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3" w:type="dxa"/>
            <w:vMerge w:val="restart"/>
            <w:tcBorders>
              <w:top w:val="single" w:color="auto" w:sz="4" w:space="0"/>
              <w:left w:val="single" w:color="auto" w:sz="4" w:space="0"/>
              <w:bottom w:val="single" w:color="auto" w:sz="4" w:space="0"/>
              <w:right w:val="single" w:color="auto" w:sz="4" w:space="0"/>
            </w:tcBorders>
            <w:noWrap w:val="0"/>
            <w:vAlign w:val="center"/>
          </w:tcPr>
          <w:p w14:paraId="3470AF37">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职务</w:t>
            </w:r>
          </w:p>
        </w:tc>
        <w:tc>
          <w:tcPr>
            <w:tcW w:w="721" w:type="dxa"/>
            <w:vMerge w:val="restart"/>
            <w:tcBorders>
              <w:top w:val="single" w:color="auto" w:sz="4" w:space="0"/>
              <w:left w:val="single" w:color="auto" w:sz="4" w:space="0"/>
              <w:bottom w:val="single" w:color="auto" w:sz="4" w:space="0"/>
              <w:right w:val="single" w:color="auto" w:sz="4" w:space="0"/>
            </w:tcBorders>
            <w:noWrap w:val="0"/>
            <w:vAlign w:val="center"/>
          </w:tcPr>
          <w:p w14:paraId="6AAE1DD0">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姓名</w:t>
            </w:r>
          </w:p>
        </w:tc>
        <w:tc>
          <w:tcPr>
            <w:tcW w:w="719" w:type="dxa"/>
            <w:vMerge w:val="restart"/>
            <w:tcBorders>
              <w:top w:val="single" w:color="auto" w:sz="4" w:space="0"/>
              <w:left w:val="single" w:color="auto" w:sz="4" w:space="0"/>
              <w:bottom w:val="single" w:color="auto" w:sz="4" w:space="0"/>
              <w:right w:val="single" w:color="auto" w:sz="4" w:space="0"/>
            </w:tcBorders>
            <w:noWrap w:val="0"/>
            <w:vAlign w:val="center"/>
          </w:tcPr>
          <w:p w14:paraId="28DB3E62">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职称</w:t>
            </w:r>
          </w:p>
        </w:tc>
        <w:tc>
          <w:tcPr>
            <w:tcW w:w="5763" w:type="dxa"/>
            <w:gridSpan w:val="5"/>
            <w:tcBorders>
              <w:top w:val="single" w:color="auto" w:sz="4" w:space="0"/>
              <w:left w:val="single" w:color="auto" w:sz="4" w:space="0"/>
              <w:bottom w:val="single" w:color="auto" w:sz="4" w:space="0"/>
              <w:right w:val="single" w:color="auto" w:sz="4" w:space="0"/>
            </w:tcBorders>
            <w:noWrap w:val="0"/>
            <w:vAlign w:val="center"/>
          </w:tcPr>
          <w:p w14:paraId="036F1A91">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执业或职业资格证明</w:t>
            </w:r>
          </w:p>
        </w:tc>
        <w:tc>
          <w:tcPr>
            <w:tcW w:w="672" w:type="dxa"/>
            <w:vMerge w:val="restart"/>
            <w:tcBorders>
              <w:top w:val="single" w:color="auto" w:sz="4" w:space="0"/>
              <w:left w:val="single" w:color="auto" w:sz="4" w:space="0"/>
              <w:bottom w:val="single" w:color="auto" w:sz="4" w:space="0"/>
              <w:right w:val="single" w:color="auto" w:sz="4" w:space="0"/>
            </w:tcBorders>
            <w:noWrap w:val="0"/>
            <w:vAlign w:val="center"/>
          </w:tcPr>
          <w:p w14:paraId="17FADADE">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备注</w:t>
            </w:r>
          </w:p>
        </w:tc>
      </w:tr>
      <w:tr w14:paraId="2A0BD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73" w:type="dxa"/>
            <w:vMerge w:val="continue"/>
            <w:tcBorders>
              <w:top w:val="single" w:color="auto" w:sz="4" w:space="0"/>
              <w:left w:val="single" w:color="auto" w:sz="4" w:space="0"/>
              <w:bottom w:val="single" w:color="auto" w:sz="4" w:space="0"/>
              <w:right w:val="single" w:color="auto" w:sz="4" w:space="0"/>
            </w:tcBorders>
            <w:noWrap w:val="0"/>
            <w:vAlign w:val="center"/>
          </w:tcPr>
          <w:p w14:paraId="490E74AB">
            <w:pPr>
              <w:widowControl/>
              <w:shd w:val="clear" w:color="auto" w:fill="auto"/>
              <w:ind w:firstLine="482"/>
              <w:jc w:val="left"/>
              <w:rPr>
                <w:rFonts w:ascii="宋体" w:hAnsi="宋体" w:cs="宋体"/>
                <w:color w:val="auto"/>
                <w:sz w:val="24"/>
                <w:szCs w:val="24"/>
                <w:highlight w:val="none"/>
              </w:rPr>
            </w:pPr>
          </w:p>
        </w:tc>
        <w:tc>
          <w:tcPr>
            <w:tcW w:w="721" w:type="dxa"/>
            <w:vMerge w:val="continue"/>
            <w:tcBorders>
              <w:top w:val="single" w:color="auto" w:sz="4" w:space="0"/>
              <w:left w:val="single" w:color="auto" w:sz="4" w:space="0"/>
              <w:bottom w:val="single" w:color="auto" w:sz="4" w:space="0"/>
              <w:right w:val="single" w:color="auto" w:sz="4" w:space="0"/>
            </w:tcBorders>
            <w:noWrap w:val="0"/>
            <w:vAlign w:val="center"/>
          </w:tcPr>
          <w:p w14:paraId="0813A7F0">
            <w:pPr>
              <w:widowControl/>
              <w:shd w:val="clear" w:color="auto" w:fill="auto"/>
              <w:ind w:firstLine="482"/>
              <w:jc w:val="left"/>
              <w:rPr>
                <w:rFonts w:ascii="宋体" w:hAnsi="宋体" w:cs="宋体"/>
                <w:color w:val="auto"/>
                <w:sz w:val="24"/>
                <w:szCs w:val="24"/>
                <w:highlight w:val="none"/>
              </w:rPr>
            </w:pPr>
          </w:p>
        </w:tc>
        <w:tc>
          <w:tcPr>
            <w:tcW w:w="719" w:type="dxa"/>
            <w:vMerge w:val="continue"/>
            <w:tcBorders>
              <w:top w:val="single" w:color="auto" w:sz="4" w:space="0"/>
              <w:left w:val="single" w:color="auto" w:sz="4" w:space="0"/>
              <w:bottom w:val="single" w:color="auto" w:sz="4" w:space="0"/>
              <w:right w:val="single" w:color="auto" w:sz="4" w:space="0"/>
            </w:tcBorders>
            <w:noWrap w:val="0"/>
            <w:vAlign w:val="center"/>
          </w:tcPr>
          <w:p w14:paraId="41641C65">
            <w:pPr>
              <w:widowControl/>
              <w:shd w:val="clear" w:color="auto" w:fill="auto"/>
              <w:ind w:firstLine="482"/>
              <w:jc w:val="left"/>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14:paraId="191D5AF5">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证书名称</w:t>
            </w:r>
          </w:p>
        </w:tc>
        <w:tc>
          <w:tcPr>
            <w:tcW w:w="1042" w:type="dxa"/>
            <w:tcBorders>
              <w:top w:val="single" w:color="auto" w:sz="4" w:space="0"/>
              <w:left w:val="single" w:color="auto" w:sz="4" w:space="0"/>
              <w:bottom w:val="single" w:color="auto" w:sz="4" w:space="0"/>
              <w:right w:val="single" w:color="auto" w:sz="4" w:space="0"/>
            </w:tcBorders>
            <w:noWrap w:val="0"/>
            <w:vAlign w:val="center"/>
          </w:tcPr>
          <w:p w14:paraId="1C216AF7">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级别</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0045AE8E">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证号</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40E633A3">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专业</w:t>
            </w:r>
          </w:p>
        </w:tc>
        <w:tc>
          <w:tcPr>
            <w:tcW w:w="1221" w:type="dxa"/>
            <w:tcBorders>
              <w:top w:val="single" w:color="auto" w:sz="4" w:space="0"/>
              <w:left w:val="single" w:color="auto" w:sz="4" w:space="0"/>
              <w:bottom w:val="single" w:color="auto" w:sz="4" w:space="0"/>
              <w:right w:val="single" w:color="auto" w:sz="4" w:space="0"/>
            </w:tcBorders>
            <w:noWrap w:val="0"/>
            <w:vAlign w:val="center"/>
          </w:tcPr>
          <w:p w14:paraId="0E75D9C6">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养老保险</w:t>
            </w:r>
          </w:p>
        </w:tc>
        <w:tc>
          <w:tcPr>
            <w:tcW w:w="672" w:type="dxa"/>
            <w:vMerge w:val="continue"/>
            <w:tcBorders>
              <w:top w:val="single" w:color="auto" w:sz="4" w:space="0"/>
              <w:left w:val="single" w:color="auto" w:sz="4" w:space="0"/>
              <w:bottom w:val="single" w:color="auto" w:sz="4" w:space="0"/>
              <w:right w:val="single" w:color="auto" w:sz="4" w:space="0"/>
            </w:tcBorders>
            <w:noWrap w:val="0"/>
            <w:vAlign w:val="center"/>
          </w:tcPr>
          <w:p w14:paraId="4557C39A">
            <w:pPr>
              <w:widowControl/>
              <w:shd w:val="clear" w:color="auto" w:fill="auto"/>
              <w:ind w:firstLine="482"/>
              <w:jc w:val="left"/>
              <w:rPr>
                <w:rFonts w:ascii="宋体" w:hAnsi="宋体" w:cs="宋体"/>
                <w:color w:val="auto"/>
                <w:sz w:val="24"/>
                <w:szCs w:val="24"/>
                <w:highlight w:val="none"/>
              </w:rPr>
            </w:pPr>
          </w:p>
        </w:tc>
      </w:tr>
      <w:tr w14:paraId="065BA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center"/>
          </w:tcPr>
          <w:p w14:paraId="1DDAD4C3">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center"/>
          </w:tcPr>
          <w:p w14:paraId="4E2538B6">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center"/>
          </w:tcPr>
          <w:p w14:paraId="18A00506">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center"/>
          </w:tcPr>
          <w:p w14:paraId="3327B868">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center"/>
          </w:tcPr>
          <w:p w14:paraId="565A3D84">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center"/>
          </w:tcPr>
          <w:p w14:paraId="1934A2CC">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14:paraId="57736F98">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center"/>
          </w:tcPr>
          <w:p w14:paraId="6670ED86">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center"/>
          </w:tcPr>
          <w:p w14:paraId="2AABA01A">
            <w:pPr>
              <w:shd w:val="clear" w:color="auto" w:fill="auto"/>
              <w:spacing w:line="440" w:lineRule="exact"/>
              <w:ind w:firstLine="482"/>
              <w:jc w:val="center"/>
              <w:rPr>
                <w:rFonts w:ascii="宋体" w:hAnsi="宋体" w:cs="宋体"/>
                <w:color w:val="auto"/>
                <w:sz w:val="24"/>
                <w:szCs w:val="24"/>
                <w:highlight w:val="none"/>
              </w:rPr>
            </w:pPr>
          </w:p>
        </w:tc>
      </w:tr>
      <w:tr w14:paraId="0311A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7F00712C">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000788E9">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84183D8">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7F8C06EA">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1F86C247">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3F18CFEF">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9AC4E82">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4DB438A1">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4DCE1511">
            <w:pPr>
              <w:shd w:val="clear" w:color="auto" w:fill="auto"/>
              <w:spacing w:line="440" w:lineRule="exact"/>
              <w:ind w:firstLine="482"/>
              <w:jc w:val="center"/>
              <w:rPr>
                <w:rFonts w:ascii="宋体" w:hAnsi="宋体" w:cs="宋体"/>
                <w:color w:val="auto"/>
                <w:sz w:val="24"/>
                <w:szCs w:val="24"/>
                <w:highlight w:val="none"/>
              </w:rPr>
            </w:pPr>
          </w:p>
        </w:tc>
      </w:tr>
      <w:tr w14:paraId="41B5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0371B30E">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3DBE18B">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08B96E64">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2C6CE4FB">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60F8EB04">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7F934D70">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B118946">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5D4480CE">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21A0E26C">
            <w:pPr>
              <w:shd w:val="clear" w:color="auto" w:fill="auto"/>
              <w:spacing w:line="440" w:lineRule="exact"/>
              <w:ind w:firstLine="482"/>
              <w:jc w:val="center"/>
              <w:rPr>
                <w:rFonts w:ascii="宋体" w:hAnsi="宋体" w:cs="宋体"/>
                <w:color w:val="auto"/>
                <w:sz w:val="24"/>
                <w:szCs w:val="24"/>
                <w:highlight w:val="none"/>
              </w:rPr>
            </w:pPr>
          </w:p>
        </w:tc>
      </w:tr>
      <w:tr w14:paraId="4E37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34B27DB9">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3A0D7972">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7E9C724">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3B1E12FE">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2007089B">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3B6EB0E2">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FB8F1AC">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643D246D">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1723A2D9">
            <w:pPr>
              <w:shd w:val="clear" w:color="auto" w:fill="auto"/>
              <w:spacing w:line="440" w:lineRule="exact"/>
              <w:ind w:firstLine="482"/>
              <w:jc w:val="center"/>
              <w:rPr>
                <w:rFonts w:ascii="宋体" w:hAnsi="宋体" w:cs="宋体"/>
                <w:color w:val="auto"/>
                <w:sz w:val="24"/>
                <w:szCs w:val="24"/>
                <w:highlight w:val="none"/>
              </w:rPr>
            </w:pPr>
          </w:p>
        </w:tc>
      </w:tr>
      <w:tr w14:paraId="23F88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6EC2EFBD">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70101130">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D93683C">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54E8CA42">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2894C7A0">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79016C53">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0DCE32B3">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546885E5">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359DFD30">
            <w:pPr>
              <w:shd w:val="clear" w:color="auto" w:fill="auto"/>
              <w:spacing w:line="440" w:lineRule="exact"/>
              <w:ind w:firstLine="482"/>
              <w:jc w:val="center"/>
              <w:rPr>
                <w:rFonts w:ascii="宋体" w:hAnsi="宋体" w:cs="宋体"/>
                <w:color w:val="auto"/>
                <w:sz w:val="24"/>
                <w:szCs w:val="24"/>
                <w:highlight w:val="none"/>
              </w:rPr>
            </w:pPr>
          </w:p>
        </w:tc>
      </w:tr>
      <w:tr w14:paraId="6173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2B5C2E56">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CB8A116">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E5B6118">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6A680D5E">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732338EC">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3DB471B5">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7F98023B">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35989553">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4DCF474D">
            <w:pPr>
              <w:shd w:val="clear" w:color="auto" w:fill="auto"/>
              <w:spacing w:line="440" w:lineRule="exact"/>
              <w:ind w:firstLine="482"/>
              <w:jc w:val="center"/>
              <w:rPr>
                <w:rFonts w:ascii="宋体" w:hAnsi="宋体" w:cs="宋体"/>
                <w:color w:val="auto"/>
                <w:sz w:val="24"/>
                <w:szCs w:val="24"/>
                <w:highlight w:val="none"/>
              </w:rPr>
            </w:pPr>
          </w:p>
        </w:tc>
      </w:tr>
      <w:tr w14:paraId="4154E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64042A52">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78521865">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FF6C09E">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23E7A96D">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424772AD">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166A545F">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CBEA89C">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0414112F">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4E54139">
            <w:pPr>
              <w:shd w:val="clear" w:color="auto" w:fill="auto"/>
              <w:spacing w:line="440" w:lineRule="exact"/>
              <w:ind w:firstLine="482"/>
              <w:jc w:val="center"/>
              <w:rPr>
                <w:rFonts w:ascii="宋体" w:hAnsi="宋体" w:cs="宋体"/>
                <w:color w:val="auto"/>
                <w:sz w:val="24"/>
                <w:szCs w:val="24"/>
                <w:highlight w:val="none"/>
              </w:rPr>
            </w:pPr>
          </w:p>
        </w:tc>
      </w:tr>
      <w:tr w14:paraId="5E37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7BE83F09">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11F7417B">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192DD04">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473C5326">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4090A107">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3A728435">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1DD5AC56">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12BD7533">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59ADBF2D">
            <w:pPr>
              <w:shd w:val="clear" w:color="auto" w:fill="auto"/>
              <w:spacing w:line="440" w:lineRule="exact"/>
              <w:ind w:firstLine="482"/>
              <w:jc w:val="center"/>
              <w:rPr>
                <w:rFonts w:ascii="宋体" w:hAnsi="宋体" w:cs="宋体"/>
                <w:color w:val="auto"/>
                <w:sz w:val="24"/>
                <w:szCs w:val="24"/>
                <w:highlight w:val="none"/>
              </w:rPr>
            </w:pPr>
          </w:p>
        </w:tc>
      </w:tr>
      <w:tr w14:paraId="67613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34DBFA81">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61532685">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4107282A">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657303F3">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23EB8B22">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20467AFC">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4EF9A9B">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204F9FD2">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E037C9F">
            <w:pPr>
              <w:shd w:val="clear" w:color="auto" w:fill="auto"/>
              <w:spacing w:line="440" w:lineRule="exact"/>
              <w:ind w:firstLine="482"/>
              <w:jc w:val="center"/>
              <w:rPr>
                <w:rFonts w:ascii="宋体" w:hAnsi="宋体" w:cs="宋体"/>
                <w:color w:val="auto"/>
                <w:sz w:val="24"/>
                <w:szCs w:val="24"/>
                <w:highlight w:val="none"/>
              </w:rPr>
            </w:pPr>
          </w:p>
        </w:tc>
      </w:tr>
      <w:tr w14:paraId="70B68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6A65ECF1">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49AA6E2E">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29C055B9">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5BD30B22">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74F452C9">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6F53984B">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7556D7A">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374439F3">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13DC2201">
            <w:pPr>
              <w:shd w:val="clear" w:color="auto" w:fill="auto"/>
              <w:spacing w:line="440" w:lineRule="exact"/>
              <w:ind w:firstLine="482"/>
              <w:jc w:val="center"/>
              <w:rPr>
                <w:rFonts w:ascii="宋体" w:hAnsi="宋体" w:cs="宋体"/>
                <w:color w:val="auto"/>
                <w:sz w:val="24"/>
                <w:szCs w:val="24"/>
                <w:highlight w:val="none"/>
              </w:rPr>
            </w:pPr>
          </w:p>
        </w:tc>
      </w:tr>
      <w:tr w14:paraId="4AAB3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612C2BC3">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0E737CA8">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5C1DA69F">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0E2FFB2C">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7AAFB446">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7D26479C">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07800D2">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0487B5F0">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6EB6FB4">
            <w:pPr>
              <w:shd w:val="clear" w:color="auto" w:fill="auto"/>
              <w:spacing w:line="440" w:lineRule="exact"/>
              <w:ind w:firstLine="482"/>
              <w:jc w:val="center"/>
              <w:rPr>
                <w:rFonts w:ascii="宋体" w:hAnsi="宋体" w:cs="宋体"/>
                <w:color w:val="auto"/>
                <w:sz w:val="24"/>
                <w:szCs w:val="24"/>
                <w:highlight w:val="none"/>
              </w:rPr>
            </w:pPr>
          </w:p>
        </w:tc>
      </w:tr>
      <w:tr w14:paraId="40D6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3992418D">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370F590">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285BE0D1">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3168F0B7">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7AAB7EC8">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6C5867A1">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5446FB64">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2575D0CC">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5D2F3A41">
            <w:pPr>
              <w:shd w:val="clear" w:color="auto" w:fill="auto"/>
              <w:spacing w:line="440" w:lineRule="exact"/>
              <w:ind w:firstLine="482"/>
              <w:jc w:val="center"/>
              <w:rPr>
                <w:rFonts w:ascii="宋体" w:hAnsi="宋体" w:cs="宋体"/>
                <w:color w:val="auto"/>
                <w:sz w:val="24"/>
                <w:szCs w:val="24"/>
                <w:highlight w:val="none"/>
              </w:rPr>
            </w:pPr>
          </w:p>
        </w:tc>
      </w:tr>
      <w:tr w14:paraId="5CFF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5BC34F0E">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3DCA75D2">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307AE46E">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5517620B">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08D97568">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49272B0A">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CBAE127">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63984CB4">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61D84681">
            <w:pPr>
              <w:shd w:val="clear" w:color="auto" w:fill="auto"/>
              <w:spacing w:line="440" w:lineRule="exact"/>
              <w:ind w:firstLine="482"/>
              <w:jc w:val="center"/>
              <w:rPr>
                <w:rFonts w:ascii="宋体" w:hAnsi="宋体" w:cs="宋体"/>
                <w:color w:val="auto"/>
                <w:sz w:val="24"/>
                <w:szCs w:val="24"/>
                <w:highlight w:val="none"/>
              </w:rPr>
            </w:pPr>
          </w:p>
        </w:tc>
      </w:tr>
      <w:tr w14:paraId="23ECE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3B444E79">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4A083DD8">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51996A08">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6430677E">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7AAB0D1B">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499E7BFB">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89349FC">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35517110">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783D3C26">
            <w:pPr>
              <w:shd w:val="clear" w:color="auto" w:fill="auto"/>
              <w:spacing w:line="440" w:lineRule="exact"/>
              <w:ind w:firstLine="482"/>
              <w:jc w:val="center"/>
              <w:rPr>
                <w:rFonts w:ascii="宋体" w:hAnsi="宋体" w:cs="宋体"/>
                <w:color w:val="auto"/>
                <w:sz w:val="24"/>
                <w:szCs w:val="24"/>
                <w:highlight w:val="none"/>
              </w:rPr>
            </w:pPr>
          </w:p>
        </w:tc>
      </w:tr>
      <w:tr w14:paraId="33465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2221A73D">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5F8D0CA3">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40B096B">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453BBAF3">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6BDDD846">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0CFACE44">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34E707E1">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3AA1FA47">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265D3AD1">
            <w:pPr>
              <w:shd w:val="clear" w:color="auto" w:fill="auto"/>
              <w:spacing w:line="440" w:lineRule="exact"/>
              <w:ind w:firstLine="482"/>
              <w:jc w:val="center"/>
              <w:rPr>
                <w:rFonts w:ascii="宋体" w:hAnsi="宋体" w:cs="宋体"/>
                <w:color w:val="auto"/>
                <w:sz w:val="24"/>
                <w:szCs w:val="24"/>
                <w:highlight w:val="none"/>
              </w:rPr>
            </w:pPr>
          </w:p>
        </w:tc>
      </w:tr>
      <w:tr w14:paraId="0B2D1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196FD0D6">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1B3DFC45">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5015A897">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2E6CD1D2">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4E8CD92B">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23A09D81">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6412BFC5">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6F1DDD70">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41332FCA">
            <w:pPr>
              <w:shd w:val="clear" w:color="auto" w:fill="auto"/>
              <w:spacing w:line="440" w:lineRule="exact"/>
              <w:ind w:firstLine="482"/>
              <w:jc w:val="center"/>
              <w:rPr>
                <w:rFonts w:ascii="宋体" w:hAnsi="宋体" w:cs="宋体"/>
                <w:color w:val="auto"/>
                <w:sz w:val="24"/>
                <w:szCs w:val="24"/>
                <w:highlight w:val="none"/>
              </w:rPr>
            </w:pPr>
          </w:p>
        </w:tc>
      </w:tr>
      <w:tr w14:paraId="2AC25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55CACEB2">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4AFB0E17">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7724F24">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0147601B">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53A9D719">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2BF85DF6">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0722413">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73F2177E">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54A73C67">
            <w:pPr>
              <w:shd w:val="clear" w:color="auto" w:fill="auto"/>
              <w:spacing w:line="440" w:lineRule="exact"/>
              <w:ind w:firstLine="482"/>
              <w:jc w:val="center"/>
              <w:rPr>
                <w:rFonts w:ascii="宋体" w:hAnsi="宋体" w:cs="宋体"/>
                <w:color w:val="auto"/>
                <w:sz w:val="24"/>
                <w:szCs w:val="24"/>
                <w:highlight w:val="none"/>
              </w:rPr>
            </w:pPr>
          </w:p>
        </w:tc>
      </w:tr>
      <w:tr w14:paraId="16BB0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0E85C804">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2AC9C28C">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189877D1">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32004A81">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2B3E38CE">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72BFA3F2">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4FEF22FA">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42E1A2E9">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71ABBCB3">
            <w:pPr>
              <w:shd w:val="clear" w:color="auto" w:fill="auto"/>
              <w:spacing w:line="440" w:lineRule="exact"/>
              <w:ind w:firstLine="482"/>
              <w:jc w:val="center"/>
              <w:rPr>
                <w:rFonts w:ascii="宋体" w:hAnsi="宋体" w:cs="宋体"/>
                <w:color w:val="auto"/>
                <w:sz w:val="24"/>
                <w:szCs w:val="24"/>
                <w:highlight w:val="none"/>
              </w:rPr>
            </w:pPr>
          </w:p>
        </w:tc>
      </w:tr>
      <w:tr w14:paraId="7A340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3" w:type="dxa"/>
            <w:tcBorders>
              <w:top w:val="single" w:color="auto" w:sz="4" w:space="0"/>
              <w:left w:val="single" w:color="auto" w:sz="4" w:space="0"/>
              <w:bottom w:val="single" w:color="auto" w:sz="4" w:space="0"/>
              <w:right w:val="single" w:color="auto" w:sz="4" w:space="0"/>
            </w:tcBorders>
            <w:noWrap w:val="0"/>
            <w:vAlign w:val="top"/>
          </w:tcPr>
          <w:p w14:paraId="25C1928B">
            <w:pPr>
              <w:shd w:val="clear" w:color="auto" w:fill="auto"/>
              <w:spacing w:line="440" w:lineRule="exact"/>
              <w:ind w:firstLine="482"/>
              <w:jc w:val="center"/>
              <w:rPr>
                <w:rFonts w:ascii="宋体" w:hAnsi="宋体" w:cs="宋体"/>
                <w:color w:val="auto"/>
                <w:sz w:val="24"/>
                <w:szCs w:val="24"/>
                <w:highlight w:val="none"/>
              </w:rPr>
            </w:pPr>
          </w:p>
        </w:tc>
        <w:tc>
          <w:tcPr>
            <w:tcW w:w="721" w:type="dxa"/>
            <w:tcBorders>
              <w:top w:val="single" w:color="auto" w:sz="4" w:space="0"/>
              <w:left w:val="single" w:color="auto" w:sz="4" w:space="0"/>
              <w:bottom w:val="single" w:color="auto" w:sz="4" w:space="0"/>
              <w:right w:val="single" w:color="auto" w:sz="4" w:space="0"/>
            </w:tcBorders>
            <w:noWrap w:val="0"/>
            <w:vAlign w:val="top"/>
          </w:tcPr>
          <w:p w14:paraId="346088AF">
            <w:pPr>
              <w:shd w:val="clear" w:color="auto" w:fill="auto"/>
              <w:spacing w:line="440" w:lineRule="exact"/>
              <w:ind w:firstLine="482"/>
              <w:jc w:val="center"/>
              <w:rPr>
                <w:rFonts w:ascii="宋体" w:hAnsi="宋体" w:cs="宋体"/>
                <w:color w:val="auto"/>
                <w:sz w:val="24"/>
                <w:szCs w:val="24"/>
                <w:highlight w:val="none"/>
              </w:rPr>
            </w:pPr>
          </w:p>
        </w:tc>
        <w:tc>
          <w:tcPr>
            <w:tcW w:w="719" w:type="dxa"/>
            <w:tcBorders>
              <w:top w:val="single" w:color="auto" w:sz="4" w:space="0"/>
              <w:left w:val="single" w:color="auto" w:sz="4" w:space="0"/>
              <w:bottom w:val="single" w:color="auto" w:sz="4" w:space="0"/>
              <w:right w:val="single" w:color="auto" w:sz="4" w:space="0"/>
            </w:tcBorders>
            <w:noWrap w:val="0"/>
            <w:vAlign w:val="top"/>
          </w:tcPr>
          <w:p w14:paraId="6FC97780">
            <w:pPr>
              <w:shd w:val="clear" w:color="auto" w:fill="auto"/>
              <w:spacing w:line="440" w:lineRule="exact"/>
              <w:ind w:firstLine="482"/>
              <w:jc w:val="center"/>
              <w:rPr>
                <w:rFonts w:ascii="宋体" w:hAnsi="宋体" w:cs="宋体"/>
                <w:color w:val="auto"/>
                <w:sz w:val="24"/>
                <w:szCs w:val="24"/>
                <w:highlight w:val="none"/>
              </w:rPr>
            </w:pPr>
          </w:p>
        </w:tc>
        <w:tc>
          <w:tcPr>
            <w:tcW w:w="1232" w:type="dxa"/>
            <w:tcBorders>
              <w:top w:val="single" w:color="auto" w:sz="4" w:space="0"/>
              <w:left w:val="single" w:color="auto" w:sz="4" w:space="0"/>
              <w:bottom w:val="single" w:color="auto" w:sz="4" w:space="0"/>
              <w:right w:val="single" w:color="auto" w:sz="4" w:space="0"/>
            </w:tcBorders>
            <w:noWrap w:val="0"/>
            <w:vAlign w:val="top"/>
          </w:tcPr>
          <w:p w14:paraId="3CAA073A">
            <w:pPr>
              <w:shd w:val="clear" w:color="auto" w:fill="auto"/>
              <w:spacing w:line="440" w:lineRule="exact"/>
              <w:ind w:firstLine="482"/>
              <w:jc w:val="center"/>
              <w:rPr>
                <w:rFonts w:ascii="宋体" w:hAnsi="宋体" w:cs="宋体"/>
                <w:color w:val="auto"/>
                <w:sz w:val="24"/>
                <w:szCs w:val="24"/>
                <w:highlight w:val="none"/>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77A1F808">
            <w:pPr>
              <w:shd w:val="clear" w:color="auto" w:fill="auto"/>
              <w:spacing w:line="440" w:lineRule="exact"/>
              <w:ind w:firstLine="482"/>
              <w:jc w:val="center"/>
              <w:rPr>
                <w:rFonts w:ascii="宋体" w:hAnsi="宋体" w:cs="宋体"/>
                <w:color w:val="auto"/>
                <w:sz w:val="24"/>
                <w:szCs w:val="24"/>
                <w:highlight w:val="none"/>
              </w:rPr>
            </w:pPr>
          </w:p>
        </w:tc>
        <w:tc>
          <w:tcPr>
            <w:tcW w:w="992" w:type="dxa"/>
            <w:tcBorders>
              <w:top w:val="single" w:color="auto" w:sz="4" w:space="0"/>
              <w:left w:val="single" w:color="auto" w:sz="4" w:space="0"/>
              <w:bottom w:val="single" w:color="auto" w:sz="4" w:space="0"/>
              <w:right w:val="single" w:color="auto" w:sz="4" w:space="0"/>
            </w:tcBorders>
            <w:noWrap w:val="0"/>
            <w:vAlign w:val="top"/>
          </w:tcPr>
          <w:p w14:paraId="73A0BE3F">
            <w:pPr>
              <w:shd w:val="clear" w:color="auto" w:fill="auto"/>
              <w:spacing w:line="440" w:lineRule="exact"/>
              <w:ind w:firstLine="482"/>
              <w:jc w:val="center"/>
              <w:rPr>
                <w:rFonts w:ascii="宋体" w:hAnsi="宋体" w:cs="宋体"/>
                <w:color w:val="auto"/>
                <w:sz w:val="24"/>
                <w:szCs w:val="24"/>
                <w:highlight w:val="none"/>
              </w:rPr>
            </w:pPr>
          </w:p>
        </w:tc>
        <w:tc>
          <w:tcPr>
            <w:tcW w:w="1276" w:type="dxa"/>
            <w:tcBorders>
              <w:top w:val="single" w:color="auto" w:sz="4" w:space="0"/>
              <w:left w:val="single" w:color="auto" w:sz="4" w:space="0"/>
              <w:bottom w:val="single" w:color="auto" w:sz="4" w:space="0"/>
              <w:right w:val="single" w:color="auto" w:sz="4" w:space="0"/>
            </w:tcBorders>
            <w:noWrap w:val="0"/>
            <w:vAlign w:val="top"/>
          </w:tcPr>
          <w:p w14:paraId="211893CF">
            <w:pPr>
              <w:shd w:val="clear" w:color="auto" w:fill="auto"/>
              <w:spacing w:line="440" w:lineRule="exact"/>
              <w:ind w:firstLine="482"/>
              <w:jc w:val="center"/>
              <w:rPr>
                <w:rFonts w:ascii="宋体" w:hAnsi="宋体" w:cs="宋体"/>
                <w:color w:val="auto"/>
                <w:sz w:val="24"/>
                <w:szCs w:val="24"/>
                <w:highlight w:val="none"/>
              </w:rPr>
            </w:pPr>
          </w:p>
        </w:tc>
        <w:tc>
          <w:tcPr>
            <w:tcW w:w="1221" w:type="dxa"/>
            <w:tcBorders>
              <w:top w:val="single" w:color="auto" w:sz="4" w:space="0"/>
              <w:left w:val="single" w:color="auto" w:sz="4" w:space="0"/>
              <w:bottom w:val="single" w:color="auto" w:sz="4" w:space="0"/>
              <w:right w:val="single" w:color="auto" w:sz="4" w:space="0"/>
            </w:tcBorders>
            <w:noWrap w:val="0"/>
            <w:vAlign w:val="top"/>
          </w:tcPr>
          <w:p w14:paraId="4F6C56A9">
            <w:pPr>
              <w:shd w:val="clear" w:color="auto" w:fill="auto"/>
              <w:spacing w:line="440" w:lineRule="exact"/>
              <w:ind w:firstLine="482"/>
              <w:jc w:val="center"/>
              <w:rPr>
                <w:rFonts w:ascii="宋体" w:hAnsi="宋体" w:cs="宋体"/>
                <w:color w:val="auto"/>
                <w:sz w:val="24"/>
                <w:szCs w:val="24"/>
                <w:highlight w:val="none"/>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7FA981FD">
            <w:pPr>
              <w:shd w:val="clear" w:color="auto" w:fill="auto"/>
              <w:spacing w:line="440" w:lineRule="exact"/>
              <w:ind w:firstLine="482"/>
              <w:jc w:val="center"/>
              <w:rPr>
                <w:rFonts w:ascii="宋体" w:hAnsi="宋体" w:cs="宋体"/>
                <w:color w:val="auto"/>
                <w:sz w:val="24"/>
                <w:szCs w:val="24"/>
                <w:highlight w:val="none"/>
              </w:rPr>
            </w:pPr>
          </w:p>
        </w:tc>
      </w:tr>
    </w:tbl>
    <w:p w14:paraId="43D51124">
      <w:pPr>
        <w:pStyle w:val="3"/>
        <w:shd w:val="clear" w:color="auto" w:fill="auto"/>
        <w:ind w:firstLine="640"/>
        <w:jc w:val="center"/>
        <w:rPr>
          <w:rFonts w:hint="eastAsia" w:ascii="宋体" w:hAnsi="宋体" w:cs="宋体"/>
          <w:color w:val="auto"/>
          <w:highlight w:val="none"/>
        </w:rPr>
      </w:pPr>
      <w:bookmarkStart w:id="1479" w:name="_Toc246996371"/>
      <w:bookmarkStart w:id="1480" w:name="_Toc144974873"/>
      <w:bookmarkStart w:id="1481" w:name="_Toc246997114"/>
      <w:bookmarkStart w:id="1482" w:name="_Toc296602616"/>
      <w:bookmarkStart w:id="1483" w:name="_Toc247085889"/>
      <w:bookmarkStart w:id="1484" w:name="_Toc152045805"/>
      <w:bookmarkStart w:id="1485" w:name="_Toc179632825"/>
      <w:bookmarkStart w:id="1486" w:name="_Toc152042594"/>
    </w:p>
    <w:p w14:paraId="0F390620">
      <w:pPr>
        <w:shd w:val="clear" w:color="auto" w:fill="auto"/>
        <w:ind w:firstLine="482"/>
        <w:rPr>
          <w:rFonts w:hint="eastAsia" w:ascii="宋体" w:hAnsi="宋体" w:cs="宋体"/>
          <w:color w:val="auto"/>
          <w:highlight w:val="none"/>
        </w:rPr>
      </w:pPr>
    </w:p>
    <w:p w14:paraId="5C84C63F">
      <w:pPr>
        <w:shd w:val="clear" w:color="auto" w:fill="auto"/>
        <w:ind w:firstLine="482"/>
        <w:rPr>
          <w:rFonts w:hint="eastAsia" w:ascii="宋体" w:hAnsi="宋体" w:cs="宋体"/>
          <w:color w:val="auto"/>
          <w:highlight w:val="none"/>
        </w:rPr>
      </w:pPr>
    </w:p>
    <w:p w14:paraId="2BBAD089">
      <w:pPr>
        <w:pStyle w:val="3"/>
        <w:shd w:val="clear" w:color="auto" w:fill="auto"/>
        <w:jc w:val="center"/>
        <w:rPr>
          <w:rFonts w:hint="eastAsia" w:ascii="宋体" w:hAnsi="宋体" w:cs="宋体"/>
          <w:color w:val="auto"/>
          <w:highlight w:val="none"/>
        </w:rPr>
      </w:pPr>
      <w:bookmarkStart w:id="1487" w:name="_Toc3295"/>
      <w:bookmarkStart w:id="1488" w:name="_Toc20339"/>
      <w:bookmarkStart w:id="1489" w:name="_Toc77586976"/>
      <w:bookmarkStart w:id="1490" w:name="_Toc77586878"/>
      <w:r>
        <w:rPr>
          <w:rFonts w:hint="eastAsia" w:ascii="宋体" w:hAnsi="宋体" w:cs="宋体"/>
          <w:color w:val="auto"/>
          <w:highlight w:val="none"/>
        </w:rPr>
        <w:br w:type="page"/>
      </w:r>
      <w:r>
        <w:rPr>
          <w:rFonts w:hint="eastAsia" w:ascii="宋体" w:hAnsi="宋体" w:cs="宋体"/>
          <w:color w:val="auto"/>
          <w:highlight w:val="none"/>
        </w:rPr>
        <w:t>（二）项目经理简历表</w:t>
      </w:r>
      <w:bookmarkEnd w:id="1479"/>
      <w:bookmarkEnd w:id="1480"/>
      <w:bookmarkEnd w:id="1481"/>
      <w:bookmarkEnd w:id="1482"/>
      <w:bookmarkEnd w:id="1483"/>
      <w:bookmarkEnd w:id="1484"/>
      <w:bookmarkEnd w:id="1485"/>
      <w:bookmarkEnd w:id="1486"/>
      <w:bookmarkEnd w:id="1487"/>
      <w:bookmarkEnd w:id="1488"/>
      <w:bookmarkEnd w:id="1489"/>
      <w:bookmarkEnd w:id="1490"/>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359"/>
        <w:gridCol w:w="720"/>
        <w:gridCol w:w="927"/>
        <w:gridCol w:w="1065"/>
        <w:gridCol w:w="708"/>
        <w:gridCol w:w="1261"/>
        <w:gridCol w:w="161"/>
        <w:gridCol w:w="2135"/>
      </w:tblGrid>
      <w:tr w14:paraId="454B4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noWrap w:val="0"/>
            <w:vAlign w:val="center"/>
          </w:tcPr>
          <w:p w14:paraId="70DE25B1">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姓  名</w:t>
            </w:r>
          </w:p>
        </w:tc>
        <w:tc>
          <w:tcPr>
            <w:tcW w:w="1079" w:type="dxa"/>
            <w:gridSpan w:val="2"/>
            <w:tcBorders>
              <w:top w:val="single" w:color="auto" w:sz="4" w:space="0"/>
              <w:left w:val="single" w:color="auto" w:sz="4" w:space="0"/>
              <w:bottom w:val="single" w:color="auto" w:sz="4" w:space="0"/>
              <w:right w:val="single" w:color="auto" w:sz="4" w:space="0"/>
            </w:tcBorders>
            <w:noWrap w:val="0"/>
            <w:vAlign w:val="center"/>
          </w:tcPr>
          <w:p w14:paraId="6EB33EEE">
            <w:pPr>
              <w:shd w:val="clear" w:color="auto" w:fill="auto"/>
              <w:spacing w:line="440" w:lineRule="exact"/>
              <w:rPr>
                <w:rFonts w:hint="eastAsia" w:ascii="宋体" w:hAnsi="宋体" w:cs="宋体"/>
                <w:color w:val="auto"/>
                <w:sz w:val="24"/>
                <w:szCs w:val="24"/>
                <w:highlight w:val="none"/>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0E087EEC">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年 龄</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28F6BBF3">
            <w:pPr>
              <w:shd w:val="clear" w:color="auto" w:fill="auto"/>
              <w:spacing w:line="440" w:lineRule="exact"/>
              <w:rPr>
                <w:rFonts w:hint="eastAsia" w:ascii="宋体" w:hAnsi="宋体" w:cs="宋体"/>
                <w:color w:val="auto"/>
                <w:sz w:val="24"/>
                <w:szCs w:val="24"/>
                <w:highlight w:val="none"/>
              </w:rPr>
            </w:pPr>
          </w:p>
        </w:tc>
        <w:tc>
          <w:tcPr>
            <w:tcW w:w="2130" w:type="dxa"/>
            <w:gridSpan w:val="3"/>
            <w:tcBorders>
              <w:top w:val="single" w:color="auto" w:sz="4" w:space="0"/>
              <w:left w:val="single" w:color="auto" w:sz="4" w:space="0"/>
              <w:bottom w:val="single" w:color="auto" w:sz="4" w:space="0"/>
              <w:right w:val="single" w:color="auto" w:sz="4" w:space="0"/>
            </w:tcBorders>
            <w:noWrap w:val="0"/>
            <w:vAlign w:val="center"/>
          </w:tcPr>
          <w:p w14:paraId="4D981F22">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学历</w:t>
            </w:r>
          </w:p>
        </w:tc>
        <w:tc>
          <w:tcPr>
            <w:tcW w:w="2135" w:type="dxa"/>
            <w:tcBorders>
              <w:top w:val="single" w:color="auto" w:sz="4" w:space="0"/>
              <w:left w:val="single" w:color="auto" w:sz="4" w:space="0"/>
              <w:bottom w:val="single" w:color="auto" w:sz="4" w:space="0"/>
              <w:right w:val="single" w:color="auto" w:sz="4" w:space="0"/>
            </w:tcBorders>
            <w:noWrap w:val="0"/>
            <w:vAlign w:val="center"/>
          </w:tcPr>
          <w:p w14:paraId="1BE9CF5F">
            <w:pPr>
              <w:shd w:val="clear" w:color="auto" w:fill="auto"/>
              <w:spacing w:line="440" w:lineRule="exact"/>
              <w:rPr>
                <w:rFonts w:hint="eastAsia" w:ascii="宋体" w:hAnsi="宋体" w:cs="宋体"/>
                <w:color w:val="auto"/>
                <w:sz w:val="24"/>
                <w:szCs w:val="24"/>
                <w:highlight w:val="none"/>
              </w:rPr>
            </w:pPr>
          </w:p>
        </w:tc>
      </w:tr>
      <w:tr w14:paraId="51CB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noWrap w:val="0"/>
            <w:vAlign w:val="center"/>
          </w:tcPr>
          <w:p w14:paraId="2271951F">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职  称</w:t>
            </w:r>
          </w:p>
        </w:tc>
        <w:tc>
          <w:tcPr>
            <w:tcW w:w="1079" w:type="dxa"/>
            <w:gridSpan w:val="2"/>
            <w:tcBorders>
              <w:top w:val="single" w:color="auto" w:sz="4" w:space="0"/>
              <w:left w:val="single" w:color="auto" w:sz="4" w:space="0"/>
              <w:bottom w:val="single" w:color="auto" w:sz="4" w:space="0"/>
              <w:right w:val="single" w:color="auto" w:sz="4" w:space="0"/>
            </w:tcBorders>
            <w:noWrap w:val="0"/>
            <w:vAlign w:val="center"/>
          </w:tcPr>
          <w:p w14:paraId="5EA47642">
            <w:pPr>
              <w:shd w:val="clear" w:color="auto" w:fill="auto"/>
              <w:spacing w:line="440" w:lineRule="exact"/>
              <w:rPr>
                <w:rFonts w:hint="eastAsia" w:ascii="宋体" w:hAnsi="宋体" w:cs="宋体"/>
                <w:color w:val="auto"/>
                <w:sz w:val="24"/>
                <w:szCs w:val="24"/>
                <w:highlight w:val="none"/>
              </w:rPr>
            </w:pPr>
          </w:p>
        </w:tc>
        <w:tc>
          <w:tcPr>
            <w:tcW w:w="927" w:type="dxa"/>
            <w:tcBorders>
              <w:top w:val="single" w:color="auto" w:sz="4" w:space="0"/>
              <w:left w:val="single" w:color="auto" w:sz="4" w:space="0"/>
              <w:bottom w:val="single" w:color="auto" w:sz="4" w:space="0"/>
              <w:right w:val="single" w:color="auto" w:sz="4" w:space="0"/>
            </w:tcBorders>
            <w:noWrap w:val="0"/>
            <w:vAlign w:val="center"/>
          </w:tcPr>
          <w:p w14:paraId="65164AD4">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职 务</w:t>
            </w:r>
          </w:p>
        </w:tc>
        <w:tc>
          <w:tcPr>
            <w:tcW w:w="1065" w:type="dxa"/>
            <w:tcBorders>
              <w:top w:val="single" w:color="auto" w:sz="4" w:space="0"/>
              <w:left w:val="single" w:color="auto" w:sz="4" w:space="0"/>
              <w:bottom w:val="single" w:color="auto" w:sz="4" w:space="0"/>
              <w:right w:val="single" w:color="auto" w:sz="4" w:space="0"/>
            </w:tcBorders>
            <w:noWrap w:val="0"/>
            <w:vAlign w:val="center"/>
          </w:tcPr>
          <w:p w14:paraId="0D20D559">
            <w:pPr>
              <w:shd w:val="clear" w:color="auto" w:fill="auto"/>
              <w:spacing w:line="440" w:lineRule="exact"/>
              <w:rPr>
                <w:rFonts w:hint="eastAsia" w:ascii="宋体" w:hAnsi="宋体" w:cs="宋体"/>
                <w:color w:val="auto"/>
                <w:sz w:val="24"/>
                <w:szCs w:val="24"/>
                <w:highlight w:val="none"/>
              </w:rPr>
            </w:pPr>
          </w:p>
        </w:tc>
        <w:tc>
          <w:tcPr>
            <w:tcW w:w="2130" w:type="dxa"/>
            <w:gridSpan w:val="3"/>
            <w:tcBorders>
              <w:top w:val="single" w:color="auto" w:sz="4" w:space="0"/>
              <w:left w:val="single" w:color="auto" w:sz="4" w:space="0"/>
              <w:bottom w:val="single" w:color="auto" w:sz="4" w:space="0"/>
              <w:right w:val="single" w:color="auto" w:sz="4" w:space="0"/>
            </w:tcBorders>
            <w:noWrap w:val="0"/>
            <w:vAlign w:val="center"/>
          </w:tcPr>
          <w:p w14:paraId="232B18F4">
            <w:pPr>
              <w:shd w:val="clear" w:color="auto" w:fill="auto"/>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拟在本合同任职</w:t>
            </w:r>
          </w:p>
        </w:tc>
        <w:tc>
          <w:tcPr>
            <w:tcW w:w="2135" w:type="dxa"/>
            <w:tcBorders>
              <w:top w:val="single" w:color="auto" w:sz="4" w:space="0"/>
              <w:left w:val="single" w:color="auto" w:sz="4" w:space="0"/>
              <w:bottom w:val="single" w:color="auto" w:sz="4" w:space="0"/>
              <w:right w:val="single" w:color="auto" w:sz="4" w:space="0"/>
            </w:tcBorders>
            <w:noWrap w:val="0"/>
            <w:vAlign w:val="center"/>
          </w:tcPr>
          <w:p w14:paraId="03FDD38A">
            <w:pPr>
              <w:shd w:val="clear" w:color="auto" w:fill="auto"/>
              <w:spacing w:line="440" w:lineRule="exact"/>
              <w:rPr>
                <w:rFonts w:hint="eastAsia" w:ascii="宋体" w:hAnsi="宋体" w:cs="宋体"/>
                <w:color w:val="auto"/>
                <w:sz w:val="24"/>
                <w:szCs w:val="24"/>
                <w:highlight w:val="none"/>
              </w:rPr>
            </w:pPr>
          </w:p>
        </w:tc>
      </w:tr>
      <w:tr w14:paraId="75AF2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tcBorders>
              <w:top w:val="single" w:color="auto" w:sz="4" w:space="0"/>
              <w:left w:val="single" w:color="auto" w:sz="4" w:space="0"/>
              <w:bottom w:val="single" w:color="auto" w:sz="4" w:space="0"/>
              <w:right w:val="single" w:color="auto" w:sz="4" w:space="0"/>
            </w:tcBorders>
            <w:noWrap w:val="0"/>
            <w:vAlign w:val="center"/>
          </w:tcPr>
          <w:p w14:paraId="1AD65907">
            <w:pPr>
              <w:shd w:val="clear" w:color="auto" w:fill="auto"/>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毕业学校</w:t>
            </w:r>
          </w:p>
        </w:tc>
        <w:tc>
          <w:tcPr>
            <w:tcW w:w="7336" w:type="dxa"/>
            <w:gridSpan w:val="8"/>
            <w:tcBorders>
              <w:top w:val="single" w:color="auto" w:sz="4" w:space="0"/>
              <w:left w:val="single" w:color="auto" w:sz="4" w:space="0"/>
              <w:bottom w:val="single" w:color="auto" w:sz="4" w:space="0"/>
              <w:right w:val="single" w:color="auto" w:sz="4" w:space="0"/>
            </w:tcBorders>
            <w:noWrap w:val="0"/>
            <w:vAlign w:val="top"/>
          </w:tcPr>
          <w:p w14:paraId="2DCE9707">
            <w:pPr>
              <w:shd w:val="clear" w:color="auto" w:fill="auto"/>
              <w:spacing w:line="440" w:lineRule="exact"/>
              <w:ind w:firstLine="482"/>
              <w:rPr>
                <w:rFonts w:ascii="宋体" w:hAnsi="宋体" w:cs="宋体"/>
                <w:color w:val="auto"/>
                <w:sz w:val="24"/>
                <w:szCs w:val="24"/>
                <w:highlight w:val="none"/>
              </w:rPr>
            </w:pPr>
            <w:r>
              <w:rPr>
                <w:rFonts w:hint="eastAsia" w:ascii="宋体" w:hAnsi="宋体" w:cs="宋体"/>
                <w:color w:val="auto"/>
                <w:sz w:val="24"/>
                <w:szCs w:val="24"/>
                <w:highlight w:val="none"/>
              </w:rPr>
              <w:t xml:space="preserve">      年毕业于            学校        专业</w:t>
            </w:r>
          </w:p>
        </w:tc>
      </w:tr>
      <w:tr w14:paraId="154C5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gridSpan w:val="9"/>
            <w:tcBorders>
              <w:top w:val="single" w:color="auto" w:sz="4" w:space="0"/>
              <w:left w:val="single" w:color="auto" w:sz="4" w:space="0"/>
              <w:bottom w:val="single" w:color="auto" w:sz="4" w:space="0"/>
              <w:right w:val="single" w:color="auto" w:sz="4" w:space="0"/>
            </w:tcBorders>
            <w:noWrap w:val="0"/>
            <w:vAlign w:val="center"/>
          </w:tcPr>
          <w:p w14:paraId="1E8A05FA">
            <w:pPr>
              <w:shd w:val="clear" w:color="auto" w:fill="auto"/>
              <w:spacing w:line="440" w:lineRule="exact"/>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主要工作经历</w:t>
            </w:r>
          </w:p>
        </w:tc>
      </w:tr>
      <w:tr w14:paraId="70661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center"/>
          </w:tcPr>
          <w:p w14:paraId="5F5440C1">
            <w:pPr>
              <w:shd w:val="clear" w:color="auto" w:fill="auto"/>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时  间</w:t>
            </w:r>
          </w:p>
        </w:tc>
        <w:tc>
          <w:tcPr>
            <w:tcW w:w="3420" w:type="dxa"/>
            <w:gridSpan w:val="4"/>
            <w:tcBorders>
              <w:top w:val="single" w:color="auto" w:sz="4" w:space="0"/>
              <w:left w:val="single" w:color="auto" w:sz="4" w:space="0"/>
              <w:bottom w:val="single" w:color="auto" w:sz="4" w:space="0"/>
              <w:right w:val="single" w:color="auto" w:sz="4" w:space="0"/>
            </w:tcBorders>
            <w:noWrap w:val="0"/>
            <w:vAlign w:val="center"/>
          </w:tcPr>
          <w:p w14:paraId="3B4CCC5D">
            <w:pPr>
              <w:shd w:val="clear" w:color="auto" w:fill="auto"/>
              <w:spacing w:line="440" w:lineRule="exact"/>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参加过的类似项目</w:t>
            </w:r>
          </w:p>
        </w:tc>
        <w:tc>
          <w:tcPr>
            <w:tcW w:w="1261" w:type="dxa"/>
            <w:tcBorders>
              <w:top w:val="single" w:color="auto" w:sz="4" w:space="0"/>
              <w:left w:val="single" w:color="auto" w:sz="4" w:space="0"/>
              <w:bottom w:val="single" w:color="auto" w:sz="4" w:space="0"/>
              <w:right w:val="single" w:color="auto" w:sz="4" w:space="0"/>
            </w:tcBorders>
            <w:noWrap w:val="0"/>
            <w:vAlign w:val="center"/>
          </w:tcPr>
          <w:p w14:paraId="5853F9EC">
            <w:pPr>
              <w:shd w:val="clear" w:color="auto" w:fill="auto"/>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担任职务</w:t>
            </w:r>
          </w:p>
        </w:tc>
        <w:tc>
          <w:tcPr>
            <w:tcW w:w="2296" w:type="dxa"/>
            <w:gridSpan w:val="2"/>
            <w:tcBorders>
              <w:top w:val="single" w:color="auto" w:sz="4" w:space="0"/>
              <w:left w:val="single" w:color="auto" w:sz="4" w:space="0"/>
              <w:bottom w:val="single" w:color="auto" w:sz="4" w:space="0"/>
              <w:right w:val="single" w:color="auto" w:sz="4" w:space="0"/>
            </w:tcBorders>
            <w:noWrap w:val="0"/>
            <w:vAlign w:val="center"/>
          </w:tcPr>
          <w:p w14:paraId="32957E41">
            <w:pPr>
              <w:shd w:val="clear" w:color="auto" w:fill="auto"/>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发包人及联系电话</w:t>
            </w:r>
          </w:p>
        </w:tc>
      </w:tr>
      <w:tr w14:paraId="6DE31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186D208D">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2A75CF17">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7EAA8B64">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60BECCD3">
            <w:pPr>
              <w:shd w:val="clear" w:color="auto" w:fill="auto"/>
              <w:spacing w:line="440" w:lineRule="exact"/>
              <w:ind w:firstLine="482"/>
              <w:rPr>
                <w:rFonts w:ascii="宋体" w:hAnsi="宋体" w:cs="宋体"/>
                <w:color w:val="auto"/>
                <w:sz w:val="24"/>
                <w:szCs w:val="24"/>
                <w:highlight w:val="none"/>
              </w:rPr>
            </w:pPr>
          </w:p>
        </w:tc>
      </w:tr>
      <w:tr w14:paraId="22A8B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48C2AAAC">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5618A9CC">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57111666">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5EDE12D0">
            <w:pPr>
              <w:shd w:val="clear" w:color="auto" w:fill="auto"/>
              <w:spacing w:line="440" w:lineRule="exact"/>
              <w:ind w:firstLine="482"/>
              <w:rPr>
                <w:rFonts w:ascii="宋体" w:hAnsi="宋体" w:cs="宋体"/>
                <w:color w:val="auto"/>
                <w:sz w:val="24"/>
                <w:szCs w:val="24"/>
                <w:highlight w:val="none"/>
              </w:rPr>
            </w:pPr>
          </w:p>
        </w:tc>
      </w:tr>
      <w:tr w14:paraId="7905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27D45D0C">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4456D5FF">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39787691">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7E77E71A">
            <w:pPr>
              <w:shd w:val="clear" w:color="auto" w:fill="auto"/>
              <w:spacing w:line="440" w:lineRule="exact"/>
              <w:ind w:firstLine="482"/>
              <w:rPr>
                <w:rFonts w:ascii="宋体" w:hAnsi="宋体" w:cs="宋体"/>
                <w:color w:val="auto"/>
                <w:sz w:val="24"/>
                <w:szCs w:val="24"/>
                <w:highlight w:val="none"/>
              </w:rPr>
            </w:pPr>
          </w:p>
        </w:tc>
      </w:tr>
      <w:tr w14:paraId="326A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62B7884B">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549BBA81">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174D1761">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26C48689">
            <w:pPr>
              <w:shd w:val="clear" w:color="auto" w:fill="auto"/>
              <w:spacing w:line="440" w:lineRule="exact"/>
              <w:ind w:firstLine="482"/>
              <w:rPr>
                <w:rFonts w:ascii="宋体" w:hAnsi="宋体" w:cs="宋体"/>
                <w:color w:val="auto"/>
                <w:sz w:val="24"/>
                <w:szCs w:val="24"/>
                <w:highlight w:val="none"/>
              </w:rPr>
            </w:pPr>
          </w:p>
        </w:tc>
      </w:tr>
      <w:tr w14:paraId="6B1D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68097A18">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1A346D80">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699C46D1">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6D551F30">
            <w:pPr>
              <w:shd w:val="clear" w:color="auto" w:fill="auto"/>
              <w:spacing w:line="440" w:lineRule="exact"/>
              <w:ind w:firstLine="482"/>
              <w:rPr>
                <w:rFonts w:ascii="宋体" w:hAnsi="宋体" w:cs="宋体"/>
                <w:color w:val="auto"/>
                <w:sz w:val="24"/>
                <w:szCs w:val="24"/>
                <w:highlight w:val="none"/>
              </w:rPr>
            </w:pPr>
          </w:p>
        </w:tc>
      </w:tr>
      <w:tr w14:paraId="3E2EA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153D0084">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25426432">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4E44F988">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1EA02A6A">
            <w:pPr>
              <w:shd w:val="clear" w:color="auto" w:fill="auto"/>
              <w:spacing w:line="440" w:lineRule="exact"/>
              <w:ind w:firstLine="482"/>
              <w:rPr>
                <w:rFonts w:ascii="宋体" w:hAnsi="宋体" w:cs="宋体"/>
                <w:color w:val="auto"/>
                <w:sz w:val="24"/>
                <w:szCs w:val="24"/>
                <w:highlight w:val="none"/>
              </w:rPr>
            </w:pPr>
          </w:p>
        </w:tc>
      </w:tr>
      <w:tr w14:paraId="7B69A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53E89EBB">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414EE377">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68E04D4C">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53ECE10E">
            <w:pPr>
              <w:shd w:val="clear" w:color="auto" w:fill="auto"/>
              <w:spacing w:line="440" w:lineRule="exact"/>
              <w:ind w:firstLine="482"/>
              <w:rPr>
                <w:rFonts w:ascii="宋体" w:hAnsi="宋体" w:cs="宋体"/>
                <w:color w:val="auto"/>
                <w:sz w:val="24"/>
                <w:szCs w:val="24"/>
                <w:highlight w:val="none"/>
              </w:rPr>
            </w:pPr>
          </w:p>
        </w:tc>
      </w:tr>
      <w:tr w14:paraId="0C343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0FA56574">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44FFF516">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47825359">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667B6247">
            <w:pPr>
              <w:shd w:val="clear" w:color="auto" w:fill="auto"/>
              <w:spacing w:line="440" w:lineRule="exact"/>
              <w:ind w:firstLine="482"/>
              <w:rPr>
                <w:rFonts w:ascii="宋体" w:hAnsi="宋体" w:cs="宋体"/>
                <w:color w:val="auto"/>
                <w:sz w:val="24"/>
                <w:szCs w:val="24"/>
                <w:highlight w:val="none"/>
              </w:rPr>
            </w:pPr>
          </w:p>
        </w:tc>
      </w:tr>
      <w:tr w14:paraId="64E7E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52D28AFD">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287D1A12">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59503377">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7FE39A1C">
            <w:pPr>
              <w:shd w:val="clear" w:color="auto" w:fill="auto"/>
              <w:spacing w:line="440" w:lineRule="exact"/>
              <w:ind w:firstLine="482"/>
              <w:rPr>
                <w:rFonts w:ascii="宋体" w:hAnsi="宋体" w:cs="宋体"/>
                <w:color w:val="auto"/>
                <w:sz w:val="24"/>
                <w:szCs w:val="24"/>
                <w:highlight w:val="none"/>
              </w:rPr>
            </w:pPr>
          </w:p>
        </w:tc>
      </w:tr>
      <w:tr w14:paraId="62D24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176A27A0">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2BC4E793">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4AD0475B">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0506E993">
            <w:pPr>
              <w:shd w:val="clear" w:color="auto" w:fill="auto"/>
              <w:spacing w:line="440" w:lineRule="exact"/>
              <w:ind w:firstLine="482"/>
              <w:rPr>
                <w:rFonts w:ascii="宋体" w:hAnsi="宋体" w:cs="宋体"/>
                <w:color w:val="auto"/>
                <w:sz w:val="24"/>
                <w:szCs w:val="24"/>
                <w:highlight w:val="none"/>
              </w:rPr>
            </w:pPr>
          </w:p>
        </w:tc>
      </w:tr>
      <w:tr w14:paraId="2BC82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1EA76243">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375F5494">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467E8456">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41C5D384">
            <w:pPr>
              <w:shd w:val="clear" w:color="auto" w:fill="auto"/>
              <w:spacing w:line="440" w:lineRule="exact"/>
              <w:ind w:firstLine="482"/>
              <w:rPr>
                <w:rFonts w:ascii="宋体" w:hAnsi="宋体" w:cs="宋体"/>
                <w:color w:val="auto"/>
                <w:sz w:val="24"/>
                <w:szCs w:val="24"/>
                <w:highlight w:val="none"/>
              </w:rPr>
            </w:pPr>
          </w:p>
        </w:tc>
      </w:tr>
      <w:tr w14:paraId="0F1E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545" w:type="dxa"/>
            <w:gridSpan w:val="2"/>
            <w:tcBorders>
              <w:top w:val="single" w:color="auto" w:sz="4" w:space="0"/>
              <w:left w:val="single" w:color="auto" w:sz="4" w:space="0"/>
              <w:bottom w:val="single" w:color="auto" w:sz="4" w:space="0"/>
              <w:right w:val="single" w:color="auto" w:sz="4" w:space="0"/>
            </w:tcBorders>
            <w:noWrap w:val="0"/>
            <w:vAlign w:val="top"/>
          </w:tcPr>
          <w:p w14:paraId="1636E87B">
            <w:pPr>
              <w:shd w:val="clear" w:color="auto" w:fill="auto"/>
              <w:spacing w:line="440" w:lineRule="exact"/>
              <w:ind w:firstLine="482"/>
              <w:rPr>
                <w:rFonts w:ascii="宋体" w:hAnsi="宋体" w:cs="宋体"/>
                <w:color w:val="auto"/>
                <w:sz w:val="24"/>
                <w:szCs w:val="24"/>
                <w:highlight w:val="none"/>
              </w:rPr>
            </w:pPr>
          </w:p>
        </w:tc>
        <w:tc>
          <w:tcPr>
            <w:tcW w:w="3420" w:type="dxa"/>
            <w:gridSpan w:val="4"/>
            <w:tcBorders>
              <w:top w:val="single" w:color="auto" w:sz="4" w:space="0"/>
              <w:left w:val="single" w:color="auto" w:sz="4" w:space="0"/>
              <w:bottom w:val="single" w:color="auto" w:sz="4" w:space="0"/>
              <w:right w:val="single" w:color="auto" w:sz="4" w:space="0"/>
            </w:tcBorders>
            <w:noWrap w:val="0"/>
            <w:vAlign w:val="top"/>
          </w:tcPr>
          <w:p w14:paraId="33278BB0">
            <w:pPr>
              <w:shd w:val="clear" w:color="auto" w:fill="auto"/>
              <w:spacing w:line="440" w:lineRule="exact"/>
              <w:ind w:firstLine="482"/>
              <w:rPr>
                <w:rFonts w:ascii="宋体" w:hAnsi="宋体" w:cs="宋体"/>
                <w:color w:val="auto"/>
                <w:sz w:val="24"/>
                <w:szCs w:val="24"/>
                <w:highlight w:val="none"/>
              </w:rPr>
            </w:pPr>
          </w:p>
        </w:tc>
        <w:tc>
          <w:tcPr>
            <w:tcW w:w="1261" w:type="dxa"/>
            <w:tcBorders>
              <w:top w:val="single" w:color="auto" w:sz="4" w:space="0"/>
              <w:left w:val="single" w:color="auto" w:sz="4" w:space="0"/>
              <w:bottom w:val="single" w:color="auto" w:sz="4" w:space="0"/>
              <w:right w:val="single" w:color="auto" w:sz="4" w:space="0"/>
            </w:tcBorders>
            <w:noWrap w:val="0"/>
            <w:vAlign w:val="top"/>
          </w:tcPr>
          <w:p w14:paraId="2D80E928">
            <w:pPr>
              <w:shd w:val="clear" w:color="auto" w:fill="auto"/>
              <w:spacing w:line="440" w:lineRule="exact"/>
              <w:ind w:firstLine="482"/>
              <w:rPr>
                <w:rFonts w:ascii="宋体" w:hAnsi="宋体" w:cs="宋体"/>
                <w:color w:val="auto"/>
                <w:sz w:val="24"/>
                <w:szCs w:val="24"/>
                <w:highlight w:val="none"/>
              </w:rPr>
            </w:pPr>
          </w:p>
        </w:tc>
        <w:tc>
          <w:tcPr>
            <w:tcW w:w="2296" w:type="dxa"/>
            <w:gridSpan w:val="2"/>
            <w:tcBorders>
              <w:top w:val="single" w:color="auto" w:sz="4" w:space="0"/>
              <w:left w:val="single" w:color="auto" w:sz="4" w:space="0"/>
              <w:bottom w:val="single" w:color="auto" w:sz="4" w:space="0"/>
              <w:right w:val="single" w:color="auto" w:sz="4" w:space="0"/>
            </w:tcBorders>
            <w:noWrap w:val="0"/>
            <w:vAlign w:val="top"/>
          </w:tcPr>
          <w:p w14:paraId="0D2AEC24">
            <w:pPr>
              <w:shd w:val="clear" w:color="auto" w:fill="auto"/>
              <w:spacing w:line="440" w:lineRule="exact"/>
              <w:ind w:firstLine="482"/>
              <w:rPr>
                <w:rFonts w:ascii="宋体" w:hAnsi="宋体" w:cs="宋体"/>
                <w:color w:val="auto"/>
                <w:sz w:val="24"/>
                <w:szCs w:val="24"/>
                <w:highlight w:val="none"/>
              </w:rPr>
            </w:pPr>
          </w:p>
        </w:tc>
      </w:tr>
    </w:tbl>
    <w:p w14:paraId="1BAAF8B8">
      <w:pPr>
        <w:shd w:val="clear" w:color="auto" w:fill="auto"/>
        <w:spacing w:line="360" w:lineRule="auto"/>
        <w:ind w:firstLine="542"/>
        <w:rPr>
          <w:rFonts w:hint="eastAsia" w:ascii="宋体" w:hAnsi="宋体" w:cs="宋体"/>
          <w:color w:val="auto"/>
          <w:sz w:val="27"/>
          <w:szCs w:val="27"/>
          <w:highlight w:val="none"/>
        </w:rPr>
      </w:pPr>
    </w:p>
    <w:p w14:paraId="183DF15A">
      <w:pPr>
        <w:pStyle w:val="2"/>
        <w:shd w:val="clear" w:color="auto" w:fill="auto"/>
        <w:jc w:val="center"/>
        <w:rPr>
          <w:rFonts w:hint="eastAsia" w:ascii="宋体" w:hAnsi="宋体" w:eastAsia="宋体" w:cs="宋体"/>
          <w:color w:val="auto"/>
          <w:highlight w:val="none"/>
        </w:rPr>
      </w:pPr>
      <w:r>
        <w:rPr>
          <w:rFonts w:hint="eastAsia" w:ascii="宋体" w:hAnsi="宋体" w:cs="宋体"/>
          <w:b w:val="0"/>
          <w:bCs w:val="0"/>
          <w:color w:val="auto"/>
          <w:highlight w:val="none"/>
        </w:rPr>
        <w:br w:type="page"/>
      </w:r>
      <w:bookmarkStart w:id="1491" w:name="_Toc152045807"/>
      <w:bookmarkStart w:id="1492" w:name="_Toc296602617"/>
      <w:bookmarkStart w:id="1493" w:name="_Toc247085890"/>
      <w:bookmarkStart w:id="1494" w:name="_Toc179632827"/>
      <w:bookmarkStart w:id="1495" w:name="_Toc152042596"/>
      <w:bookmarkStart w:id="1496" w:name="_Toc246997115"/>
      <w:bookmarkStart w:id="1497" w:name="_Toc144974875"/>
      <w:bookmarkStart w:id="1498" w:name="_Toc246996372"/>
      <w:bookmarkStart w:id="1499" w:name="_Toc77586879"/>
      <w:bookmarkStart w:id="1500" w:name="_Toc77586977"/>
      <w:bookmarkStart w:id="1501" w:name="_Toc31800"/>
      <w:bookmarkStart w:id="1502" w:name="_Toc6931"/>
      <w:r>
        <w:rPr>
          <w:rFonts w:hint="eastAsia" w:ascii="宋体" w:hAnsi="宋体" w:eastAsia="宋体" w:cs="宋体"/>
          <w:color w:val="auto"/>
          <w:highlight w:val="none"/>
        </w:rPr>
        <w:t>八、</w:t>
      </w:r>
      <w:bookmarkEnd w:id="1491"/>
      <w:bookmarkEnd w:id="1492"/>
      <w:bookmarkEnd w:id="1493"/>
      <w:bookmarkEnd w:id="1494"/>
      <w:bookmarkEnd w:id="1495"/>
      <w:bookmarkEnd w:id="1496"/>
      <w:bookmarkEnd w:id="1497"/>
      <w:bookmarkEnd w:id="1498"/>
      <w:r>
        <w:rPr>
          <w:rFonts w:hint="eastAsia" w:ascii="宋体" w:hAnsi="宋体" w:eastAsia="宋体" w:cs="宋体"/>
          <w:color w:val="auto"/>
          <w:highlight w:val="none"/>
        </w:rPr>
        <w:t>投标人基本情况</w:t>
      </w:r>
      <w:bookmarkEnd w:id="1499"/>
      <w:bookmarkEnd w:id="1500"/>
      <w:bookmarkEnd w:id="1501"/>
      <w:bookmarkEnd w:id="1502"/>
    </w:p>
    <w:p w14:paraId="0F18799E">
      <w:pPr>
        <w:pStyle w:val="3"/>
        <w:shd w:val="clear" w:color="auto" w:fill="auto"/>
        <w:ind w:firstLine="640"/>
        <w:jc w:val="left"/>
        <w:rPr>
          <w:rFonts w:hint="eastAsia" w:ascii="宋体" w:hAnsi="宋体" w:cs="宋体"/>
          <w:color w:val="auto"/>
          <w:highlight w:val="none"/>
        </w:rPr>
      </w:pPr>
      <w:bookmarkStart w:id="1503" w:name="_Toc246997116"/>
      <w:bookmarkStart w:id="1504" w:name="_Toc5155"/>
      <w:bookmarkStart w:id="1505" w:name="_Toc123"/>
      <w:bookmarkStart w:id="1506" w:name="_Toc152042597"/>
      <w:bookmarkStart w:id="1507" w:name="_Toc296602618"/>
      <w:bookmarkStart w:id="1508" w:name="_Toc144974876"/>
      <w:bookmarkStart w:id="1509" w:name="_Toc247085891"/>
      <w:bookmarkStart w:id="1510" w:name="_Toc77586978"/>
      <w:bookmarkStart w:id="1511" w:name="_Toc246996373"/>
      <w:bookmarkStart w:id="1512" w:name="_Toc152045808"/>
      <w:bookmarkStart w:id="1513" w:name="_Toc77586880"/>
      <w:bookmarkStart w:id="1514" w:name="_Toc179632828"/>
      <w:r>
        <w:rPr>
          <w:rFonts w:hint="eastAsia" w:ascii="宋体" w:hAnsi="宋体" w:cs="宋体"/>
          <w:color w:val="auto"/>
          <w:highlight w:val="none"/>
        </w:rPr>
        <w:t>（一）供应商基本情况表</w:t>
      </w:r>
      <w:bookmarkEnd w:id="1503"/>
      <w:bookmarkEnd w:id="1504"/>
      <w:bookmarkEnd w:id="1505"/>
      <w:bookmarkEnd w:id="1506"/>
      <w:bookmarkEnd w:id="1507"/>
      <w:bookmarkEnd w:id="1508"/>
      <w:bookmarkEnd w:id="1509"/>
      <w:bookmarkEnd w:id="1510"/>
      <w:bookmarkEnd w:id="1511"/>
      <w:bookmarkEnd w:id="1512"/>
      <w:bookmarkEnd w:id="1513"/>
      <w:bookmarkEnd w:id="1514"/>
    </w:p>
    <w:tbl>
      <w:tblPr>
        <w:tblStyle w:val="12"/>
        <w:tblW w:w="856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26"/>
        <w:gridCol w:w="956"/>
        <w:gridCol w:w="1095"/>
        <w:gridCol w:w="1245"/>
        <w:gridCol w:w="123"/>
        <w:gridCol w:w="1179"/>
        <w:gridCol w:w="389"/>
        <w:gridCol w:w="860"/>
        <w:gridCol w:w="992"/>
      </w:tblGrid>
      <w:tr w14:paraId="4182FA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11B7CBC2">
            <w:pPr>
              <w:shd w:val="clear" w:color="auto" w:fill="auto"/>
              <w:topLinePunct/>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投标人名称</w:t>
            </w:r>
          </w:p>
        </w:tc>
        <w:tc>
          <w:tcPr>
            <w:tcW w:w="6839" w:type="dxa"/>
            <w:gridSpan w:val="8"/>
            <w:tcBorders>
              <w:top w:val="single" w:color="auto" w:sz="4" w:space="0"/>
              <w:left w:val="single" w:color="auto" w:sz="4" w:space="0"/>
              <w:bottom w:val="single" w:color="auto" w:sz="4" w:space="0"/>
              <w:right w:val="single" w:color="auto" w:sz="4" w:space="0"/>
            </w:tcBorders>
            <w:noWrap w:val="0"/>
            <w:vAlign w:val="center"/>
          </w:tcPr>
          <w:p w14:paraId="2FA63FA5">
            <w:pPr>
              <w:shd w:val="clear" w:color="auto" w:fill="auto"/>
              <w:topLinePunct/>
              <w:spacing w:line="440" w:lineRule="exact"/>
              <w:ind w:firstLine="482"/>
              <w:jc w:val="center"/>
              <w:rPr>
                <w:rFonts w:ascii="宋体" w:hAnsi="宋体" w:cs="宋体"/>
                <w:color w:val="auto"/>
                <w:sz w:val="24"/>
                <w:szCs w:val="24"/>
                <w:highlight w:val="none"/>
              </w:rPr>
            </w:pPr>
          </w:p>
        </w:tc>
      </w:tr>
      <w:tr w14:paraId="5D6A75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48F87197">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注册地址</w:t>
            </w:r>
          </w:p>
        </w:tc>
        <w:tc>
          <w:tcPr>
            <w:tcW w:w="3419" w:type="dxa"/>
            <w:gridSpan w:val="4"/>
            <w:tcBorders>
              <w:top w:val="single" w:color="auto" w:sz="4" w:space="0"/>
              <w:left w:val="single" w:color="auto" w:sz="4" w:space="0"/>
              <w:bottom w:val="single" w:color="auto" w:sz="4" w:space="0"/>
              <w:right w:val="single" w:color="auto" w:sz="4" w:space="0"/>
            </w:tcBorders>
            <w:noWrap w:val="0"/>
            <w:vAlign w:val="center"/>
          </w:tcPr>
          <w:p w14:paraId="5725E4A4">
            <w:pPr>
              <w:shd w:val="clear" w:color="auto" w:fill="auto"/>
              <w:topLinePunct/>
              <w:spacing w:line="440" w:lineRule="exact"/>
              <w:rPr>
                <w:rFonts w:hint="eastAsia" w:ascii="宋体" w:hAnsi="宋体" w:cs="宋体"/>
                <w:color w:val="auto"/>
                <w:sz w:val="24"/>
                <w:szCs w:val="24"/>
                <w:highlight w:val="none"/>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14:paraId="08F030F7">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邮政编码</w:t>
            </w:r>
          </w:p>
        </w:tc>
        <w:tc>
          <w:tcPr>
            <w:tcW w:w="2241" w:type="dxa"/>
            <w:gridSpan w:val="3"/>
            <w:tcBorders>
              <w:top w:val="single" w:color="auto" w:sz="4" w:space="0"/>
              <w:left w:val="single" w:color="auto" w:sz="4" w:space="0"/>
              <w:bottom w:val="single" w:color="auto" w:sz="4" w:space="0"/>
              <w:right w:val="single" w:color="auto" w:sz="4" w:space="0"/>
            </w:tcBorders>
            <w:noWrap w:val="0"/>
            <w:vAlign w:val="center"/>
          </w:tcPr>
          <w:p w14:paraId="4BF3F4AB">
            <w:pPr>
              <w:shd w:val="clear" w:color="auto" w:fill="auto"/>
              <w:topLinePunct/>
              <w:spacing w:line="440" w:lineRule="exact"/>
              <w:rPr>
                <w:rFonts w:hint="eastAsia" w:ascii="宋体" w:hAnsi="宋体" w:cs="宋体"/>
                <w:color w:val="auto"/>
                <w:sz w:val="24"/>
                <w:szCs w:val="24"/>
                <w:highlight w:val="none"/>
              </w:rPr>
            </w:pPr>
          </w:p>
        </w:tc>
      </w:tr>
      <w:tr w14:paraId="1F2ED0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5" w:hRule="atLeast"/>
          <w:jc w:val="center"/>
        </w:trPr>
        <w:tc>
          <w:tcPr>
            <w:tcW w:w="1726" w:type="dxa"/>
            <w:vMerge w:val="restart"/>
            <w:tcBorders>
              <w:top w:val="single" w:color="auto" w:sz="4" w:space="0"/>
              <w:left w:val="single" w:color="auto" w:sz="4" w:space="0"/>
              <w:bottom w:val="single" w:color="auto" w:sz="4" w:space="0"/>
              <w:right w:val="single" w:color="auto" w:sz="4" w:space="0"/>
            </w:tcBorders>
            <w:noWrap w:val="0"/>
            <w:vAlign w:val="center"/>
          </w:tcPr>
          <w:p w14:paraId="190623D9">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联系方式</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1363B3CA">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联系人</w:t>
            </w:r>
          </w:p>
        </w:tc>
        <w:tc>
          <w:tcPr>
            <w:tcW w:w="2463" w:type="dxa"/>
            <w:gridSpan w:val="3"/>
            <w:tcBorders>
              <w:top w:val="single" w:color="auto" w:sz="4" w:space="0"/>
              <w:left w:val="single" w:color="auto" w:sz="4" w:space="0"/>
              <w:bottom w:val="single" w:color="auto" w:sz="4" w:space="0"/>
              <w:right w:val="single" w:color="auto" w:sz="4" w:space="0"/>
            </w:tcBorders>
            <w:noWrap w:val="0"/>
            <w:vAlign w:val="center"/>
          </w:tcPr>
          <w:p w14:paraId="21E06EE4">
            <w:pPr>
              <w:shd w:val="clear" w:color="auto" w:fill="auto"/>
              <w:topLinePunct/>
              <w:spacing w:line="440" w:lineRule="exact"/>
              <w:rPr>
                <w:rFonts w:hint="eastAsia" w:ascii="宋体" w:hAnsi="宋体" w:cs="宋体"/>
                <w:color w:val="auto"/>
                <w:sz w:val="24"/>
                <w:szCs w:val="24"/>
                <w:highlight w:val="none"/>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14:paraId="7292107E">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 话</w:t>
            </w:r>
          </w:p>
        </w:tc>
        <w:tc>
          <w:tcPr>
            <w:tcW w:w="2241" w:type="dxa"/>
            <w:gridSpan w:val="3"/>
            <w:tcBorders>
              <w:top w:val="single" w:color="auto" w:sz="4" w:space="0"/>
              <w:left w:val="single" w:color="auto" w:sz="4" w:space="0"/>
              <w:bottom w:val="single" w:color="auto" w:sz="4" w:space="0"/>
              <w:right w:val="single" w:color="auto" w:sz="4" w:space="0"/>
            </w:tcBorders>
            <w:noWrap w:val="0"/>
            <w:vAlign w:val="center"/>
          </w:tcPr>
          <w:p w14:paraId="3AFC8038">
            <w:pPr>
              <w:shd w:val="clear" w:color="auto" w:fill="auto"/>
              <w:topLinePunct/>
              <w:spacing w:line="440" w:lineRule="exact"/>
              <w:rPr>
                <w:rFonts w:hint="eastAsia" w:ascii="宋体" w:hAnsi="宋体" w:cs="宋体"/>
                <w:color w:val="auto"/>
                <w:sz w:val="24"/>
                <w:szCs w:val="24"/>
                <w:highlight w:val="none"/>
              </w:rPr>
            </w:pPr>
          </w:p>
        </w:tc>
      </w:tr>
      <w:tr w14:paraId="43CFC8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jc w:val="center"/>
        </w:trPr>
        <w:tc>
          <w:tcPr>
            <w:tcW w:w="1726" w:type="dxa"/>
            <w:vMerge w:val="continue"/>
            <w:tcBorders>
              <w:top w:val="single" w:color="auto" w:sz="4" w:space="0"/>
              <w:left w:val="single" w:color="auto" w:sz="4" w:space="0"/>
              <w:bottom w:val="single" w:color="auto" w:sz="4" w:space="0"/>
              <w:right w:val="single" w:color="auto" w:sz="4" w:space="0"/>
            </w:tcBorders>
            <w:noWrap w:val="0"/>
            <w:vAlign w:val="center"/>
          </w:tcPr>
          <w:p w14:paraId="0A70884B">
            <w:pPr>
              <w:shd w:val="clear" w:color="auto" w:fill="auto"/>
              <w:topLinePunct/>
              <w:spacing w:line="440" w:lineRule="exact"/>
              <w:rPr>
                <w:rFonts w:hint="eastAsia" w:ascii="宋体" w:hAnsi="宋体" w:cs="宋体"/>
                <w:color w:val="auto"/>
                <w:sz w:val="24"/>
                <w:szCs w:val="24"/>
                <w:highlight w:val="none"/>
              </w:rPr>
            </w:pPr>
          </w:p>
        </w:tc>
        <w:tc>
          <w:tcPr>
            <w:tcW w:w="956" w:type="dxa"/>
            <w:tcBorders>
              <w:top w:val="single" w:color="auto" w:sz="4" w:space="0"/>
              <w:left w:val="single" w:color="auto" w:sz="4" w:space="0"/>
              <w:bottom w:val="single" w:color="auto" w:sz="4" w:space="0"/>
              <w:right w:val="single" w:color="auto" w:sz="4" w:space="0"/>
            </w:tcBorders>
            <w:noWrap w:val="0"/>
            <w:vAlign w:val="center"/>
          </w:tcPr>
          <w:p w14:paraId="358FE7DD">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传  真</w:t>
            </w:r>
          </w:p>
        </w:tc>
        <w:tc>
          <w:tcPr>
            <w:tcW w:w="2463" w:type="dxa"/>
            <w:gridSpan w:val="3"/>
            <w:tcBorders>
              <w:top w:val="single" w:color="auto" w:sz="4" w:space="0"/>
              <w:left w:val="single" w:color="auto" w:sz="4" w:space="0"/>
              <w:bottom w:val="single" w:color="auto" w:sz="4" w:space="0"/>
              <w:right w:val="single" w:color="auto" w:sz="4" w:space="0"/>
            </w:tcBorders>
            <w:noWrap w:val="0"/>
            <w:vAlign w:val="center"/>
          </w:tcPr>
          <w:p w14:paraId="56890C83">
            <w:pPr>
              <w:shd w:val="clear" w:color="auto" w:fill="auto"/>
              <w:topLinePunct/>
              <w:spacing w:line="440" w:lineRule="exact"/>
              <w:rPr>
                <w:rFonts w:hint="eastAsia" w:ascii="宋体" w:hAnsi="宋体" w:cs="宋体"/>
                <w:color w:val="auto"/>
                <w:sz w:val="24"/>
                <w:szCs w:val="24"/>
                <w:highlight w:val="none"/>
              </w:rPr>
            </w:pPr>
          </w:p>
        </w:tc>
        <w:tc>
          <w:tcPr>
            <w:tcW w:w="1179" w:type="dxa"/>
            <w:tcBorders>
              <w:top w:val="single" w:color="auto" w:sz="4" w:space="0"/>
              <w:left w:val="single" w:color="auto" w:sz="4" w:space="0"/>
              <w:bottom w:val="single" w:color="auto" w:sz="4" w:space="0"/>
              <w:right w:val="single" w:color="auto" w:sz="4" w:space="0"/>
            </w:tcBorders>
            <w:noWrap w:val="0"/>
            <w:vAlign w:val="center"/>
          </w:tcPr>
          <w:p w14:paraId="2BC6CD47">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网 址</w:t>
            </w:r>
          </w:p>
        </w:tc>
        <w:tc>
          <w:tcPr>
            <w:tcW w:w="2241" w:type="dxa"/>
            <w:gridSpan w:val="3"/>
            <w:tcBorders>
              <w:top w:val="single" w:color="auto" w:sz="4" w:space="0"/>
              <w:left w:val="single" w:color="auto" w:sz="4" w:space="0"/>
              <w:bottom w:val="single" w:color="auto" w:sz="4" w:space="0"/>
              <w:right w:val="single" w:color="auto" w:sz="4" w:space="0"/>
            </w:tcBorders>
            <w:noWrap w:val="0"/>
            <w:vAlign w:val="center"/>
          </w:tcPr>
          <w:p w14:paraId="4B7DC4DE">
            <w:pPr>
              <w:shd w:val="clear" w:color="auto" w:fill="auto"/>
              <w:topLinePunct/>
              <w:spacing w:line="440" w:lineRule="exact"/>
              <w:rPr>
                <w:rFonts w:hint="eastAsia" w:ascii="宋体" w:hAnsi="宋体" w:cs="宋体"/>
                <w:color w:val="auto"/>
                <w:sz w:val="24"/>
                <w:szCs w:val="24"/>
                <w:highlight w:val="none"/>
              </w:rPr>
            </w:pPr>
          </w:p>
        </w:tc>
      </w:tr>
      <w:tr w14:paraId="67F3BF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1F178421">
            <w:pPr>
              <w:shd w:val="clear" w:color="auto" w:fill="auto"/>
              <w:topLinePunct/>
              <w:spacing w:line="440" w:lineRule="exact"/>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组织结构</w:t>
            </w:r>
          </w:p>
        </w:tc>
        <w:tc>
          <w:tcPr>
            <w:tcW w:w="6839" w:type="dxa"/>
            <w:gridSpan w:val="8"/>
            <w:tcBorders>
              <w:top w:val="single" w:color="auto" w:sz="4" w:space="0"/>
              <w:left w:val="single" w:color="auto" w:sz="4" w:space="0"/>
              <w:bottom w:val="single" w:color="auto" w:sz="4" w:space="0"/>
              <w:right w:val="single" w:color="auto" w:sz="4" w:space="0"/>
            </w:tcBorders>
            <w:noWrap w:val="0"/>
            <w:vAlign w:val="center"/>
          </w:tcPr>
          <w:p w14:paraId="3DE0C83F">
            <w:pPr>
              <w:shd w:val="clear" w:color="auto" w:fill="auto"/>
              <w:topLinePunct/>
              <w:spacing w:line="440" w:lineRule="exact"/>
              <w:ind w:firstLine="482"/>
              <w:jc w:val="center"/>
              <w:rPr>
                <w:rFonts w:ascii="宋体" w:hAnsi="宋体" w:cs="宋体"/>
                <w:color w:val="auto"/>
                <w:sz w:val="24"/>
                <w:szCs w:val="24"/>
                <w:highlight w:val="none"/>
              </w:rPr>
            </w:pPr>
          </w:p>
        </w:tc>
      </w:tr>
      <w:tr w14:paraId="55225D8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59BFBAB3">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法定代表人</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5667AB04">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姓名</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45A1C534">
            <w:pPr>
              <w:shd w:val="clear" w:color="auto" w:fill="auto"/>
              <w:topLinePunct/>
              <w:spacing w:line="440" w:lineRule="exact"/>
              <w:rPr>
                <w:rFonts w:hint="eastAsia" w:ascii="宋体" w:hAnsi="宋体" w:cs="宋体"/>
                <w:color w:val="auto"/>
                <w:sz w:val="24"/>
                <w:szCs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07FAED36">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技术职称</w:t>
            </w: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7A429CE6">
            <w:pPr>
              <w:shd w:val="clear" w:color="auto" w:fill="auto"/>
              <w:topLinePunct/>
              <w:spacing w:line="440" w:lineRule="exact"/>
              <w:rPr>
                <w:rFonts w:hint="eastAsia" w:ascii="宋体" w:hAnsi="宋体" w:cs="宋体"/>
                <w:color w:val="auto"/>
                <w:sz w:val="24"/>
                <w:szCs w:val="24"/>
                <w:highlight w:val="none"/>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79883372">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DB91D52">
            <w:pPr>
              <w:shd w:val="clear" w:color="auto" w:fill="auto"/>
              <w:topLinePunct/>
              <w:spacing w:line="440" w:lineRule="exact"/>
              <w:rPr>
                <w:rFonts w:hint="eastAsia" w:ascii="宋体" w:hAnsi="宋体" w:cs="宋体"/>
                <w:color w:val="auto"/>
                <w:sz w:val="24"/>
                <w:szCs w:val="24"/>
                <w:highlight w:val="none"/>
              </w:rPr>
            </w:pPr>
          </w:p>
        </w:tc>
      </w:tr>
      <w:tr w14:paraId="080247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3759B175">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技术负责人</w:t>
            </w:r>
          </w:p>
        </w:tc>
        <w:tc>
          <w:tcPr>
            <w:tcW w:w="956" w:type="dxa"/>
            <w:tcBorders>
              <w:top w:val="single" w:color="auto" w:sz="4" w:space="0"/>
              <w:left w:val="single" w:color="auto" w:sz="4" w:space="0"/>
              <w:bottom w:val="single" w:color="auto" w:sz="4" w:space="0"/>
              <w:right w:val="single" w:color="auto" w:sz="4" w:space="0"/>
            </w:tcBorders>
            <w:noWrap w:val="0"/>
            <w:vAlign w:val="center"/>
          </w:tcPr>
          <w:p w14:paraId="678F80D9">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姓名</w:t>
            </w:r>
          </w:p>
        </w:tc>
        <w:tc>
          <w:tcPr>
            <w:tcW w:w="1095" w:type="dxa"/>
            <w:tcBorders>
              <w:top w:val="single" w:color="auto" w:sz="4" w:space="0"/>
              <w:left w:val="single" w:color="auto" w:sz="4" w:space="0"/>
              <w:bottom w:val="single" w:color="auto" w:sz="4" w:space="0"/>
              <w:right w:val="single" w:color="auto" w:sz="4" w:space="0"/>
            </w:tcBorders>
            <w:noWrap w:val="0"/>
            <w:vAlign w:val="center"/>
          </w:tcPr>
          <w:p w14:paraId="1D8979CC">
            <w:pPr>
              <w:shd w:val="clear" w:color="auto" w:fill="auto"/>
              <w:topLinePunct/>
              <w:spacing w:line="440" w:lineRule="exact"/>
              <w:rPr>
                <w:rFonts w:hint="eastAsia" w:ascii="宋体" w:hAnsi="宋体" w:cs="宋体"/>
                <w:color w:val="auto"/>
                <w:sz w:val="24"/>
                <w:szCs w:val="24"/>
                <w:highlight w:val="none"/>
              </w:rPr>
            </w:pPr>
          </w:p>
        </w:tc>
        <w:tc>
          <w:tcPr>
            <w:tcW w:w="1245" w:type="dxa"/>
            <w:tcBorders>
              <w:top w:val="single" w:color="auto" w:sz="4" w:space="0"/>
              <w:left w:val="single" w:color="auto" w:sz="4" w:space="0"/>
              <w:bottom w:val="single" w:color="auto" w:sz="4" w:space="0"/>
              <w:right w:val="single" w:color="auto" w:sz="4" w:space="0"/>
            </w:tcBorders>
            <w:noWrap w:val="0"/>
            <w:vAlign w:val="center"/>
          </w:tcPr>
          <w:p w14:paraId="4385076A">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技术职称</w:t>
            </w: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36B59894">
            <w:pPr>
              <w:shd w:val="clear" w:color="auto" w:fill="auto"/>
              <w:topLinePunct/>
              <w:spacing w:line="440" w:lineRule="exact"/>
              <w:rPr>
                <w:rFonts w:hint="eastAsia" w:ascii="宋体" w:hAnsi="宋体" w:cs="宋体"/>
                <w:color w:val="auto"/>
                <w:sz w:val="24"/>
                <w:szCs w:val="24"/>
                <w:highlight w:val="none"/>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65DA9F9C">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电话</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44F8DDE">
            <w:pPr>
              <w:shd w:val="clear" w:color="auto" w:fill="auto"/>
              <w:topLinePunct/>
              <w:spacing w:line="440" w:lineRule="exact"/>
              <w:rPr>
                <w:rFonts w:hint="eastAsia" w:ascii="宋体" w:hAnsi="宋体" w:cs="宋体"/>
                <w:color w:val="auto"/>
                <w:sz w:val="24"/>
                <w:szCs w:val="24"/>
                <w:highlight w:val="none"/>
              </w:rPr>
            </w:pPr>
          </w:p>
        </w:tc>
      </w:tr>
      <w:tr w14:paraId="1AA77D9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4"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3A5BC4E5">
            <w:pPr>
              <w:shd w:val="clear" w:color="auto" w:fill="auto"/>
              <w:topLinePunct/>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成立时间</w:t>
            </w:r>
          </w:p>
        </w:tc>
        <w:tc>
          <w:tcPr>
            <w:tcW w:w="2051" w:type="dxa"/>
            <w:gridSpan w:val="2"/>
            <w:tcBorders>
              <w:top w:val="single" w:color="auto" w:sz="4" w:space="0"/>
              <w:left w:val="single" w:color="auto" w:sz="4" w:space="0"/>
              <w:bottom w:val="single" w:color="auto" w:sz="4" w:space="0"/>
              <w:right w:val="single" w:color="auto" w:sz="4" w:space="0"/>
            </w:tcBorders>
            <w:noWrap w:val="0"/>
            <w:vAlign w:val="center"/>
          </w:tcPr>
          <w:p w14:paraId="328C9F00">
            <w:pPr>
              <w:shd w:val="clear" w:color="auto" w:fill="auto"/>
              <w:topLinePunct/>
              <w:spacing w:line="440" w:lineRule="exact"/>
              <w:ind w:firstLine="482"/>
              <w:jc w:val="center"/>
              <w:rPr>
                <w:rFonts w:ascii="宋体" w:hAnsi="宋体" w:cs="宋体"/>
                <w:color w:val="auto"/>
                <w:sz w:val="24"/>
                <w:szCs w:val="24"/>
                <w:highlight w:val="none"/>
              </w:rPr>
            </w:pPr>
          </w:p>
        </w:tc>
        <w:tc>
          <w:tcPr>
            <w:tcW w:w="4788" w:type="dxa"/>
            <w:gridSpan w:val="6"/>
            <w:tcBorders>
              <w:top w:val="single" w:color="auto" w:sz="4" w:space="0"/>
              <w:left w:val="single" w:color="auto" w:sz="4" w:space="0"/>
              <w:bottom w:val="single" w:color="auto" w:sz="4" w:space="0"/>
              <w:right w:val="single" w:color="auto" w:sz="4" w:space="0"/>
            </w:tcBorders>
            <w:noWrap w:val="0"/>
            <w:vAlign w:val="center"/>
          </w:tcPr>
          <w:p w14:paraId="0D561CC1">
            <w:pPr>
              <w:shd w:val="clear" w:color="auto" w:fill="auto"/>
              <w:topLinePunct/>
              <w:spacing w:line="440" w:lineRule="exact"/>
              <w:ind w:firstLine="120" w:firstLineChars="50"/>
              <w:jc w:val="center"/>
              <w:rPr>
                <w:rFonts w:ascii="宋体" w:hAnsi="宋体" w:cs="宋体"/>
                <w:color w:val="auto"/>
                <w:sz w:val="24"/>
                <w:szCs w:val="24"/>
                <w:highlight w:val="none"/>
              </w:rPr>
            </w:pPr>
            <w:r>
              <w:rPr>
                <w:rFonts w:hint="eastAsia" w:ascii="宋体" w:hAnsi="宋体" w:cs="宋体"/>
                <w:color w:val="auto"/>
                <w:sz w:val="24"/>
                <w:szCs w:val="24"/>
                <w:highlight w:val="none"/>
              </w:rPr>
              <w:t>员工总人数：</w:t>
            </w:r>
          </w:p>
        </w:tc>
      </w:tr>
      <w:tr w14:paraId="702794C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0DBB07F5">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营业执照号</w:t>
            </w:r>
          </w:p>
        </w:tc>
        <w:tc>
          <w:tcPr>
            <w:tcW w:w="2051" w:type="dxa"/>
            <w:gridSpan w:val="2"/>
            <w:tcBorders>
              <w:top w:val="single" w:color="auto" w:sz="4" w:space="0"/>
              <w:left w:val="single" w:color="auto" w:sz="4" w:space="0"/>
              <w:bottom w:val="single" w:color="auto" w:sz="4" w:space="0"/>
              <w:right w:val="single" w:color="auto" w:sz="4" w:space="0"/>
            </w:tcBorders>
            <w:noWrap w:val="0"/>
            <w:vAlign w:val="center"/>
          </w:tcPr>
          <w:p w14:paraId="3DF9AE77">
            <w:pPr>
              <w:shd w:val="clear" w:color="auto" w:fill="auto"/>
              <w:topLinePunct/>
              <w:spacing w:line="440" w:lineRule="exact"/>
              <w:ind w:firstLine="482"/>
              <w:jc w:val="center"/>
              <w:rPr>
                <w:rFonts w:ascii="宋体" w:hAnsi="宋体" w:cs="宋体"/>
                <w:color w:val="auto"/>
                <w:sz w:val="24"/>
                <w:szCs w:val="24"/>
                <w:highlight w:val="none"/>
              </w:rPr>
            </w:pPr>
          </w:p>
        </w:tc>
        <w:tc>
          <w:tcPr>
            <w:tcW w:w="1245" w:type="dxa"/>
            <w:vMerge w:val="restart"/>
            <w:tcBorders>
              <w:top w:val="single" w:color="auto" w:sz="4" w:space="0"/>
              <w:left w:val="single" w:color="auto" w:sz="4" w:space="0"/>
              <w:bottom w:val="single" w:color="auto" w:sz="4" w:space="0"/>
              <w:right w:val="single" w:color="auto" w:sz="4" w:space="0"/>
            </w:tcBorders>
            <w:noWrap w:val="0"/>
            <w:vAlign w:val="center"/>
          </w:tcPr>
          <w:p w14:paraId="74255EDA">
            <w:pPr>
              <w:shd w:val="clear" w:color="auto" w:fill="auto"/>
              <w:topLinePunct/>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其中</w:t>
            </w: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55F88F00">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高级职称人员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7DB3A82B">
            <w:pPr>
              <w:shd w:val="clear" w:color="auto" w:fill="auto"/>
              <w:topLinePunct/>
              <w:spacing w:line="440" w:lineRule="exact"/>
              <w:ind w:firstLine="482"/>
              <w:jc w:val="center"/>
              <w:rPr>
                <w:rFonts w:ascii="宋体" w:hAnsi="宋体" w:cs="宋体"/>
                <w:color w:val="auto"/>
                <w:sz w:val="24"/>
                <w:szCs w:val="24"/>
                <w:highlight w:val="none"/>
              </w:rPr>
            </w:pPr>
          </w:p>
        </w:tc>
      </w:tr>
      <w:tr w14:paraId="244406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7B5BB6B3">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注册资金</w:t>
            </w:r>
          </w:p>
        </w:tc>
        <w:tc>
          <w:tcPr>
            <w:tcW w:w="2051" w:type="dxa"/>
            <w:gridSpan w:val="2"/>
            <w:tcBorders>
              <w:top w:val="single" w:color="auto" w:sz="4" w:space="0"/>
              <w:left w:val="single" w:color="auto" w:sz="4" w:space="0"/>
              <w:bottom w:val="single" w:color="auto" w:sz="4" w:space="0"/>
              <w:right w:val="single" w:color="auto" w:sz="4" w:space="0"/>
            </w:tcBorders>
            <w:noWrap w:val="0"/>
            <w:vAlign w:val="center"/>
          </w:tcPr>
          <w:p w14:paraId="60508F7F">
            <w:pPr>
              <w:shd w:val="clear" w:color="auto" w:fill="auto"/>
              <w:topLinePunct/>
              <w:spacing w:line="440" w:lineRule="exact"/>
              <w:ind w:firstLine="482"/>
              <w:jc w:val="center"/>
              <w:rPr>
                <w:rFonts w:ascii="宋体" w:hAnsi="宋体" w:cs="宋体"/>
                <w:color w:val="auto"/>
                <w:sz w:val="24"/>
                <w:szCs w:val="24"/>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14:paraId="01028F38">
            <w:pPr>
              <w:widowControl/>
              <w:shd w:val="clear" w:color="auto" w:fill="auto"/>
              <w:ind w:firstLine="482"/>
              <w:jc w:val="left"/>
              <w:rPr>
                <w:rFonts w:ascii="宋体" w:hAnsi="宋体" w:cs="宋体"/>
                <w:color w:val="auto"/>
                <w:sz w:val="24"/>
                <w:szCs w:val="24"/>
                <w:highlight w:val="none"/>
              </w:rPr>
            </w:pP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0BAAE8FA">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中级职称人员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1FC07B8F">
            <w:pPr>
              <w:shd w:val="clear" w:color="auto" w:fill="auto"/>
              <w:topLinePunct/>
              <w:spacing w:line="440" w:lineRule="exact"/>
              <w:ind w:firstLine="482"/>
              <w:jc w:val="center"/>
              <w:rPr>
                <w:rFonts w:ascii="宋体" w:hAnsi="宋体" w:cs="宋体"/>
                <w:color w:val="auto"/>
                <w:sz w:val="24"/>
                <w:szCs w:val="24"/>
                <w:highlight w:val="none"/>
              </w:rPr>
            </w:pPr>
          </w:p>
        </w:tc>
      </w:tr>
      <w:tr w14:paraId="78A59F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35AABD26">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开户银行</w:t>
            </w:r>
          </w:p>
        </w:tc>
        <w:tc>
          <w:tcPr>
            <w:tcW w:w="2051" w:type="dxa"/>
            <w:gridSpan w:val="2"/>
            <w:tcBorders>
              <w:top w:val="single" w:color="auto" w:sz="4" w:space="0"/>
              <w:left w:val="single" w:color="auto" w:sz="4" w:space="0"/>
              <w:bottom w:val="single" w:color="auto" w:sz="4" w:space="0"/>
              <w:right w:val="single" w:color="auto" w:sz="4" w:space="0"/>
            </w:tcBorders>
            <w:noWrap w:val="0"/>
            <w:vAlign w:val="center"/>
          </w:tcPr>
          <w:p w14:paraId="18DF93FD">
            <w:pPr>
              <w:shd w:val="clear" w:color="auto" w:fill="auto"/>
              <w:topLinePunct/>
              <w:spacing w:line="440" w:lineRule="exact"/>
              <w:ind w:firstLine="482"/>
              <w:jc w:val="center"/>
              <w:rPr>
                <w:rFonts w:ascii="宋体" w:hAnsi="宋体" w:cs="宋体"/>
                <w:color w:val="auto"/>
                <w:sz w:val="24"/>
                <w:szCs w:val="24"/>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14:paraId="3D05D5E2">
            <w:pPr>
              <w:widowControl/>
              <w:shd w:val="clear" w:color="auto" w:fill="auto"/>
              <w:ind w:firstLine="482"/>
              <w:jc w:val="left"/>
              <w:rPr>
                <w:rFonts w:ascii="宋体" w:hAnsi="宋体" w:cs="宋体"/>
                <w:color w:val="auto"/>
                <w:sz w:val="24"/>
                <w:szCs w:val="24"/>
                <w:highlight w:val="none"/>
              </w:rPr>
            </w:pP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7DEC8868">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初级职称人员</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29E664BA">
            <w:pPr>
              <w:shd w:val="clear" w:color="auto" w:fill="auto"/>
              <w:topLinePunct/>
              <w:spacing w:line="440" w:lineRule="exact"/>
              <w:ind w:firstLine="482"/>
              <w:jc w:val="center"/>
              <w:rPr>
                <w:rFonts w:ascii="宋体" w:hAnsi="宋体" w:cs="宋体"/>
                <w:color w:val="auto"/>
                <w:sz w:val="24"/>
                <w:szCs w:val="24"/>
                <w:highlight w:val="none"/>
              </w:rPr>
            </w:pPr>
          </w:p>
        </w:tc>
      </w:tr>
      <w:tr w14:paraId="173E32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6"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2D8DECE1">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账号</w:t>
            </w:r>
          </w:p>
        </w:tc>
        <w:tc>
          <w:tcPr>
            <w:tcW w:w="2051" w:type="dxa"/>
            <w:gridSpan w:val="2"/>
            <w:tcBorders>
              <w:top w:val="single" w:color="auto" w:sz="4" w:space="0"/>
              <w:left w:val="single" w:color="auto" w:sz="4" w:space="0"/>
              <w:bottom w:val="single" w:color="auto" w:sz="4" w:space="0"/>
              <w:right w:val="single" w:color="auto" w:sz="4" w:space="0"/>
            </w:tcBorders>
            <w:noWrap w:val="0"/>
            <w:vAlign w:val="center"/>
          </w:tcPr>
          <w:p w14:paraId="108D3903">
            <w:pPr>
              <w:shd w:val="clear" w:color="auto" w:fill="auto"/>
              <w:topLinePunct/>
              <w:spacing w:line="440" w:lineRule="exact"/>
              <w:ind w:firstLine="482"/>
              <w:jc w:val="center"/>
              <w:rPr>
                <w:rFonts w:ascii="宋体" w:hAnsi="宋体" w:cs="宋体"/>
                <w:color w:val="auto"/>
                <w:sz w:val="24"/>
                <w:szCs w:val="24"/>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14:paraId="3C0324F0">
            <w:pPr>
              <w:widowControl/>
              <w:shd w:val="clear" w:color="auto" w:fill="auto"/>
              <w:ind w:firstLine="482"/>
              <w:jc w:val="left"/>
              <w:rPr>
                <w:rFonts w:ascii="宋体" w:hAnsi="宋体" w:cs="宋体"/>
                <w:color w:val="auto"/>
                <w:sz w:val="24"/>
                <w:szCs w:val="24"/>
                <w:highlight w:val="none"/>
              </w:rPr>
            </w:pPr>
          </w:p>
        </w:tc>
        <w:tc>
          <w:tcPr>
            <w:tcW w:w="1691" w:type="dxa"/>
            <w:gridSpan w:val="3"/>
            <w:tcBorders>
              <w:top w:val="single" w:color="auto" w:sz="4" w:space="0"/>
              <w:left w:val="single" w:color="auto" w:sz="4" w:space="0"/>
              <w:bottom w:val="single" w:color="auto" w:sz="4" w:space="0"/>
              <w:right w:val="single" w:color="auto" w:sz="4" w:space="0"/>
            </w:tcBorders>
            <w:noWrap w:val="0"/>
            <w:vAlign w:val="center"/>
          </w:tcPr>
          <w:p w14:paraId="581CB5CC">
            <w:pPr>
              <w:shd w:val="clear" w:color="auto" w:fill="auto"/>
              <w:topLinePunct/>
              <w:spacing w:line="44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技  工</w:t>
            </w:r>
          </w:p>
        </w:tc>
        <w:tc>
          <w:tcPr>
            <w:tcW w:w="1852" w:type="dxa"/>
            <w:gridSpan w:val="2"/>
            <w:tcBorders>
              <w:top w:val="single" w:color="auto" w:sz="4" w:space="0"/>
              <w:left w:val="single" w:color="auto" w:sz="4" w:space="0"/>
              <w:bottom w:val="single" w:color="auto" w:sz="4" w:space="0"/>
              <w:right w:val="single" w:color="auto" w:sz="4" w:space="0"/>
            </w:tcBorders>
            <w:noWrap w:val="0"/>
            <w:vAlign w:val="center"/>
          </w:tcPr>
          <w:p w14:paraId="0289F90E">
            <w:pPr>
              <w:shd w:val="clear" w:color="auto" w:fill="auto"/>
              <w:topLinePunct/>
              <w:spacing w:line="440" w:lineRule="exact"/>
              <w:ind w:firstLine="482"/>
              <w:jc w:val="center"/>
              <w:rPr>
                <w:rFonts w:ascii="宋体" w:hAnsi="宋体" w:cs="宋体"/>
                <w:color w:val="auto"/>
                <w:sz w:val="24"/>
                <w:szCs w:val="24"/>
                <w:highlight w:val="none"/>
              </w:rPr>
            </w:pPr>
          </w:p>
        </w:tc>
      </w:tr>
      <w:tr w14:paraId="62E90F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80" w:hRule="atLeast"/>
          <w:jc w:val="center"/>
        </w:trPr>
        <w:tc>
          <w:tcPr>
            <w:tcW w:w="1726" w:type="dxa"/>
            <w:tcBorders>
              <w:top w:val="single" w:color="auto" w:sz="4" w:space="0"/>
              <w:left w:val="single" w:color="auto" w:sz="4" w:space="0"/>
              <w:bottom w:val="nil"/>
              <w:right w:val="single" w:color="auto" w:sz="4" w:space="0"/>
            </w:tcBorders>
            <w:noWrap w:val="0"/>
            <w:vAlign w:val="center"/>
          </w:tcPr>
          <w:p w14:paraId="24E55EA9">
            <w:pPr>
              <w:shd w:val="clear" w:color="auto" w:fill="auto"/>
              <w:topLinePunct/>
              <w:spacing w:line="440" w:lineRule="exact"/>
              <w:rPr>
                <w:rFonts w:ascii="宋体" w:hAnsi="宋体" w:cs="宋体"/>
                <w:color w:val="auto"/>
                <w:sz w:val="24"/>
                <w:szCs w:val="24"/>
                <w:highlight w:val="none"/>
              </w:rPr>
            </w:pPr>
            <w:r>
              <w:rPr>
                <w:rFonts w:hint="eastAsia" w:ascii="宋体" w:hAnsi="宋体" w:cs="宋体"/>
                <w:color w:val="auto"/>
                <w:sz w:val="24"/>
                <w:szCs w:val="24"/>
                <w:highlight w:val="none"/>
              </w:rPr>
              <w:t>经营范围</w:t>
            </w:r>
          </w:p>
        </w:tc>
        <w:tc>
          <w:tcPr>
            <w:tcW w:w="6839" w:type="dxa"/>
            <w:gridSpan w:val="8"/>
            <w:tcBorders>
              <w:top w:val="single" w:color="auto" w:sz="4" w:space="0"/>
              <w:left w:val="single" w:color="auto" w:sz="4" w:space="0"/>
              <w:bottom w:val="nil"/>
              <w:right w:val="single" w:color="auto" w:sz="4" w:space="0"/>
            </w:tcBorders>
            <w:noWrap w:val="0"/>
            <w:vAlign w:val="center"/>
          </w:tcPr>
          <w:p w14:paraId="57980AC2">
            <w:pPr>
              <w:shd w:val="clear" w:color="auto" w:fill="auto"/>
              <w:topLinePunct/>
              <w:spacing w:line="440" w:lineRule="exact"/>
              <w:ind w:firstLine="482"/>
              <w:jc w:val="center"/>
              <w:rPr>
                <w:rFonts w:ascii="宋体" w:hAnsi="宋体" w:cs="宋体"/>
                <w:color w:val="auto"/>
                <w:sz w:val="24"/>
                <w:szCs w:val="24"/>
                <w:highlight w:val="none"/>
              </w:rPr>
            </w:pPr>
          </w:p>
        </w:tc>
      </w:tr>
      <w:tr w14:paraId="57869C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1726" w:type="dxa"/>
            <w:tcBorders>
              <w:top w:val="single" w:color="auto" w:sz="4" w:space="0"/>
              <w:left w:val="single" w:color="auto" w:sz="4" w:space="0"/>
              <w:bottom w:val="single" w:color="auto" w:sz="4" w:space="0"/>
              <w:right w:val="single" w:color="auto" w:sz="4" w:space="0"/>
            </w:tcBorders>
            <w:noWrap w:val="0"/>
            <w:vAlign w:val="center"/>
          </w:tcPr>
          <w:p w14:paraId="6227AE1A">
            <w:pPr>
              <w:shd w:val="clear" w:color="auto" w:fill="auto"/>
              <w:topLinePunct/>
              <w:spacing w:line="440" w:lineRule="exact"/>
              <w:ind w:firstLine="482"/>
              <w:jc w:val="center"/>
              <w:rPr>
                <w:rFonts w:ascii="宋体" w:hAnsi="宋体" w:cs="宋体"/>
                <w:color w:val="auto"/>
                <w:sz w:val="24"/>
                <w:szCs w:val="24"/>
                <w:highlight w:val="none"/>
              </w:rPr>
            </w:pPr>
            <w:r>
              <w:rPr>
                <w:rFonts w:hint="eastAsia" w:ascii="宋体" w:hAnsi="宋体" w:cs="宋体"/>
                <w:color w:val="auto"/>
                <w:sz w:val="24"/>
                <w:szCs w:val="24"/>
                <w:highlight w:val="none"/>
              </w:rPr>
              <w:t>备注</w:t>
            </w:r>
          </w:p>
        </w:tc>
        <w:tc>
          <w:tcPr>
            <w:tcW w:w="6839" w:type="dxa"/>
            <w:gridSpan w:val="8"/>
            <w:tcBorders>
              <w:top w:val="single" w:color="auto" w:sz="4" w:space="0"/>
              <w:left w:val="single" w:color="auto" w:sz="4" w:space="0"/>
              <w:bottom w:val="single" w:color="auto" w:sz="4" w:space="0"/>
              <w:right w:val="single" w:color="auto" w:sz="4" w:space="0"/>
            </w:tcBorders>
            <w:noWrap w:val="0"/>
            <w:vAlign w:val="center"/>
          </w:tcPr>
          <w:p w14:paraId="307D0894">
            <w:pPr>
              <w:shd w:val="clear" w:color="auto" w:fill="auto"/>
              <w:topLinePunct/>
              <w:spacing w:line="440" w:lineRule="exact"/>
              <w:ind w:firstLine="480"/>
              <w:rPr>
                <w:rFonts w:ascii="宋体" w:hAnsi="宋体" w:cs="宋体"/>
                <w:b/>
                <w:color w:val="auto"/>
                <w:sz w:val="24"/>
                <w:szCs w:val="24"/>
                <w:highlight w:val="none"/>
              </w:rPr>
            </w:pPr>
          </w:p>
        </w:tc>
      </w:tr>
    </w:tbl>
    <w:p w14:paraId="27F07182">
      <w:pPr>
        <w:pStyle w:val="3"/>
        <w:shd w:val="clear" w:color="auto" w:fill="auto"/>
        <w:jc w:val="left"/>
        <w:rPr>
          <w:rFonts w:hint="eastAsia" w:ascii="宋体" w:hAnsi="宋体" w:cs="宋体"/>
          <w:b/>
          <w:bCs/>
          <w:color w:val="auto"/>
          <w:sz w:val="32"/>
          <w:szCs w:val="32"/>
          <w:highlight w:val="none"/>
        </w:rPr>
      </w:pPr>
      <w:bookmarkStart w:id="1515" w:name="_Toc247514302"/>
      <w:bookmarkStart w:id="1516" w:name="_Toc144974878"/>
      <w:bookmarkStart w:id="1517" w:name="_Toc152045810"/>
      <w:bookmarkStart w:id="1518" w:name="_Toc247527850"/>
      <w:bookmarkStart w:id="1519" w:name="_Toc152042599"/>
      <w:bookmarkStart w:id="1520" w:name="_Toc265953296"/>
      <w:bookmarkStart w:id="1521" w:name="_Toc296602620"/>
      <w:bookmarkStart w:id="1522" w:name="_Toc152045813"/>
      <w:bookmarkStart w:id="1523" w:name="_Toc152042602"/>
      <w:bookmarkStart w:id="1524" w:name="_Toc179632833"/>
      <w:bookmarkStart w:id="1525" w:name="_Toc144974881"/>
      <w:r>
        <w:rPr>
          <w:rFonts w:hint="eastAsia" w:ascii="宋体" w:hAnsi="宋体" w:cs="宋体"/>
          <w:b/>
          <w:bCs/>
          <w:color w:val="auto"/>
          <w:sz w:val="32"/>
          <w:szCs w:val="32"/>
          <w:highlight w:val="none"/>
        </w:rPr>
        <w:br w:type="page"/>
      </w:r>
      <w:r>
        <w:rPr>
          <w:rFonts w:hint="eastAsia" w:ascii="宋体" w:hAnsi="宋体" w:eastAsia="宋体" w:cs="宋体"/>
          <w:color w:val="auto"/>
          <w:highlight w:val="none"/>
        </w:rPr>
        <w:t>（二）近年财务状况表</w:t>
      </w:r>
    </w:p>
    <w:p w14:paraId="680CE51E">
      <w:pPr>
        <w:shd w:val="clear" w:color="auto" w:fill="auto"/>
        <w:spacing w:line="440" w:lineRule="exact"/>
        <w:ind w:firstLine="600" w:firstLineChars="250"/>
        <w:jc w:val="left"/>
        <w:rPr>
          <w:rFonts w:hint="eastAsia" w:ascii="宋体" w:hAnsi="宋体" w:cs="宋体"/>
          <w:bCs/>
          <w:color w:val="auto"/>
          <w:sz w:val="24"/>
          <w:szCs w:val="32"/>
          <w:highlight w:val="none"/>
        </w:rPr>
      </w:pPr>
    </w:p>
    <w:p w14:paraId="2A9848B6">
      <w:pPr>
        <w:pStyle w:val="3"/>
        <w:shd w:val="clear" w:color="auto" w:fill="auto"/>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eastAsia="宋体" w:cs="宋体"/>
          <w:color w:val="auto"/>
          <w:highlight w:val="none"/>
        </w:rPr>
        <w:t>（三）近年完成的类似项目情况表</w:t>
      </w:r>
      <w:bookmarkEnd w:id="1515"/>
      <w:bookmarkEnd w:id="1516"/>
      <w:bookmarkEnd w:id="1517"/>
      <w:bookmarkEnd w:id="1518"/>
      <w:bookmarkEnd w:id="1519"/>
      <w:bookmarkEnd w:id="1520"/>
      <w:bookmarkEnd w:id="1521"/>
    </w:p>
    <w:p w14:paraId="1B1B2054">
      <w:pPr>
        <w:shd w:val="clear" w:color="auto" w:fill="auto"/>
        <w:spacing w:line="440" w:lineRule="exact"/>
        <w:ind w:firstLine="462"/>
        <w:jc w:val="center"/>
        <w:rPr>
          <w:rFonts w:hint="eastAsia" w:ascii="宋体" w:hAnsi="宋体" w:cs="宋体"/>
          <w:color w:val="auto"/>
          <w:sz w:val="23"/>
          <w:szCs w:val="23"/>
          <w:highlight w:val="none"/>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20646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4485077F">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5B0315A6">
            <w:pPr>
              <w:shd w:val="clear" w:color="auto" w:fill="auto"/>
              <w:topLinePunct/>
              <w:spacing w:line="440" w:lineRule="exact"/>
              <w:ind w:firstLine="482"/>
              <w:rPr>
                <w:rFonts w:ascii="宋体" w:hAnsi="宋体" w:cs="宋体"/>
                <w:color w:val="auto"/>
                <w:sz w:val="24"/>
                <w:highlight w:val="none"/>
              </w:rPr>
            </w:pPr>
          </w:p>
        </w:tc>
      </w:tr>
      <w:tr w14:paraId="17486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53F329B6">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项目所在地</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02778E83">
            <w:pPr>
              <w:shd w:val="clear" w:color="auto" w:fill="auto"/>
              <w:topLinePunct/>
              <w:spacing w:line="440" w:lineRule="exact"/>
              <w:ind w:firstLine="482"/>
              <w:rPr>
                <w:rFonts w:ascii="宋体" w:hAnsi="宋体" w:cs="宋体"/>
                <w:color w:val="auto"/>
                <w:sz w:val="24"/>
                <w:highlight w:val="none"/>
              </w:rPr>
            </w:pPr>
          </w:p>
        </w:tc>
      </w:tr>
      <w:tr w14:paraId="40BB0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24F368A1">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发包人名称</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72D20966">
            <w:pPr>
              <w:shd w:val="clear" w:color="auto" w:fill="auto"/>
              <w:topLinePunct/>
              <w:spacing w:line="440" w:lineRule="exact"/>
              <w:ind w:firstLine="482"/>
              <w:rPr>
                <w:rFonts w:ascii="宋体" w:hAnsi="宋体" w:cs="宋体"/>
                <w:color w:val="auto"/>
                <w:sz w:val="24"/>
                <w:highlight w:val="none"/>
              </w:rPr>
            </w:pPr>
          </w:p>
        </w:tc>
      </w:tr>
      <w:tr w14:paraId="7DD8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5B3E5D7F">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发包人地址</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71C77C55">
            <w:pPr>
              <w:shd w:val="clear" w:color="auto" w:fill="auto"/>
              <w:topLinePunct/>
              <w:spacing w:line="440" w:lineRule="exact"/>
              <w:ind w:firstLine="482"/>
              <w:rPr>
                <w:rFonts w:ascii="宋体" w:hAnsi="宋体" w:cs="宋体"/>
                <w:color w:val="auto"/>
                <w:sz w:val="24"/>
                <w:highlight w:val="none"/>
              </w:rPr>
            </w:pPr>
          </w:p>
        </w:tc>
      </w:tr>
      <w:tr w14:paraId="386C2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72ED38E5">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发包人电话</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177F7368">
            <w:pPr>
              <w:shd w:val="clear" w:color="auto" w:fill="auto"/>
              <w:topLinePunct/>
              <w:spacing w:line="440" w:lineRule="exact"/>
              <w:ind w:firstLine="482"/>
              <w:rPr>
                <w:rFonts w:ascii="宋体" w:hAnsi="宋体" w:cs="宋体"/>
                <w:color w:val="auto"/>
                <w:sz w:val="24"/>
                <w:highlight w:val="none"/>
              </w:rPr>
            </w:pPr>
          </w:p>
        </w:tc>
      </w:tr>
      <w:tr w14:paraId="1190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2EFD2629">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合同价格</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64622DF2">
            <w:pPr>
              <w:shd w:val="clear" w:color="auto" w:fill="auto"/>
              <w:topLinePunct/>
              <w:spacing w:line="440" w:lineRule="exact"/>
              <w:ind w:firstLine="482"/>
              <w:rPr>
                <w:rFonts w:ascii="宋体" w:hAnsi="宋体" w:cs="宋体"/>
                <w:color w:val="auto"/>
                <w:sz w:val="24"/>
                <w:highlight w:val="none"/>
              </w:rPr>
            </w:pPr>
          </w:p>
        </w:tc>
      </w:tr>
      <w:tr w14:paraId="2EA05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2FE22DE5">
            <w:pPr>
              <w:shd w:val="clear" w:color="auto" w:fill="auto"/>
              <w:topLinePunct/>
              <w:spacing w:line="440" w:lineRule="exact"/>
              <w:ind w:firstLine="482"/>
              <w:jc w:val="center"/>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合同签订时间</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724C804E">
            <w:pPr>
              <w:shd w:val="clear" w:color="auto" w:fill="auto"/>
              <w:topLinePunct/>
              <w:spacing w:line="440" w:lineRule="exact"/>
              <w:ind w:firstLine="482"/>
              <w:rPr>
                <w:rFonts w:ascii="宋体" w:hAnsi="宋体" w:cs="宋体"/>
                <w:color w:val="auto"/>
                <w:sz w:val="24"/>
                <w:highlight w:val="none"/>
              </w:rPr>
            </w:pPr>
          </w:p>
        </w:tc>
      </w:tr>
      <w:tr w14:paraId="5C5D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1B92BA24">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开工日期</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6BC6204A">
            <w:pPr>
              <w:shd w:val="clear" w:color="auto" w:fill="auto"/>
              <w:topLinePunct/>
              <w:spacing w:line="440" w:lineRule="exact"/>
              <w:ind w:firstLine="482"/>
              <w:rPr>
                <w:rFonts w:ascii="宋体" w:hAnsi="宋体" w:cs="宋体"/>
                <w:color w:val="auto"/>
                <w:sz w:val="24"/>
                <w:highlight w:val="none"/>
              </w:rPr>
            </w:pPr>
          </w:p>
        </w:tc>
      </w:tr>
      <w:tr w14:paraId="60B63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4E5D59C3">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竣工日期</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5EE5A297">
            <w:pPr>
              <w:shd w:val="clear" w:color="auto" w:fill="auto"/>
              <w:topLinePunct/>
              <w:spacing w:line="440" w:lineRule="exact"/>
              <w:ind w:firstLine="482"/>
              <w:rPr>
                <w:rFonts w:ascii="宋体" w:hAnsi="宋体" w:cs="宋体"/>
                <w:color w:val="auto"/>
                <w:sz w:val="24"/>
                <w:highlight w:val="none"/>
              </w:rPr>
            </w:pPr>
          </w:p>
        </w:tc>
      </w:tr>
      <w:tr w14:paraId="2566C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6C3B050B">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承担的工作</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014FD7EE">
            <w:pPr>
              <w:shd w:val="clear" w:color="auto" w:fill="auto"/>
              <w:topLinePunct/>
              <w:spacing w:line="440" w:lineRule="exact"/>
              <w:ind w:firstLine="482"/>
              <w:rPr>
                <w:rFonts w:ascii="宋体" w:hAnsi="宋体" w:cs="宋体"/>
                <w:color w:val="auto"/>
                <w:sz w:val="24"/>
                <w:highlight w:val="none"/>
              </w:rPr>
            </w:pPr>
          </w:p>
        </w:tc>
      </w:tr>
      <w:tr w14:paraId="69481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095F6AE4">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工程质量</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0D210DF9">
            <w:pPr>
              <w:shd w:val="clear" w:color="auto" w:fill="auto"/>
              <w:topLinePunct/>
              <w:spacing w:line="440" w:lineRule="exact"/>
              <w:ind w:firstLine="482"/>
              <w:rPr>
                <w:rFonts w:ascii="宋体" w:hAnsi="宋体" w:cs="宋体"/>
                <w:color w:val="auto"/>
                <w:sz w:val="24"/>
                <w:highlight w:val="none"/>
              </w:rPr>
            </w:pPr>
          </w:p>
        </w:tc>
      </w:tr>
      <w:tr w14:paraId="19D8F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3B7D9DDE">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项目经理</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335865E4">
            <w:pPr>
              <w:shd w:val="clear" w:color="auto" w:fill="auto"/>
              <w:topLinePunct/>
              <w:spacing w:line="440" w:lineRule="exact"/>
              <w:ind w:firstLine="482"/>
              <w:rPr>
                <w:rFonts w:ascii="宋体" w:hAnsi="宋体" w:cs="宋体"/>
                <w:color w:val="auto"/>
                <w:sz w:val="24"/>
                <w:highlight w:val="none"/>
              </w:rPr>
            </w:pPr>
          </w:p>
        </w:tc>
      </w:tr>
      <w:tr w14:paraId="5594A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096835A0">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36DF2171">
            <w:pPr>
              <w:shd w:val="clear" w:color="auto" w:fill="auto"/>
              <w:topLinePunct/>
              <w:spacing w:line="440" w:lineRule="exact"/>
              <w:ind w:firstLine="482"/>
              <w:rPr>
                <w:rFonts w:ascii="宋体" w:hAnsi="宋体" w:cs="宋体"/>
                <w:color w:val="auto"/>
                <w:sz w:val="24"/>
                <w:highlight w:val="none"/>
              </w:rPr>
            </w:pPr>
          </w:p>
        </w:tc>
      </w:tr>
      <w:tr w14:paraId="6E9D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461C76A8">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项目描述</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62C77B79">
            <w:pPr>
              <w:shd w:val="clear" w:color="auto" w:fill="auto"/>
              <w:topLinePunct/>
              <w:spacing w:line="440" w:lineRule="exact"/>
              <w:ind w:firstLine="482"/>
              <w:rPr>
                <w:rFonts w:ascii="宋体" w:hAnsi="宋体" w:cs="宋体"/>
                <w:color w:val="auto"/>
                <w:sz w:val="24"/>
                <w:highlight w:val="none"/>
              </w:rPr>
            </w:pPr>
          </w:p>
          <w:p w14:paraId="58570F4A">
            <w:pPr>
              <w:shd w:val="clear" w:color="auto" w:fill="auto"/>
              <w:topLinePunct/>
              <w:spacing w:line="440" w:lineRule="exact"/>
              <w:ind w:firstLine="482"/>
              <w:rPr>
                <w:rFonts w:hint="eastAsia" w:ascii="宋体" w:hAnsi="宋体" w:cs="宋体"/>
                <w:color w:val="auto"/>
                <w:sz w:val="24"/>
                <w:highlight w:val="none"/>
              </w:rPr>
            </w:pPr>
          </w:p>
          <w:p w14:paraId="2891D901">
            <w:pPr>
              <w:shd w:val="clear" w:color="auto" w:fill="auto"/>
              <w:topLinePunct/>
              <w:spacing w:line="440" w:lineRule="exact"/>
              <w:ind w:firstLine="482"/>
              <w:rPr>
                <w:rFonts w:hint="eastAsia" w:ascii="宋体" w:hAnsi="宋体" w:cs="宋体"/>
                <w:color w:val="auto"/>
                <w:sz w:val="24"/>
                <w:highlight w:val="none"/>
              </w:rPr>
            </w:pPr>
          </w:p>
          <w:p w14:paraId="3CB41EE0">
            <w:pPr>
              <w:shd w:val="clear" w:color="auto" w:fill="auto"/>
              <w:topLinePunct/>
              <w:spacing w:line="440" w:lineRule="exact"/>
              <w:ind w:firstLine="482"/>
              <w:rPr>
                <w:rFonts w:hint="eastAsia" w:ascii="宋体" w:hAnsi="宋体" w:cs="宋体"/>
                <w:color w:val="auto"/>
                <w:sz w:val="24"/>
                <w:highlight w:val="none"/>
              </w:rPr>
            </w:pPr>
          </w:p>
          <w:p w14:paraId="738AE5EB">
            <w:pPr>
              <w:shd w:val="clear" w:color="auto" w:fill="auto"/>
              <w:topLinePunct/>
              <w:spacing w:line="440" w:lineRule="exact"/>
              <w:ind w:firstLine="482"/>
              <w:rPr>
                <w:rFonts w:hint="eastAsia" w:ascii="宋体" w:hAnsi="宋体" w:cs="宋体"/>
                <w:color w:val="auto"/>
                <w:sz w:val="24"/>
                <w:highlight w:val="none"/>
              </w:rPr>
            </w:pPr>
          </w:p>
          <w:p w14:paraId="0F94ECD1">
            <w:pPr>
              <w:shd w:val="clear" w:color="auto" w:fill="auto"/>
              <w:topLinePunct/>
              <w:spacing w:line="440" w:lineRule="exact"/>
              <w:ind w:firstLine="482"/>
              <w:rPr>
                <w:rFonts w:hint="eastAsia" w:ascii="宋体" w:hAnsi="宋体" w:cs="宋体"/>
                <w:color w:val="auto"/>
                <w:sz w:val="24"/>
                <w:highlight w:val="none"/>
              </w:rPr>
            </w:pPr>
          </w:p>
          <w:p w14:paraId="5889D8F6">
            <w:pPr>
              <w:shd w:val="clear" w:color="auto" w:fill="auto"/>
              <w:topLinePunct/>
              <w:spacing w:line="440" w:lineRule="exact"/>
              <w:ind w:firstLine="482"/>
              <w:rPr>
                <w:rFonts w:ascii="宋体" w:hAnsi="宋体" w:cs="宋体"/>
                <w:color w:val="auto"/>
                <w:sz w:val="24"/>
                <w:highlight w:val="none"/>
              </w:rPr>
            </w:pPr>
          </w:p>
        </w:tc>
      </w:tr>
      <w:tr w14:paraId="7479C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12A99967">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备注</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49E0B8B5">
            <w:pPr>
              <w:shd w:val="clear" w:color="auto" w:fill="auto"/>
              <w:topLinePunct/>
              <w:spacing w:line="440" w:lineRule="exact"/>
              <w:ind w:firstLine="482"/>
              <w:rPr>
                <w:rFonts w:ascii="宋体" w:hAnsi="宋体" w:cs="宋体"/>
                <w:color w:val="auto"/>
                <w:sz w:val="24"/>
                <w:highlight w:val="none"/>
              </w:rPr>
            </w:pPr>
          </w:p>
        </w:tc>
      </w:tr>
    </w:tbl>
    <w:p w14:paraId="6AC323FC">
      <w:pPr>
        <w:pStyle w:val="3"/>
        <w:shd w:val="clear" w:color="auto" w:fill="auto"/>
        <w:ind w:firstLine="643"/>
        <w:rPr>
          <w:rFonts w:hint="eastAsia" w:ascii="宋体" w:hAnsi="宋体" w:cs="宋体"/>
          <w:color w:val="auto"/>
          <w:sz w:val="20"/>
          <w:szCs w:val="20"/>
          <w:highlight w:val="none"/>
        </w:rPr>
      </w:pPr>
      <w:r>
        <w:rPr>
          <w:rFonts w:hint="eastAsia" w:ascii="宋体" w:hAnsi="宋体" w:cs="宋体"/>
          <w:b w:val="0"/>
          <w:bCs w:val="0"/>
          <w:color w:val="auto"/>
          <w:highlight w:val="none"/>
          <w:lang w:val="en-US" w:eastAsia="zh-CN"/>
        </w:rPr>
        <w:t>注：后附相关资料</w:t>
      </w:r>
      <w:r>
        <w:rPr>
          <w:rFonts w:hint="eastAsia" w:ascii="宋体" w:hAnsi="宋体" w:cs="宋体"/>
          <w:b w:val="0"/>
          <w:bCs w:val="0"/>
          <w:color w:val="auto"/>
          <w:highlight w:val="none"/>
        </w:rPr>
        <w:br w:type="page"/>
      </w:r>
      <w:bookmarkStart w:id="1526" w:name="_Toc247514303"/>
      <w:bookmarkStart w:id="1527" w:name="_Toc144974879"/>
      <w:bookmarkStart w:id="1528" w:name="_Toc296602621"/>
      <w:bookmarkStart w:id="1529" w:name="_Toc15278"/>
      <w:bookmarkStart w:id="1530" w:name="_Toc77586881"/>
      <w:bookmarkStart w:id="1531" w:name="_Toc152042600"/>
      <w:bookmarkStart w:id="1532" w:name="_Toc26073"/>
      <w:bookmarkStart w:id="1533" w:name="_Toc265953297"/>
      <w:bookmarkStart w:id="1534" w:name="_Toc247527851"/>
      <w:bookmarkStart w:id="1535" w:name="_Toc152045811"/>
      <w:bookmarkStart w:id="1536" w:name="_Toc77586979"/>
      <w:r>
        <w:rPr>
          <w:rFonts w:hint="eastAsia" w:ascii="宋体" w:hAnsi="宋体" w:cs="宋体"/>
          <w:color w:val="auto"/>
          <w:highlight w:val="none"/>
        </w:rPr>
        <w:t>（四）正在实施的和新承接的项目情况表</w:t>
      </w:r>
      <w:bookmarkEnd w:id="1526"/>
      <w:bookmarkEnd w:id="1527"/>
      <w:bookmarkEnd w:id="1528"/>
      <w:bookmarkEnd w:id="1529"/>
      <w:bookmarkEnd w:id="1530"/>
      <w:bookmarkEnd w:id="1531"/>
      <w:bookmarkEnd w:id="1532"/>
      <w:bookmarkEnd w:id="1533"/>
      <w:bookmarkEnd w:id="1534"/>
      <w:bookmarkEnd w:id="1535"/>
      <w:bookmarkEnd w:id="1536"/>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1"/>
        <w:gridCol w:w="6211"/>
      </w:tblGrid>
      <w:tr w14:paraId="7C9A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3E7B6027">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项目名称</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1E9E48BC">
            <w:pPr>
              <w:shd w:val="clear" w:color="auto" w:fill="auto"/>
              <w:topLinePunct/>
              <w:spacing w:line="440" w:lineRule="exact"/>
              <w:ind w:firstLine="482"/>
              <w:rPr>
                <w:rFonts w:ascii="宋体" w:hAnsi="宋体" w:cs="宋体"/>
                <w:color w:val="auto"/>
                <w:sz w:val="24"/>
                <w:highlight w:val="none"/>
              </w:rPr>
            </w:pPr>
          </w:p>
        </w:tc>
      </w:tr>
      <w:tr w14:paraId="59D4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3A08BE1B">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项目所在地</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3ABBC39E">
            <w:pPr>
              <w:shd w:val="clear" w:color="auto" w:fill="auto"/>
              <w:topLinePunct/>
              <w:spacing w:line="440" w:lineRule="exact"/>
              <w:ind w:firstLine="482"/>
              <w:rPr>
                <w:rFonts w:ascii="宋体" w:hAnsi="宋体" w:cs="宋体"/>
                <w:color w:val="auto"/>
                <w:sz w:val="24"/>
                <w:highlight w:val="none"/>
              </w:rPr>
            </w:pPr>
          </w:p>
        </w:tc>
      </w:tr>
      <w:tr w14:paraId="78C5C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0A764740">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发包人名称</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1D54BF6D">
            <w:pPr>
              <w:shd w:val="clear" w:color="auto" w:fill="auto"/>
              <w:topLinePunct/>
              <w:spacing w:line="440" w:lineRule="exact"/>
              <w:ind w:firstLine="482"/>
              <w:rPr>
                <w:rFonts w:ascii="宋体" w:hAnsi="宋体" w:cs="宋体"/>
                <w:color w:val="auto"/>
                <w:sz w:val="24"/>
                <w:highlight w:val="none"/>
              </w:rPr>
            </w:pPr>
          </w:p>
        </w:tc>
      </w:tr>
      <w:tr w14:paraId="16C02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7BBF899B">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发包人地址</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171B1A06">
            <w:pPr>
              <w:shd w:val="clear" w:color="auto" w:fill="auto"/>
              <w:topLinePunct/>
              <w:spacing w:line="440" w:lineRule="exact"/>
              <w:ind w:firstLine="482"/>
              <w:rPr>
                <w:rFonts w:ascii="宋体" w:hAnsi="宋体" w:cs="宋体"/>
                <w:color w:val="auto"/>
                <w:sz w:val="24"/>
                <w:highlight w:val="none"/>
              </w:rPr>
            </w:pPr>
          </w:p>
        </w:tc>
      </w:tr>
      <w:tr w14:paraId="2398F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0576E75D">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发包人电话</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2F3B5928">
            <w:pPr>
              <w:shd w:val="clear" w:color="auto" w:fill="auto"/>
              <w:topLinePunct/>
              <w:spacing w:line="440" w:lineRule="exact"/>
              <w:ind w:firstLine="482"/>
              <w:rPr>
                <w:rFonts w:ascii="宋体" w:hAnsi="宋体" w:cs="宋体"/>
                <w:color w:val="auto"/>
                <w:sz w:val="24"/>
                <w:highlight w:val="none"/>
              </w:rPr>
            </w:pPr>
          </w:p>
        </w:tc>
      </w:tr>
      <w:tr w14:paraId="11503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2A2A83C0">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签约合同价</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463EB767">
            <w:pPr>
              <w:shd w:val="clear" w:color="auto" w:fill="auto"/>
              <w:topLinePunct/>
              <w:spacing w:line="440" w:lineRule="exact"/>
              <w:ind w:firstLine="482"/>
              <w:rPr>
                <w:rFonts w:ascii="宋体" w:hAnsi="宋体" w:cs="宋体"/>
                <w:color w:val="auto"/>
                <w:sz w:val="24"/>
                <w:highlight w:val="none"/>
              </w:rPr>
            </w:pPr>
          </w:p>
        </w:tc>
      </w:tr>
      <w:tr w14:paraId="07B7F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3DD3E1FC">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开工日期</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2FD043DD">
            <w:pPr>
              <w:shd w:val="clear" w:color="auto" w:fill="auto"/>
              <w:topLinePunct/>
              <w:spacing w:line="440" w:lineRule="exact"/>
              <w:ind w:firstLine="482"/>
              <w:rPr>
                <w:rFonts w:ascii="宋体" w:hAnsi="宋体" w:cs="宋体"/>
                <w:color w:val="auto"/>
                <w:sz w:val="24"/>
                <w:highlight w:val="none"/>
              </w:rPr>
            </w:pPr>
          </w:p>
        </w:tc>
      </w:tr>
      <w:tr w14:paraId="6E26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641F9AE3">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计划竣工日期</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4F50411E">
            <w:pPr>
              <w:shd w:val="clear" w:color="auto" w:fill="auto"/>
              <w:topLinePunct/>
              <w:spacing w:line="440" w:lineRule="exact"/>
              <w:ind w:firstLine="482"/>
              <w:rPr>
                <w:rFonts w:ascii="宋体" w:hAnsi="宋体" w:cs="宋体"/>
                <w:color w:val="auto"/>
                <w:sz w:val="24"/>
                <w:highlight w:val="none"/>
              </w:rPr>
            </w:pPr>
          </w:p>
        </w:tc>
      </w:tr>
      <w:tr w14:paraId="2D788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7AC8C5D5">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承担的工作</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7F506125">
            <w:pPr>
              <w:shd w:val="clear" w:color="auto" w:fill="auto"/>
              <w:topLinePunct/>
              <w:spacing w:line="440" w:lineRule="exact"/>
              <w:ind w:firstLine="482"/>
              <w:rPr>
                <w:rFonts w:ascii="宋体" w:hAnsi="宋体" w:cs="宋体"/>
                <w:color w:val="auto"/>
                <w:sz w:val="24"/>
                <w:highlight w:val="none"/>
              </w:rPr>
            </w:pPr>
          </w:p>
        </w:tc>
      </w:tr>
      <w:tr w14:paraId="70742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13241E3E">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工程质量</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0BDD46C6">
            <w:pPr>
              <w:shd w:val="clear" w:color="auto" w:fill="auto"/>
              <w:topLinePunct/>
              <w:spacing w:line="440" w:lineRule="exact"/>
              <w:ind w:firstLine="482"/>
              <w:rPr>
                <w:rFonts w:ascii="宋体" w:hAnsi="宋体" w:cs="宋体"/>
                <w:color w:val="auto"/>
                <w:sz w:val="24"/>
                <w:highlight w:val="none"/>
              </w:rPr>
            </w:pPr>
          </w:p>
        </w:tc>
      </w:tr>
      <w:tr w14:paraId="4161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4760003A">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项目经理</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5E3A3164">
            <w:pPr>
              <w:shd w:val="clear" w:color="auto" w:fill="auto"/>
              <w:topLinePunct/>
              <w:spacing w:line="440" w:lineRule="exact"/>
              <w:ind w:firstLine="482"/>
              <w:rPr>
                <w:rFonts w:ascii="宋体" w:hAnsi="宋体" w:cs="宋体"/>
                <w:color w:val="auto"/>
                <w:sz w:val="24"/>
                <w:highlight w:val="none"/>
              </w:rPr>
            </w:pPr>
          </w:p>
        </w:tc>
      </w:tr>
      <w:tr w14:paraId="7334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2A2677A5">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技术负责人</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03E6725B">
            <w:pPr>
              <w:shd w:val="clear" w:color="auto" w:fill="auto"/>
              <w:topLinePunct/>
              <w:spacing w:line="440" w:lineRule="exact"/>
              <w:ind w:firstLine="482"/>
              <w:rPr>
                <w:rFonts w:ascii="宋体" w:hAnsi="宋体" w:cs="宋体"/>
                <w:color w:val="auto"/>
                <w:sz w:val="24"/>
                <w:highlight w:val="none"/>
              </w:rPr>
            </w:pPr>
          </w:p>
        </w:tc>
      </w:tr>
      <w:tr w14:paraId="2741B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679E79BB">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项目描述</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2B786F13">
            <w:pPr>
              <w:shd w:val="clear" w:color="auto" w:fill="auto"/>
              <w:topLinePunct/>
              <w:spacing w:line="440" w:lineRule="exact"/>
              <w:ind w:firstLine="482"/>
              <w:rPr>
                <w:rFonts w:ascii="宋体" w:hAnsi="宋体" w:cs="宋体"/>
                <w:color w:val="auto"/>
                <w:sz w:val="24"/>
                <w:highlight w:val="none"/>
              </w:rPr>
            </w:pPr>
          </w:p>
          <w:p w14:paraId="328FD2DC">
            <w:pPr>
              <w:shd w:val="clear" w:color="auto" w:fill="auto"/>
              <w:topLinePunct/>
              <w:spacing w:line="440" w:lineRule="exact"/>
              <w:ind w:firstLine="482"/>
              <w:rPr>
                <w:rFonts w:hint="eastAsia" w:ascii="宋体" w:hAnsi="宋体" w:cs="宋体"/>
                <w:color w:val="auto"/>
                <w:sz w:val="24"/>
                <w:highlight w:val="none"/>
              </w:rPr>
            </w:pPr>
          </w:p>
          <w:p w14:paraId="2EB71988">
            <w:pPr>
              <w:shd w:val="clear" w:color="auto" w:fill="auto"/>
              <w:topLinePunct/>
              <w:spacing w:line="440" w:lineRule="exact"/>
              <w:ind w:firstLine="482"/>
              <w:rPr>
                <w:rFonts w:hint="eastAsia" w:ascii="宋体" w:hAnsi="宋体" w:cs="宋体"/>
                <w:color w:val="auto"/>
                <w:sz w:val="24"/>
                <w:highlight w:val="none"/>
              </w:rPr>
            </w:pPr>
          </w:p>
          <w:p w14:paraId="113732B8">
            <w:pPr>
              <w:shd w:val="clear" w:color="auto" w:fill="auto"/>
              <w:topLinePunct/>
              <w:spacing w:line="440" w:lineRule="exact"/>
              <w:ind w:firstLine="482"/>
              <w:rPr>
                <w:rFonts w:hint="eastAsia" w:ascii="宋体" w:hAnsi="宋体" w:cs="宋体"/>
                <w:color w:val="auto"/>
                <w:sz w:val="24"/>
                <w:highlight w:val="none"/>
              </w:rPr>
            </w:pPr>
          </w:p>
          <w:p w14:paraId="33CCE620">
            <w:pPr>
              <w:shd w:val="clear" w:color="auto" w:fill="auto"/>
              <w:topLinePunct/>
              <w:spacing w:line="440" w:lineRule="exact"/>
              <w:ind w:firstLine="482"/>
              <w:rPr>
                <w:rFonts w:hint="eastAsia" w:ascii="宋体" w:hAnsi="宋体" w:cs="宋体"/>
                <w:color w:val="auto"/>
                <w:sz w:val="24"/>
                <w:highlight w:val="none"/>
              </w:rPr>
            </w:pPr>
          </w:p>
          <w:p w14:paraId="150A60A7">
            <w:pPr>
              <w:shd w:val="clear" w:color="auto" w:fill="auto"/>
              <w:topLinePunct/>
              <w:spacing w:line="440" w:lineRule="exact"/>
              <w:ind w:firstLine="482"/>
              <w:rPr>
                <w:rFonts w:hint="eastAsia" w:ascii="宋体" w:hAnsi="宋体" w:cs="宋体"/>
                <w:color w:val="auto"/>
                <w:sz w:val="24"/>
                <w:highlight w:val="none"/>
              </w:rPr>
            </w:pPr>
          </w:p>
          <w:p w14:paraId="7B130B33">
            <w:pPr>
              <w:shd w:val="clear" w:color="auto" w:fill="auto"/>
              <w:topLinePunct/>
              <w:spacing w:line="440" w:lineRule="exact"/>
              <w:ind w:firstLine="482"/>
              <w:rPr>
                <w:rFonts w:ascii="宋体" w:hAnsi="宋体" w:cs="宋体"/>
                <w:color w:val="auto"/>
                <w:sz w:val="24"/>
                <w:highlight w:val="none"/>
              </w:rPr>
            </w:pPr>
          </w:p>
        </w:tc>
      </w:tr>
      <w:tr w14:paraId="3A6F2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2311" w:type="dxa"/>
            <w:tcBorders>
              <w:top w:val="single" w:color="auto" w:sz="4" w:space="0"/>
              <w:left w:val="single" w:color="auto" w:sz="4" w:space="0"/>
              <w:bottom w:val="single" w:color="auto" w:sz="4" w:space="0"/>
              <w:right w:val="single" w:color="auto" w:sz="4" w:space="0"/>
            </w:tcBorders>
            <w:noWrap w:val="0"/>
            <w:vAlign w:val="center"/>
          </w:tcPr>
          <w:p w14:paraId="6B124DFE">
            <w:pPr>
              <w:shd w:val="clear" w:color="auto" w:fill="auto"/>
              <w:topLinePunct/>
              <w:spacing w:line="440" w:lineRule="exact"/>
              <w:ind w:firstLine="482"/>
              <w:jc w:val="center"/>
              <w:rPr>
                <w:rFonts w:ascii="宋体" w:hAnsi="宋体" w:cs="宋体"/>
                <w:color w:val="auto"/>
                <w:sz w:val="24"/>
                <w:highlight w:val="none"/>
              </w:rPr>
            </w:pPr>
            <w:r>
              <w:rPr>
                <w:rFonts w:hint="eastAsia" w:ascii="宋体" w:hAnsi="宋体" w:cs="宋体"/>
                <w:color w:val="auto"/>
                <w:sz w:val="24"/>
                <w:highlight w:val="none"/>
              </w:rPr>
              <w:t>备注</w:t>
            </w:r>
          </w:p>
        </w:tc>
        <w:tc>
          <w:tcPr>
            <w:tcW w:w="6211" w:type="dxa"/>
            <w:tcBorders>
              <w:top w:val="single" w:color="auto" w:sz="4" w:space="0"/>
              <w:left w:val="single" w:color="auto" w:sz="4" w:space="0"/>
              <w:bottom w:val="single" w:color="auto" w:sz="4" w:space="0"/>
              <w:right w:val="single" w:color="auto" w:sz="4" w:space="0"/>
            </w:tcBorders>
            <w:noWrap w:val="0"/>
            <w:vAlign w:val="top"/>
          </w:tcPr>
          <w:p w14:paraId="09E4C6D1">
            <w:pPr>
              <w:shd w:val="clear" w:color="auto" w:fill="auto"/>
              <w:topLinePunct/>
              <w:spacing w:line="440" w:lineRule="exact"/>
              <w:ind w:firstLine="482"/>
              <w:rPr>
                <w:rFonts w:ascii="宋体" w:hAnsi="宋体" w:cs="宋体"/>
                <w:color w:val="auto"/>
                <w:sz w:val="24"/>
                <w:highlight w:val="none"/>
              </w:rPr>
            </w:pPr>
          </w:p>
        </w:tc>
      </w:tr>
    </w:tbl>
    <w:p w14:paraId="7ED68C64">
      <w:pPr>
        <w:shd w:val="clear" w:color="auto" w:fill="auto"/>
        <w:spacing w:line="440" w:lineRule="exact"/>
        <w:ind w:firstLine="402"/>
        <w:rPr>
          <w:rFonts w:hint="eastAsia" w:ascii="宋体" w:hAnsi="宋体" w:cs="宋体"/>
          <w:color w:val="auto"/>
          <w:sz w:val="20"/>
          <w:szCs w:val="20"/>
          <w:highlight w:val="none"/>
        </w:rPr>
      </w:pPr>
    </w:p>
    <w:p w14:paraId="5A8C48AF">
      <w:pPr>
        <w:shd w:val="clear" w:color="auto" w:fill="auto"/>
        <w:spacing w:line="440" w:lineRule="exact"/>
        <w:rPr>
          <w:rFonts w:hint="eastAsia" w:ascii="宋体" w:hAnsi="宋体" w:cs="宋体"/>
          <w:b/>
          <w:bCs/>
          <w:color w:val="auto"/>
          <w:sz w:val="32"/>
          <w:szCs w:val="32"/>
          <w:highlight w:val="none"/>
        </w:rPr>
      </w:pPr>
    </w:p>
    <w:p w14:paraId="5BD17C41">
      <w:pPr>
        <w:shd w:val="clear" w:color="auto" w:fill="auto"/>
        <w:spacing w:line="440" w:lineRule="exact"/>
        <w:jc w:val="left"/>
        <w:rPr>
          <w:rFonts w:hint="eastAsia" w:ascii="宋体" w:hAnsi="宋体" w:eastAsia="宋体" w:cs="宋体"/>
          <w:b/>
          <w:bCs/>
          <w:color w:val="auto"/>
          <w:kern w:val="0"/>
          <w:sz w:val="24"/>
          <w:szCs w:val="24"/>
          <w:highlight w:val="none"/>
          <w:lang w:val="en-US" w:eastAsia="en-US" w:bidi="ar-SA"/>
        </w:rPr>
      </w:pPr>
    </w:p>
    <w:p w14:paraId="03A2D5D0">
      <w:pPr>
        <w:shd w:val="clear" w:color="auto" w:fill="auto"/>
        <w:spacing w:line="440" w:lineRule="exact"/>
        <w:jc w:val="left"/>
        <w:rPr>
          <w:rFonts w:hint="eastAsia" w:ascii="宋体" w:hAnsi="宋体" w:eastAsia="宋体" w:cs="宋体"/>
          <w:b/>
          <w:bCs/>
          <w:color w:val="auto"/>
          <w:kern w:val="0"/>
          <w:sz w:val="24"/>
          <w:szCs w:val="24"/>
          <w:highlight w:val="none"/>
          <w:lang w:val="en-US" w:eastAsia="en-US" w:bidi="ar-SA"/>
        </w:rPr>
      </w:pPr>
    </w:p>
    <w:p w14:paraId="235FDFE6">
      <w:pPr>
        <w:shd w:val="clear" w:color="auto" w:fill="auto"/>
        <w:spacing w:line="440" w:lineRule="exact"/>
        <w:jc w:val="left"/>
        <w:rPr>
          <w:rFonts w:hint="eastAsia" w:ascii="宋体" w:hAnsi="宋体" w:eastAsia="宋体" w:cs="宋体"/>
          <w:b/>
          <w:bCs/>
          <w:color w:val="auto"/>
          <w:kern w:val="0"/>
          <w:sz w:val="24"/>
          <w:szCs w:val="24"/>
          <w:highlight w:val="none"/>
          <w:lang w:val="en-US" w:eastAsia="en-US" w:bidi="ar-SA"/>
        </w:rPr>
      </w:pPr>
    </w:p>
    <w:p w14:paraId="7360D496">
      <w:pPr>
        <w:shd w:val="clear" w:color="auto" w:fill="auto"/>
        <w:spacing w:line="440" w:lineRule="exact"/>
        <w:jc w:val="left"/>
        <w:rPr>
          <w:rFonts w:hint="eastAsia" w:ascii="宋体" w:hAnsi="宋体" w:eastAsia="宋体" w:cs="宋体"/>
          <w:b/>
          <w:bCs/>
          <w:color w:val="auto"/>
          <w:kern w:val="0"/>
          <w:sz w:val="24"/>
          <w:szCs w:val="24"/>
          <w:highlight w:val="none"/>
          <w:lang w:val="en-US" w:eastAsia="en-US" w:bidi="ar-SA"/>
        </w:rPr>
      </w:pPr>
      <w:r>
        <w:rPr>
          <w:rFonts w:hint="eastAsia" w:ascii="宋体" w:hAnsi="宋体" w:eastAsia="宋体" w:cs="宋体"/>
          <w:b/>
          <w:bCs/>
          <w:color w:val="auto"/>
          <w:kern w:val="0"/>
          <w:sz w:val="24"/>
          <w:szCs w:val="24"/>
          <w:highlight w:val="none"/>
          <w:lang w:val="en-US" w:eastAsia="en-US" w:bidi="ar-SA"/>
        </w:rPr>
        <w:t>（五）近年发生的诉讼和仲裁情况</w:t>
      </w:r>
    </w:p>
    <w:p w14:paraId="40E45A4F">
      <w:pPr>
        <w:shd w:val="clear" w:color="auto" w:fill="auto"/>
        <w:spacing w:line="440" w:lineRule="exact"/>
        <w:ind w:firstLine="803" w:firstLineChars="250"/>
        <w:jc w:val="center"/>
        <w:rPr>
          <w:rFonts w:hint="eastAsia" w:ascii="宋体" w:hAnsi="宋体" w:cs="宋体"/>
          <w:b/>
          <w:bCs/>
          <w:color w:val="auto"/>
          <w:sz w:val="32"/>
          <w:szCs w:val="32"/>
          <w:highlight w:val="none"/>
        </w:rPr>
      </w:pPr>
    </w:p>
    <w:p w14:paraId="68BEB1AA">
      <w:pPr>
        <w:shd w:val="clear" w:color="auto" w:fill="auto"/>
        <w:spacing w:line="440" w:lineRule="exact"/>
        <w:ind w:firstLine="600" w:firstLineChars="250"/>
        <w:jc w:val="left"/>
        <w:rPr>
          <w:rFonts w:hint="eastAsia" w:ascii="宋体" w:hAnsi="宋体" w:cs="宋体"/>
          <w:bCs/>
          <w:color w:val="auto"/>
          <w:sz w:val="24"/>
          <w:szCs w:val="32"/>
          <w:highlight w:val="none"/>
        </w:rPr>
      </w:pPr>
      <w:r>
        <w:rPr>
          <w:rFonts w:hint="eastAsia" w:ascii="宋体" w:hAnsi="宋体" w:cs="宋体"/>
          <w:bCs/>
          <w:color w:val="auto"/>
          <w:sz w:val="24"/>
          <w:szCs w:val="32"/>
          <w:highlight w:val="none"/>
        </w:rPr>
        <w:t>说明：近年发生的诉讼和仲裁情况仅限于投标人败诉的，且与履行施工承包合同有关的案件，不包括调解结案以及未裁决的仲裁或未终审判决的诉讼。</w:t>
      </w:r>
    </w:p>
    <w:p w14:paraId="4902163E">
      <w:pPr>
        <w:shd w:val="clear" w:color="auto" w:fill="auto"/>
        <w:spacing w:line="440" w:lineRule="exact"/>
        <w:ind w:firstLine="482"/>
        <w:jc w:val="left"/>
        <w:rPr>
          <w:rFonts w:hint="eastAsia" w:ascii="宋体" w:hAnsi="宋体" w:cs="宋体"/>
          <w:bCs/>
          <w:color w:val="auto"/>
          <w:sz w:val="24"/>
          <w:szCs w:val="32"/>
          <w:highlight w:val="none"/>
        </w:rPr>
      </w:pPr>
    </w:p>
    <w:p w14:paraId="3CCB380C">
      <w:pPr>
        <w:shd w:val="clear" w:color="auto" w:fill="auto"/>
        <w:spacing w:line="440" w:lineRule="exact"/>
        <w:ind w:firstLine="482"/>
        <w:jc w:val="left"/>
        <w:rPr>
          <w:rFonts w:hint="eastAsia" w:ascii="宋体" w:hAnsi="宋体" w:cs="宋体"/>
          <w:bCs/>
          <w:color w:val="auto"/>
          <w:sz w:val="24"/>
          <w:szCs w:val="32"/>
          <w:highlight w:val="none"/>
        </w:rPr>
      </w:pPr>
    </w:p>
    <w:p w14:paraId="3B2FE4F6">
      <w:pPr>
        <w:shd w:val="clear" w:color="auto" w:fill="auto"/>
        <w:spacing w:line="440" w:lineRule="exact"/>
        <w:ind w:firstLine="482"/>
        <w:jc w:val="left"/>
        <w:rPr>
          <w:rFonts w:hint="eastAsia" w:ascii="宋体" w:hAnsi="宋体" w:cs="宋体"/>
          <w:bCs/>
          <w:color w:val="auto"/>
          <w:sz w:val="24"/>
          <w:szCs w:val="32"/>
          <w:highlight w:val="none"/>
        </w:rPr>
      </w:pPr>
    </w:p>
    <w:p w14:paraId="1CE4114F">
      <w:pPr>
        <w:shd w:val="clear" w:color="auto" w:fill="auto"/>
        <w:spacing w:line="440" w:lineRule="exact"/>
        <w:jc w:val="left"/>
        <w:rPr>
          <w:rFonts w:hint="eastAsia" w:ascii="宋体" w:hAnsi="宋体" w:cs="宋体"/>
          <w:b/>
          <w:bCs/>
          <w:color w:val="auto"/>
          <w:sz w:val="32"/>
          <w:szCs w:val="32"/>
          <w:highlight w:val="none"/>
        </w:rPr>
      </w:pPr>
      <w:bookmarkStart w:id="1537" w:name="_Toc246997117"/>
      <w:bookmarkStart w:id="1538" w:name="_Toc296602622"/>
      <w:bookmarkStart w:id="1539" w:name="_Toc246996374"/>
      <w:bookmarkStart w:id="1540" w:name="_Toc247085892"/>
      <w:r>
        <w:rPr>
          <w:rFonts w:hint="eastAsia" w:ascii="宋体" w:hAnsi="宋体" w:cs="宋体"/>
          <w:b/>
          <w:bCs/>
          <w:color w:val="auto"/>
          <w:sz w:val="32"/>
          <w:szCs w:val="32"/>
          <w:highlight w:val="none"/>
        </w:rPr>
        <w:br w:type="page"/>
      </w:r>
      <w:r>
        <w:rPr>
          <w:rFonts w:hint="eastAsia" w:ascii="宋体" w:hAnsi="宋体" w:eastAsia="宋体" w:cs="宋体"/>
          <w:b/>
          <w:bCs/>
          <w:color w:val="auto"/>
          <w:kern w:val="0"/>
          <w:sz w:val="24"/>
          <w:szCs w:val="24"/>
          <w:highlight w:val="none"/>
          <w:lang w:val="en-US" w:eastAsia="en-US" w:bidi="ar-SA"/>
        </w:rPr>
        <w:t>（六）农民工工资支付承诺</w:t>
      </w:r>
    </w:p>
    <w:p w14:paraId="46572102">
      <w:pPr>
        <w:shd w:val="clear" w:color="auto" w:fill="auto"/>
        <w:spacing w:line="46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格式见附件1</w:t>
      </w:r>
    </w:p>
    <w:p w14:paraId="46F1050A">
      <w:pPr>
        <w:pStyle w:val="11"/>
        <w:shd w:val="clear" w:color="auto" w:fill="auto"/>
        <w:ind w:left="0" w:leftChars="0" w:firstLine="482"/>
        <w:rPr>
          <w:rFonts w:hint="eastAsia" w:ascii="宋体" w:hAnsi="宋体" w:eastAsia="宋体" w:cs="宋体"/>
          <w:color w:val="auto"/>
          <w:sz w:val="24"/>
          <w:szCs w:val="24"/>
          <w:highlight w:val="none"/>
        </w:rPr>
      </w:pPr>
    </w:p>
    <w:p w14:paraId="273C8609">
      <w:pPr>
        <w:pStyle w:val="3"/>
        <w:keepNext w:val="0"/>
        <w:keepLines w:val="0"/>
        <w:shd w:val="clear" w:color="auto" w:fill="auto"/>
        <w:rPr>
          <w:rFonts w:hint="eastAsia"/>
          <w:color w:val="auto"/>
          <w:sz w:val="28"/>
          <w:highlight w:val="none"/>
        </w:rPr>
      </w:pPr>
      <w:bookmarkStart w:id="1541" w:name="_Toc27054"/>
      <w:bookmarkStart w:id="1542" w:name="_Toc77586882"/>
      <w:bookmarkStart w:id="1543" w:name="_Toc77586980"/>
      <w:r>
        <w:rPr>
          <w:rFonts w:hint="eastAsia"/>
          <w:color w:val="auto"/>
          <w:sz w:val="28"/>
          <w:highlight w:val="none"/>
        </w:rPr>
        <w:br w:type="page"/>
      </w:r>
      <w:bookmarkStart w:id="1544" w:name="_Toc21401"/>
      <w:r>
        <w:rPr>
          <w:rFonts w:hint="eastAsia"/>
          <w:color w:val="auto"/>
          <w:sz w:val="28"/>
          <w:highlight w:val="none"/>
        </w:rPr>
        <w:t>附：承诺书</w:t>
      </w:r>
      <w:bookmarkEnd w:id="1541"/>
      <w:bookmarkEnd w:id="1544"/>
    </w:p>
    <w:p w14:paraId="0C0FA6C3">
      <w:pPr>
        <w:shd w:val="clear" w:color="auto" w:fill="auto"/>
        <w:tabs>
          <w:tab w:val="left" w:pos="2766"/>
        </w:tabs>
        <w:ind w:firstLine="562"/>
        <w:jc w:val="center"/>
        <w:rPr>
          <w:color w:val="auto"/>
          <w:sz w:val="28"/>
          <w:highlight w:val="none"/>
        </w:rPr>
      </w:pPr>
      <w:r>
        <w:rPr>
          <w:rFonts w:hint="eastAsia"/>
          <w:color w:val="auto"/>
          <w:sz w:val="28"/>
          <w:highlight w:val="none"/>
        </w:rPr>
        <w:t>承诺书</w:t>
      </w:r>
    </w:p>
    <w:p w14:paraId="460398FF">
      <w:pPr>
        <w:shd w:val="clear" w:color="auto" w:fill="auto"/>
        <w:tabs>
          <w:tab w:val="left" w:pos="2766"/>
        </w:tabs>
        <w:ind w:firstLine="562"/>
        <w:rPr>
          <w:color w:val="auto"/>
          <w:sz w:val="28"/>
          <w:highlight w:val="none"/>
        </w:rPr>
      </w:pPr>
      <w:r>
        <w:rPr>
          <w:rFonts w:hint="eastAsia"/>
          <w:color w:val="auto"/>
          <w:sz w:val="28"/>
          <w:highlight w:val="none"/>
        </w:rPr>
        <w:t>（招标人名称）：</w:t>
      </w:r>
    </w:p>
    <w:p w14:paraId="0C875336">
      <w:pPr>
        <w:shd w:val="clear" w:color="auto" w:fill="auto"/>
        <w:tabs>
          <w:tab w:val="left" w:pos="2766"/>
        </w:tabs>
        <w:ind w:firstLine="560" w:firstLineChars="200"/>
        <w:rPr>
          <w:color w:val="auto"/>
          <w:sz w:val="28"/>
          <w:highlight w:val="none"/>
        </w:rPr>
      </w:pPr>
      <w:r>
        <w:rPr>
          <w:rFonts w:hint="eastAsia"/>
          <w:color w:val="auto"/>
          <w:sz w:val="28"/>
          <w:highlight w:val="none"/>
        </w:rPr>
        <w:t>我方在此声明，我方拟派往（项目名称）（以下简称“本工程”）的项目经理（项目经理姓名）现阶段没有担任任何在施建设工程项目的项目经理。</w:t>
      </w:r>
    </w:p>
    <w:p w14:paraId="5CCC8BDF">
      <w:pPr>
        <w:shd w:val="clear" w:color="auto" w:fill="auto"/>
        <w:tabs>
          <w:tab w:val="left" w:pos="2766"/>
        </w:tabs>
        <w:ind w:firstLine="560" w:firstLineChars="200"/>
        <w:rPr>
          <w:color w:val="auto"/>
          <w:sz w:val="28"/>
          <w:highlight w:val="none"/>
        </w:rPr>
      </w:pPr>
      <w:r>
        <w:rPr>
          <w:rFonts w:hint="eastAsia"/>
          <w:color w:val="auto"/>
          <w:sz w:val="28"/>
          <w:highlight w:val="none"/>
        </w:rPr>
        <w:t>我方保证上述信息的真实和准确，并愿意承担因我方就此弄虚作假所引起的一切法律后果。</w:t>
      </w:r>
    </w:p>
    <w:p w14:paraId="6785085B">
      <w:pPr>
        <w:shd w:val="clear" w:color="auto" w:fill="auto"/>
        <w:tabs>
          <w:tab w:val="left" w:pos="2766"/>
        </w:tabs>
        <w:ind w:firstLine="560" w:firstLineChars="200"/>
        <w:rPr>
          <w:color w:val="auto"/>
          <w:sz w:val="28"/>
          <w:highlight w:val="none"/>
        </w:rPr>
      </w:pPr>
      <w:r>
        <w:rPr>
          <w:rFonts w:hint="eastAsia"/>
          <w:color w:val="auto"/>
          <w:sz w:val="28"/>
          <w:highlight w:val="none"/>
        </w:rPr>
        <w:t>特此承诺。</w:t>
      </w:r>
    </w:p>
    <w:p w14:paraId="38A6C119">
      <w:pPr>
        <w:shd w:val="clear" w:color="auto" w:fill="auto"/>
        <w:tabs>
          <w:tab w:val="left" w:pos="2766"/>
        </w:tabs>
        <w:ind w:firstLine="562"/>
        <w:rPr>
          <w:color w:val="auto"/>
          <w:sz w:val="28"/>
          <w:highlight w:val="none"/>
        </w:rPr>
      </w:pPr>
      <w:r>
        <w:rPr>
          <w:rFonts w:hint="eastAsia"/>
          <w:color w:val="auto"/>
          <w:sz w:val="28"/>
          <w:highlight w:val="none"/>
        </w:rPr>
        <w:t>投标单位：（公章签章）</w:t>
      </w:r>
    </w:p>
    <w:p w14:paraId="4C15D448">
      <w:pPr>
        <w:shd w:val="clear" w:color="auto" w:fill="auto"/>
        <w:tabs>
          <w:tab w:val="left" w:pos="2766"/>
        </w:tabs>
        <w:ind w:firstLine="562"/>
        <w:rPr>
          <w:color w:val="auto"/>
          <w:sz w:val="28"/>
          <w:highlight w:val="none"/>
        </w:rPr>
      </w:pPr>
      <w:r>
        <w:rPr>
          <w:rFonts w:hint="eastAsia"/>
          <w:color w:val="auto"/>
          <w:sz w:val="28"/>
          <w:highlight w:val="none"/>
        </w:rPr>
        <w:t>法定代表人：（电子签章）</w:t>
      </w:r>
    </w:p>
    <w:p w14:paraId="66016ADA">
      <w:pPr>
        <w:shd w:val="clear" w:color="auto" w:fill="auto"/>
        <w:tabs>
          <w:tab w:val="left" w:pos="2766"/>
        </w:tabs>
        <w:ind w:firstLine="562"/>
        <w:rPr>
          <w:rFonts w:hint="eastAsia" w:ascii="宋体" w:hAnsi="宋体" w:cs="宋体"/>
          <w:b/>
          <w:bCs/>
          <w:color w:val="auto"/>
          <w:sz w:val="32"/>
          <w:szCs w:val="32"/>
          <w:highlight w:val="none"/>
        </w:rPr>
      </w:pPr>
      <w:r>
        <w:rPr>
          <w:rFonts w:hint="eastAsia"/>
          <w:color w:val="auto"/>
          <w:sz w:val="28"/>
          <w:highlight w:val="none"/>
        </w:rPr>
        <w:t>年</w:t>
      </w:r>
      <w:r>
        <w:rPr>
          <w:color w:val="auto"/>
          <w:sz w:val="28"/>
          <w:highlight w:val="none"/>
        </w:rPr>
        <w:t xml:space="preserve">   </w:t>
      </w:r>
      <w:r>
        <w:rPr>
          <w:rFonts w:hint="eastAsia"/>
          <w:color w:val="auto"/>
          <w:sz w:val="28"/>
          <w:highlight w:val="none"/>
        </w:rPr>
        <w:t>月</w:t>
      </w:r>
      <w:r>
        <w:rPr>
          <w:color w:val="auto"/>
          <w:sz w:val="28"/>
          <w:highlight w:val="none"/>
        </w:rPr>
        <w:t xml:space="preserve">    </w:t>
      </w:r>
      <w:r>
        <w:rPr>
          <w:rFonts w:hint="eastAsia"/>
          <w:color w:val="auto"/>
          <w:sz w:val="28"/>
          <w:highlight w:val="none"/>
        </w:rPr>
        <w:t>日</w:t>
      </w:r>
      <w:r>
        <w:rPr>
          <w:color w:val="auto"/>
          <w:sz w:val="28"/>
          <w:highlight w:val="none"/>
        </w:rPr>
        <w:tab/>
      </w:r>
      <w:bookmarkEnd w:id="1522"/>
      <w:bookmarkEnd w:id="1523"/>
      <w:bookmarkEnd w:id="1524"/>
      <w:bookmarkEnd w:id="1525"/>
      <w:bookmarkEnd w:id="1537"/>
      <w:bookmarkEnd w:id="1538"/>
      <w:bookmarkEnd w:id="1539"/>
      <w:bookmarkEnd w:id="1540"/>
      <w:bookmarkEnd w:id="1542"/>
      <w:bookmarkEnd w:id="1543"/>
      <w:bookmarkStart w:id="1545" w:name="_Toc3728"/>
      <w:bookmarkStart w:id="1546" w:name="_Toc15413"/>
    </w:p>
    <w:p w14:paraId="6943E08D">
      <w:pPr>
        <w:shd w:val="clear" w:color="auto" w:fill="auto"/>
        <w:spacing w:line="360" w:lineRule="auto"/>
        <w:ind w:firstLine="640"/>
        <w:jc w:val="center"/>
        <w:outlineLvl w:val="1"/>
        <w:rPr>
          <w:rFonts w:hint="eastAsia" w:ascii="宋体" w:hAnsi="宋体" w:cs="宋体"/>
          <w:b/>
          <w:bCs/>
          <w:color w:val="auto"/>
          <w:sz w:val="32"/>
          <w:szCs w:val="32"/>
          <w:highlight w:val="none"/>
        </w:rPr>
      </w:pPr>
      <w:bookmarkStart w:id="1547" w:name="_Toc2790"/>
    </w:p>
    <w:p w14:paraId="62821504">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116D1851">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1B32E6C9">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0A290698">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34A31565">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31A7C442">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337F0C13">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50DB935D">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6B1422D5">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3A380820">
      <w:pPr>
        <w:shd w:val="clear" w:color="auto" w:fill="auto"/>
        <w:spacing w:line="360" w:lineRule="auto"/>
        <w:ind w:firstLine="640"/>
        <w:jc w:val="center"/>
        <w:outlineLvl w:val="1"/>
        <w:rPr>
          <w:rFonts w:hint="eastAsia" w:ascii="宋体" w:hAnsi="宋体" w:cs="宋体"/>
          <w:b/>
          <w:bCs/>
          <w:color w:val="auto"/>
          <w:sz w:val="32"/>
          <w:szCs w:val="32"/>
          <w:highlight w:val="none"/>
        </w:rPr>
      </w:pPr>
    </w:p>
    <w:p w14:paraId="14198D02">
      <w:pPr>
        <w:shd w:val="clear" w:color="auto" w:fill="auto"/>
        <w:spacing w:line="360" w:lineRule="auto"/>
        <w:ind w:firstLine="640"/>
        <w:jc w:val="center"/>
        <w:outlineLvl w:val="1"/>
        <w:rPr>
          <w:rFonts w:hint="eastAsia" w:ascii="宋体" w:cs="宋体"/>
          <w:b/>
          <w:bCs/>
          <w:color w:val="auto"/>
          <w:sz w:val="32"/>
          <w:szCs w:val="32"/>
          <w:highlight w:val="none"/>
        </w:rPr>
      </w:pPr>
      <w:r>
        <w:rPr>
          <w:rFonts w:hint="eastAsia" w:ascii="宋体" w:hAnsi="宋体" w:cs="宋体"/>
          <w:b/>
          <w:bCs/>
          <w:color w:val="auto"/>
          <w:sz w:val="32"/>
          <w:szCs w:val="32"/>
          <w:highlight w:val="none"/>
        </w:rPr>
        <w:t>九、</w:t>
      </w:r>
      <w:bookmarkEnd w:id="1545"/>
      <w:bookmarkEnd w:id="1546"/>
      <w:r>
        <w:rPr>
          <w:rFonts w:hint="eastAsia" w:ascii="宋体" w:hAnsi="宋体" w:cs="宋体"/>
          <w:b/>
          <w:bCs/>
          <w:color w:val="auto"/>
          <w:sz w:val="32"/>
          <w:szCs w:val="32"/>
          <w:highlight w:val="none"/>
        </w:rPr>
        <w:t>资格审查资料</w:t>
      </w:r>
      <w:bookmarkEnd w:id="1547"/>
    </w:p>
    <w:p w14:paraId="1ACC2CE4">
      <w:pPr>
        <w:shd w:val="clear" w:color="auto" w:fill="auto"/>
        <w:ind w:firstLine="640"/>
        <w:rPr>
          <w:rFonts w:hint="eastAsia" w:ascii="宋体" w:hAnsi="宋体" w:cs="宋体"/>
          <w:b/>
          <w:bCs/>
          <w:color w:val="auto"/>
          <w:sz w:val="32"/>
          <w:szCs w:val="32"/>
          <w:highlight w:val="none"/>
        </w:rPr>
      </w:pPr>
    </w:p>
    <w:p w14:paraId="70EDE2D0">
      <w:pPr>
        <w:pStyle w:val="4"/>
        <w:shd w:val="clear" w:color="auto" w:fill="auto"/>
        <w:ind w:firstLine="482"/>
        <w:jc w:val="center"/>
        <w:rPr>
          <w:rFonts w:hint="eastAsia"/>
          <w:color w:val="auto"/>
          <w:sz w:val="24"/>
          <w:highlight w:val="none"/>
        </w:rPr>
      </w:pPr>
      <w:r>
        <w:rPr>
          <w:rFonts w:hint="eastAsia"/>
          <w:color w:val="auto"/>
          <w:sz w:val="24"/>
          <w:highlight w:val="none"/>
        </w:rPr>
        <w:t>附投标人资格要求中相关证明材料</w:t>
      </w:r>
    </w:p>
    <w:p w14:paraId="0D626B19">
      <w:pPr>
        <w:shd w:val="clear" w:color="auto" w:fill="auto"/>
        <w:ind w:firstLine="640"/>
        <w:jc w:val="center"/>
        <w:rPr>
          <w:rFonts w:ascii="宋体" w:hAnsi="宋体" w:cs="宋体"/>
          <w:b/>
          <w:bCs/>
          <w:color w:val="auto"/>
          <w:sz w:val="32"/>
          <w:szCs w:val="32"/>
          <w:highlight w:val="none"/>
        </w:rPr>
      </w:pPr>
    </w:p>
    <w:p w14:paraId="02B292B3">
      <w:pPr>
        <w:shd w:val="clear" w:color="auto" w:fill="auto"/>
        <w:ind w:firstLine="640"/>
        <w:jc w:val="center"/>
        <w:rPr>
          <w:rFonts w:hint="eastAsia" w:ascii="宋体" w:hAnsi="宋体" w:cs="宋体"/>
          <w:b/>
          <w:bCs/>
          <w:color w:val="auto"/>
          <w:sz w:val="32"/>
          <w:szCs w:val="32"/>
          <w:highlight w:val="none"/>
        </w:rPr>
      </w:pPr>
    </w:p>
    <w:p w14:paraId="65181983">
      <w:pPr>
        <w:shd w:val="clear" w:color="auto" w:fill="auto"/>
        <w:ind w:firstLine="640"/>
        <w:jc w:val="center"/>
        <w:rPr>
          <w:rFonts w:hint="eastAsia" w:ascii="宋体" w:hAnsi="宋体" w:cs="宋体"/>
          <w:b/>
          <w:bCs/>
          <w:color w:val="auto"/>
          <w:sz w:val="32"/>
          <w:szCs w:val="32"/>
          <w:highlight w:val="none"/>
        </w:rPr>
      </w:pPr>
    </w:p>
    <w:p w14:paraId="6662358A">
      <w:pPr>
        <w:shd w:val="clear" w:color="auto" w:fill="auto"/>
        <w:ind w:firstLine="640"/>
        <w:jc w:val="center"/>
        <w:rPr>
          <w:rFonts w:hint="eastAsia" w:ascii="宋体" w:hAnsi="宋体"/>
          <w:color w:val="auto"/>
          <w:highlight w:val="none"/>
        </w:rPr>
      </w:pPr>
      <w:r>
        <w:rPr>
          <w:rFonts w:hint="eastAsia" w:ascii="宋体" w:hAnsi="宋体" w:cs="宋体"/>
          <w:b/>
          <w:bCs/>
          <w:color w:val="auto"/>
          <w:sz w:val="32"/>
          <w:szCs w:val="32"/>
          <w:highlight w:val="none"/>
        </w:rPr>
        <w:br w:type="page"/>
      </w:r>
      <w:r>
        <w:rPr>
          <w:rFonts w:hint="eastAsia" w:ascii="宋体" w:hAnsi="宋体" w:cs="宋体"/>
          <w:b/>
          <w:bCs/>
          <w:color w:val="auto"/>
          <w:sz w:val="32"/>
          <w:szCs w:val="32"/>
          <w:highlight w:val="none"/>
        </w:rPr>
        <w:t>十、供应商认为应附的其他资料</w:t>
      </w:r>
    </w:p>
    <w:p w14:paraId="620573C6">
      <w:pPr>
        <w:shd w:val="clear" w:color="auto" w:fill="auto"/>
        <w:ind w:firstLine="482"/>
        <w:jc w:val="center"/>
        <w:rPr>
          <w:rFonts w:hint="eastAsia" w:ascii="宋体" w:hAnsi="宋体"/>
          <w:color w:val="auto"/>
          <w:highlight w:val="none"/>
        </w:rPr>
      </w:pPr>
    </w:p>
    <w:p w14:paraId="667031A0">
      <w:pPr>
        <w:pStyle w:val="2"/>
        <w:shd w:val="clear" w:color="auto" w:fill="auto"/>
        <w:ind w:firstLine="480"/>
        <w:jc w:val="center"/>
        <w:rPr>
          <w:rFonts w:hint="eastAsia" w:ascii="宋体" w:hAnsi="宋体" w:eastAsia="宋体" w:cs="宋体"/>
          <w:color w:val="auto"/>
          <w:sz w:val="24"/>
          <w:szCs w:val="24"/>
          <w:highlight w:val="none"/>
        </w:rPr>
      </w:pPr>
      <w:bookmarkStart w:id="1548" w:name="_Toc10179"/>
      <w:r>
        <w:rPr>
          <w:rFonts w:hint="eastAsia" w:ascii="宋体" w:hAnsi="宋体" w:eastAsia="宋体" w:cs="宋体"/>
          <w:color w:val="auto"/>
          <w:sz w:val="24"/>
          <w:szCs w:val="24"/>
          <w:highlight w:val="none"/>
        </w:rPr>
        <w:t>自拟</w:t>
      </w:r>
      <w:bookmarkEnd w:id="1548"/>
    </w:p>
    <w:p w14:paraId="1273BB6D">
      <w:pPr>
        <w:shd w:val="clear" w:color="auto" w:fill="auto"/>
        <w:ind w:firstLine="482"/>
        <w:rPr>
          <w:rFonts w:hint="eastAsia" w:ascii="宋体" w:hAnsi="宋体"/>
          <w:color w:val="auto"/>
          <w:highlight w:val="none"/>
        </w:rPr>
      </w:pPr>
    </w:p>
    <w:p w14:paraId="4A8A71FF">
      <w:pPr>
        <w:pStyle w:val="2"/>
        <w:shd w:val="clear" w:color="auto" w:fill="auto"/>
        <w:ind w:firstLine="600"/>
        <w:rPr>
          <w:rFonts w:hint="eastAsia"/>
          <w:color w:val="auto"/>
          <w:highlight w:val="none"/>
        </w:rPr>
      </w:pPr>
    </w:p>
    <w:p w14:paraId="2A3C7494">
      <w:pPr>
        <w:shd w:val="clear" w:color="auto" w:fill="auto"/>
        <w:ind w:firstLine="482"/>
        <w:rPr>
          <w:color w:val="auto"/>
          <w:highlight w:val="none"/>
        </w:rPr>
      </w:pPr>
      <w:r>
        <w:rPr>
          <w:color w:val="auto"/>
          <w:highlight w:val="none"/>
        </w:rPr>
        <w:br w:type="page"/>
      </w:r>
    </w:p>
    <w:p w14:paraId="1472BA21">
      <w:pPr>
        <w:shd w:val="clear" w:color="auto" w:fill="auto"/>
        <w:ind w:firstLine="482"/>
        <w:rPr>
          <w:rFonts w:ascii="宋体" w:hAnsi="宋体"/>
          <w:color w:val="auto"/>
          <w:sz w:val="24"/>
          <w:highlight w:val="none"/>
        </w:rPr>
      </w:pPr>
      <w:r>
        <w:rPr>
          <w:rFonts w:hint="eastAsia" w:ascii="宋体" w:hAnsi="宋体"/>
          <w:color w:val="auto"/>
          <w:sz w:val="24"/>
          <w:highlight w:val="none"/>
        </w:rPr>
        <w:t>附件1：</w:t>
      </w:r>
    </w:p>
    <w:p w14:paraId="5F4FE625">
      <w:pPr>
        <w:shd w:val="clear" w:color="auto" w:fill="auto"/>
        <w:ind w:firstLine="640"/>
        <w:jc w:val="center"/>
        <w:rPr>
          <w:rFonts w:hint="eastAsia" w:ascii="宋体" w:hAnsi="宋体"/>
          <w:b/>
          <w:color w:val="auto"/>
          <w:sz w:val="32"/>
          <w:highlight w:val="none"/>
        </w:rPr>
      </w:pPr>
      <w:r>
        <w:rPr>
          <w:rFonts w:hint="eastAsia" w:ascii="宋体" w:hAnsi="宋体"/>
          <w:b/>
          <w:color w:val="auto"/>
          <w:sz w:val="32"/>
          <w:highlight w:val="none"/>
        </w:rPr>
        <w:t>农民工工资支付承诺书</w:t>
      </w:r>
    </w:p>
    <w:p w14:paraId="0685F7E8">
      <w:pPr>
        <w:shd w:val="clear" w:color="auto" w:fill="auto"/>
        <w:ind w:firstLine="482"/>
        <w:rPr>
          <w:rFonts w:hint="eastAsia" w:ascii="宋体" w:hAnsi="宋体"/>
          <w:color w:val="auto"/>
          <w:sz w:val="24"/>
          <w:highlight w:val="none"/>
        </w:rPr>
      </w:pPr>
    </w:p>
    <w:p w14:paraId="31399D0D">
      <w:pPr>
        <w:shd w:val="clear" w:color="auto" w:fill="auto"/>
        <w:spacing w:line="540" w:lineRule="exact"/>
        <w:ind w:firstLine="480" w:firstLineChars="200"/>
        <w:rPr>
          <w:rFonts w:hint="eastAsia" w:ascii="宋体" w:hAnsi="宋体"/>
          <w:color w:val="auto"/>
          <w:sz w:val="24"/>
          <w:highlight w:val="none"/>
        </w:rPr>
      </w:pPr>
      <w:r>
        <w:rPr>
          <w:rFonts w:hint="eastAsia" w:ascii="宋体" w:hAnsi="宋体"/>
          <w:color w:val="auto"/>
          <w:sz w:val="24"/>
          <w:highlight w:val="none"/>
        </w:rPr>
        <w:t>为保护农民工的合法权益，不拖欠农民工工资，本公司郑重承诺：</w:t>
      </w:r>
    </w:p>
    <w:p w14:paraId="63EE8ADC">
      <w:pPr>
        <w:shd w:val="clear" w:color="auto" w:fill="auto"/>
        <w:spacing w:line="540" w:lineRule="exact"/>
        <w:ind w:firstLine="480" w:firstLineChars="200"/>
        <w:rPr>
          <w:rFonts w:hint="eastAsia" w:ascii="宋体" w:hAnsi="宋体"/>
          <w:color w:val="auto"/>
          <w:sz w:val="24"/>
          <w:highlight w:val="none"/>
        </w:rPr>
      </w:pPr>
      <w:r>
        <w:rPr>
          <w:rFonts w:hint="eastAsia" w:ascii="宋体" w:hAnsi="宋体"/>
          <w:color w:val="auto"/>
          <w:sz w:val="24"/>
          <w:highlight w:val="none"/>
        </w:rPr>
        <w:t>1、不转包或违法分包，并禁止分包单位再分包或层层转包。</w:t>
      </w:r>
    </w:p>
    <w:p w14:paraId="2200DD93">
      <w:pPr>
        <w:shd w:val="clear" w:color="auto" w:fill="auto"/>
        <w:spacing w:line="540" w:lineRule="exact"/>
        <w:ind w:firstLine="480" w:firstLineChars="200"/>
        <w:rPr>
          <w:rFonts w:hint="eastAsia" w:ascii="宋体" w:hAnsi="宋体"/>
          <w:color w:val="auto"/>
          <w:sz w:val="24"/>
          <w:highlight w:val="none"/>
        </w:rPr>
      </w:pPr>
      <w:r>
        <w:rPr>
          <w:rFonts w:hint="eastAsia" w:ascii="宋体" w:hAnsi="宋体"/>
          <w:color w:val="auto"/>
          <w:sz w:val="24"/>
          <w:highlight w:val="none"/>
        </w:rPr>
        <w:t>2、自己雇佣农民工，与农民工签订劳务合同，如果有分包的督促劳务公司与农民工签订劳务合同并到总包单位备案。农民工工资由本公司或劳务公司直接足额发放到农民工本人手里，严禁发放给“包工头”。如“包工头”携款逃逸，或因其他原因无法支付民工工资，由本公司负责支付。</w:t>
      </w:r>
    </w:p>
    <w:p w14:paraId="0E38FACA">
      <w:pPr>
        <w:shd w:val="clear" w:color="auto" w:fill="auto"/>
        <w:spacing w:line="540" w:lineRule="exact"/>
        <w:ind w:firstLine="480" w:firstLineChars="200"/>
        <w:rPr>
          <w:rFonts w:hint="eastAsia" w:ascii="宋体" w:hAnsi="宋体"/>
          <w:color w:val="auto"/>
          <w:sz w:val="24"/>
          <w:highlight w:val="none"/>
        </w:rPr>
      </w:pPr>
      <w:r>
        <w:rPr>
          <w:rFonts w:hint="eastAsia" w:ascii="宋体" w:hAnsi="宋体"/>
          <w:color w:val="auto"/>
          <w:sz w:val="24"/>
          <w:highlight w:val="none"/>
        </w:rPr>
        <w:t>3、按照“总包负总责”的原则，若发生集体上访事件，第一时间到场解决，若确认拖欠农民工工资的，不论何种原因将由我公司先行垫付。不能垫付的同意动用农民工工资保证金并及时按规定补齐。</w:t>
      </w:r>
    </w:p>
    <w:p w14:paraId="65675448">
      <w:pPr>
        <w:shd w:val="clear" w:color="auto" w:fill="auto"/>
        <w:spacing w:line="540" w:lineRule="exact"/>
        <w:ind w:firstLine="480" w:firstLineChars="200"/>
        <w:rPr>
          <w:rFonts w:hint="eastAsia" w:ascii="宋体" w:hAnsi="宋体"/>
          <w:color w:val="auto"/>
          <w:sz w:val="24"/>
          <w:highlight w:val="none"/>
        </w:rPr>
      </w:pPr>
      <w:r>
        <w:rPr>
          <w:rFonts w:hint="eastAsia" w:ascii="宋体" w:hAnsi="宋体"/>
          <w:color w:val="auto"/>
          <w:sz w:val="24"/>
          <w:highlight w:val="none"/>
        </w:rPr>
        <w:t>4、切实做好农民工记工考勤工作，按约定及时与农民工结算工资。如果发生违反规定拖欠和克扣农民工工资行为，或因劳资纠纷造成农民工上访，并引发群体性突发事件，本单位愿意无条件接受相关部门依照有关规定作出的任何处罚决定。</w:t>
      </w:r>
    </w:p>
    <w:p w14:paraId="5A9BDC98">
      <w:pPr>
        <w:shd w:val="clear" w:color="auto" w:fill="auto"/>
        <w:spacing w:line="540" w:lineRule="exact"/>
        <w:ind w:firstLine="480" w:firstLineChars="200"/>
        <w:rPr>
          <w:rFonts w:hint="eastAsia" w:ascii="宋体" w:hAnsi="宋体"/>
          <w:color w:val="auto"/>
          <w:sz w:val="24"/>
          <w:highlight w:val="none"/>
        </w:rPr>
      </w:pPr>
      <w:r>
        <w:rPr>
          <w:rFonts w:hint="eastAsia" w:ascii="宋体" w:hAnsi="宋体"/>
          <w:color w:val="auto"/>
          <w:sz w:val="24"/>
          <w:highlight w:val="none"/>
        </w:rPr>
        <w:t>特此承诺!</w:t>
      </w:r>
    </w:p>
    <w:p w14:paraId="17D1E4C0">
      <w:pPr>
        <w:shd w:val="clear" w:color="auto" w:fill="auto"/>
        <w:ind w:firstLine="482"/>
        <w:rPr>
          <w:rFonts w:hint="eastAsia" w:ascii="宋体" w:hAnsi="宋体"/>
          <w:color w:val="auto"/>
          <w:sz w:val="24"/>
          <w:highlight w:val="none"/>
        </w:rPr>
      </w:pPr>
    </w:p>
    <w:p w14:paraId="7DB599AC">
      <w:pPr>
        <w:shd w:val="clear" w:color="auto" w:fill="auto"/>
        <w:ind w:firstLine="482"/>
        <w:rPr>
          <w:rFonts w:hint="eastAsia" w:ascii="宋体" w:hAnsi="宋体"/>
          <w:color w:val="auto"/>
          <w:highlight w:val="none"/>
        </w:rPr>
      </w:pPr>
    </w:p>
    <w:p w14:paraId="2317532C">
      <w:pPr>
        <w:shd w:val="clear" w:color="auto" w:fill="auto"/>
        <w:spacing w:line="480" w:lineRule="exact"/>
        <w:ind w:firstLine="2244" w:firstLineChars="935"/>
        <w:rPr>
          <w:rFonts w:hint="eastAsia" w:ascii="宋体" w:hAnsi="宋体"/>
          <w:color w:val="auto"/>
          <w:sz w:val="24"/>
          <w:highlight w:val="none"/>
          <w:u w:val="single"/>
        </w:rPr>
      </w:pPr>
      <w:r>
        <w:rPr>
          <w:rFonts w:hint="eastAsia" w:ascii="宋体" w:hAnsi="宋体"/>
          <w:color w:val="auto"/>
          <w:sz w:val="24"/>
          <w:highlight w:val="none"/>
        </w:rPr>
        <w:t xml:space="preserve">投标人：（盖章） </w:t>
      </w:r>
    </w:p>
    <w:p w14:paraId="19C09680">
      <w:pPr>
        <w:shd w:val="clear" w:color="auto" w:fill="auto"/>
        <w:spacing w:line="480" w:lineRule="exact"/>
        <w:ind w:firstLine="2244" w:firstLineChars="935"/>
        <w:rPr>
          <w:rFonts w:hint="eastAsia" w:ascii="宋体" w:hAnsi="宋体"/>
          <w:color w:val="auto"/>
          <w:sz w:val="24"/>
          <w:highlight w:val="none"/>
          <w:u w:val="single"/>
        </w:rPr>
      </w:pPr>
      <w:r>
        <w:rPr>
          <w:rFonts w:hint="eastAsia" w:ascii="宋体" w:hAnsi="宋体"/>
          <w:color w:val="auto"/>
          <w:sz w:val="24"/>
          <w:highlight w:val="none"/>
        </w:rPr>
        <w:t>法定代表人或其委托代理人：（电子签章）</w:t>
      </w:r>
    </w:p>
    <w:p w14:paraId="46DA49E8">
      <w:pPr>
        <w:shd w:val="clear" w:color="auto" w:fill="auto"/>
        <w:spacing w:line="480" w:lineRule="exact"/>
        <w:ind w:firstLine="2244" w:firstLineChars="935"/>
        <w:rPr>
          <w:rFonts w:hint="eastAsia" w:ascii="宋体" w:hAnsi="宋体"/>
          <w:color w:val="auto"/>
          <w:sz w:val="24"/>
          <w:highlight w:val="none"/>
        </w:rPr>
      </w:pPr>
      <w:r>
        <w:rPr>
          <w:rFonts w:hint="eastAsia" w:ascii="宋体" w:hAnsi="宋体"/>
          <w:color w:val="auto"/>
          <w:sz w:val="24"/>
          <w:highlight w:val="none"/>
        </w:rPr>
        <w:t>年月日</w:t>
      </w:r>
    </w:p>
    <w:p w14:paraId="4A5C6D58">
      <w:pPr>
        <w:shd w:val="clear" w:color="auto" w:fill="auto"/>
        <w:ind w:firstLine="482"/>
        <w:rPr>
          <w:rFonts w:hint="eastAsia" w:ascii="宋体" w:hAnsi="宋体"/>
          <w:color w:val="auto"/>
          <w:highlight w:val="none"/>
        </w:rPr>
      </w:pPr>
    </w:p>
    <w:p w14:paraId="5629AD4D">
      <w:pPr>
        <w:shd w:val="clear" w:color="auto" w:fill="auto"/>
        <w:rPr>
          <w:rFonts w:ascii="宋体" w:cs="宋体"/>
          <w:color w:val="auto"/>
          <w:sz w:val="24"/>
          <w:szCs w:val="24"/>
          <w:highlight w:val="none"/>
        </w:rPr>
      </w:pPr>
      <w:r>
        <w:rPr>
          <w:rFonts w:hint="eastAsia" w:ascii="宋体" w:hAnsi="宋体"/>
          <w:color w:val="auto"/>
          <w:highlight w:val="none"/>
        </w:rPr>
        <w:br w:type="page"/>
      </w:r>
      <w:bookmarkStart w:id="1549" w:name="_Toc24864"/>
      <w:bookmarkStart w:id="1550" w:name="_Toc2324"/>
      <w:bookmarkStart w:id="1551" w:name="_Toc3727"/>
      <w:r>
        <w:rPr>
          <w:rFonts w:hint="eastAsia" w:ascii="宋体" w:hAnsi="宋体" w:cs="宋体"/>
          <w:b/>
          <w:bCs/>
          <w:color w:val="auto"/>
          <w:sz w:val="32"/>
          <w:szCs w:val="32"/>
          <w:highlight w:val="none"/>
        </w:rPr>
        <w:t>格式</w:t>
      </w:r>
      <w:bookmarkEnd w:id="1549"/>
      <w:bookmarkEnd w:id="1550"/>
      <w:bookmarkEnd w:id="1551"/>
    </w:p>
    <w:p w14:paraId="09FADB80">
      <w:pPr>
        <w:shd w:val="clear" w:color="auto" w:fill="auto"/>
        <w:spacing w:line="312" w:lineRule="auto"/>
        <w:ind w:right="-334" w:rightChars="-159" w:firstLine="560"/>
        <w:jc w:val="center"/>
        <w:rPr>
          <w:rFonts w:hint="eastAsia" w:ascii="宋体" w:hAnsi="宋体" w:cs="宋体"/>
          <w:b/>
          <w:bCs/>
          <w:color w:val="auto"/>
          <w:kern w:val="10"/>
          <w:sz w:val="28"/>
          <w:szCs w:val="28"/>
          <w:highlight w:val="none"/>
        </w:rPr>
      </w:pPr>
      <w:bookmarkStart w:id="1552" w:name="_Toc6927090"/>
      <w:bookmarkStart w:id="1553" w:name="OLE_LINK13"/>
      <w:bookmarkStart w:id="1554" w:name="OLE_LINK14"/>
    </w:p>
    <w:p w14:paraId="384175FD">
      <w:pPr>
        <w:shd w:val="clear" w:color="auto" w:fill="auto"/>
        <w:spacing w:line="312" w:lineRule="auto"/>
        <w:ind w:right="-334" w:rightChars="-159" w:firstLine="560"/>
        <w:jc w:val="center"/>
        <w:rPr>
          <w:rFonts w:hint="eastAsia" w:ascii="宋体" w:hAnsi="宋体" w:cs="宋体"/>
          <w:b/>
          <w:bCs/>
          <w:color w:val="auto"/>
          <w:kern w:val="10"/>
          <w:sz w:val="28"/>
          <w:szCs w:val="28"/>
          <w:highlight w:val="none"/>
        </w:rPr>
      </w:pPr>
      <w:r>
        <w:rPr>
          <w:rFonts w:hint="eastAsia" w:ascii="宋体" w:hAnsi="宋体" w:cs="宋体"/>
          <w:b/>
          <w:bCs/>
          <w:color w:val="auto"/>
          <w:kern w:val="10"/>
          <w:sz w:val="28"/>
          <w:szCs w:val="28"/>
          <w:highlight w:val="none"/>
        </w:rPr>
        <w:t>1、中小企业声明函（工程）</w:t>
      </w:r>
    </w:p>
    <w:p w14:paraId="427B8A62">
      <w:pPr>
        <w:shd w:val="clear" w:color="auto" w:fill="auto"/>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本公司（联合体）郑重声明，根据《政府采购促进中小企业发展管理办法》（财库﹝2020﹞46 号）的规定，本公司（联合体）参加</w:t>
      </w:r>
      <w:r>
        <w:rPr>
          <w:rFonts w:hint="eastAsia" w:ascii="宋体" w:hAnsi="宋体" w:cs="宋体"/>
          <w:color w:val="auto"/>
          <w:kern w:val="0"/>
          <w:sz w:val="24"/>
          <w:szCs w:val="24"/>
          <w:highlight w:val="none"/>
          <w:u w:val="single"/>
        </w:rPr>
        <w:t>（单位名称）</w:t>
      </w:r>
      <w:r>
        <w:rPr>
          <w:rFonts w:hint="eastAsia" w:ascii="宋体" w:hAnsi="宋体" w:cs="宋体"/>
          <w:color w:val="auto"/>
          <w:kern w:val="0"/>
          <w:sz w:val="24"/>
          <w:szCs w:val="24"/>
          <w:highlight w:val="none"/>
        </w:rPr>
        <w:t>的</w:t>
      </w:r>
      <w:r>
        <w:rPr>
          <w:rFonts w:hint="eastAsia" w:ascii="宋体" w:hAnsi="宋体" w:cs="宋体"/>
          <w:color w:val="auto"/>
          <w:kern w:val="0"/>
          <w:sz w:val="24"/>
          <w:szCs w:val="24"/>
          <w:highlight w:val="none"/>
          <w:u w:val="single"/>
        </w:rPr>
        <w:t>（项目名称）</w:t>
      </w:r>
      <w:r>
        <w:rPr>
          <w:rFonts w:hint="eastAsia" w:ascii="宋体" w:hAnsi="宋体" w:cs="宋体"/>
          <w:color w:val="auto"/>
          <w:kern w:val="0"/>
          <w:sz w:val="24"/>
          <w:szCs w:val="24"/>
          <w:highlight w:val="none"/>
        </w:rPr>
        <w:t>采购活动，工程的施工单位全部为符合政策要求的中小企业（或者：服务全部由符合政策要求的中小企业承接）。相关企业（含联合 体中的中小企业、签订分包意向协议的中小企业）的具体情况如下：</w:t>
      </w:r>
    </w:p>
    <w:p w14:paraId="6A928C6C">
      <w:pPr>
        <w:shd w:val="clear" w:color="auto" w:fill="auto"/>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w:t>
      </w:r>
      <w:r>
        <w:rPr>
          <w:rFonts w:hint="eastAsia" w:ascii="宋体" w:hAnsi="宋体" w:cs="宋体"/>
          <w:color w:val="auto"/>
          <w:kern w:val="0"/>
          <w:sz w:val="24"/>
          <w:szCs w:val="24"/>
          <w:highlight w:val="none"/>
          <w:u w:val="single"/>
        </w:rPr>
        <w:t>（标的名称）</w:t>
      </w:r>
      <w:r>
        <w:rPr>
          <w:rFonts w:hint="eastAsia" w:ascii="宋体" w:hAnsi="宋体" w:cs="宋体"/>
          <w:color w:val="auto"/>
          <w:kern w:val="0"/>
          <w:sz w:val="24"/>
          <w:szCs w:val="24"/>
          <w:highlight w:val="none"/>
        </w:rPr>
        <w:t>，属于（</w:t>
      </w:r>
      <w:r>
        <w:rPr>
          <w:rFonts w:hint="eastAsia" w:ascii="宋体" w:hAnsi="宋体" w:cs="宋体"/>
          <w:color w:val="auto"/>
          <w:kern w:val="0"/>
          <w:sz w:val="24"/>
          <w:szCs w:val="24"/>
          <w:highlight w:val="none"/>
          <w:u w:val="single"/>
        </w:rPr>
        <w:t>采购文件中明确的所属行业）</w:t>
      </w:r>
      <w:r>
        <w:rPr>
          <w:rFonts w:hint="eastAsia" w:ascii="宋体" w:hAnsi="宋体" w:cs="宋体"/>
          <w:color w:val="auto"/>
          <w:kern w:val="0"/>
          <w:sz w:val="24"/>
          <w:szCs w:val="24"/>
          <w:highlight w:val="none"/>
        </w:rPr>
        <w:t>；承建（承接）企业为</w:t>
      </w:r>
      <w:r>
        <w:rPr>
          <w:rFonts w:hint="eastAsia" w:ascii="宋体" w:hAnsi="宋体" w:cs="宋体"/>
          <w:color w:val="auto"/>
          <w:kern w:val="0"/>
          <w:sz w:val="24"/>
          <w:szCs w:val="24"/>
          <w:highlight w:val="none"/>
          <w:u w:val="single"/>
        </w:rPr>
        <w:t>（企业名称）</w:t>
      </w:r>
      <w:r>
        <w:rPr>
          <w:rFonts w:hint="eastAsia" w:ascii="宋体" w:hAnsi="宋体" w:cs="宋体"/>
          <w:color w:val="auto"/>
          <w:kern w:val="0"/>
          <w:sz w:val="24"/>
          <w:szCs w:val="24"/>
          <w:highlight w:val="none"/>
        </w:rPr>
        <w:t>，从业人员</w:t>
      </w:r>
      <w:r>
        <w:rPr>
          <w:rFonts w:hint="eastAsia" w:ascii="宋体" w:hAnsi="宋体" w:cs="宋体"/>
          <w:color w:val="auto"/>
          <w:kern w:val="0"/>
          <w:sz w:val="24"/>
          <w:szCs w:val="24"/>
          <w:highlight w:val="none"/>
          <w:u w:val="single"/>
        </w:rPr>
        <w:tab/>
      </w:r>
      <w:r>
        <w:rPr>
          <w:rFonts w:hint="eastAsia" w:ascii="宋体" w:hAnsi="宋体" w:cs="宋体"/>
          <w:color w:val="auto"/>
          <w:kern w:val="0"/>
          <w:sz w:val="24"/>
          <w:szCs w:val="24"/>
          <w:highlight w:val="none"/>
        </w:rPr>
        <w:t>人，营业收入为</w:t>
      </w:r>
      <w:r>
        <w:rPr>
          <w:rFonts w:hint="eastAsia" w:ascii="宋体" w:hAnsi="宋体" w:cs="宋体"/>
          <w:color w:val="auto"/>
          <w:kern w:val="0"/>
          <w:sz w:val="24"/>
          <w:szCs w:val="24"/>
          <w:highlight w:val="none"/>
          <w:u w:val="single"/>
        </w:rPr>
        <w:tab/>
      </w:r>
      <w:r>
        <w:rPr>
          <w:rFonts w:hint="eastAsia" w:ascii="宋体" w:hAnsi="宋体" w:cs="宋体"/>
          <w:color w:val="auto"/>
          <w:kern w:val="0"/>
          <w:sz w:val="24"/>
          <w:szCs w:val="24"/>
          <w:highlight w:val="none"/>
        </w:rPr>
        <w:t>万元，资产总额为</w:t>
      </w:r>
      <w:r>
        <w:rPr>
          <w:rFonts w:hint="eastAsia" w:ascii="宋体" w:hAnsi="宋体" w:cs="宋体"/>
          <w:color w:val="auto"/>
          <w:kern w:val="0"/>
          <w:sz w:val="24"/>
          <w:szCs w:val="24"/>
          <w:highlight w:val="none"/>
          <w:u w:val="single"/>
        </w:rPr>
        <w:tab/>
      </w:r>
      <w:r>
        <w:rPr>
          <w:rFonts w:hint="eastAsia" w:ascii="宋体" w:hAnsi="宋体" w:cs="宋体"/>
          <w:color w:val="auto"/>
          <w:kern w:val="0"/>
          <w:sz w:val="24"/>
          <w:szCs w:val="24"/>
          <w:highlight w:val="none"/>
        </w:rPr>
        <w:t>万元，属于（中型企业、 小型企业、微型企业）；</w:t>
      </w:r>
    </w:p>
    <w:p w14:paraId="0B35C844">
      <w:pPr>
        <w:shd w:val="clear" w:color="auto" w:fill="auto"/>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w:t>
      </w:r>
      <w:r>
        <w:rPr>
          <w:rFonts w:hint="eastAsia" w:ascii="宋体" w:hAnsi="宋体" w:cs="宋体"/>
          <w:color w:val="auto"/>
          <w:kern w:val="0"/>
          <w:sz w:val="24"/>
          <w:szCs w:val="24"/>
          <w:highlight w:val="none"/>
          <w:u w:val="single"/>
        </w:rPr>
        <w:t>（标的名称</w:t>
      </w:r>
      <w:r>
        <w:rPr>
          <w:rFonts w:hint="eastAsia" w:ascii="宋体" w:hAnsi="宋体" w:cs="宋体"/>
          <w:color w:val="auto"/>
          <w:kern w:val="0"/>
          <w:sz w:val="24"/>
          <w:szCs w:val="24"/>
          <w:highlight w:val="none"/>
        </w:rPr>
        <w:t>），属于</w:t>
      </w:r>
      <w:r>
        <w:rPr>
          <w:rFonts w:hint="eastAsia" w:ascii="宋体" w:hAnsi="宋体" w:cs="宋体"/>
          <w:color w:val="auto"/>
          <w:kern w:val="0"/>
          <w:sz w:val="24"/>
          <w:szCs w:val="24"/>
          <w:highlight w:val="none"/>
          <w:u w:val="single"/>
        </w:rPr>
        <w:t>（采购文件中明确的所属行业）</w:t>
      </w:r>
      <w:r>
        <w:rPr>
          <w:rFonts w:hint="eastAsia" w:ascii="宋体" w:hAnsi="宋体" w:cs="宋体"/>
          <w:color w:val="auto"/>
          <w:kern w:val="0"/>
          <w:sz w:val="24"/>
          <w:szCs w:val="24"/>
          <w:highlight w:val="none"/>
        </w:rPr>
        <w:t>；承建（承接）企业为</w:t>
      </w:r>
      <w:r>
        <w:rPr>
          <w:rFonts w:hint="eastAsia" w:ascii="宋体" w:hAnsi="宋体" w:cs="宋体"/>
          <w:color w:val="auto"/>
          <w:kern w:val="0"/>
          <w:sz w:val="24"/>
          <w:szCs w:val="24"/>
          <w:highlight w:val="none"/>
          <w:u w:val="single"/>
        </w:rPr>
        <w:t>（企业名称）</w:t>
      </w:r>
      <w:r>
        <w:rPr>
          <w:rFonts w:hint="eastAsia" w:ascii="宋体" w:hAnsi="宋体" w:cs="宋体"/>
          <w:color w:val="auto"/>
          <w:kern w:val="0"/>
          <w:sz w:val="24"/>
          <w:szCs w:val="24"/>
          <w:highlight w:val="none"/>
        </w:rPr>
        <w:t>，从业人员</w:t>
      </w:r>
      <w:r>
        <w:rPr>
          <w:rFonts w:hint="eastAsia" w:ascii="宋体" w:hAnsi="宋体" w:cs="宋体"/>
          <w:color w:val="auto"/>
          <w:kern w:val="0"/>
          <w:sz w:val="24"/>
          <w:szCs w:val="24"/>
          <w:highlight w:val="none"/>
          <w:u w:val="single"/>
        </w:rPr>
        <w:tab/>
      </w:r>
      <w:r>
        <w:rPr>
          <w:rFonts w:hint="eastAsia" w:ascii="宋体" w:hAnsi="宋体" w:cs="宋体"/>
          <w:color w:val="auto"/>
          <w:kern w:val="0"/>
          <w:sz w:val="24"/>
          <w:szCs w:val="24"/>
          <w:highlight w:val="none"/>
        </w:rPr>
        <w:t>人，营业收入为</w:t>
      </w:r>
      <w:r>
        <w:rPr>
          <w:rFonts w:hint="eastAsia" w:ascii="宋体" w:hAnsi="宋体" w:cs="宋体"/>
          <w:color w:val="auto"/>
          <w:kern w:val="0"/>
          <w:sz w:val="24"/>
          <w:szCs w:val="24"/>
          <w:highlight w:val="none"/>
          <w:u w:val="single"/>
        </w:rPr>
        <w:tab/>
      </w:r>
      <w:r>
        <w:rPr>
          <w:rFonts w:hint="eastAsia" w:ascii="宋体" w:hAnsi="宋体" w:cs="宋体"/>
          <w:color w:val="auto"/>
          <w:kern w:val="0"/>
          <w:sz w:val="24"/>
          <w:szCs w:val="24"/>
          <w:highlight w:val="none"/>
        </w:rPr>
        <w:tab/>
      </w:r>
      <w:r>
        <w:rPr>
          <w:rFonts w:hint="eastAsia" w:ascii="宋体" w:hAnsi="宋体" w:cs="宋体"/>
          <w:color w:val="auto"/>
          <w:kern w:val="0"/>
          <w:sz w:val="24"/>
          <w:szCs w:val="24"/>
          <w:highlight w:val="none"/>
        </w:rPr>
        <w:t>万元，资产总额为</w:t>
      </w:r>
      <w:r>
        <w:rPr>
          <w:rFonts w:hint="eastAsia" w:ascii="宋体" w:hAnsi="宋体" w:cs="宋体"/>
          <w:color w:val="auto"/>
          <w:kern w:val="0"/>
          <w:sz w:val="24"/>
          <w:szCs w:val="24"/>
          <w:highlight w:val="none"/>
          <w:u w:val="single"/>
        </w:rPr>
        <w:tab/>
      </w:r>
      <w:r>
        <w:rPr>
          <w:rFonts w:hint="eastAsia" w:ascii="宋体" w:hAnsi="宋体" w:cs="宋体"/>
          <w:color w:val="auto"/>
          <w:kern w:val="0"/>
          <w:sz w:val="24"/>
          <w:szCs w:val="24"/>
          <w:highlight w:val="none"/>
        </w:rPr>
        <w:t>万元，属于（中型企业、 小型企业、微型企业）；</w:t>
      </w:r>
    </w:p>
    <w:p w14:paraId="58A7241B">
      <w:pPr>
        <w:shd w:val="clear" w:color="auto" w:fill="auto"/>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w:t>
      </w:r>
    </w:p>
    <w:p w14:paraId="495F4CB5">
      <w:pPr>
        <w:shd w:val="clear" w:color="auto" w:fill="auto"/>
        <w:spacing w:line="360" w:lineRule="auto"/>
        <w:ind w:firstLine="480" w:firstLineChars="200"/>
        <w:rPr>
          <w:rFonts w:hint="eastAsia" w:ascii="宋体" w:hAnsi="宋体" w:cs="宋体"/>
          <w:color w:val="auto"/>
          <w:kern w:val="0"/>
          <w:sz w:val="24"/>
          <w:szCs w:val="24"/>
          <w:highlight w:val="none"/>
        </w:rPr>
      </w:pPr>
    </w:p>
    <w:p w14:paraId="0A3DA1C5">
      <w:pPr>
        <w:shd w:val="clear" w:color="auto" w:fill="auto"/>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以上企业，不属于大企业的分支机构，不存在控股股东为大企业的情形，也不存在与大企业的负责人为同一人的情形。</w:t>
      </w:r>
    </w:p>
    <w:p w14:paraId="09179F85">
      <w:pPr>
        <w:shd w:val="clear" w:color="auto" w:fill="auto"/>
        <w:spacing w:line="360" w:lineRule="auto"/>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本企业对上述声明内容的真实性负责。如有虚假，将依 法承担相应责任。</w:t>
      </w:r>
    </w:p>
    <w:p w14:paraId="138C0D71">
      <w:pPr>
        <w:shd w:val="clear" w:color="auto" w:fill="auto"/>
        <w:spacing w:line="312" w:lineRule="auto"/>
        <w:ind w:firstLine="480" w:firstLineChars="200"/>
        <w:jc w:val="left"/>
        <w:rPr>
          <w:rFonts w:hint="eastAsia" w:ascii="宋体" w:hAnsi="宋体" w:cs="宋体"/>
          <w:color w:val="auto"/>
          <w:kern w:val="0"/>
          <w:sz w:val="24"/>
          <w:szCs w:val="24"/>
          <w:highlight w:val="none"/>
        </w:rPr>
      </w:pPr>
    </w:p>
    <w:p w14:paraId="3B69D744">
      <w:pPr>
        <w:shd w:val="clear" w:color="auto" w:fill="auto"/>
        <w:spacing w:line="312" w:lineRule="auto"/>
        <w:ind w:firstLine="480" w:firstLineChars="200"/>
        <w:jc w:val="left"/>
        <w:rPr>
          <w:rFonts w:hint="eastAsia" w:ascii="宋体" w:hAnsi="宋体" w:cs="宋体"/>
          <w:color w:val="auto"/>
          <w:kern w:val="0"/>
          <w:sz w:val="24"/>
          <w:szCs w:val="24"/>
          <w:highlight w:val="none"/>
        </w:rPr>
      </w:pPr>
    </w:p>
    <w:p w14:paraId="546B970A">
      <w:pPr>
        <w:shd w:val="clear" w:color="auto" w:fill="auto"/>
        <w:spacing w:line="312"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企业名称（盖章）：</w:t>
      </w:r>
    </w:p>
    <w:p w14:paraId="2D089175">
      <w:pPr>
        <w:shd w:val="clear" w:color="auto" w:fill="auto"/>
        <w:spacing w:line="312" w:lineRule="auto"/>
        <w:ind w:firstLine="480" w:firstLineChars="200"/>
        <w:jc w:val="left"/>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日期：</w:t>
      </w:r>
    </w:p>
    <w:p w14:paraId="323A6BD5">
      <w:pPr>
        <w:shd w:val="clear" w:color="auto" w:fill="auto"/>
        <w:autoSpaceDE w:val="0"/>
        <w:autoSpaceDN w:val="0"/>
        <w:snapToGrid w:val="0"/>
        <w:spacing w:line="360" w:lineRule="auto"/>
        <w:ind w:firstLine="560"/>
        <w:jc w:val="center"/>
        <w:rPr>
          <w:rFonts w:hint="eastAsia" w:ascii="宋体" w:hAnsi="宋体" w:cs="宋体"/>
          <w:b/>
          <w:bCs/>
          <w:color w:val="auto"/>
          <w:kern w:val="10"/>
          <w:sz w:val="28"/>
          <w:szCs w:val="28"/>
          <w:highlight w:val="none"/>
        </w:rPr>
      </w:pPr>
    </w:p>
    <w:p w14:paraId="5664A712">
      <w:pPr>
        <w:shd w:val="clear" w:color="auto" w:fill="auto"/>
        <w:ind w:firstLine="560"/>
        <w:jc w:val="center"/>
        <w:rPr>
          <w:rFonts w:hint="eastAsia" w:ascii="宋体" w:hAnsi="宋体" w:cs="宋体"/>
          <w:color w:val="auto"/>
          <w:kern w:val="0"/>
          <w:sz w:val="22"/>
          <w:highlight w:val="none"/>
        </w:rPr>
      </w:pPr>
      <w:r>
        <w:rPr>
          <w:rFonts w:hint="eastAsia" w:ascii="宋体" w:hAnsi="宋体" w:cs="宋体"/>
          <w:b/>
          <w:bCs/>
          <w:color w:val="auto"/>
          <w:kern w:val="10"/>
          <w:sz w:val="28"/>
          <w:szCs w:val="28"/>
          <w:highlight w:val="none"/>
        </w:rPr>
        <w:br w:type="page"/>
      </w:r>
      <w:r>
        <w:rPr>
          <w:rFonts w:hint="eastAsia" w:ascii="宋体" w:hAnsi="宋体" w:cs="宋体"/>
          <w:b/>
          <w:bCs/>
          <w:color w:val="auto"/>
          <w:kern w:val="10"/>
          <w:sz w:val="28"/>
          <w:szCs w:val="28"/>
          <w:highlight w:val="none"/>
        </w:rPr>
        <w:t>2、残疾人福利性单位声明函</w:t>
      </w:r>
      <w:bookmarkEnd w:id="1552"/>
    </w:p>
    <w:bookmarkEnd w:id="1553"/>
    <w:bookmarkEnd w:id="1554"/>
    <w:p w14:paraId="32B3D0D3">
      <w:pPr>
        <w:shd w:val="clear" w:color="auto" w:fill="auto"/>
        <w:autoSpaceDE w:val="0"/>
        <w:autoSpaceDN w:val="0"/>
        <w:spacing w:line="360" w:lineRule="auto"/>
        <w:ind w:firstLine="504" w:firstLineChars="200"/>
        <w:jc w:val="left"/>
        <w:rPr>
          <w:rFonts w:hint="eastAsia" w:ascii="宋体" w:hAnsi="宋体" w:cs="宋体"/>
          <w:color w:val="auto"/>
          <w:spacing w:val="6"/>
          <w:kern w:val="0"/>
          <w:sz w:val="24"/>
          <w:szCs w:val="24"/>
          <w:highlight w:val="none"/>
        </w:rPr>
      </w:pPr>
      <w:r>
        <w:rPr>
          <w:rFonts w:hint="eastAsia" w:ascii="宋体" w:hAnsi="宋体" w:cs="宋体"/>
          <w:color w:val="auto"/>
          <w:spacing w:val="6"/>
          <w:kern w:val="0"/>
          <w:sz w:val="24"/>
          <w:szCs w:val="24"/>
          <w:highlight w:val="none"/>
        </w:rPr>
        <w:t>本单位郑重声明，根据《财政部 民政部 中国残疾人联合会关于促进残疾人就业政府采购政策的通知》（财库</w:t>
      </w:r>
      <w:r>
        <w:rPr>
          <w:rFonts w:hint="eastAsia" w:ascii="宋体" w:hAnsi="宋体" w:cs="宋体"/>
          <w:color w:val="auto"/>
          <w:kern w:val="0"/>
          <w:sz w:val="24"/>
          <w:szCs w:val="24"/>
          <w:highlight w:val="none"/>
        </w:rPr>
        <w:t>〔2017〕 141</w:t>
      </w:r>
      <w:r>
        <w:rPr>
          <w:rFonts w:hint="eastAsia" w:ascii="宋体" w:hAnsi="宋体" w:cs="宋体"/>
          <w:color w:val="auto"/>
          <w:spacing w:val="6"/>
          <w:kern w:val="0"/>
          <w:sz w:val="24"/>
          <w:szCs w:val="24"/>
          <w:highlight w:val="none"/>
        </w:rPr>
        <w:t>号）的规定，本单位为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14:paraId="641867CF">
      <w:pPr>
        <w:shd w:val="clear" w:color="auto" w:fill="auto"/>
        <w:autoSpaceDE w:val="0"/>
        <w:autoSpaceDN w:val="0"/>
        <w:spacing w:line="360" w:lineRule="auto"/>
        <w:ind w:firstLine="504" w:firstLineChars="200"/>
        <w:jc w:val="left"/>
        <w:rPr>
          <w:rFonts w:hint="eastAsia" w:ascii="宋体" w:hAnsi="宋体" w:cs="宋体"/>
          <w:color w:val="auto"/>
          <w:spacing w:val="6"/>
          <w:kern w:val="0"/>
          <w:sz w:val="24"/>
          <w:szCs w:val="24"/>
          <w:highlight w:val="none"/>
        </w:rPr>
      </w:pPr>
      <w:r>
        <w:rPr>
          <w:rFonts w:hint="eastAsia" w:ascii="宋体" w:hAnsi="宋体" w:cs="宋体"/>
          <w:color w:val="auto"/>
          <w:spacing w:val="6"/>
          <w:kern w:val="0"/>
          <w:sz w:val="24"/>
          <w:szCs w:val="24"/>
          <w:highlight w:val="none"/>
        </w:rPr>
        <w:t>本单位对上述声明的真实性负责。如有虚假，将依法承担相应责任。</w:t>
      </w:r>
    </w:p>
    <w:p w14:paraId="0EDB0FC4">
      <w:pPr>
        <w:shd w:val="clear" w:color="auto" w:fill="auto"/>
        <w:autoSpaceDE w:val="0"/>
        <w:autoSpaceDN w:val="0"/>
        <w:spacing w:line="360" w:lineRule="auto"/>
        <w:ind w:firstLine="504" w:firstLineChars="200"/>
        <w:jc w:val="left"/>
        <w:rPr>
          <w:rFonts w:hint="eastAsia" w:ascii="宋体" w:hAnsi="宋体" w:cs="宋体"/>
          <w:color w:val="auto"/>
          <w:spacing w:val="6"/>
          <w:kern w:val="0"/>
          <w:sz w:val="24"/>
          <w:szCs w:val="24"/>
          <w:highlight w:val="none"/>
        </w:rPr>
      </w:pPr>
    </w:p>
    <w:p w14:paraId="4834E979">
      <w:pPr>
        <w:shd w:val="clear" w:color="auto" w:fill="auto"/>
        <w:tabs>
          <w:tab w:val="left" w:pos="4860"/>
        </w:tabs>
        <w:autoSpaceDE w:val="0"/>
        <w:autoSpaceDN w:val="0"/>
        <w:spacing w:line="360" w:lineRule="auto"/>
        <w:ind w:right="1560" w:firstLine="504" w:firstLineChars="200"/>
        <w:jc w:val="center"/>
        <w:rPr>
          <w:rFonts w:hint="eastAsia" w:ascii="宋体" w:hAnsi="宋体" w:cs="宋体"/>
          <w:color w:val="auto"/>
          <w:spacing w:val="6"/>
          <w:kern w:val="0"/>
          <w:sz w:val="24"/>
          <w:szCs w:val="24"/>
          <w:highlight w:val="none"/>
        </w:rPr>
      </w:pPr>
      <w:r>
        <w:rPr>
          <w:rFonts w:hint="eastAsia" w:ascii="宋体" w:hAnsi="宋体" w:cs="宋体"/>
          <w:color w:val="auto"/>
          <w:spacing w:val="6"/>
          <w:kern w:val="0"/>
          <w:sz w:val="24"/>
          <w:szCs w:val="24"/>
          <w:highlight w:val="none"/>
        </w:rPr>
        <w:t xml:space="preserve">               单位名称（盖章）：</w:t>
      </w:r>
    </w:p>
    <w:p w14:paraId="1D5DAA0E">
      <w:pPr>
        <w:shd w:val="clear" w:color="auto" w:fill="auto"/>
        <w:tabs>
          <w:tab w:val="left" w:pos="4860"/>
        </w:tabs>
        <w:autoSpaceDE w:val="0"/>
        <w:autoSpaceDN w:val="0"/>
        <w:spacing w:line="360" w:lineRule="auto"/>
        <w:ind w:right="1560" w:firstLine="504" w:firstLineChars="200"/>
        <w:jc w:val="center"/>
        <w:rPr>
          <w:rFonts w:hint="eastAsia" w:ascii="宋体" w:hAnsi="宋体" w:cs="宋体"/>
          <w:color w:val="auto"/>
          <w:spacing w:val="6"/>
          <w:kern w:val="0"/>
          <w:sz w:val="24"/>
          <w:szCs w:val="24"/>
          <w:highlight w:val="none"/>
        </w:rPr>
      </w:pPr>
      <w:r>
        <w:rPr>
          <w:rFonts w:hint="eastAsia" w:ascii="宋体" w:hAnsi="宋体" w:cs="宋体"/>
          <w:color w:val="auto"/>
          <w:spacing w:val="6"/>
          <w:kern w:val="0"/>
          <w:sz w:val="24"/>
          <w:szCs w:val="24"/>
          <w:highlight w:val="none"/>
        </w:rPr>
        <w:t xml:space="preserve">       日  期：</w:t>
      </w:r>
    </w:p>
    <w:p w14:paraId="082F12ED">
      <w:pPr>
        <w:widowControl/>
        <w:shd w:val="clear" w:color="auto" w:fill="auto"/>
        <w:autoSpaceDE w:val="0"/>
        <w:autoSpaceDN w:val="0"/>
        <w:ind w:firstLine="482" w:firstLineChars="200"/>
        <w:rPr>
          <w:rFonts w:hint="eastAsia" w:ascii="宋体" w:hAnsi="宋体" w:cs="宋体"/>
          <w:b/>
          <w:color w:val="auto"/>
          <w:kern w:val="0"/>
          <w:sz w:val="24"/>
          <w:szCs w:val="24"/>
          <w:highlight w:val="none"/>
        </w:rPr>
      </w:pPr>
      <w:r>
        <w:rPr>
          <w:rFonts w:hint="eastAsia" w:ascii="宋体" w:hAnsi="宋体" w:cs="宋体"/>
          <w:b/>
          <w:color w:val="auto"/>
          <w:kern w:val="0"/>
          <w:sz w:val="24"/>
          <w:szCs w:val="24"/>
          <w:highlight w:val="none"/>
        </w:rPr>
        <w:t>（提醒：如果供应商</w:t>
      </w:r>
      <w:r>
        <w:rPr>
          <w:rFonts w:hint="eastAsia" w:ascii="宋体" w:hAnsi="宋体" w:cs="宋体"/>
          <w:b/>
          <w:color w:val="auto"/>
          <w:spacing w:val="10"/>
          <w:kern w:val="0"/>
          <w:sz w:val="24"/>
          <w:szCs w:val="24"/>
          <w:highlight w:val="none"/>
        </w:rPr>
        <w:t>不是残疾人福利性单位</w:t>
      </w:r>
      <w:r>
        <w:rPr>
          <w:rFonts w:hint="eastAsia" w:ascii="宋体" w:hAnsi="宋体" w:cs="宋体"/>
          <w:b/>
          <w:color w:val="auto"/>
          <w:kern w:val="0"/>
          <w:sz w:val="24"/>
          <w:szCs w:val="24"/>
          <w:highlight w:val="none"/>
        </w:rPr>
        <w:t>，则不需要提供《残疾人福利性单位声明函》。否则，因此导致虚假投标的后果由供应商自行承担。）</w:t>
      </w:r>
    </w:p>
    <w:p w14:paraId="2393596F">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《财政部民政部中国残疾人联合会关于促进残疾人就业政府采购政策的通知》（财库（2017〔141〕号）的规定：</w:t>
      </w:r>
    </w:p>
    <w:p w14:paraId="74153C3E">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一、享受政府采购支持政策的残疾人福利性单位应当同时满足以下条件：</w:t>
      </w:r>
    </w:p>
    <w:p w14:paraId="5FD87A33">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（1）安置的残疾人占本单位在职职工人数的比例不低于25%（含25%），并且安置的残疾人人数不少于10人（含10人）；</w:t>
      </w:r>
    </w:p>
    <w:p w14:paraId="524C0C4B">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（2）依法与安置的每位残疾人签订了一年以上（含一年）的劳动合同或服务协议；</w:t>
      </w:r>
    </w:p>
    <w:p w14:paraId="7612AA1F">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（3）为安置的每位残疾人按月足额缴纳了基本养老保险、基本医疗保险、失业保险、工伤保险和生育保险等社会保险费；</w:t>
      </w:r>
    </w:p>
    <w:p w14:paraId="16AEB3E9">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（4）通过银行等金融机构向安置的每位残疾人，按月支付了不低于单位所在区县适用的经省级人民政府批准的月最低工资标准的工资；</w:t>
      </w:r>
    </w:p>
    <w:p w14:paraId="3083E7EA">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（5）提供本单位制造的货物、承担的工程或者服务（以下简称产品），或者提供其他残疾人福利性单位制造的货物（不包括使用非残疾人福利性单位注册商标的货物）。</w:t>
      </w:r>
    </w:p>
    <w:p w14:paraId="21E03A65">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二、中标、成交供应商为残疾人福利性单位的，招标人或者其委托的招标代理机构应当随中标、成交结果同时公告其《残疾人福利性单位声明函》，接受社会监督。</w:t>
      </w:r>
    </w:p>
    <w:p w14:paraId="3923D8D6">
      <w:pPr>
        <w:shd w:val="clear" w:color="auto" w:fill="auto"/>
        <w:autoSpaceDE w:val="0"/>
        <w:autoSpaceDN w:val="0"/>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供应商提供的《残疾人福利性单位声明函》与事实不符的，依照《政府采购法》第七十七条第一款的规定追究法律责任。</w:t>
      </w:r>
    </w:p>
    <w:p w14:paraId="1490BC05">
      <w:pPr>
        <w:numPr>
          <w:ilvl w:val="0"/>
          <w:numId w:val="6"/>
        </w:numPr>
        <w:shd w:val="clear" w:color="auto" w:fill="auto"/>
        <w:autoSpaceDE w:val="0"/>
        <w:autoSpaceDN w:val="0"/>
        <w:ind w:firstLine="480" w:firstLineChars="200"/>
        <w:rPr>
          <w:rFonts w:hint="eastAsia" w:ascii="宋体" w:hAnsi="宋体" w:cs="宋体"/>
          <w:b/>
          <w:bCs/>
          <w:color w:val="auto"/>
          <w:kern w:val="10"/>
          <w:sz w:val="28"/>
          <w:szCs w:val="28"/>
          <w:highlight w:val="none"/>
        </w:rPr>
      </w:pPr>
      <w:r>
        <w:rPr>
          <w:rFonts w:hint="eastAsia" w:ascii="宋体" w:hAnsi="宋体" w:cs="宋体"/>
          <w:color w:val="auto"/>
          <w:kern w:val="0"/>
          <w:sz w:val="24"/>
          <w:szCs w:val="24"/>
          <w:highlight w:val="none"/>
        </w:rPr>
        <w:t>在政府采购活动中，</w:t>
      </w:r>
      <w:r>
        <w:rPr>
          <w:rFonts w:hint="eastAsia" w:ascii="宋体" w:hAnsi="宋体" w:cs="宋体"/>
          <w:b/>
          <w:bCs/>
          <w:color w:val="auto"/>
          <w:kern w:val="0"/>
          <w:sz w:val="24"/>
          <w:szCs w:val="24"/>
          <w:highlight w:val="none"/>
        </w:rPr>
        <w:t>残疾人福利性单位视同小型、微型企业</w:t>
      </w:r>
      <w:r>
        <w:rPr>
          <w:rFonts w:hint="eastAsia" w:ascii="宋体" w:hAnsi="宋体" w:cs="宋体"/>
          <w:color w:val="auto"/>
          <w:kern w:val="0"/>
          <w:sz w:val="24"/>
          <w:szCs w:val="24"/>
          <w:highlight w:val="none"/>
        </w:rPr>
        <w:t>，享受预留份额、评审中价格扣除等促进中小企业发展的政府采购政策。向残疾人福利性单位采购的金额，计入面向中小企业采购的统计数据。残疾人福利性单位属于小型、微型企业的，不重复享受政策。</w:t>
      </w:r>
    </w:p>
    <w:p w14:paraId="30065A86">
      <w:pPr>
        <w:shd w:val="clear" w:color="auto" w:fill="auto"/>
        <w:ind w:firstLine="560"/>
        <w:jc w:val="center"/>
        <w:rPr>
          <w:rFonts w:hint="eastAsia" w:ascii="宋体" w:hAnsi="宋体" w:cs="宋体"/>
          <w:b/>
          <w:bCs/>
          <w:color w:val="auto"/>
          <w:kern w:val="10"/>
          <w:sz w:val="28"/>
          <w:szCs w:val="28"/>
          <w:highlight w:val="none"/>
        </w:rPr>
      </w:pPr>
      <w:r>
        <w:rPr>
          <w:rFonts w:hint="eastAsia" w:ascii="宋体" w:hAnsi="宋体" w:cs="宋体"/>
          <w:b/>
          <w:bCs/>
          <w:color w:val="auto"/>
          <w:kern w:val="10"/>
          <w:sz w:val="28"/>
          <w:szCs w:val="28"/>
          <w:highlight w:val="none"/>
        </w:rPr>
        <w:br w:type="page"/>
      </w:r>
      <w:r>
        <w:rPr>
          <w:rFonts w:hint="eastAsia" w:ascii="宋体" w:hAnsi="宋体" w:cs="宋体"/>
          <w:b/>
          <w:bCs/>
          <w:color w:val="auto"/>
          <w:kern w:val="10"/>
          <w:sz w:val="28"/>
          <w:szCs w:val="28"/>
          <w:highlight w:val="none"/>
        </w:rPr>
        <w:t>3、监狱企业证明文件</w:t>
      </w:r>
    </w:p>
    <w:p w14:paraId="6CFF4BE4">
      <w:pPr>
        <w:shd w:val="clear" w:color="auto" w:fill="auto"/>
        <w:autoSpaceDE w:val="0"/>
        <w:autoSpaceDN w:val="0"/>
        <w:spacing w:line="360" w:lineRule="auto"/>
        <w:ind w:firstLine="480" w:firstLineChars="200"/>
        <w:rPr>
          <w:rFonts w:hint="eastAsia" w:ascii="宋体" w:hAnsi="宋体" w:cs="宋体"/>
          <w:color w:val="auto"/>
          <w:sz w:val="24"/>
          <w:szCs w:val="24"/>
          <w:highlight w:val="none"/>
        </w:rPr>
      </w:pPr>
    </w:p>
    <w:p w14:paraId="25A86124">
      <w:pPr>
        <w:shd w:val="clear" w:color="auto" w:fill="auto"/>
        <w:autoSpaceDE w:val="0"/>
        <w:autoSpaceDN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省级以上监狱管理局、戒毒管理局（含新疆生产建设兵团）出具的属于监狱企业的证明文件。</w:t>
      </w:r>
    </w:p>
    <w:p w14:paraId="05E6F9AD">
      <w:pPr>
        <w:shd w:val="clear" w:color="auto" w:fill="auto"/>
        <w:autoSpaceDE w:val="0"/>
        <w:autoSpaceDN w:val="0"/>
        <w:spacing w:line="360" w:lineRule="auto"/>
        <w:ind w:firstLine="480" w:firstLineChars="200"/>
        <w:rPr>
          <w:rFonts w:hint="eastAsia" w:ascii="宋体" w:hAnsi="宋体" w:cs="宋体"/>
          <w:color w:val="auto"/>
          <w:sz w:val="24"/>
          <w:szCs w:val="24"/>
          <w:highlight w:val="none"/>
        </w:rPr>
      </w:pPr>
    </w:p>
    <w:p w14:paraId="528480F2">
      <w:pPr>
        <w:shd w:val="clear" w:color="auto" w:fill="auto"/>
        <w:autoSpaceDE w:val="0"/>
        <w:autoSpaceDN w:val="0"/>
        <w:spacing w:line="360" w:lineRule="auto"/>
        <w:ind w:firstLine="480" w:firstLineChars="200"/>
        <w:rPr>
          <w:rFonts w:hint="eastAsia" w:ascii="宋体" w:hAnsi="宋体" w:cs="宋体"/>
          <w:color w:val="auto"/>
          <w:sz w:val="24"/>
          <w:szCs w:val="24"/>
          <w:highlight w:val="none"/>
        </w:rPr>
      </w:pPr>
    </w:p>
    <w:p w14:paraId="518ACBAE">
      <w:pPr>
        <w:shd w:val="clear" w:color="auto" w:fill="auto"/>
        <w:autoSpaceDE w:val="0"/>
        <w:autoSpaceDN w:val="0"/>
        <w:spacing w:line="360" w:lineRule="auto"/>
        <w:ind w:firstLine="480" w:firstLineChars="200"/>
        <w:rPr>
          <w:rFonts w:hint="eastAsia" w:ascii="宋体" w:hAnsi="宋体" w:cs="宋体"/>
          <w:color w:val="auto"/>
          <w:sz w:val="24"/>
          <w:szCs w:val="24"/>
          <w:highlight w:val="none"/>
        </w:rPr>
      </w:pPr>
    </w:p>
    <w:p w14:paraId="4A7B3BBD">
      <w:pPr>
        <w:shd w:val="clear" w:color="auto" w:fill="auto"/>
        <w:autoSpaceDE w:val="0"/>
        <w:autoSpaceDN w:val="0"/>
        <w:spacing w:line="360" w:lineRule="auto"/>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w:t>
      </w:r>
      <w:r>
        <w:rPr>
          <w:rFonts w:hint="eastAsia" w:ascii="宋体" w:hAnsi="宋体" w:cs="宋体"/>
          <w:color w:val="auto"/>
          <w:kern w:val="0"/>
          <w:sz w:val="24"/>
          <w:szCs w:val="24"/>
          <w:highlight w:val="none"/>
        </w:rPr>
        <w:t>在政府采购活动中，</w:t>
      </w:r>
      <w:r>
        <w:rPr>
          <w:rFonts w:hint="eastAsia" w:ascii="宋体" w:hAnsi="宋体" w:cs="宋体"/>
          <w:b/>
          <w:bCs/>
          <w:color w:val="auto"/>
          <w:kern w:val="0"/>
          <w:sz w:val="24"/>
          <w:szCs w:val="24"/>
          <w:highlight w:val="none"/>
        </w:rPr>
        <w:t>监狱企业视同小型、微型企业</w:t>
      </w:r>
      <w:r>
        <w:rPr>
          <w:rFonts w:hint="eastAsia" w:ascii="宋体" w:hAnsi="宋体" w:cs="宋体"/>
          <w:color w:val="auto"/>
          <w:kern w:val="0"/>
          <w:sz w:val="24"/>
          <w:szCs w:val="24"/>
          <w:highlight w:val="none"/>
        </w:rPr>
        <w:t>，享受预留份额、评审中价格扣除等政府采购促进中小企业发展的政府采购政策。但监狱企业参加政府采购活动时，</w:t>
      </w:r>
      <w:r>
        <w:rPr>
          <w:rFonts w:hint="eastAsia" w:ascii="宋体" w:hAnsi="宋体" w:cs="宋体"/>
          <w:b/>
          <w:bCs/>
          <w:color w:val="auto"/>
          <w:kern w:val="0"/>
          <w:sz w:val="24"/>
          <w:szCs w:val="24"/>
          <w:highlight w:val="none"/>
        </w:rPr>
        <w:t>应当提供由省级以上监狱管理局、戒毒管理局（含新疆生产建设兵团）出具的属于监狱企业的证明文件</w:t>
      </w:r>
      <w:r>
        <w:rPr>
          <w:rFonts w:hint="eastAsia" w:ascii="宋体" w:hAnsi="宋体" w:cs="宋体"/>
          <w:color w:val="auto"/>
          <w:kern w:val="0"/>
          <w:sz w:val="24"/>
          <w:szCs w:val="24"/>
          <w:highlight w:val="none"/>
        </w:rPr>
        <w:t>，否则不能认为其为监狱企业）</w:t>
      </w:r>
    </w:p>
    <w:p w14:paraId="68DF4AE5">
      <w:pPr>
        <w:shd w:val="clear" w:color="auto" w:fill="auto"/>
        <w:spacing w:after="120" w:line="440" w:lineRule="exact"/>
        <w:rPr>
          <w:rFonts w:hint="eastAsia" w:ascii="宋体" w:hAnsi="宋体" w:cs="宋体"/>
          <w:b/>
          <w:iCs/>
          <w:sz w:val="24"/>
          <w:highlight w:val="none"/>
        </w:rPr>
      </w:pPr>
    </w:p>
    <w:p w14:paraId="3341A9E1"/>
    <w:p w14:paraId="554505FB"/>
    <w:sectPr>
      <w:headerReference r:id="rId4" w:type="first"/>
      <w:headerReference r:id="rId3" w:type="default"/>
      <w:footerReference r:id="rId5" w:type="default"/>
      <w:pgSz w:w="11906" w:h="16838"/>
      <w:pgMar w:top="1531" w:right="1247" w:bottom="1247" w:left="1418" w:header="851" w:footer="850"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
    <w:altName w:val="Courier New"/>
    <w:panose1 w:val="00000000000000000000"/>
    <w:charset w:val="00"/>
    <w:family w:val="auto"/>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2010609030101010101"/>
    <w:charset w:val="86"/>
    <w:family w:val="auto"/>
    <w:pitch w:val="default"/>
    <w:sig w:usb0="00000000" w:usb1="00000000" w:usb2="00000000" w:usb3="00000000" w:csb0="00040000" w:csb1="00000000"/>
  </w:font>
  <w:font w:name="Noto Serif CJK SC">
    <w:altName w:val="微软雅黑"/>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10846">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1076C50">
                          <w:pPr>
                            <w:pStyle w:val="6"/>
                          </w:pPr>
                          <w:r>
                            <w:fldChar w:fldCharType="begin"/>
                          </w:r>
                          <w:r>
                            <w:instrText xml:space="preserve"> PAGE  \* MERGEFORMAT </w:instrText>
                          </w:r>
                          <w:r>
                            <w:fldChar w:fldCharType="separate"/>
                          </w:r>
                          <w:r>
                            <w:t>2</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11076C50">
                    <w:pPr>
                      <w:pStyle w:val="6"/>
                    </w:pPr>
                    <w:r>
                      <w:fldChar w:fldCharType="begin"/>
                    </w:r>
                    <w:r>
                      <w:instrText xml:space="preserve"> PAGE  \* MERGEFORMAT </w:instrText>
                    </w:r>
                    <w:r>
                      <w:fldChar w:fldCharType="separate"/>
                    </w:r>
                    <w:r>
                      <w:t>2</w:t>
                    </w:r>
                    <w:r>
                      <w:fldChar w:fldCharType="end"/>
                    </w:r>
                  </w:p>
                </w:txbxContent>
              </v:textbox>
            </v:shape>
          </w:pict>
        </mc:Fallback>
      </mc:AlternateContent>
    </w:r>
  </w:p>
  <w:p w14:paraId="0DD04790">
    <w:pPr>
      <w:pStyle w:val="6"/>
      <w:ind w:right="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85295">
    <w:pPr>
      <w:pStyle w:val="7"/>
      <w:pBdr>
        <w:bottom w:val="none" w:color="auto" w:sz="0" w:space="0"/>
      </w:pBdr>
      <w:tabs>
        <w:tab w:val="left" w:pos="462"/>
        <w:tab w:val="clear" w:pos="4153"/>
        <w:tab w:val="clear" w:pos="8306"/>
      </w:tabs>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FDBE0">
    <w:pPr>
      <w:pStyle w:val="7"/>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2D77BE"/>
    <w:multiLevelType w:val="singleLevel"/>
    <w:tmpl w:val="882D77BE"/>
    <w:lvl w:ilvl="0" w:tentative="0">
      <w:start w:val="6"/>
      <w:numFmt w:val="chineseCounting"/>
      <w:suff w:val="space"/>
      <w:lvlText w:val="第%1章"/>
      <w:lvlJc w:val="left"/>
      <w:rPr>
        <w:rFonts w:hint="eastAsia"/>
      </w:rPr>
    </w:lvl>
  </w:abstractNum>
  <w:abstractNum w:abstractNumId="1">
    <w:nsid w:val="A5E2B2AA"/>
    <w:multiLevelType w:val="singleLevel"/>
    <w:tmpl w:val="A5E2B2AA"/>
    <w:lvl w:ilvl="0" w:tentative="0">
      <w:start w:val="3"/>
      <w:numFmt w:val="chineseCounting"/>
      <w:suff w:val="nothing"/>
      <w:lvlText w:val="%1、"/>
      <w:lvlJc w:val="left"/>
      <w:pPr>
        <w:ind w:left="0" w:firstLine="0"/>
      </w:pPr>
    </w:lvl>
  </w:abstractNum>
  <w:abstractNum w:abstractNumId="2">
    <w:nsid w:val="EF8F36A6"/>
    <w:multiLevelType w:val="singleLevel"/>
    <w:tmpl w:val="EF8F36A6"/>
    <w:lvl w:ilvl="0" w:tentative="0">
      <w:start w:val="1"/>
      <w:numFmt w:val="decimal"/>
      <w:suff w:val="nothing"/>
      <w:lvlText w:val="%1、"/>
      <w:lvlJc w:val="left"/>
    </w:lvl>
  </w:abstractNum>
  <w:abstractNum w:abstractNumId="3">
    <w:nsid w:val="15274AD4"/>
    <w:multiLevelType w:val="singleLevel"/>
    <w:tmpl w:val="15274AD4"/>
    <w:lvl w:ilvl="0" w:tentative="0">
      <w:start w:val="4"/>
      <w:numFmt w:val="decimal"/>
      <w:suff w:val="nothing"/>
      <w:lvlText w:val="%1、"/>
      <w:lvlJc w:val="left"/>
      <w:pPr>
        <w:ind w:left="420"/>
      </w:pPr>
    </w:lvl>
  </w:abstractNum>
  <w:abstractNum w:abstractNumId="4">
    <w:nsid w:val="5D0561BB"/>
    <w:multiLevelType w:val="multilevel"/>
    <w:tmpl w:val="5D0561BB"/>
    <w:lvl w:ilvl="0" w:tentative="0">
      <w:start w:val="8"/>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669F2904"/>
    <w:multiLevelType w:val="singleLevel"/>
    <w:tmpl w:val="669F2904"/>
    <w:lvl w:ilvl="0" w:tentative="0">
      <w:start w:val="1"/>
      <w:numFmt w:val="decimal"/>
      <w:suff w:val="nothing"/>
      <w:lvlText w:val="（%1）"/>
      <w:lvlJc w:val="left"/>
      <w:pPr>
        <w:ind w:left="0" w:firstLine="0"/>
      </w:pPr>
    </w:lvl>
  </w:abstractNum>
  <w:num w:numId="1">
    <w:abstractNumId w:val="3"/>
  </w:num>
  <w:num w:numId="2">
    <w:abstractNumId w:val="2"/>
  </w:num>
  <w:num w:numId="3">
    <w:abstractNumId w:val="5"/>
    <w:lvlOverride w:ilvl="0">
      <w:startOverride w:val="1"/>
    </w:lvlOverride>
  </w:num>
  <w:num w:numId="4">
    <w:abstractNumId w:val="4"/>
  </w:num>
  <w:num w:numId="5">
    <w:abstractNumId w:val="0"/>
  </w:num>
  <w:num w:numId="6">
    <w:abstractNumId w:val="1"/>
    <w:lvlOverride w:ilvl="0">
      <w:startOverride w:val="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FC3E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qFormat/>
    <w:uiPriority w:val="0"/>
    <w:pPr>
      <w:spacing w:before="26"/>
      <w:ind w:left="94"/>
      <w:jc w:val="left"/>
      <w:outlineLvl w:val="2"/>
    </w:pPr>
    <w:rPr>
      <w:rFonts w:ascii="??" w:hAnsi="??"/>
      <w:b/>
      <w:bCs/>
      <w:kern w:val="0"/>
      <w:sz w:val="24"/>
      <w:lang w:eastAsia="en-US"/>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unhideWhenUsed/>
    <w:qFormat/>
    <w:uiPriority w:val="99"/>
    <w:pPr>
      <w:spacing w:after="120"/>
      <w:ind w:left="420" w:leftChars="200"/>
    </w:pPr>
    <w:rPr>
      <w:kern w:val="0"/>
      <w:sz w:val="20"/>
      <w:szCs w:val="21"/>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uiPriority w:val="39"/>
    <w:pPr>
      <w:spacing w:before="120" w:after="120"/>
      <w:jc w:val="left"/>
    </w:pPr>
    <w:rPr>
      <w:rFonts w:ascii="Calibri" w:hAnsi="Calibri" w:cs="Calibri"/>
      <w:b/>
      <w:bCs/>
      <w:caps/>
      <w:sz w:val="20"/>
      <w:szCs w:val="20"/>
    </w:rPr>
  </w:style>
  <w:style w:type="paragraph" w:styleId="9">
    <w:name w:val="toc 2"/>
    <w:basedOn w:val="1"/>
    <w:next w:val="1"/>
    <w:uiPriority w:val="39"/>
    <w:pPr>
      <w:ind w:left="210"/>
      <w:jc w:val="left"/>
    </w:pPr>
    <w:rPr>
      <w:rFonts w:ascii="Calibri" w:hAnsi="Calibri" w:cs="Calibri"/>
      <w:smallCaps/>
      <w:sz w:val="20"/>
      <w:szCs w:val="20"/>
    </w:rPr>
  </w:style>
  <w:style w:type="paragraph" w:styleId="10">
    <w:name w:val="Body Text First Indent"/>
    <w:basedOn w:val="1"/>
    <w:next w:val="11"/>
    <w:qFormat/>
    <w:uiPriority w:val="0"/>
    <w:pPr>
      <w:spacing w:line="360" w:lineRule="auto"/>
      <w:ind w:firstLine="420"/>
    </w:pPr>
    <w:rPr>
      <w:rFonts w:eastAsia="Arial Unicode MS"/>
      <w:color w:val="000000"/>
      <w:sz w:val="28"/>
      <w:szCs w:val="28"/>
    </w:rPr>
  </w:style>
  <w:style w:type="paragraph" w:styleId="11">
    <w:name w:val="Body Text First Indent 2"/>
    <w:basedOn w:val="5"/>
    <w:qFormat/>
    <w:uiPriority w:val="0"/>
    <w:pPr>
      <w:spacing w:before="100" w:beforeAutospacing="1" w:line="360" w:lineRule="auto"/>
      <w:ind w:firstLine="420"/>
    </w:pPr>
    <w:rPr>
      <w:rFonts w:eastAsia="Arial Unicode MS"/>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79</Pages>
  <Words>0</Words>
  <Characters>0</Characters>
  <Lines>0</Lines>
  <Paragraphs>0</Paragraphs>
  <TotalTime>9</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2026-08-26T22:34:47Z</dcterms:created>
  <dc:creator>李琦</dc:creator>
  <cp:lastModifiedBy>小月</cp:lastModifiedBy>
  <dcterms:modified xsi:type="dcterms:W3CDTF">2026-08-26T22:44:35Z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eyJoZGlkIjoiYThlZDUwNDRkMTNiY2JiNTEwOTczZDQ1ZmU2ZmVhMjMiLCJ1c2VySWQiOiIzOTQwMTA4NDYifQ==</vt:lpwstr>
  </property>
  <property fmtid="{D5CDD505-2E9C-101B-9397-08002B2CF9AE}" pid="4" name="ICV">
    <vt:lpwstr>948ECB1164D4406D871DCA7DD9544E8B_12</vt:lpwstr>
  </property>
</Properties>
</file>