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7DFBD">
      <w:pPr>
        <w:jc w:val="center"/>
        <w:rPr>
          <w:rFonts w:hint="eastAsia" w:ascii="宋体" w:hAnsi="宋体" w:eastAsia="宋体" w:cs="宋体"/>
          <w:b/>
          <w:bCs/>
          <w:color w:val="auto"/>
          <w:sz w:val="52"/>
          <w:szCs w:val="52"/>
          <w:highlight w:val="none"/>
          <w:lang w:eastAsia="zh-CN"/>
        </w:rPr>
      </w:pPr>
      <w:bookmarkStart w:id="0" w:name="_Toc12347"/>
      <w:bookmarkStart w:id="1" w:name="_Toc15236"/>
      <w:r>
        <w:rPr>
          <w:rFonts w:hint="eastAsia" w:ascii="宋体" w:hAnsi="宋体" w:eastAsia="宋体" w:cs="宋体"/>
          <w:b/>
          <w:bCs/>
          <w:color w:val="auto"/>
          <w:sz w:val="52"/>
          <w:szCs w:val="52"/>
          <w:highlight w:val="none"/>
          <w:lang w:eastAsia="zh-CN"/>
        </w:rPr>
        <w:drawing>
          <wp:inline distT="0" distB="0" distL="114300" distR="114300">
            <wp:extent cx="5619115" cy="8488680"/>
            <wp:effectExtent l="0" t="0" r="4445" b="0"/>
            <wp:docPr id="11" name="图片 11" descr="7bda76517723f29b1908eb0100fcd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bda76517723f29b1908eb0100fcdec1"/>
                    <pic:cNvPicPr>
                      <a:picLocks noChangeAspect="1"/>
                    </pic:cNvPicPr>
                  </pic:nvPicPr>
                  <pic:blipFill>
                    <a:blip r:embed="rId14"/>
                    <a:srcRect l="14754" t="10466" r="8973" b="8550"/>
                    <a:stretch>
                      <a:fillRect/>
                    </a:stretch>
                  </pic:blipFill>
                  <pic:spPr>
                    <a:xfrm>
                      <a:off x="0" y="0"/>
                      <a:ext cx="5619115" cy="8488680"/>
                    </a:xfrm>
                    <a:prstGeom prst="rect">
                      <a:avLst/>
                    </a:prstGeom>
                  </pic:spPr>
                </pic:pic>
              </a:graphicData>
            </a:graphic>
          </wp:inline>
        </w:drawing>
      </w:r>
    </w:p>
    <w:p w14:paraId="7F4E07BD">
      <w:pPr>
        <w:jc w:val="center"/>
        <w:rPr>
          <w:rFonts w:hint="eastAsia" w:ascii="宋体" w:hAnsi="宋体" w:eastAsia="宋体" w:cs="宋体"/>
          <w:b/>
          <w:bCs/>
          <w:color w:val="auto"/>
          <w:sz w:val="52"/>
          <w:szCs w:val="52"/>
          <w:highlight w:val="none"/>
          <w:lang w:eastAsia="zh-CN"/>
        </w:rPr>
      </w:pPr>
      <w:r>
        <w:rPr>
          <w:rFonts w:hint="eastAsia" w:ascii="宋体" w:hAnsi="宋体" w:eastAsia="宋体" w:cs="宋体"/>
          <w:b/>
          <w:bCs/>
          <w:color w:val="auto"/>
          <w:sz w:val="52"/>
          <w:szCs w:val="52"/>
          <w:highlight w:val="none"/>
          <w:lang w:eastAsia="zh-CN"/>
        </w:rPr>
        <w:t>英豪镇后营村购置玉米收割机项目</w:t>
      </w:r>
    </w:p>
    <w:p w14:paraId="61BFB086">
      <w:pPr>
        <w:jc w:val="center"/>
        <w:rPr>
          <w:rFonts w:hint="eastAsia" w:ascii="宋体" w:hAnsi="宋体" w:eastAsia="宋体" w:cs="宋体"/>
          <w:b/>
          <w:bCs/>
          <w:color w:val="auto"/>
          <w:sz w:val="52"/>
          <w:szCs w:val="52"/>
          <w:highlight w:val="none"/>
        </w:rPr>
      </w:pPr>
    </w:p>
    <w:p w14:paraId="417DBD7F">
      <w:pPr>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竞争性磋商文件</w:t>
      </w:r>
      <w:bookmarkEnd w:id="0"/>
      <w:bookmarkEnd w:id="1"/>
    </w:p>
    <w:p w14:paraId="5984E0B8">
      <w:pPr>
        <w:ind w:firstLine="435"/>
        <w:jc w:val="center"/>
        <w:rPr>
          <w:color w:val="auto"/>
          <w:highlight w:val="none"/>
        </w:rPr>
      </w:pPr>
    </w:p>
    <w:p w14:paraId="585E7F6D">
      <w:pPr>
        <w:spacing w:line="360" w:lineRule="auto"/>
        <w:jc w:val="center"/>
        <w:rPr>
          <w:rFonts w:ascii="宋体" w:hAnsi="宋体" w:cs="宋体"/>
          <w:b/>
          <w:color w:val="auto"/>
          <w:sz w:val="24"/>
          <w:szCs w:val="28"/>
          <w:highlight w:val="none"/>
        </w:rPr>
      </w:pPr>
      <w:bookmarkStart w:id="2" w:name="_Toc12438"/>
    </w:p>
    <w:p w14:paraId="0BF8957A">
      <w:pPr>
        <w:jc w:val="center"/>
        <w:rPr>
          <w:rFonts w:hint="eastAsia" w:ascii="宋体" w:hAnsi="宋体" w:eastAsia="宋体" w:cs="宋体"/>
          <w:b/>
          <w:bCs/>
          <w:color w:val="auto"/>
          <w:sz w:val="28"/>
          <w:szCs w:val="28"/>
          <w:highlight w:val="none"/>
          <w:lang w:eastAsia="zh-CN"/>
        </w:rPr>
      </w:pPr>
      <w:bookmarkStart w:id="3" w:name="_Toc12587"/>
      <w:r>
        <w:rPr>
          <w:rFonts w:hint="eastAsia" w:ascii="宋体" w:hAnsi="宋体" w:eastAsia="宋体" w:cs="宋体"/>
          <w:b/>
          <w:bCs/>
          <w:color w:val="auto"/>
          <w:sz w:val="28"/>
          <w:szCs w:val="28"/>
          <w:highlight w:val="none"/>
        </w:rPr>
        <w:t>项目编号：</w:t>
      </w:r>
      <w:bookmarkEnd w:id="2"/>
      <w:bookmarkEnd w:id="3"/>
      <w:bookmarkStart w:id="4" w:name="OLE_LINK3"/>
      <w:bookmarkEnd w:id="4"/>
      <w:bookmarkStart w:id="5" w:name="OLE_LINK2"/>
      <w:bookmarkEnd w:id="5"/>
      <w:r>
        <w:rPr>
          <w:rFonts w:hint="eastAsia" w:ascii="宋体" w:hAnsi="宋体" w:eastAsia="宋体" w:cs="宋体"/>
          <w:b/>
          <w:bCs/>
          <w:color w:val="auto"/>
          <w:sz w:val="28"/>
          <w:szCs w:val="28"/>
          <w:highlight w:val="none"/>
          <w:lang w:eastAsia="zh-CN"/>
        </w:rPr>
        <w:t>渑池竞磋采购-2026-139、</w:t>
      </w:r>
    </w:p>
    <w:p w14:paraId="6411BFAC">
      <w:pPr>
        <w:jc w:val="center"/>
        <w:rPr>
          <w:rFonts w:hint="eastAsia" w:ascii="宋体" w:hAnsi="宋体" w:eastAsia="宋体" w:cs="宋体"/>
          <w:b/>
          <w:bCs/>
          <w:color w:val="92D050"/>
          <w:sz w:val="28"/>
          <w:szCs w:val="28"/>
          <w:highlight w:val="none"/>
          <w:lang w:eastAsia="zh-CN"/>
        </w:rPr>
      </w:pPr>
      <w:r>
        <w:rPr>
          <w:rFonts w:hint="eastAsia" w:ascii="宋体" w:hAnsi="宋体" w:eastAsia="宋体" w:cs="宋体"/>
          <w:b/>
          <w:bCs/>
          <w:color w:val="92D050"/>
          <w:sz w:val="28"/>
          <w:szCs w:val="28"/>
          <w:highlight w:val="none"/>
          <w:lang w:val="en-US" w:eastAsia="zh-CN"/>
        </w:rPr>
        <w:t xml:space="preserve">        </w:t>
      </w:r>
      <w:r>
        <w:rPr>
          <w:rFonts w:hint="eastAsia" w:ascii="宋体" w:hAnsi="宋体" w:eastAsia="宋体" w:cs="宋体"/>
          <w:b/>
          <w:bCs/>
          <w:color w:val="auto"/>
          <w:sz w:val="28"/>
          <w:szCs w:val="28"/>
          <w:highlight w:val="none"/>
          <w:lang w:val="en-US" w:eastAsia="zh-CN"/>
        </w:rPr>
        <w:t>MCGZ[2026]203-ZC185</w:t>
      </w:r>
    </w:p>
    <w:p w14:paraId="161DE417">
      <w:pPr>
        <w:rPr>
          <w:color w:val="auto"/>
          <w:highlight w:val="none"/>
        </w:rPr>
      </w:pPr>
    </w:p>
    <w:p w14:paraId="75143C31">
      <w:pPr>
        <w:pStyle w:val="11"/>
        <w:rPr>
          <w:rFonts w:cs="宋体"/>
          <w:b/>
          <w:color w:val="auto"/>
          <w:sz w:val="32"/>
          <w:highlight w:val="none"/>
          <w:lang w:bidi="ar"/>
        </w:rPr>
      </w:pPr>
      <w:r>
        <w:rPr>
          <w:rFonts w:hint="eastAsia" w:asciiTheme="majorEastAsia" w:hAnsiTheme="majorEastAsia" w:eastAsiaTheme="majorEastAsia" w:cstheme="majorEastAsia"/>
          <w:b/>
          <w:bCs/>
          <w:sz w:val="32"/>
          <w:szCs w:val="32"/>
          <w:lang w:val="en-US" w:eastAsia="zh-CN"/>
        </w:rPr>
        <w:t xml:space="preserve">       </w:t>
      </w:r>
      <w:r>
        <w:rPr>
          <w:rFonts w:hint="eastAsia" w:asciiTheme="majorEastAsia" w:hAnsiTheme="majorEastAsia" w:eastAsiaTheme="majorEastAsia" w:cstheme="majorEastAsia"/>
          <w:b/>
          <w:bCs/>
          <w:sz w:val="32"/>
          <w:szCs w:val="32"/>
          <w:lang w:eastAsia="zh-CN"/>
        </w:rPr>
        <w:drawing>
          <wp:inline distT="0" distB="0" distL="114300" distR="114300">
            <wp:extent cx="3094355" cy="2336800"/>
            <wp:effectExtent l="0" t="0" r="14605" b="10160"/>
            <wp:docPr id="12" name="图片 1" descr="9b0cbd23044787dd25ae636aa3b1b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9b0cbd23044787dd25ae636aa3b1b9e"/>
                    <pic:cNvPicPr>
                      <a:picLocks noChangeAspect="1"/>
                    </pic:cNvPicPr>
                  </pic:nvPicPr>
                  <pic:blipFill>
                    <a:blip r:embed="rId15"/>
                    <a:srcRect r="5991" b="27215"/>
                    <a:stretch>
                      <a:fillRect/>
                    </a:stretch>
                  </pic:blipFill>
                  <pic:spPr>
                    <a:xfrm>
                      <a:off x="0" y="0"/>
                      <a:ext cx="3094355" cy="2336800"/>
                    </a:xfrm>
                    <a:prstGeom prst="rect">
                      <a:avLst/>
                    </a:prstGeom>
                    <a:noFill/>
                    <a:ln>
                      <a:noFill/>
                    </a:ln>
                  </pic:spPr>
                </pic:pic>
              </a:graphicData>
            </a:graphic>
          </wp:inline>
        </w:drawing>
      </w:r>
      <w:r>
        <w:rPr>
          <w:rFonts w:hint="eastAsia" w:hAnsi="宋体" w:eastAsia="宋体" w:cs="宋体"/>
          <w:b/>
          <w:color w:val="auto"/>
          <w:spacing w:val="30"/>
          <w:kern w:val="44"/>
          <w:sz w:val="32"/>
          <w:szCs w:val="44"/>
          <w:highlight w:val="none"/>
        </w:rPr>
        <w:t xml:space="preserve">   </w:t>
      </w:r>
    </w:p>
    <w:p w14:paraId="10424254">
      <w:pPr>
        <w:ind w:firstLine="1606" w:firstLineChars="500"/>
        <w:rPr>
          <w:rFonts w:cs="宋体"/>
          <w:b/>
          <w:color w:val="auto"/>
          <w:sz w:val="32"/>
          <w:highlight w:val="none"/>
          <w:lang w:bidi="ar"/>
        </w:rPr>
      </w:pPr>
    </w:p>
    <w:p w14:paraId="3309C78B">
      <w:pPr>
        <w:ind w:firstLine="1606" w:firstLineChars="500"/>
        <w:rPr>
          <w:rFonts w:cs="宋体"/>
          <w:b/>
          <w:color w:val="auto"/>
          <w:sz w:val="32"/>
          <w:highlight w:val="none"/>
          <w:lang w:bidi="ar"/>
        </w:rPr>
      </w:pPr>
    </w:p>
    <w:p w14:paraId="5CBA88FC">
      <w:pPr>
        <w:ind w:firstLine="1606" w:firstLineChars="500"/>
        <w:rPr>
          <w:rFonts w:cs="宋体"/>
          <w:b/>
          <w:color w:val="auto"/>
          <w:sz w:val="32"/>
          <w:highlight w:val="none"/>
          <w:lang w:bidi="ar"/>
        </w:rPr>
      </w:pPr>
    </w:p>
    <w:p w14:paraId="3635C383">
      <w:pPr>
        <w:ind w:firstLine="1606" w:firstLineChars="500"/>
        <w:rPr>
          <w:rFonts w:hint="eastAsia" w:eastAsiaTheme="minorEastAsia"/>
          <w:b/>
          <w:color w:val="auto"/>
          <w:sz w:val="32"/>
          <w:highlight w:val="none"/>
          <w:lang w:eastAsia="zh-CN"/>
        </w:rPr>
      </w:pPr>
      <w:r>
        <w:rPr>
          <w:rFonts w:hint="eastAsia" w:cs="宋体"/>
          <w:b/>
          <w:color w:val="auto"/>
          <w:sz w:val="32"/>
          <w:highlight w:val="none"/>
          <w:lang w:bidi="ar"/>
        </w:rPr>
        <w:t>采 购 人：</w:t>
      </w:r>
      <w:r>
        <w:rPr>
          <w:rFonts w:hint="eastAsia" w:cs="宋体"/>
          <w:b/>
          <w:color w:val="auto"/>
          <w:sz w:val="32"/>
          <w:highlight w:val="none"/>
          <w:lang w:eastAsia="zh-CN" w:bidi="ar"/>
        </w:rPr>
        <w:t>渑池县英豪镇人民政府</w:t>
      </w:r>
    </w:p>
    <w:p w14:paraId="401FCC4F">
      <w:pPr>
        <w:ind w:firstLine="1606" w:firstLineChars="500"/>
        <w:rPr>
          <w:rFonts w:hint="eastAsia" w:eastAsiaTheme="minorEastAsia"/>
          <w:b/>
          <w:color w:val="auto"/>
          <w:sz w:val="32"/>
          <w:highlight w:val="none"/>
          <w:lang w:eastAsia="zh-CN"/>
        </w:rPr>
      </w:pPr>
      <w:r>
        <w:rPr>
          <w:rFonts w:hint="eastAsia" w:cs="宋体"/>
          <w:b/>
          <w:color w:val="auto"/>
          <w:sz w:val="32"/>
          <w:highlight w:val="none"/>
          <w:lang w:bidi="ar"/>
        </w:rPr>
        <w:t>代理机构：</w:t>
      </w:r>
      <w:r>
        <w:rPr>
          <w:rFonts w:hint="eastAsia" w:cs="宋体"/>
          <w:b/>
          <w:color w:val="auto"/>
          <w:sz w:val="32"/>
          <w:highlight w:val="none"/>
          <w:lang w:eastAsia="zh-CN" w:bidi="ar"/>
        </w:rPr>
        <w:t>河南亿禾工程项目管理有限公司</w:t>
      </w:r>
    </w:p>
    <w:p w14:paraId="1F03BF61">
      <w:pPr>
        <w:ind w:firstLine="1606" w:firstLineChars="500"/>
        <w:rPr>
          <w:b/>
          <w:color w:val="auto"/>
          <w:sz w:val="32"/>
          <w:highlight w:val="none"/>
        </w:rPr>
      </w:pPr>
      <w:r>
        <w:rPr>
          <w:rFonts w:hint="eastAsia" w:cs="宋体"/>
          <w:b/>
          <w:color w:val="auto"/>
          <w:sz w:val="32"/>
          <w:highlight w:val="none"/>
          <w:lang w:bidi="ar"/>
        </w:rPr>
        <w:t xml:space="preserve">时 </w:t>
      </w:r>
      <w:r>
        <w:rPr>
          <w:rFonts w:cs="宋体"/>
          <w:b/>
          <w:color w:val="auto"/>
          <w:sz w:val="32"/>
          <w:highlight w:val="none"/>
          <w:lang w:bidi="ar"/>
        </w:rPr>
        <w:t xml:space="preserve">   </w:t>
      </w:r>
      <w:r>
        <w:rPr>
          <w:rFonts w:hint="eastAsia" w:cs="宋体"/>
          <w:b/>
          <w:color w:val="auto"/>
          <w:sz w:val="32"/>
          <w:highlight w:val="none"/>
          <w:lang w:bidi="ar"/>
        </w:rPr>
        <w:t>间：二零二六年</w:t>
      </w:r>
      <w:r>
        <w:rPr>
          <w:rFonts w:hint="eastAsia" w:cs="宋体"/>
          <w:b/>
          <w:color w:val="auto"/>
          <w:sz w:val="32"/>
          <w:highlight w:val="none"/>
          <w:lang w:val="en-US" w:eastAsia="zh-CN" w:bidi="ar"/>
        </w:rPr>
        <w:t>九</w:t>
      </w:r>
      <w:r>
        <w:rPr>
          <w:rFonts w:hint="eastAsia" w:cs="宋体"/>
          <w:b/>
          <w:color w:val="auto"/>
          <w:sz w:val="32"/>
          <w:highlight w:val="none"/>
          <w:lang w:bidi="ar"/>
        </w:rPr>
        <w:t>月</w:t>
      </w:r>
    </w:p>
    <w:p w14:paraId="0EC3591A">
      <w:pPr>
        <w:spacing w:line="480" w:lineRule="auto"/>
        <w:rPr>
          <w:rFonts w:ascii="宋体"/>
          <w:color w:val="auto"/>
          <w:spacing w:val="60"/>
          <w:sz w:val="36"/>
          <w:szCs w:val="36"/>
          <w:highlight w:val="none"/>
          <w:lang w:bidi="ar"/>
        </w:rPr>
        <w:sectPr>
          <w:headerReference r:id="rId4" w:type="first"/>
          <w:headerReference r:id="rId3" w:type="default"/>
          <w:pgSz w:w="11906" w:h="16838"/>
          <w:pgMar w:top="1440" w:right="1800" w:bottom="1440" w:left="1800" w:header="851" w:footer="1191" w:gutter="0"/>
          <w:pgNumType w:start="0"/>
          <w:cols w:space="720" w:num="1"/>
          <w:docGrid w:type="lines" w:linePitch="312" w:charSpace="0"/>
        </w:sectPr>
      </w:pPr>
    </w:p>
    <w:sdt>
      <w:sdtPr>
        <w:rPr>
          <w:rFonts w:ascii="宋体" w:hAnsi="宋体" w:eastAsia="宋体" w:cstheme="minorBidi"/>
          <w:color w:val="auto"/>
          <w:kern w:val="2"/>
          <w:sz w:val="21"/>
          <w:szCs w:val="22"/>
          <w:highlight w:val="none"/>
          <w:lang w:val="en-US" w:eastAsia="zh-CN" w:bidi="ar-SA"/>
        </w:rPr>
        <w:id w:val="147455241"/>
        <w15:color w:val="DBDBDB"/>
        <w:docPartObj>
          <w:docPartGallery w:val="Table of Contents"/>
          <w:docPartUnique/>
        </w:docPartObj>
      </w:sdtPr>
      <w:sdtEndPr>
        <w:rPr>
          <w:rFonts w:hint="eastAsia" w:ascii="宋体" w:hAnsi="宋体" w:cs="宋体" w:eastAsiaTheme="minorEastAsia"/>
          <w:bCs/>
          <w:color w:val="auto"/>
          <w:kern w:val="2"/>
          <w:sz w:val="21"/>
          <w:szCs w:val="28"/>
          <w:highlight w:val="none"/>
          <w:lang w:val="en-US" w:eastAsia="zh-CN" w:bidi="ar-SA"/>
        </w:rPr>
      </w:sdtEndPr>
      <w:sdtContent>
        <w:p w14:paraId="71C99FBD">
          <w:pPr>
            <w:spacing w:before="0" w:beforeLines="0" w:after="0" w:afterLines="0" w:line="480" w:lineRule="auto"/>
            <w:ind w:left="0" w:leftChars="0" w:right="0" w:rightChars="0" w:firstLine="0" w:firstLineChars="0"/>
            <w:jc w:val="center"/>
            <w:rPr>
              <w:b/>
              <w:bCs/>
              <w:color w:val="auto"/>
              <w:sz w:val="48"/>
              <w:szCs w:val="48"/>
              <w:highlight w:val="none"/>
            </w:rPr>
          </w:pPr>
          <w:r>
            <w:rPr>
              <w:rFonts w:ascii="宋体" w:hAnsi="宋体" w:eastAsia="宋体"/>
              <w:b/>
              <w:bCs/>
              <w:color w:val="auto"/>
              <w:sz w:val="48"/>
              <w:szCs w:val="48"/>
              <w:highlight w:val="none"/>
            </w:rPr>
            <w:t>目录</w:t>
          </w:r>
        </w:p>
        <w:p w14:paraId="7BB4D37D">
          <w:pPr>
            <w:pStyle w:val="15"/>
            <w:tabs>
              <w:tab w:val="right" w:leader="dot" w:pos="8306"/>
            </w:tabs>
            <w:spacing w:line="360" w:lineRule="auto"/>
            <w:rPr>
              <w:b/>
              <w:bCs w:val="0"/>
              <w:color w:val="auto"/>
              <w:sz w:val="28"/>
              <w:szCs w:val="28"/>
              <w:highlight w:val="none"/>
            </w:rPr>
          </w:pPr>
          <w:r>
            <w:rPr>
              <w:rFonts w:hint="eastAsia" w:ascii="宋体" w:hAnsi="宋体" w:cs="宋体"/>
              <w:bCs/>
              <w:color w:val="auto"/>
              <w:szCs w:val="28"/>
              <w:highlight w:val="none"/>
            </w:rPr>
            <w:fldChar w:fldCharType="begin"/>
          </w:r>
          <w:r>
            <w:rPr>
              <w:rFonts w:hint="eastAsia" w:ascii="宋体" w:hAnsi="宋体" w:cs="宋体"/>
              <w:bCs/>
              <w:color w:val="auto"/>
              <w:szCs w:val="28"/>
              <w:highlight w:val="none"/>
            </w:rPr>
            <w:instrText xml:space="preserve">TOC \o "1-1" \h \u </w:instrText>
          </w:r>
          <w:r>
            <w:rPr>
              <w:rFonts w:hint="eastAsia" w:ascii="宋体" w:hAnsi="宋体" w:cs="宋体"/>
              <w:bCs/>
              <w:color w:val="auto"/>
              <w:szCs w:val="28"/>
              <w:highlight w:val="none"/>
            </w:rPr>
            <w:fldChar w:fldCharType="separate"/>
          </w:r>
          <w:r>
            <w:rPr>
              <w:rFonts w:hint="eastAsia" w:ascii="宋体" w:hAnsi="宋体" w:cs="宋体"/>
              <w:b/>
              <w:bCs w:val="0"/>
              <w:color w:val="auto"/>
              <w:sz w:val="28"/>
              <w:szCs w:val="28"/>
              <w:highlight w:val="none"/>
            </w:rPr>
            <w:fldChar w:fldCharType="begin"/>
          </w:r>
          <w:r>
            <w:rPr>
              <w:rFonts w:hint="eastAsia" w:ascii="宋体" w:hAnsi="宋体" w:cs="宋体"/>
              <w:b/>
              <w:bCs w:val="0"/>
              <w:color w:val="auto"/>
              <w:sz w:val="28"/>
              <w:szCs w:val="28"/>
              <w:highlight w:val="none"/>
            </w:rPr>
            <w:instrText xml:space="preserve"> HYPERLINK \l _Toc21808 </w:instrText>
          </w:r>
          <w:r>
            <w:rPr>
              <w:rFonts w:hint="eastAsia" w:ascii="宋体" w:hAnsi="宋体" w:cs="宋体"/>
              <w:b/>
              <w:bCs w:val="0"/>
              <w:color w:val="auto"/>
              <w:sz w:val="28"/>
              <w:szCs w:val="28"/>
              <w:highlight w:val="none"/>
            </w:rPr>
            <w:fldChar w:fldCharType="separate"/>
          </w:r>
          <w:r>
            <w:rPr>
              <w:rFonts w:hint="eastAsia" w:ascii="宋体" w:hAnsi="宋体" w:cs="宋体"/>
              <w:b/>
              <w:bCs w:val="0"/>
              <w:color w:val="auto"/>
              <w:sz w:val="28"/>
              <w:szCs w:val="28"/>
              <w:highlight w:val="none"/>
              <w:lang w:bidi="ar"/>
            </w:rPr>
            <w:t>第一章  竞争性磋商公告</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_Toc21808 \h </w:instrText>
          </w:r>
          <w:r>
            <w:rPr>
              <w:b/>
              <w:bCs w:val="0"/>
              <w:color w:val="auto"/>
              <w:sz w:val="28"/>
              <w:szCs w:val="28"/>
              <w:highlight w:val="none"/>
            </w:rPr>
            <w:fldChar w:fldCharType="separate"/>
          </w:r>
          <w:r>
            <w:rPr>
              <w:b/>
              <w:bCs w:val="0"/>
              <w:color w:val="auto"/>
              <w:sz w:val="28"/>
              <w:szCs w:val="28"/>
              <w:highlight w:val="none"/>
            </w:rPr>
            <w:t>1</w:t>
          </w:r>
          <w:r>
            <w:rPr>
              <w:b/>
              <w:bCs w:val="0"/>
              <w:color w:val="auto"/>
              <w:sz w:val="28"/>
              <w:szCs w:val="28"/>
              <w:highlight w:val="none"/>
            </w:rPr>
            <w:fldChar w:fldCharType="end"/>
          </w:r>
          <w:r>
            <w:rPr>
              <w:rFonts w:hint="eastAsia" w:ascii="宋体" w:hAnsi="宋体" w:cs="宋体"/>
              <w:b/>
              <w:bCs w:val="0"/>
              <w:color w:val="auto"/>
              <w:sz w:val="28"/>
              <w:szCs w:val="28"/>
              <w:highlight w:val="none"/>
            </w:rPr>
            <w:fldChar w:fldCharType="end"/>
          </w:r>
        </w:p>
        <w:p w14:paraId="2D8A891B">
          <w:pPr>
            <w:pStyle w:val="15"/>
            <w:tabs>
              <w:tab w:val="right" w:leader="dot" w:pos="8306"/>
            </w:tabs>
            <w:spacing w:line="360" w:lineRule="auto"/>
            <w:rPr>
              <w:b/>
              <w:bCs w:val="0"/>
              <w:color w:val="auto"/>
              <w:sz w:val="28"/>
              <w:szCs w:val="28"/>
              <w:highlight w:val="none"/>
            </w:rPr>
          </w:pPr>
          <w:r>
            <w:rPr>
              <w:rFonts w:hint="eastAsia" w:ascii="宋体" w:hAnsi="宋体" w:cs="宋体"/>
              <w:b/>
              <w:bCs w:val="0"/>
              <w:color w:val="auto"/>
              <w:sz w:val="28"/>
              <w:szCs w:val="28"/>
              <w:highlight w:val="none"/>
            </w:rPr>
            <w:fldChar w:fldCharType="begin"/>
          </w:r>
          <w:r>
            <w:rPr>
              <w:rFonts w:hint="eastAsia" w:ascii="宋体" w:hAnsi="宋体" w:cs="宋体"/>
              <w:b/>
              <w:bCs w:val="0"/>
              <w:color w:val="auto"/>
              <w:sz w:val="28"/>
              <w:szCs w:val="28"/>
              <w:highlight w:val="none"/>
            </w:rPr>
            <w:instrText xml:space="preserve"> HYPERLINK \l _Toc19657 </w:instrText>
          </w:r>
          <w:r>
            <w:rPr>
              <w:rFonts w:hint="eastAsia" w:ascii="宋体" w:hAnsi="宋体" w:cs="宋体"/>
              <w:b/>
              <w:bCs w:val="0"/>
              <w:color w:val="auto"/>
              <w:sz w:val="28"/>
              <w:szCs w:val="28"/>
              <w:highlight w:val="none"/>
            </w:rPr>
            <w:fldChar w:fldCharType="separate"/>
          </w:r>
          <w:r>
            <w:rPr>
              <w:rFonts w:hint="eastAsia" w:ascii="宋体" w:hAnsi="宋体" w:cs="宋体"/>
              <w:b/>
              <w:bCs w:val="0"/>
              <w:color w:val="auto"/>
              <w:sz w:val="28"/>
              <w:szCs w:val="28"/>
              <w:highlight w:val="none"/>
              <w:lang w:bidi="ar"/>
            </w:rPr>
            <w:t>第二章  供应商须知</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_Toc19657 \h </w:instrText>
          </w:r>
          <w:r>
            <w:rPr>
              <w:b/>
              <w:bCs w:val="0"/>
              <w:color w:val="auto"/>
              <w:sz w:val="28"/>
              <w:szCs w:val="28"/>
              <w:highlight w:val="none"/>
            </w:rPr>
            <w:fldChar w:fldCharType="separate"/>
          </w:r>
          <w:r>
            <w:rPr>
              <w:b/>
              <w:bCs w:val="0"/>
              <w:color w:val="auto"/>
              <w:sz w:val="28"/>
              <w:szCs w:val="28"/>
              <w:highlight w:val="none"/>
            </w:rPr>
            <w:t>5</w:t>
          </w:r>
          <w:r>
            <w:rPr>
              <w:b/>
              <w:bCs w:val="0"/>
              <w:color w:val="auto"/>
              <w:sz w:val="28"/>
              <w:szCs w:val="28"/>
              <w:highlight w:val="none"/>
            </w:rPr>
            <w:fldChar w:fldCharType="end"/>
          </w:r>
          <w:r>
            <w:rPr>
              <w:rFonts w:hint="eastAsia" w:ascii="宋体" w:hAnsi="宋体" w:cs="宋体"/>
              <w:b/>
              <w:bCs w:val="0"/>
              <w:color w:val="auto"/>
              <w:sz w:val="28"/>
              <w:szCs w:val="28"/>
              <w:highlight w:val="none"/>
            </w:rPr>
            <w:fldChar w:fldCharType="end"/>
          </w:r>
        </w:p>
        <w:p w14:paraId="6A26D9D3">
          <w:pPr>
            <w:pStyle w:val="15"/>
            <w:tabs>
              <w:tab w:val="right" w:leader="dot" w:pos="8306"/>
            </w:tabs>
            <w:spacing w:line="360" w:lineRule="auto"/>
            <w:rPr>
              <w:b/>
              <w:bCs w:val="0"/>
              <w:color w:val="auto"/>
              <w:sz w:val="28"/>
              <w:szCs w:val="28"/>
              <w:highlight w:val="none"/>
            </w:rPr>
          </w:pPr>
          <w:r>
            <w:rPr>
              <w:rFonts w:hint="eastAsia" w:ascii="宋体" w:hAnsi="宋体" w:cs="宋体"/>
              <w:b/>
              <w:bCs w:val="0"/>
              <w:color w:val="auto"/>
              <w:sz w:val="28"/>
              <w:szCs w:val="28"/>
              <w:highlight w:val="none"/>
            </w:rPr>
            <w:fldChar w:fldCharType="begin"/>
          </w:r>
          <w:r>
            <w:rPr>
              <w:rFonts w:hint="eastAsia" w:ascii="宋体" w:hAnsi="宋体" w:cs="宋体"/>
              <w:b/>
              <w:bCs w:val="0"/>
              <w:color w:val="auto"/>
              <w:sz w:val="28"/>
              <w:szCs w:val="28"/>
              <w:highlight w:val="none"/>
            </w:rPr>
            <w:instrText xml:space="preserve"> HYPERLINK \l _Toc32545 </w:instrText>
          </w:r>
          <w:r>
            <w:rPr>
              <w:rFonts w:hint="eastAsia" w:ascii="宋体" w:hAnsi="宋体" w:cs="宋体"/>
              <w:b/>
              <w:bCs w:val="0"/>
              <w:color w:val="auto"/>
              <w:sz w:val="28"/>
              <w:szCs w:val="28"/>
              <w:highlight w:val="none"/>
            </w:rPr>
            <w:fldChar w:fldCharType="separate"/>
          </w:r>
          <w:r>
            <w:rPr>
              <w:rFonts w:hint="eastAsia" w:ascii="宋体" w:hAnsi="宋体" w:cs="宋体"/>
              <w:b/>
              <w:bCs w:val="0"/>
              <w:color w:val="auto"/>
              <w:sz w:val="28"/>
              <w:szCs w:val="28"/>
              <w:highlight w:val="none"/>
              <w:lang w:bidi="ar"/>
            </w:rPr>
            <w:t>第三章  评标办法</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_Toc32545 \h </w:instrText>
          </w:r>
          <w:r>
            <w:rPr>
              <w:b/>
              <w:bCs w:val="0"/>
              <w:color w:val="auto"/>
              <w:sz w:val="28"/>
              <w:szCs w:val="28"/>
              <w:highlight w:val="none"/>
            </w:rPr>
            <w:fldChar w:fldCharType="separate"/>
          </w:r>
          <w:r>
            <w:rPr>
              <w:b/>
              <w:bCs w:val="0"/>
              <w:color w:val="auto"/>
              <w:sz w:val="28"/>
              <w:szCs w:val="28"/>
              <w:highlight w:val="none"/>
            </w:rPr>
            <w:t>34</w:t>
          </w:r>
          <w:r>
            <w:rPr>
              <w:b/>
              <w:bCs w:val="0"/>
              <w:color w:val="auto"/>
              <w:sz w:val="28"/>
              <w:szCs w:val="28"/>
              <w:highlight w:val="none"/>
            </w:rPr>
            <w:fldChar w:fldCharType="end"/>
          </w:r>
          <w:r>
            <w:rPr>
              <w:rFonts w:hint="eastAsia" w:ascii="宋体" w:hAnsi="宋体" w:cs="宋体"/>
              <w:b/>
              <w:bCs w:val="0"/>
              <w:color w:val="auto"/>
              <w:sz w:val="28"/>
              <w:szCs w:val="28"/>
              <w:highlight w:val="none"/>
            </w:rPr>
            <w:fldChar w:fldCharType="end"/>
          </w:r>
        </w:p>
        <w:p w14:paraId="499B18A1">
          <w:pPr>
            <w:pStyle w:val="15"/>
            <w:tabs>
              <w:tab w:val="right" w:leader="dot" w:pos="8306"/>
            </w:tabs>
            <w:spacing w:line="360" w:lineRule="auto"/>
            <w:rPr>
              <w:b/>
              <w:bCs w:val="0"/>
              <w:color w:val="auto"/>
              <w:sz w:val="28"/>
              <w:szCs w:val="28"/>
              <w:highlight w:val="none"/>
            </w:rPr>
          </w:pPr>
          <w:r>
            <w:rPr>
              <w:rFonts w:hint="eastAsia" w:ascii="宋体" w:hAnsi="宋体" w:cs="宋体"/>
              <w:b/>
              <w:bCs w:val="0"/>
              <w:color w:val="auto"/>
              <w:sz w:val="28"/>
              <w:szCs w:val="28"/>
              <w:highlight w:val="none"/>
            </w:rPr>
            <w:fldChar w:fldCharType="begin"/>
          </w:r>
          <w:r>
            <w:rPr>
              <w:rFonts w:hint="eastAsia" w:ascii="宋体" w:hAnsi="宋体" w:cs="宋体"/>
              <w:b/>
              <w:bCs w:val="0"/>
              <w:color w:val="auto"/>
              <w:sz w:val="28"/>
              <w:szCs w:val="28"/>
              <w:highlight w:val="none"/>
            </w:rPr>
            <w:instrText xml:space="preserve"> HYPERLINK \l _Toc22756 </w:instrText>
          </w:r>
          <w:r>
            <w:rPr>
              <w:rFonts w:hint="eastAsia" w:ascii="宋体" w:hAnsi="宋体" w:cs="宋体"/>
              <w:b/>
              <w:bCs w:val="0"/>
              <w:color w:val="auto"/>
              <w:sz w:val="28"/>
              <w:szCs w:val="28"/>
              <w:highlight w:val="none"/>
            </w:rPr>
            <w:fldChar w:fldCharType="separate"/>
          </w:r>
          <w:r>
            <w:rPr>
              <w:rFonts w:hint="eastAsia" w:ascii="宋体" w:hAnsi="宋体" w:cs="宋体"/>
              <w:b/>
              <w:bCs w:val="0"/>
              <w:color w:val="auto"/>
              <w:sz w:val="28"/>
              <w:szCs w:val="28"/>
              <w:highlight w:val="none"/>
              <w:lang w:val="en-US" w:eastAsia="zh-CN" w:bidi="ar"/>
            </w:rPr>
            <w:t xml:space="preserve">第四章  </w:t>
          </w:r>
          <w:r>
            <w:rPr>
              <w:rFonts w:hint="eastAsia" w:ascii="宋体" w:hAnsi="宋体" w:cs="宋体"/>
              <w:b/>
              <w:bCs w:val="0"/>
              <w:color w:val="auto"/>
              <w:sz w:val="28"/>
              <w:szCs w:val="28"/>
              <w:highlight w:val="none"/>
              <w:lang w:bidi="ar"/>
            </w:rPr>
            <w:t>合同主要条款及格式</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_Toc22756 \h </w:instrText>
          </w:r>
          <w:r>
            <w:rPr>
              <w:b/>
              <w:bCs w:val="0"/>
              <w:color w:val="auto"/>
              <w:sz w:val="28"/>
              <w:szCs w:val="28"/>
              <w:highlight w:val="none"/>
            </w:rPr>
            <w:fldChar w:fldCharType="separate"/>
          </w:r>
          <w:r>
            <w:rPr>
              <w:b/>
              <w:bCs w:val="0"/>
              <w:color w:val="auto"/>
              <w:sz w:val="28"/>
              <w:szCs w:val="28"/>
              <w:highlight w:val="none"/>
            </w:rPr>
            <w:t>41</w:t>
          </w:r>
          <w:r>
            <w:rPr>
              <w:b/>
              <w:bCs w:val="0"/>
              <w:color w:val="auto"/>
              <w:sz w:val="28"/>
              <w:szCs w:val="28"/>
              <w:highlight w:val="none"/>
            </w:rPr>
            <w:fldChar w:fldCharType="end"/>
          </w:r>
          <w:r>
            <w:rPr>
              <w:rFonts w:hint="eastAsia" w:ascii="宋体" w:hAnsi="宋体" w:cs="宋体"/>
              <w:b/>
              <w:bCs w:val="0"/>
              <w:color w:val="auto"/>
              <w:sz w:val="28"/>
              <w:szCs w:val="28"/>
              <w:highlight w:val="none"/>
            </w:rPr>
            <w:fldChar w:fldCharType="end"/>
          </w:r>
        </w:p>
        <w:p w14:paraId="6EC403B4">
          <w:pPr>
            <w:pStyle w:val="15"/>
            <w:tabs>
              <w:tab w:val="right" w:leader="dot" w:pos="8306"/>
            </w:tabs>
            <w:spacing w:line="360" w:lineRule="auto"/>
            <w:rPr>
              <w:b/>
              <w:bCs w:val="0"/>
              <w:color w:val="auto"/>
              <w:sz w:val="28"/>
              <w:szCs w:val="28"/>
              <w:highlight w:val="none"/>
            </w:rPr>
          </w:pPr>
          <w:r>
            <w:rPr>
              <w:rFonts w:hint="eastAsia" w:ascii="宋体" w:hAnsi="宋体" w:cs="宋体"/>
              <w:b/>
              <w:bCs w:val="0"/>
              <w:color w:val="auto"/>
              <w:sz w:val="28"/>
              <w:szCs w:val="28"/>
              <w:highlight w:val="none"/>
            </w:rPr>
            <w:fldChar w:fldCharType="begin"/>
          </w:r>
          <w:r>
            <w:rPr>
              <w:rFonts w:hint="eastAsia" w:ascii="宋体" w:hAnsi="宋体" w:cs="宋体"/>
              <w:b/>
              <w:bCs w:val="0"/>
              <w:color w:val="auto"/>
              <w:sz w:val="28"/>
              <w:szCs w:val="28"/>
              <w:highlight w:val="none"/>
            </w:rPr>
            <w:instrText xml:space="preserve"> HYPERLINK \l _Toc1189 </w:instrText>
          </w:r>
          <w:r>
            <w:rPr>
              <w:rFonts w:hint="eastAsia" w:ascii="宋体" w:hAnsi="宋体" w:cs="宋体"/>
              <w:b/>
              <w:bCs w:val="0"/>
              <w:color w:val="auto"/>
              <w:sz w:val="28"/>
              <w:szCs w:val="28"/>
              <w:highlight w:val="none"/>
            </w:rPr>
            <w:fldChar w:fldCharType="separate"/>
          </w:r>
          <w:r>
            <w:rPr>
              <w:rFonts w:hint="eastAsia" w:ascii="宋体" w:hAnsi="宋体" w:cs="宋体"/>
              <w:b/>
              <w:bCs w:val="0"/>
              <w:color w:val="auto"/>
              <w:sz w:val="28"/>
              <w:szCs w:val="28"/>
              <w:highlight w:val="none"/>
              <w:lang w:val="en-US" w:eastAsia="zh-CN" w:bidi="ar"/>
            </w:rPr>
            <w:t xml:space="preserve">第五章  </w:t>
          </w:r>
          <w:r>
            <w:rPr>
              <w:rFonts w:hint="eastAsia" w:ascii="宋体" w:hAnsi="宋体" w:cs="宋体"/>
              <w:b/>
              <w:bCs w:val="0"/>
              <w:color w:val="auto"/>
              <w:sz w:val="28"/>
              <w:szCs w:val="28"/>
              <w:highlight w:val="none"/>
              <w:lang w:bidi="ar"/>
            </w:rPr>
            <w:t>采购清单及技术参数</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_Toc1189 \h </w:instrText>
          </w:r>
          <w:r>
            <w:rPr>
              <w:b/>
              <w:bCs w:val="0"/>
              <w:color w:val="auto"/>
              <w:sz w:val="28"/>
              <w:szCs w:val="28"/>
              <w:highlight w:val="none"/>
            </w:rPr>
            <w:fldChar w:fldCharType="separate"/>
          </w:r>
          <w:r>
            <w:rPr>
              <w:b/>
              <w:bCs w:val="0"/>
              <w:color w:val="auto"/>
              <w:sz w:val="28"/>
              <w:szCs w:val="28"/>
              <w:highlight w:val="none"/>
            </w:rPr>
            <w:t>44</w:t>
          </w:r>
          <w:r>
            <w:rPr>
              <w:b/>
              <w:bCs w:val="0"/>
              <w:color w:val="auto"/>
              <w:sz w:val="28"/>
              <w:szCs w:val="28"/>
              <w:highlight w:val="none"/>
            </w:rPr>
            <w:fldChar w:fldCharType="end"/>
          </w:r>
          <w:r>
            <w:rPr>
              <w:rFonts w:hint="eastAsia" w:ascii="宋体" w:hAnsi="宋体" w:cs="宋体"/>
              <w:b/>
              <w:bCs w:val="0"/>
              <w:color w:val="auto"/>
              <w:sz w:val="28"/>
              <w:szCs w:val="28"/>
              <w:highlight w:val="none"/>
            </w:rPr>
            <w:fldChar w:fldCharType="end"/>
          </w:r>
        </w:p>
        <w:p w14:paraId="772F7365">
          <w:pPr>
            <w:pStyle w:val="15"/>
            <w:tabs>
              <w:tab w:val="right" w:leader="dot" w:pos="8306"/>
            </w:tabs>
            <w:spacing w:line="360" w:lineRule="auto"/>
            <w:rPr>
              <w:rFonts w:hint="eastAsia" w:eastAsiaTheme="minorEastAsia"/>
              <w:color w:val="auto"/>
              <w:highlight w:val="none"/>
              <w:lang w:val="en-US" w:eastAsia="zh-CN"/>
            </w:rPr>
          </w:pPr>
          <w:r>
            <w:rPr>
              <w:rFonts w:hint="eastAsia" w:ascii="宋体" w:hAnsi="宋体" w:cs="宋体"/>
              <w:b/>
              <w:bCs w:val="0"/>
              <w:color w:val="auto"/>
              <w:sz w:val="28"/>
              <w:szCs w:val="28"/>
              <w:highlight w:val="none"/>
            </w:rPr>
            <w:fldChar w:fldCharType="begin"/>
          </w:r>
          <w:r>
            <w:rPr>
              <w:rFonts w:hint="eastAsia" w:ascii="宋体" w:hAnsi="宋体" w:cs="宋体"/>
              <w:b/>
              <w:bCs w:val="0"/>
              <w:color w:val="auto"/>
              <w:sz w:val="28"/>
              <w:szCs w:val="28"/>
              <w:highlight w:val="none"/>
            </w:rPr>
            <w:instrText xml:space="preserve"> HYPERLINK \l _Toc29680 </w:instrText>
          </w:r>
          <w:r>
            <w:rPr>
              <w:rFonts w:hint="eastAsia" w:ascii="宋体" w:hAnsi="宋体" w:cs="宋体"/>
              <w:b/>
              <w:bCs w:val="0"/>
              <w:color w:val="auto"/>
              <w:sz w:val="28"/>
              <w:szCs w:val="28"/>
              <w:highlight w:val="none"/>
            </w:rPr>
            <w:fldChar w:fldCharType="separate"/>
          </w:r>
          <w:r>
            <w:rPr>
              <w:rFonts w:hint="eastAsia" w:ascii="宋体" w:hAnsi="宋体" w:cs="宋体"/>
              <w:b/>
              <w:bCs w:val="0"/>
              <w:color w:val="auto"/>
              <w:sz w:val="28"/>
              <w:szCs w:val="28"/>
              <w:highlight w:val="none"/>
              <w:lang w:bidi="ar"/>
            </w:rPr>
            <w:t>第六章  响应性文件格式</w:t>
          </w:r>
          <w:r>
            <w:rPr>
              <w:b/>
              <w:bCs w:val="0"/>
              <w:color w:val="auto"/>
              <w:sz w:val="28"/>
              <w:szCs w:val="28"/>
              <w:highlight w:val="none"/>
            </w:rPr>
            <w:tab/>
          </w:r>
          <w:r>
            <w:rPr>
              <w:rFonts w:hint="eastAsia"/>
              <w:b/>
              <w:bCs w:val="0"/>
              <w:color w:val="auto"/>
              <w:sz w:val="28"/>
              <w:szCs w:val="28"/>
              <w:highlight w:val="none"/>
              <w:lang w:val="en-US" w:eastAsia="zh-CN"/>
            </w:rPr>
            <w:t>5</w:t>
          </w:r>
          <w:r>
            <w:rPr>
              <w:rFonts w:hint="eastAsia" w:ascii="宋体" w:hAnsi="宋体" w:cs="宋体"/>
              <w:b/>
              <w:bCs w:val="0"/>
              <w:color w:val="auto"/>
              <w:sz w:val="28"/>
              <w:szCs w:val="28"/>
              <w:highlight w:val="none"/>
            </w:rPr>
            <w:fldChar w:fldCharType="end"/>
          </w:r>
          <w:r>
            <w:rPr>
              <w:rFonts w:hint="eastAsia" w:ascii="宋体" w:hAnsi="宋体" w:cs="宋体"/>
              <w:b/>
              <w:bCs w:val="0"/>
              <w:color w:val="auto"/>
              <w:sz w:val="28"/>
              <w:szCs w:val="28"/>
              <w:highlight w:val="none"/>
              <w:lang w:val="en-US" w:eastAsia="zh-CN"/>
            </w:rPr>
            <w:t>8</w:t>
          </w:r>
        </w:p>
        <w:p w14:paraId="3E061559">
          <w:pPr>
            <w:spacing w:line="360" w:lineRule="auto"/>
            <w:ind w:firstLine="73"/>
            <w:jc w:val="center"/>
            <w:rPr>
              <w:rFonts w:hint="eastAsia" w:ascii="宋体" w:hAnsi="宋体" w:cs="宋体" w:eastAsiaTheme="minorEastAsia"/>
              <w:bCs/>
              <w:color w:val="auto"/>
              <w:kern w:val="2"/>
              <w:sz w:val="21"/>
              <w:szCs w:val="28"/>
              <w:highlight w:val="none"/>
              <w:lang w:val="en-US" w:eastAsia="zh-CN" w:bidi="ar-SA"/>
            </w:rPr>
          </w:pPr>
          <w:r>
            <w:rPr>
              <w:rFonts w:hint="eastAsia" w:ascii="宋体" w:hAnsi="宋体" w:cs="宋体"/>
              <w:bCs/>
              <w:color w:val="auto"/>
              <w:szCs w:val="28"/>
              <w:highlight w:val="none"/>
            </w:rPr>
            <w:fldChar w:fldCharType="end"/>
          </w:r>
        </w:p>
      </w:sdtContent>
    </w:sdt>
    <w:p w14:paraId="14D0ABF9">
      <w:pPr>
        <w:spacing w:line="360" w:lineRule="auto"/>
        <w:ind w:firstLine="73"/>
        <w:jc w:val="center"/>
        <w:rPr>
          <w:rFonts w:hint="eastAsia" w:ascii="宋体" w:hAnsi="宋体" w:cs="宋体" w:eastAsiaTheme="minorEastAsia"/>
          <w:bCs/>
          <w:color w:val="auto"/>
          <w:kern w:val="2"/>
          <w:sz w:val="21"/>
          <w:szCs w:val="28"/>
          <w:highlight w:val="none"/>
          <w:lang w:val="en-US" w:eastAsia="zh-CN" w:bidi="ar-SA"/>
        </w:rPr>
      </w:pPr>
    </w:p>
    <w:p w14:paraId="3D0E081E">
      <w:pPr>
        <w:rPr>
          <w:color w:val="auto"/>
          <w:highlight w:val="none"/>
        </w:rPr>
      </w:pPr>
    </w:p>
    <w:p w14:paraId="1EA7C488">
      <w:pPr>
        <w:pStyle w:val="16"/>
        <w:outlineLvl w:val="0"/>
        <w:rPr>
          <w:color w:val="auto"/>
          <w:highlight w:val="none"/>
        </w:rPr>
      </w:pPr>
      <w:bookmarkStart w:id="6" w:name="_Toc19698"/>
    </w:p>
    <w:p w14:paraId="4EC4EE60">
      <w:pPr>
        <w:tabs>
          <w:tab w:val="left" w:pos="5799"/>
        </w:tabs>
        <w:jc w:val="left"/>
        <w:rPr>
          <w:color w:val="auto"/>
          <w:highlight w:val="none"/>
        </w:rPr>
        <w:sectPr>
          <w:footerReference r:id="rId8" w:type="first"/>
          <w:headerReference r:id="rId5" w:type="default"/>
          <w:footerReference r:id="rId6" w:type="default"/>
          <w:footerReference r:id="rId7" w:type="even"/>
          <w:pgSz w:w="11906" w:h="16838"/>
          <w:pgMar w:top="1440" w:right="1800" w:bottom="1440" w:left="1800" w:header="851" w:footer="851" w:gutter="0"/>
          <w:pgNumType w:start="1"/>
          <w:cols w:space="720" w:num="1"/>
          <w:titlePg/>
          <w:docGrid w:linePitch="312" w:charSpace="0"/>
        </w:sectPr>
      </w:pPr>
      <w:r>
        <w:rPr>
          <w:rFonts w:hint="eastAsia"/>
          <w:color w:val="auto"/>
          <w:highlight w:val="none"/>
        </w:rPr>
        <w:tab/>
      </w:r>
    </w:p>
    <w:p w14:paraId="5C102B58">
      <w:pPr>
        <w:spacing w:before="312" w:beforeLines="100" w:line="360" w:lineRule="auto"/>
        <w:jc w:val="center"/>
        <w:outlineLvl w:val="0"/>
        <w:rPr>
          <w:rFonts w:hint="eastAsia" w:ascii="宋体" w:hAnsi="宋体" w:cs="宋体"/>
          <w:b/>
          <w:bCs/>
          <w:color w:val="auto"/>
          <w:sz w:val="36"/>
          <w:szCs w:val="36"/>
          <w:highlight w:val="none"/>
          <w:lang w:bidi="ar"/>
        </w:rPr>
      </w:pPr>
      <w:bookmarkStart w:id="7" w:name="_Toc21808"/>
      <w:r>
        <w:rPr>
          <w:rFonts w:hint="eastAsia" w:ascii="宋体" w:hAnsi="宋体" w:cs="宋体"/>
          <w:b/>
          <w:bCs/>
          <w:color w:val="auto"/>
          <w:sz w:val="36"/>
          <w:szCs w:val="36"/>
          <w:highlight w:val="none"/>
          <w:lang w:bidi="ar"/>
        </w:rPr>
        <w:t xml:space="preserve">第一章  </w:t>
      </w:r>
      <w:bookmarkStart w:id="8" w:name="_Hlk136547488"/>
      <w:r>
        <w:rPr>
          <w:rFonts w:hint="eastAsia" w:ascii="宋体" w:hAnsi="宋体" w:cs="宋体"/>
          <w:b/>
          <w:bCs/>
          <w:color w:val="auto"/>
          <w:sz w:val="36"/>
          <w:szCs w:val="36"/>
          <w:highlight w:val="none"/>
          <w:lang w:bidi="ar"/>
        </w:rPr>
        <w:t>竞争性磋商公告</w:t>
      </w:r>
      <w:bookmarkEnd w:id="6"/>
      <w:bookmarkEnd w:id="7"/>
      <w:bookmarkEnd w:id="8"/>
    </w:p>
    <w:p w14:paraId="39564755">
      <w:pPr>
        <w:spacing w:line="360" w:lineRule="auto"/>
        <w:ind w:firstLine="566" w:firstLineChars="236"/>
        <w:rPr>
          <w:rFonts w:asciiTheme="minorEastAsia" w:hAnsiTheme="minorEastAsia" w:cstheme="minorEastAsia"/>
          <w:color w:val="auto"/>
          <w:sz w:val="24"/>
          <w:szCs w:val="24"/>
          <w:highlight w:val="none"/>
        </w:rPr>
      </w:pPr>
      <w:bookmarkStart w:id="9" w:name="_Toc22570552"/>
      <w:bookmarkStart w:id="10" w:name="_Toc22724013"/>
      <w:bookmarkStart w:id="11" w:name="_Toc22953455"/>
      <w:bookmarkStart w:id="12" w:name="_Toc22804133"/>
      <w:bookmarkStart w:id="13" w:name="_Toc15597"/>
      <w:bookmarkStart w:id="14" w:name="_Toc22568845"/>
      <w:bookmarkStart w:id="15" w:name="_Toc498982406"/>
      <w:r>
        <w:rPr>
          <w:rFonts w:hint="eastAsia" w:asciiTheme="minorEastAsia" w:hAnsiTheme="minorEastAsia" w:cstheme="minorEastAsia"/>
          <w:color w:val="auto"/>
          <w:sz w:val="24"/>
          <w:szCs w:val="24"/>
          <w:highlight w:val="none"/>
        </w:rPr>
        <w:t>项目概况</w:t>
      </w:r>
    </w:p>
    <w:p w14:paraId="628E604B">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eastAsia="zh-CN"/>
        </w:rPr>
        <w:t>英豪镇后营村购置玉米收割机项目</w:t>
      </w:r>
      <w:r>
        <w:rPr>
          <w:rFonts w:hint="eastAsia" w:asciiTheme="minorEastAsia" w:hAnsiTheme="minorEastAsia" w:cstheme="minorEastAsia"/>
          <w:color w:val="auto"/>
          <w:sz w:val="24"/>
          <w:szCs w:val="24"/>
          <w:highlight w:val="none"/>
        </w:rPr>
        <w:t>的潜在供应商应在三门峡市公共资源交易中心网上获取竞争性磋商文件，并于</w:t>
      </w:r>
      <w:r>
        <w:rPr>
          <w:rFonts w:hint="eastAsia" w:asciiTheme="minorEastAsia" w:hAnsiTheme="minorEastAsia" w:cstheme="minorEastAsia"/>
          <w:color w:val="auto"/>
          <w:sz w:val="24"/>
          <w:szCs w:val="24"/>
          <w:highlight w:val="none"/>
          <w:lang w:eastAsia="zh-CN"/>
        </w:rPr>
        <w:t>2026年9月29日0</w:t>
      </w:r>
      <w:r>
        <w:rPr>
          <w:rFonts w:hint="eastAsia" w:asciiTheme="minorEastAsia" w:hAnsiTheme="minorEastAsia" w:cstheme="minorEastAsia"/>
          <w:color w:val="auto"/>
          <w:sz w:val="24"/>
          <w:szCs w:val="24"/>
          <w:highlight w:val="none"/>
          <w:lang w:val="en-US" w:eastAsia="zh-CN"/>
        </w:rPr>
        <w:t>9</w:t>
      </w:r>
      <w:r>
        <w:rPr>
          <w:rFonts w:hint="eastAsia" w:asciiTheme="minorEastAsia" w:hAnsiTheme="minorEastAsia" w:cstheme="minorEastAsia"/>
          <w:color w:val="auto"/>
          <w:sz w:val="24"/>
          <w:szCs w:val="24"/>
          <w:highlight w:val="none"/>
          <w:lang w:eastAsia="zh-CN"/>
        </w:rPr>
        <w:t>时</w:t>
      </w:r>
      <w:r>
        <w:rPr>
          <w:rFonts w:hint="eastAsia" w:asciiTheme="minorEastAsia" w:hAnsiTheme="minorEastAsia" w:cstheme="minorEastAsia"/>
          <w:color w:val="auto"/>
          <w:sz w:val="24"/>
          <w:szCs w:val="24"/>
          <w:highlight w:val="none"/>
          <w:lang w:val="en-US" w:eastAsia="zh-CN"/>
        </w:rPr>
        <w:t>0</w:t>
      </w:r>
      <w:r>
        <w:rPr>
          <w:rFonts w:hint="eastAsia" w:asciiTheme="minorEastAsia" w:hAnsiTheme="minorEastAsia" w:cstheme="minorEastAsia"/>
          <w:color w:val="auto"/>
          <w:sz w:val="24"/>
          <w:szCs w:val="24"/>
          <w:highlight w:val="none"/>
          <w:lang w:eastAsia="zh-CN"/>
        </w:rPr>
        <w:t>0分</w:t>
      </w:r>
      <w:r>
        <w:rPr>
          <w:rFonts w:hint="eastAsia" w:asciiTheme="minorEastAsia" w:hAnsiTheme="minorEastAsia" w:cstheme="minorEastAsia"/>
          <w:color w:val="auto"/>
          <w:sz w:val="24"/>
          <w:szCs w:val="24"/>
          <w:highlight w:val="none"/>
        </w:rPr>
        <w:t>（北京时间）前递交响应文件。</w:t>
      </w:r>
    </w:p>
    <w:p w14:paraId="2B17E59B">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一、项目基本情况</w:t>
      </w:r>
    </w:p>
    <w:p w14:paraId="6687E285">
      <w:pPr>
        <w:spacing w:line="360" w:lineRule="auto"/>
        <w:ind w:firstLine="566" w:firstLineChars="236"/>
        <w:rPr>
          <w:rFonts w:hint="eastAsia" w:asciiTheme="minorEastAsia" w:hAnsiTheme="minorEastAsia" w:eastAsiaTheme="minorEastAsia" w:cstheme="minorEastAsia"/>
          <w:color w:val="92D050"/>
          <w:sz w:val="24"/>
          <w:szCs w:val="24"/>
          <w:highlight w:val="none"/>
          <w:lang w:eastAsia="zh-CN"/>
        </w:rPr>
      </w:pPr>
      <w:r>
        <w:rPr>
          <w:rFonts w:hint="eastAsia" w:asciiTheme="minorEastAsia" w:hAnsiTheme="minorEastAsia" w:cstheme="minorEastAsia"/>
          <w:color w:val="auto"/>
          <w:sz w:val="24"/>
          <w:szCs w:val="24"/>
          <w:highlight w:val="none"/>
        </w:rPr>
        <w:t>1.项目编号：</w:t>
      </w:r>
      <w:r>
        <w:rPr>
          <w:rFonts w:hint="eastAsia" w:asciiTheme="minorEastAsia" w:hAnsiTheme="minorEastAsia" w:cstheme="minorEastAsia"/>
          <w:color w:val="auto"/>
          <w:sz w:val="24"/>
          <w:szCs w:val="24"/>
          <w:highlight w:val="none"/>
          <w:lang w:eastAsia="zh-CN"/>
        </w:rPr>
        <w:t>渑池竞磋采购-2026-139、MCGZ[2026]203-ZC185</w:t>
      </w:r>
    </w:p>
    <w:p w14:paraId="10295A01">
      <w:pPr>
        <w:spacing w:line="360" w:lineRule="auto"/>
        <w:ind w:firstLine="566" w:firstLineChars="236"/>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rPr>
        <w:t>2.项目名称：</w:t>
      </w:r>
      <w:r>
        <w:rPr>
          <w:rFonts w:hint="eastAsia" w:asciiTheme="minorEastAsia" w:hAnsiTheme="minorEastAsia" w:cstheme="minorEastAsia"/>
          <w:color w:val="auto"/>
          <w:sz w:val="24"/>
          <w:szCs w:val="24"/>
          <w:highlight w:val="none"/>
          <w:lang w:eastAsia="zh-CN"/>
        </w:rPr>
        <w:t>英豪镇后营村购置玉米收割机项目</w:t>
      </w:r>
    </w:p>
    <w:p w14:paraId="632BCB99">
      <w:pPr>
        <w:spacing w:line="360" w:lineRule="auto"/>
        <w:ind w:firstLine="600" w:firstLineChars="25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3.采购方式：竞争性磋商</w:t>
      </w:r>
    </w:p>
    <w:p w14:paraId="35D497BD">
      <w:pPr>
        <w:spacing w:line="360" w:lineRule="auto"/>
        <w:ind w:firstLine="600" w:firstLineChars="25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4.预算金额：</w:t>
      </w:r>
      <w:r>
        <w:rPr>
          <w:rFonts w:hint="eastAsia" w:asciiTheme="minorEastAsia" w:hAnsiTheme="minorEastAsia" w:cstheme="minorEastAsia"/>
          <w:color w:val="auto"/>
          <w:sz w:val="24"/>
          <w:szCs w:val="24"/>
          <w:highlight w:val="none"/>
          <w:lang w:eastAsia="zh-CN"/>
        </w:rPr>
        <w:t>500000.00</w:t>
      </w:r>
      <w:r>
        <w:rPr>
          <w:rFonts w:hint="eastAsia" w:asciiTheme="minorEastAsia" w:hAnsiTheme="minorEastAsia" w:cstheme="minorEastAsia"/>
          <w:color w:val="auto"/>
          <w:sz w:val="24"/>
          <w:szCs w:val="24"/>
          <w:highlight w:val="none"/>
        </w:rPr>
        <w:t>元</w:t>
      </w:r>
    </w:p>
    <w:p w14:paraId="4BB9AFA6">
      <w:pPr>
        <w:pStyle w:val="18"/>
        <w:spacing w:line="360" w:lineRule="auto"/>
        <w:ind w:firstLine="840" w:firstLineChars="35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最高限价：</w:t>
      </w:r>
      <w:r>
        <w:rPr>
          <w:rFonts w:hint="eastAsia" w:asciiTheme="minorEastAsia" w:hAnsiTheme="minorEastAsia" w:cstheme="minorEastAsia"/>
          <w:color w:val="auto"/>
          <w:sz w:val="24"/>
          <w:szCs w:val="24"/>
          <w:highlight w:val="none"/>
          <w:lang w:eastAsia="zh-CN"/>
        </w:rPr>
        <w:t>500000.00</w:t>
      </w:r>
      <w:r>
        <w:rPr>
          <w:rFonts w:hint="eastAsia" w:asciiTheme="minorEastAsia" w:hAnsiTheme="minorEastAsia" w:cstheme="minorEastAsia"/>
          <w:color w:val="auto"/>
          <w:sz w:val="24"/>
          <w:szCs w:val="24"/>
          <w:highlight w:val="none"/>
        </w:rPr>
        <w:t>元</w:t>
      </w:r>
    </w:p>
    <w:tbl>
      <w:tblPr>
        <w:tblStyle w:val="20"/>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2745"/>
        <w:gridCol w:w="2438"/>
        <w:gridCol w:w="1536"/>
        <w:gridCol w:w="1554"/>
      </w:tblGrid>
      <w:tr w14:paraId="6756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1DF44855">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序号</w:t>
            </w:r>
          </w:p>
        </w:tc>
        <w:tc>
          <w:tcPr>
            <w:tcW w:w="2745" w:type="dxa"/>
            <w:vAlign w:val="center"/>
          </w:tcPr>
          <w:p w14:paraId="78F79FCE">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包号</w:t>
            </w:r>
          </w:p>
        </w:tc>
        <w:tc>
          <w:tcPr>
            <w:tcW w:w="2438" w:type="dxa"/>
            <w:vAlign w:val="center"/>
          </w:tcPr>
          <w:p w14:paraId="68574E4D">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包名称</w:t>
            </w:r>
          </w:p>
        </w:tc>
        <w:tc>
          <w:tcPr>
            <w:tcW w:w="1536" w:type="dxa"/>
            <w:vAlign w:val="center"/>
          </w:tcPr>
          <w:p w14:paraId="7EF8AE63">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包预算</w:t>
            </w:r>
          </w:p>
          <w:p w14:paraId="3097A70D">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（元）</w:t>
            </w:r>
          </w:p>
        </w:tc>
        <w:tc>
          <w:tcPr>
            <w:tcW w:w="1554" w:type="dxa"/>
            <w:vAlign w:val="center"/>
          </w:tcPr>
          <w:p w14:paraId="4542E396">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包最高限价</w:t>
            </w:r>
          </w:p>
          <w:p w14:paraId="4AD9663F">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（元）</w:t>
            </w:r>
          </w:p>
        </w:tc>
      </w:tr>
      <w:tr w14:paraId="3E4A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3A1E1B0">
            <w:pPr>
              <w:widowControl/>
              <w:spacing w:line="440" w:lineRule="exact"/>
              <w:jc w:val="center"/>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w:t>
            </w:r>
          </w:p>
        </w:tc>
        <w:tc>
          <w:tcPr>
            <w:tcW w:w="2745" w:type="dxa"/>
            <w:vAlign w:val="center"/>
          </w:tcPr>
          <w:p w14:paraId="327D1949">
            <w:pPr>
              <w:widowControl/>
              <w:spacing w:line="440" w:lineRule="exac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MCGZ[2026]203-ZC185</w:t>
            </w:r>
          </w:p>
        </w:tc>
        <w:tc>
          <w:tcPr>
            <w:tcW w:w="2438" w:type="dxa"/>
            <w:vAlign w:val="center"/>
          </w:tcPr>
          <w:p w14:paraId="62194A18">
            <w:pPr>
              <w:widowControl/>
              <w:spacing w:line="440" w:lineRule="exac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英豪镇后营村购置玉米收割机项目</w:t>
            </w:r>
          </w:p>
        </w:tc>
        <w:tc>
          <w:tcPr>
            <w:tcW w:w="1536" w:type="dxa"/>
            <w:vAlign w:val="center"/>
          </w:tcPr>
          <w:p w14:paraId="342A9B46">
            <w:pPr>
              <w:widowControl/>
              <w:spacing w:line="440" w:lineRule="exac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500000.00</w:t>
            </w:r>
          </w:p>
        </w:tc>
        <w:tc>
          <w:tcPr>
            <w:tcW w:w="1554" w:type="dxa"/>
            <w:vAlign w:val="center"/>
          </w:tcPr>
          <w:p w14:paraId="5C46B878">
            <w:pPr>
              <w:widowControl/>
              <w:spacing w:line="440" w:lineRule="exac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500000.00</w:t>
            </w:r>
          </w:p>
        </w:tc>
      </w:tr>
    </w:tbl>
    <w:p w14:paraId="11DB934E">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5.采购需求(包括但不限于标的的名称、数量、简要技术需求或服务要求等)</w:t>
      </w:r>
    </w:p>
    <w:p w14:paraId="0D5EE0DE">
      <w:pPr>
        <w:spacing w:line="360" w:lineRule="auto"/>
        <w:ind w:firstLine="566" w:firstLineChars="236"/>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rPr>
        <w:t>5.1采购范围：</w:t>
      </w:r>
      <w:r>
        <w:rPr>
          <w:rFonts w:hint="eastAsia" w:asciiTheme="minorEastAsia" w:hAnsiTheme="minorEastAsia" w:cstheme="minorEastAsia"/>
          <w:color w:val="auto"/>
          <w:sz w:val="24"/>
          <w:szCs w:val="24"/>
          <w:highlight w:val="none"/>
          <w:lang w:eastAsia="zh-CN"/>
        </w:rPr>
        <w:t>该项目主要内容为购进中小型玉米双收机1台，小型全自动榨油机1台。（详见第五章采购清单及技术参数）。</w:t>
      </w:r>
    </w:p>
    <w:p w14:paraId="1E05996A">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5.2预算金额：</w:t>
      </w:r>
      <w:r>
        <w:rPr>
          <w:rFonts w:hint="eastAsia" w:asciiTheme="minorEastAsia" w:hAnsiTheme="minorEastAsia" w:cstheme="minorEastAsia"/>
          <w:color w:val="auto"/>
          <w:sz w:val="24"/>
          <w:szCs w:val="24"/>
          <w:highlight w:val="none"/>
          <w:lang w:eastAsia="zh-CN"/>
        </w:rPr>
        <w:t>500000.00</w:t>
      </w:r>
      <w:r>
        <w:rPr>
          <w:rFonts w:hint="eastAsia" w:asciiTheme="minorEastAsia" w:hAnsiTheme="minorEastAsia" w:cstheme="minorEastAsia"/>
          <w:color w:val="auto"/>
          <w:sz w:val="24"/>
          <w:szCs w:val="24"/>
          <w:highlight w:val="none"/>
        </w:rPr>
        <w:t>元</w:t>
      </w:r>
    </w:p>
    <w:p w14:paraId="4841EBD0">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5.3资金来源：财政资金，已落实。</w:t>
      </w:r>
    </w:p>
    <w:p w14:paraId="4FA8B478">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5.4质量要求：符合国家及行业标准并满足采购人使用要求。</w:t>
      </w:r>
    </w:p>
    <w:p w14:paraId="214FF9FB">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5.5交货期：自合同签订之日起30日历天。</w:t>
      </w:r>
    </w:p>
    <w:p w14:paraId="240C52AE">
      <w:pPr>
        <w:spacing w:line="360" w:lineRule="auto"/>
        <w:ind w:firstLine="566" w:firstLineChars="236"/>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rPr>
        <w:t>5.6交货地点：</w:t>
      </w:r>
      <w:r>
        <w:rPr>
          <w:rFonts w:hint="eastAsia" w:asciiTheme="minorEastAsia" w:hAnsiTheme="minorEastAsia" w:cstheme="minorEastAsia"/>
          <w:color w:val="auto"/>
          <w:sz w:val="24"/>
          <w:szCs w:val="24"/>
          <w:highlight w:val="none"/>
          <w:lang w:eastAsia="zh-CN"/>
        </w:rPr>
        <w:t>渑池县英豪镇后营村</w:t>
      </w:r>
    </w:p>
    <w:p w14:paraId="12F7F0A1">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5.7质保期：一年。</w:t>
      </w:r>
    </w:p>
    <w:p w14:paraId="7E00DC52">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6.合同履行期限：按合同约定执行。</w:t>
      </w:r>
    </w:p>
    <w:p w14:paraId="132CAB50">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7.本项目是否接受联合体投标：否</w:t>
      </w:r>
    </w:p>
    <w:p w14:paraId="7ACE1AA1">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8.是否接受进口产品：否</w:t>
      </w:r>
    </w:p>
    <w:p w14:paraId="67FC01BB">
      <w:pPr>
        <w:spacing w:line="360" w:lineRule="auto"/>
        <w:ind w:firstLine="566" w:firstLineChars="236"/>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rPr>
        <w:t>9.是否专门面向中小企业：</w:t>
      </w:r>
      <w:r>
        <w:rPr>
          <w:rFonts w:hint="eastAsia" w:asciiTheme="minorEastAsia" w:hAnsiTheme="minorEastAsia" w:cstheme="minorEastAsia"/>
          <w:color w:val="auto"/>
          <w:sz w:val="24"/>
          <w:szCs w:val="24"/>
          <w:highlight w:val="none"/>
          <w:lang w:val="en-US" w:eastAsia="zh-CN"/>
        </w:rPr>
        <w:t>是</w:t>
      </w:r>
    </w:p>
    <w:p w14:paraId="5CB4787B">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二、申请人资格要求</w:t>
      </w:r>
    </w:p>
    <w:p w14:paraId="68E8F384">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1.满足《中华人民共和国政府采购法》第二十二条规定。</w:t>
      </w:r>
    </w:p>
    <w:p w14:paraId="28CE6BA6">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2.落实政府采购政策满足的资格要求：本项目专门面向中小微企业采购项目，执行优先采购节能环保、环境标志性产品，执行中小企业（监狱企业、残疾人福利性企业）发展等政府采购政策。</w:t>
      </w:r>
    </w:p>
    <w:p w14:paraId="262871F3">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3.本项目的特定资格要求：</w:t>
      </w:r>
    </w:p>
    <w:p w14:paraId="1F11C09A">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3.1供应商具有有效的营业执照；</w:t>
      </w:r>
    </w:p>
    <w:p w14:paraId="5808993C">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3.2提供供应商企业、法定代表人无行贿犯罪记录，在中国裁判文书网查询（提供网页查询截图）或供应商自行承诺；</w:t>
      </w:r>
    </w:p>
    <w:p w14:paraId="7AC05EAF">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3.3供应商需提供无商业贿赂及无不正当竞争行为的承诺书</w:t>
      </w:r>
      <w:r>
        <w:rPr>
          <w:rFonts w:hint="eastAsia" w:ascii="宋体" w:hAnsi="宋体" w:cs="宋体"/>
          <w:color w:val="auto"/>
          <w:sz w:val="24"/>
          <w:highlight w:val="none"/>
        </w:rPr>
        <w:t>（格式自拟）</w:t>
      </w:r>
      <w:r>
        <w:rPr>
          <w:rFonts w:hint="eastAsia" w:asciiTheme="minorEastAsia" w:hAnsiTheme="minorEastAsia" w:cstheme="minorEastAsia"/>
          <w:color w:val="auto"/>
          <w:sz w:val="24"/>
          <w:szCs w:val="24"/>
          <w:highlight w:val="none"/>
        </w:rPr>
        <w:t>；</w:t>
      </w:r>
    </w:p>
    <w:p w14:paraId="0625C446">
      <w:pPr>
        <w:spacing w:line="360" w:lineRule="auto"/>
        <w:ind w:firstLine="566" w:firstLineChars="236"/>
        <w:rPr>
          <w:rFonts w:asciiTheme="minorEastAsia" w:hAnsiTheme="minorEastAsia" w:cstheme="minorEastAsia"/>
          <w:color w:val="auto"/>
          <w:sz w:val="24"/>
          <w:szCs w:val="24"/>
          <w:highlight w:val="none"/>
        </w:rPr>
      </w:pPr>
      <w:r>
        <w:rPr>
          <w:rFonts w:hint="eastAsia" w:ascii="宋体" w:hAnsi="宋体" w:cs="宋体"/>
          <w:color w:val="auto"/>
          <w:sz w:val="24"/>
          <w:highlight w:val="none"/>
        </w:rPr>
        <w:t>3.4具有履行合同所必需的设备和专业技术能力（自行作出承诺，格式自拟）；</w:t>
      </w:r>
    </w:p>
    <w:p w14:paraId="13B469D0">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w:t>
      </w:r>
      <w:bookmarkStart w:id="16" w:name="_Hlk139301777"/>
      <w:r>
        <w:rPr>
          <w:rFonts w:hint="eastAsia" w:asciiTheme="minorEastAsia" w:hAnsiTheme="minorEastAsia" w:cstheme="minorEastAsia"/>
          <w:color w:val="auto"/>
          <w:sz w:val="24"/>
          <w:szCs w:val="24"/>
          <w:highlight w:val="none"/>
        </w:rPr>
        <w:t>5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bookmarkEnd w:id="16"/>
    </w:p>
    <w:p w14:paraId="0195E8A4">
      <w:pPr>
        <w:widowControl/>
        <w:spacing w:line="500" w:lineRule="exact"/>
        <w:ind w:firstLine="480" w:firstLineChars="200"/>
        <w:rPr>
          <w:rFonts w:ascii="宋体" w:hAnsi="宋体" w:cs="宋体"/>
          <w:color w:val="auto"/>
          <w:sz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highlight w:val="none"/>
        </w:rPr>
        <w:t>6</w:t>
      </w:r>
      <w:r>
        <w:rPr>
          <w:rFonts w:hint="eastAsia" w:ascii="宋体" w:hAnsi="宋体" w:cs="宋体"/>
          <w:color w:val="auto"/>
          <w:sz w:val="24"/>
          <w:szCs w:val="24"/>
          <w:highlight w:val="none"/>
        </w:rPr>
        <w:t>单位负责人为同一人或者存在直接控股、管理关系的不同投标人，不得参加同一合同项下的采购活动；（提供“国家企业信用信息公示系统”中查询打印的相关信息（查询信息需包含公司基本信息、股东信息及股权变更信息等相关信息，查询日期为本项目公告发布之后至开标截止时间止））</w:t>
      </w:r>
      <w:r>
        <w:rPr>
          <w:rFonts w:hint="eastAsia" w:ascii="宋体" w:hAnsi="宋体" w:cs="宋体"/>
          <w:color w:val="auto"/>
          <w:sz w:val="24"/>
          <w:highlight w:val="none"/>
        </w:rPr>
        <w:t>；</w:t>
      </w:r>
    </w:p>
    <w:p w14:paraId="21AB7196">
      <w:pPr>
        <w:widowControl/>
        <w:spacing w:line="500" w:lineRule="exact"/>
        <w:ind w:firstLine="480" w:firstLineChars="200"/>
        <w:outlineLvl w:val="2"/>
        <w:rPr>
          <w:rFonts w:ascii="宋体" w:hAnsi="宋体" w:cs="宋体"/>
          <w:color w:val="auto"/>
          <w:sz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highlight w:val="none"/>
        </w:rPr>
        <w:t>7</w:t>
      </w:r>
      <w:r>
        <w:rPr>
          <w:rFonts w:hint="eastAsia" w:ascii="宋体" w:hAnsi="宋体" w:cs="宋体"/>
          <w:color w:val="auto"/>
          <w:sz w:val="24"/>
          <w:highlight w:val="none"/>
        </w:rPr>
        <w:t>本项目不接受联合体投标，</w:t>
      </w:r>
      <w:r>
        <w:rPr>
          <w:rFonts w:hint="eastAsia" w:asciiTheme="minorEastAsia" w:hAnsiTheme="minorEastAsia" w:cstheme="minorEastAsia"/>
          <w:color w:val="auto"/>
          <w:sz w:val="24"/>
          <w:szCs w:val="24"/>
          <w:highlight w:val="none"/>
        </w:rPr>
        <w:t>提供非联合体投标承诺，格式自拟</w:t>
      </w:r>
      <w:r>
        <w:rPr>
          <w:rFonts w:hint="eastAsia" w:ascii="宋体" w:hAnsi="宋体" w:cs="宋体"/>
          <w:color w:val="auto"/>
          <w:sz w:val="24"/>
          <w:highlight w:val="none"/>
        </w:rPr>
        <w:t>。</w:t>
      </w:r>
    </w:p>
    <w:p w14:paraId="56347B91">
      <w:pPr>
        <w:widowControl/>
        <w:spacing w:line="480" w:lineRule="exact"/>
        <w:ind w:firstLine="482" w:firstLineChars="200"/>
        <w:jc w:val="left"/>
        <w:rPr>
          <w:rFonts w:ascii="宋体" w:hAnsi="宋体" w:eastAsia="宋体" w:cs="宋体"/>
          <w:b/>
          <w:color w:val="auto"/>
          <w:kern w:val="0"/>
          <w:sz w:val="24"/>
          <w:highlight w:val="none"/>
          <w:lang w:bidi="ar"/>
        </w:rPr>
      </w:pPr>
      <w:r>
        <w:rPr>
          <w:rFonts w:hint="eastAsia" w:ascii="宋体" w:hAnsi="宋体" w:eastAsia="宋体" w:cs="宋体"/>
          <w:b/>
          <w:color w:val="auto"/>
          <w:kern w:val="0"/>
          <w:sz w:val="24"/>
          <w:highlight w:val="none"/>
          <w:lang w:bidi="ar"/>
        </w:rPr>
        <w:t>注：本次磋商实行资格后审，资格评审以投标文件为准，其上传资料真实性由供应商自行承担。</w:t>
      </w:r>
    </w:p>
    <w:p w14:paraId="48501F54">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三、获取</w:t>
      </w:r>
      <w:r>
        <w:rPr>
          <w:rFonts w:hint="eastAsia" w:asciiTheme="minorEastAsia" w:hAnsiTheme="minorEastAsia" w:cstheme="minorEastAsia"/>
          <w:color w:val="auto"/>
          <w:sz w:val="24"/>
          <w:szCs w:val="24"/>
          <w:highlight w:val="none"/>
          <w:lang w:val="en-US" w:eastAsia="zh-CN"/>
        </w:rPr>
        <w:t>采购</w:t>
      </w:r>
      <w:r>
        <w:rPr>
          <w:rFonts w:hint="eastAsia" w:asciiTheme="minorEastAsia" w:hAnsiTheme="minorEastAsia" w:cstheme="minorEastAsia"/>
          <w:color w:val="auto"/>
          <w:sz w:val="24"/>
          <w:szCs w:val="24"/>
          <w:highlight w:val="none"/>
        </w:rPr>
        <w:t>文件</w:t>
      </w:r>
    </w:p>
    <w:p w14:paraId="77AAB68E">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1.时间：</w:t>
      </w:r>
      <w:r>
        <w:rPr>
          <w:rFonts w:hint="eastAsia" w:ascii="宋体" w:hAnsi="宋体" w:eastAsia="宋体" w:cs="宋体"/>
          <w:color w:val="auto"/>
          <w:kern w:val="0"/>
          <w:sz w:val="24"/>
          <w:szCs w:val="24"/>
          <w:highlight w:val="none"/>
        </w:rPr>
        <w:t>2026年</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日至</w:t>
      </w:r>
      <w:r>
        <w:rPr>
          <w:rFonts w:hint="eastAsia" w:ascii="宋体" w:hAnsi="宋体" w:eastAsia="宋体" w:cs="宋体"/>
          <w:color w:val="auto"/>
          <w:kern w:val="0"/>
          <w:sz w:val="24"/>
          <w:szCs w:val="24"/>
          <w:highlight w:val="none"/>
          <w:lang w:eastAsia="zh-CN"/>
        </w:rPr>
        <w:t>2026年9月29日0</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lang w:eastAsia="zh-CN"/>
        </w:rPr>
        <w:t>时</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lang w:eastAsia="zh-CN"/>
        </w:rPr>
        <w:t>0分</w:t>
      </w:r>
      <w:r>
        <w:rPr>
          <w:rFonts w:hint="eastAsia" w:asciiTheme="minorEastAsia" w:hAnsiTheme="minorEastAsia" w:cstheme="minorEastAsia"/>
          <w:color w:val="auto"/>
          <w:sz w:val="24"/>
          <w:szCs w:val="24"/>
          <w:highlight w:val="none"/>
        </w:rPr>
        <w:t>（北京时间）</w:t>
      </w:r>
      <w:r>
        <w:rPr>
          <w:rFonts w:hint="eastAsia" w:ascii="宋体" w:hAnsi="宋体" w:cs="宋体"/>
          <w:color w:val="auto"/>
          <w:kern w:val="0"/>
          <w:sz w:val="24"/>
          <w:szCs w:val="24"/>
          <w:highlight w:val="none"/>
        </w:rPr>
        <w:t>。</w:t>
      </w:r>
    </w:p>
    <w:p w14:paraId="13547EA1">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2.地点：三门峡市公共资源交易中心网</w:t>
      </w:r>
    </w:p>
    <w:p w14:paraId="7BC1BDF8">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方式：本项目没有报名环节，投标人凭CA数字证书通过三门峡市公共资源交易中心网（网址：http://gzjy.smx.gov.cn），点击交易平台选择“市场主体登录”，在所参与项目右侧点击参与投标，即可直接下载本项目竞争性磋商文件。</w:t>
      </w:r>
    </w:p>
    <w:p w14:paraId="25DE88C9">
      <w:pPr>
        <w:spacing w:line="360" w:lineRule="auto"/>
        <w:ind w:left="563" w:leftChars="268"/>
        <w:jc w:val="left"/>
        <w:rPr>
          <w:rFonts w:asciiTheme="minorEastAsia" w:hAnsiTheme="minorEastAsia" w:cstheme="minorEastAsia"/>
          <w:color w:val="auto"/>
          <w:highlight w:val="none"/>
        </w:rPr>
      </w:pPr>
      <w:r>
        <w:rPr>
          <w:rFonts w:hint="eastAsia" w:asciiTheme="minorEastAsia" w:hAnsiTheme="minorEastAsia" w:cstheme="minorEastAsia"/>
          <w:color w:val="auto"/>
          <w:sz w:val="24"/>
          <w:szCs w:val="24"/>
          <w:highlight w:val="none"/>
        </w:rPr>
        <w:t>办理CA证书：http://gzjy.smx.gov.cn/bzzx/008001/20231102/4defc9b5-408e-47f2-9e9f-1f376a06ee1f.html</w:t>
      </w:r>
    </w:p>
    <w:p w14:paraId="63D424B7">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4.售价：0元</w:t>
      </w:r>
    </w:p>
    <w:p w14:paraId="3EB396F8">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四、响应文件提交</w:t>
      </w:r>
    </w:p>
    <w:p w14:paraId="47C38DFA">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1.截止时间：</w:t>
      </w:r>
      <w:r>
        <w:rPr>
          <w:rFonts w:hint="eastAsia" w:asciiTheme="minorEastAsia" w:hAnsiTheme="minorEastAsia" w:cstheme="minorEastAsia"/>
          <w:color w:val="auto"/>
          <w:sz w:val="24"/>
          <w:szCs w:val="24"/>
          <w:highlight w:val="none"/>
          <w:lang w:eastAsia="zh-CN"/>
        </w:rPr>
        <w:t>2026年9月29日</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lang w:eastAsia="zh-CN"/>
        </w:rPr>
        <w:t>时</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lang w:eastAsia="zh-CN"/>
        </w:rPr>
        <w:t>0分</w:t>
      </w:r>
      <w:r>
        <w:rPr>
          <w:rFonts w:hint="eastAsia" w:asciiTheme="minorEastAsia" w:hAnsiTheme="minorEastAsia" w:cstheme="minorEastAsia"/>
          <w:color w:val="auto"/>
          <w:sz w:val="24"/>
          <w:szCs w:val="24"/>
          <w:highlight w:val="none"/>
        </w:rPr>
        <w:t>（北京时间）。</w:t>
      </w:r>
    </w:p>
    <w:p w14:paraId="05E84933">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2.地点：加密电子投标文件须在投标截止时间前通过三门峡市公共资源交易中心电子交易平台加密上传。</w:t>
      </w:r>
    </w:p>
    <w:p w14:paraId="0257018E">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五、响应文件开启</w:t>
      </w:r>
    </w:p>
    <w:p w14:paraId="5DB3D662">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1.时间：</w:t>
      </w:r>
      <w:r>
        <w:rPr>
          <w:rFonts w:hint="eastAsia" w:asciiTheme="minorEastAsia" w:hAnsiTheme="minorEastAsia" w:cstheme="minorEastAsia"/>
          <w:color w:val="auto"/>
          <w:sz w:val="24"/>
          <w:szCs w:val="24"/>
          <w:highlight w:val="none"/>
          <w:lang w:eastAsia="zh-CN"/>
        </w:rPr>
        <w:t>2026年9月29日</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lang w:eastAsia="zh-CN"/>
        </w:rPr>
        <w:t>时</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lang w:eastAsia="zh-CN"/>
        </w:rPr>
        <w:t>0分</w:t>
      </w:r>
      <w:r>
        <w:rPr>
          <w:rFonts w:hint="eastAsia" w:asciiTheme="minorEastAsia" w:hAnsiTheme="minorEastAsia" w:cstheme="minorEastAsia"/>
          <w:color w:val="auto"/>
          <w:sz w:val="24"/>
          <w:szCs w:val="24"/>
          <w:highlight w:val="none"/>
        </w:rPr>
        <w:t>（北京时间）。</w:t>
      </w:r>
    </w:p>
    <w:p w14:paraId="69877ADB">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2.地点：渑池县公共资源交易中心六楼开标</w:t>
      </w:r>
      <w:r>
        <w:rPr>
          <w:rFonts w:hint="eastAsia" w:asciiTheme="minorEastAsia" w:hAnsiTheme="minorEastAsia" w:cstheme="minorEastAsia"/>
          <w:color w:val="auto"/>
          <w:sz w:val="24"/>
          <w:szCs w:val="24"/>
          <w:highlight w:val="none"/>
          <w:lang w:val="en-US" w:eastAsia="zh-CN"/>
        </w:rPr>
        <w:t>一</w:t>
      </w:r>
      <w:r>
        <w:rPr>
          <w:rFonts w:hint="eastAsia" w:asciiTheme="minorEastAsia" w:hAnsiTheme="minorEastAsia" w:cstheme="minorEastAsia"/>
          <w:color w:val="auto"/>
          <w:sz w:val="24"/>
          <w:szCs w:val="24"/>
          <w:highlight w:val="none"/>
        </w:rPr>
        <w:t>室</w:t>
      </w:r>
    </w:p>
    <w:p w14:paraId="1EA89D60">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六、发布公告的媒介及招标公告期限</w:t>
      </w:r>
    </w:p>
    <w:p w14:paraId="1D5E5320">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本次</w:t>
      </w:r>
      <w:r>
        <w:rPr>
          <w:rFonts w:hint="eastAsia" w:asciiTheme="minorEastAsia" w:hAnsiTheme="minorEastAsia" w:cstheme="minorEastAsia"/>
          <w:color w:val="auto"/>
          <w:sz w:val="24"/>
          <w:szCs w:val="24"/>
          <w:highlight w:val="none"/>
          <w:lang w:val="en-US" w:eastAsia="zh-CN"/>
        </w:rPr>
        <w:t>磋商</w:t>
      </w:r>
      <w:r>
        <w:rPr>
          <w:rFonts w:hint="eastAsia" w:asciiTheme="minorEastAsia" w:hAnsiTheme="minorEastAsia" w:cstheme="minorEastAsia"/>
          <w:color w:val="auto"/>
          <w:sz w:val="24"/>
          <w:szCs w:val="24"/>
          <w:highlight w:val="none"/>
        </w:rPr>
        <w:t>公告在《河南省政府采购网》、《三门峡市公共资源交易中心网》、《中国招标投标公共服务平台》上发布。公告期限为三个工作日。</w:t>
      </w:r>
    </w:p>
    <w:p w14:paraId="1BBAE276">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七、其他补充事宜</w:t>
      </w:r>
    </w:p>
    <w:p w14:paraId="2CBFE5F8">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w:t>
      </w:r>
      <w:r>
        <w:rPr>
          <w:rFonts w:asciiTheme="minorEastAsia" w:hAnsiTheme="minorEastAsia" w:cstheme="minorEastAsia"/>
          <w:color w:val="auto"/>
          <w:sz w:val="24"/>
          <w:szCs w:val="24"/>
          <w:highlight w:val="none"/>
        </w:rPr>
        <w:t>http://120.194.249.36:10094/BidOpening/bidopeninghallaction/hall/login</w:t>
      </w:r>
      <w:r>
        <w:rPr>
          <w:rFonts w:hint="eastAsia" w:asciiTheme="minorEastAsia" w:hAnsiTheme="minorEastAsia" w:cstheme="minorEastAsia"/>
          <w:color w:val="auto"/>
          <w:sz w:val="24"/>
          <w:szCs w:val="24"/>
          <w:highlight w:val="none"/>
        </w:rPr>
        <w:t>）,在线准时参加开标活动并进行投标文件解密等。每位供应商的解密时间为开标时间起30分钟内完成。因供应商原因未能解密、解密失败或解密超时的将被拒绝。</w:t>
      </w:r>
    </w:p>
    <w:p w14:paraId="0833A3AA">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2.本项目为电子化、无纸化交易项目，开标时不再接受任何纸质资料，为保证您能投标成功，请需仔细阅读招标文件和三门峡市公共资源交易中心官网业务办理指南。</w:t>
      </w:r>
    </w:p>
    <w:p w14:paraId="6DDE467B">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3.根据《河南省财政厅关于优化政府采购营商环境有关问题的通知》（豫财购【2019】4号）第6条的规定，投标保证金不再收取。</w:t>
      </w:r>
    </w:p>
    <w:p w14:paraId="090C01AB">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w:t>
      </w:r>
      <w:r>
        <w:rPr>
          <w:rFonts w:hint="eastAsia"/>
          <w:color w:val="auto"/>
          <w:sz w:val="24"/>
          <w:szCs w:val="24"/>
          <w:highlight w:val="none"/>
        </w:rPr>
        <w:t xml:space="preserve"> </w:t>
      </w:r>
      <w:r>
        <w:rPr>
          <w:rFonts w:hint="eastAsia" w:asciiTheme="minorEastAsia" w:hAnsiTheme="minorEastAsia" w:cstheme="minorEastAsia"/>
          <w:color w:val="auto"/>
          <w:sz w:val="24"/>
          <w:szCs w:val="24"/>
          <w:highlight w:val="none"/>
        </w:rPr>
        <w:t>资格评（预）审部分：资格评（预）以投标文件为准，其上传资料真实性由供应商自行承担。</w:t>
      </w:r>
    </w:p>
    <w:p w14:paraId="71C2B6DE">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5.评标打分部分：评标打分部分仍按照100分制原则进行，涉及到资格审查、企业业绩等计分部分时，以投标单位自行上传到投标文件中的相应内容为准。</w:t>
      </w:r>
    </w:p>
    <w:p w14:paraId="7BFBE04F">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6.在招标文件中要求供应商按照投标文件格式进行投标文件编制，在投标文件编制时，应明确将供应商企业基本情况、业绩情况编入投标文件，便于进行资格审查及评标打分。</w:t>
      </w:r>
    </w:p>
    <w:p w14:paraId="2D19CFF4">
      <w:pPr>
        <w:spacing w:line="360" w:lineRule="auto"/>
        <w:ind w:firstLine="484" w:firstLineChars="202"/>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7.我单位（采购人）严格按三财购【2021】9号文要求的时限发布中标结果公告，发出中标通知书，签订采购合同，上传采购合同。</w:t>
      </w:r>
    </w:p>
    <w:p w14:paraId="6683E4A5">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八、凡对本次招标提出询问，请按照以下方式联系</w:t>
      </w:r>
    </w:p>
    <w:p w14:paraId="4634A9BA">
      <w:pPr>
        <w:spacing w:line="360" w:lineRule="auto"/>
        <w:ind w:firstLine="484" w:firstLineChars="202"/>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 采购人信息</w:t>
      </w:r>
    </w:p>
    <w:p w14:paraId="17A02853">
      <w:pPr>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名称：</w:t>
      </w:r>
      <w:r>
        <w:rPr>
          <w:rFonts w:hint="eastAsia" w:asciiTheme="minorEastAsia" w:hAnsiTheme="minorEastAsia" w:cstheme="minorEastAsia"/>
          <w:color w:val="auto"/>
          <w:sz w:val="24"/>
          <w:szCs w:val="24"/>
          <w:highlight w:val="none"/>
          <w:lang w:eastAsia="zh-CN"/>
        </w:rPr>
        <w:t>渑池县英豪镇人民政府</w:t>
      </w:r>
    </w:p>
    <w:p w14:paraId="5016FD99">
      <w:pPr>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地址：</w:t>
      </w:r>
      <w:r>
        <w:rPr>
          <w:rFonts w:hint="eastAsia" w:asciiTheme="minorEastAsia" w:hAnsiTheme="minorEastAsia" w:cstheme="minorEastAsia"/>
          <w:color w:val="auto"/>
          <w:sz w:val="24"/>
          <w:szCs w:val="24"/>
          <w:highlight w:val="none"/>
          <w:lang w:eastAsia="zh-CN"/>
        </w:rPr>
        <w:t>渑池县英豪镇</w:t>
      </w:r>
    </w:p>
    <w:p w14:paraId="7B4BF140">
      <w:pPr>
        <w:spacing w:line="360" w:lineRule="auto"/>
        <w:ind w:firstLine="484" w:firstLineChars="202"/>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联系人：占先生</w:t>
      </w:r>
    </w:p>
    <w:p w14:paraId="7F9C180D">
      <w:pPr>
        <w:spacing w:line="360" w:lineRule="auto"/>
        <w:ind w:firstLine="484" w:firstLineChars="202"/>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联系方式：15239871852</w:t>
      </w:r>
    </w:p>
    <w:p w14:paraId="327DA208">
      <w:pPr>
        <w:spacing w:line="360" w:lineRule="auto"/>
        <w:ind w:firstLine="484" w:firstLineChars="202"/>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2.采购代理机构信息（如有）</w:t>
      </w:r>
    </w:p>
    <w:p w14:paraId="3B5EC141">
      <w:pPr>
        <w:spacing w:line="360" w:lineRule="auto"/>
        <w:ind w:firstLine="484" w:firstLineChars="202"/>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名称：河南亿禾工程项目管理有限公司</w:t>
      </w:r>
    </w:p>
    <w:p w14:paraId="33E336F6">
      <w:pPr>
        <w:wordWrap w:val="0"/>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地址：</w:t>
      </w:r>
      <w:r>
        <w:rPr>
          <w:rFonts w:hint="eastAsia" w:ascii="宋体" w:hAnsi="宋体" w:cs="宋体"/>
          <w:color w:val="auto"/>
          <w:sz w:val="24"/>
          <w:highlight w:val="none"/>
          <w:lang w:eastAsia="zh-CN"/>
        </w:rPr>
        <w:t>河南省三门峡市湖滨区黄河路建业新天地银座706号</w:t>
      </w:r>
    </w:p>
    <w:p w14:paraId="31A8B820">
      <w:pPr>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联系人：</w:t>
      </w:r>
      <w:r>
        <w:rPr>
          <w:rFonts w:hint="eastAsia" w:asciiTheme="minorEastAsia" w:hAnsiTheme="minorEastAsia" w:cstheme="minorEastAsia"/>
          <w:color w:val="auto"/>
          <w:sz w:val="24"/>
          <w:szCs w:val="24"/>
          <w:highlight w:val="none"/>
          <w:lang w:eastAsia="zh-CN"/>
        </w:rPr>
        <w:t>崔钰焯</w:t>
      </w:r>
    </w:p>
    <w:p w14:paraId="376B0C6C">
      <w:pPr>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联系方式：</w:t>
      </w:r>
      <w:r>
        <w:rPr>
          <w:rFonts w:hint="eastAsia" w:ascii="宋体" w:hAnsi="宋体" w:cs="宋体"/>
          <w:color w:val="auto"/>
          <w:sz w:val="24"/>
          <w:highlight w:val="none"/>
          <w:lang w:eastAsia="zh-CN"/>
        </w:rPr>
        <w:t>13343981021</w:t>
      </w:r>
    </w:p>
    <w:p w14:paraId="572CC56B">
      <w:pPr>
        <w:spacing w:line="360" w:lineRule="auto"/>
        <w:ind w:firstLine="484" w:firstLineChars="202"/>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3.项目联系方式</w:t>
      </w:r>
    </w:p>
    <w:p w14:paraId="60BF4A4F">
      <w:pPr>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项目联系人：</w:t>
      </w:r>
      <w:r>
        <w:rPr>
          <w:rFonts w:hint="eastAsia" w:asciiTheme="minorEastAsia" w:hAnsiTheme="minorEastAsia" w:cstheme="minorEastAsia"/>
          <w:color w:val="auto"/>
          <w:sz w:val="24"/>
          <w:szCs w:val="24"/>
          <w:highlight w:val="none"/>
          <w:lang w:eastAsia="zh-CN"/>
        </w:rPr>
        <w:t>崔钰焯</w:t>
      </w:r>
    </w:p>
    <w:p w14:paraId="777AFB50">
      <w:pPr>
        <w:spacing w:line="360" w:lineRule="auto"/>
        <w:ind w:firstLine="484" w:firstLineChars="202"/>
        <w:rPr>
          <w:rFonts w:hint="eastAsia" w:ascii="宋体" w:hAnsi="宋体" w:cs="宋体" w:eastAsiaTheme="minorEastAsia"/>
          <w:color w:val="auto"/>
          <w:sz w:val="24"/>
          <w:highlight w:val="none"/>
          <w:lang w:eastAsia="zh-CN"/>
        </w:rPr>
      </w:pPr>
      <w:r>
        <w:rPr>
          <w:rFonts w:hint="eastAsia" w:asciiTheme="minorEastAsia" w:hAnsiTheme="minorEastAsia" w:cstheme="minorEastAsia"/>
          <w:color w:val="auto"/>
          <w:sz w:val="24"/>
          <w:szCs w:val="24"/>
          <w:highlight w:val="none"/>
          <w:lang w:val="en-US" w:eastAsia="zh-CN"/>
        </w:rPr>
        <w:t>联系方式：</w:t>
      </w:r>
      <w:r>
        <w:rPr>
          <w:rFonts w:hint="eastAsia" w:ascii="宋体" w:hAnsi="宋体" w:cs="宋体"/>
          <w:color w:val="auto"/>
          <w:sz w:val="24"/>
          <w:highlight w:val="none"/>
          <w:lang w:eastAsia="zh-CN"/>
        </w:rPr>
        <w:t>13343981021</w:t>
      </w:r>
    </w:p>
    <w:p w14:paraId="68B554A2">
      <w:pPr>
        <w:spacing w:line="360" w:lineRule="auto"/>
        <w:ind w:firstLine="484" w:firstLineChars="202"/>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4.</w:t>
      </w:r>
      <w:r>
        <w:rPr>
          <w:rFonts w:hint="eastAsia" w:asciiTheme="minorEastAsia" w:hAnsiTheme="minorEastAsia" w:cstheme="minorEastAsia"/>
          <w:color w:val="auto"/>
          <w:sz w:val="24"/>
          <w:szCs w:val="24"/>
          <w:highlight w:val="none"/>
        </w:rPr>
        <w:t>监督机构：渑池县政府采购办公室</w:t>
      </w:r>
    </w:p>
    <w:p w14:paraId="393115AD">
      <w:pPr>
        <w:spacing w:line="360" w:lineRule="auto"/>
        <w:ind w:firstLine="484" w:firstLineChars="202"/>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rPr>
        <w:t>联系</w:t>
      </w:r>
      <w:r>
        <w:rPr>
          <w:rFonts w:hint="eastAsia" w:asciiTheme="minorEastAsia" w:hAnsiTheme="minorEastAsia" w:cstheme="minorEastAsia"/>
          <w:color w:val="auto"/>
          <w:sz w:val="24"/>
          <w:szCs w:val="24"/>
          <w:highlight w:val="none"/>
          <w:lang w:val="en-US" w:eastAsia="zh-CN"/>
        </w:rPr>
        <w:t>方式</w:t>
      </w:r>
      <w:r>
        <w:rPr>
          <w:rFonts w:hint="eastAsia" w:asciiTheme="minorEastAsia" w:hAnsiTheme="minorEastAsia" w:cstheme="minorEastAsia"/>
          <w:color w:val="auto"/>
          <w:sz w:val="24"/>
          <w:szCs w:val="24"/>
          <w:highlight w:val="none"/>
        </w:rPr>
        <w:t>：0398-4818677</w:t>
      </w:r>
    </w:p>
    <w:p w14:paraId="136F2FA5">
      <w:pPr>
        <w:widowControl/>
        <w:jc w:val="left"/>
        <w:rPr>
          <w:rFonts w:ascii="宋体" w:hAnsi="宋体" w:cs="宋体"/>
          <w:color w:val="auto"/>
          <w:sz w:val="24"/>
          <w:highlight w:val="none"/>
        </w:rPr>
      </w:pPr>
    </w:p>
    <w:p w14:paraId="27F0B712">
      <w:pPr>
        <w:rPr>
          <w:rFonts w:ascii="宋体" w:hAnsi="宋体"/>
          <w:b/>
          <w:bCs/>
          <w:color w:val="auto"/>
          <w:kern w:val="0"/>
          <w:sz w:val="32"/>
          <w:szCs w:val="32"/>
          <w:highlight w:val="none"/>
        </w:rPr>
      </w:pPr>
      <w:bookmarkStart w:id="17" w:name="_Toc18788"/>
      <w:bookmarkStart w:id="18" w:name="_Toc32032"/>
      <w:bookmarkStart w:id="19" w:name="_Toc10227"/>
      <w:bookmarkStart w:id="20" w:name="_Toc43302780"/>
      <w:r>
        <w:rPr>
          <w:rFonts w:hint="eastAsia" w:ascii="宋体" w:hAnsi="宋体"/>
          <w:b/>
          <w:bCs/>
          <w:color w:val="auto"/>
          <w:kern w:val="0"/>
          <w:sz w:val="32"/>
          <w:szCs w:val="32"/>
          <w:highlight w:val="none"/>
        </w:rPr>
        <w:br w:type="page"/>
      </w:r>
    </w:p>
    <w:p w14:paraId="05327BDB">
      <w:pPr>
        <w:spacing w:before="312" w:beforeLines="100" w:line="360" w:lineRule="auto"/>
        <w:jc w:val="center"/>
        <w:outlineLvl w:val="0"/>
        <w:rPr>
          <w:rFonts w:hint="eastAsia" w:ascii="宋体" w:hAnsi="宋体" w:cs="宋体"/>
          <w:b/>
          <w:bCs/>
          <w:color w:val="auto"/>
          <w:sz w:val="36"/>
          <w:szCs w:val="36"/>
          <w:highlight w:val="none"/>
          <w:lang w:bidi="ar"/>
        </w:rPr>
      </w:pPr>
      <w:bookmarkStart w:id="21" w:name="_Toc19657"/>
      <w:r>
        <w:rPr>
          <w:rFonts w:hint="eastAsia" w:ascii="宋体" w:hAnsi="宋体" w:cs="宋体"/>
          <w:b/>
          <w:bCs/>
          <w:color w:val="auto"/>
          <w:sz w:val="36"/>
          <w:szCs w:val="36"/>
          <w:highlight w:val="none"/>
          <w:lang w:bidi="ar"/>
        </w:rPr>
        <w:t>第二章</w:t>
      </w:r>
      <w:bookmarkEnd w:id="17"/>
      <w:r>
        <w:rPr>
          <w:rFonts w:hint="eastAsia" w:ascii="宋体" w:hAnsi="宋体" w:cs="宋体"/>
          <w:b/>
          <w:bCs/>
          <w:color w:val="auto"/>
          <w:sz w:val="36"/>
          <w:szCs w:val="36"/>
          <w:highlight w:val="none"/>
          <w:lang w:bidi="ar"/>
        </w:rPr>
        <w:t xml:space="preserve">  供应商须知</w:t>
      </w:r>
      <w:bookmarkEnd w:id="18"/>
      <w:bookmarkEnd w:id="19"/>
      <w:bookmarkEnd w:id="20"/>
      <w:bookmarkEnd w:id="21"/>
    </w:p>
    <w:p w14:paraId="68006B03">
      <w:pPr>
        <w:widowControl/>
        <w:jc w:val="center"/>
        <w:rPr>
          <w:color w:val="auto"/>
          <w:sz w:val="24"/>
          <w:highlight w:val="none"/>
        </w:rPr>
      </w:pPr>
      <w:bookmarkStart w:id="22" w:name="_Toc44996337"/>
      <w:bookmarkEnd w:id="22"/>
      <w:r>
        <w:rPr>
          <w:rFonts w:hint="eastAsia"/>
          <w:color w:val="auto"/>
          <w:sz w:val="24"/>
          <w:highlight w:val="none"/>
        </w:rPr>
        <w:t>供应商须知前附表</w:t>
      </w:r>
    </w:p>
    <w:tbl>
      <w:tblPr>
        <w:tblStyle w:val="20"/>
        <w:tblW w:w="9120" w:type="dxa"/>
        <w:jc w:val="center"/>
        <w:tblLayout w:type="fixed"/>
        <w:tblCellMar>
          <w:top w:w="0" w:type="dxa"/>
          <w:left w:w="108" w:type="dxa"/>
          <w:bottom w:w="0" w:type="dxa"/>
          <w:right w:w="108" w:type="dxa"/>
        </w:tblCellMar>
      </w:tblPr>
      <w:tblGrid>
        <w:gridCol w:w="694"/>
        <w:gridCol w:w="2073"/>
        <w:gridCol w:w="6353"/>
      </w:tblGrid>
      <w:tr w14:paraId="6913DFCF">
        <w:tblPrEx>
          <w:tblCellMar>
            <w:top w:w="0" w:type="dxa"/>
            <w:left w:w="108" w:type="dxa"/>
            <w:bottom w:w="0" w:type="dxa"/>
            <w:right w:w="108" w:type="dxa"/>
          </w:tblCellMar>
        </w:tblPrEx>
        <w:trPr>
          <w:trHeight w:val="411"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6DDFA3ED">
            <w:pPr>
              <w:widowControl/>
              <w:jc w:val="center"/>
              <w:rPr>
                <w:rFonts w:ascii="宋体" w:hAnsi="宋体" w:cs="Calibri"/>
                <w:color w:val="auto"/>
                <w:sz w:val="24"/>
                <w:highlight w:val="none"/>
              </w:rPr>
            </w:pPr>
            <w:r>
              <w:rPr>
                <w:rFonts w:hint="eastAsia" w:ascii="宋体" w:hAnsi="宋体" w:cs="Calibri"/>
                <w:color w:val="auto"/>
                <w:kern w:val="0"/>
                <w:sz w:val="24"/>
                <w:highlight w:val="none"/>
              </w:rPr>
              <w:t>序号</w:t>
            </w:r>
          </w:p>
        </w:tc>
        <w:tc>
          <w:tcPr>
            <w:tcW w:w="2073" w:type="dxa"/>
            <w:tcBorders>
              <w:top w:val="single" w:color="auto" w:sz="4" w:space="0"/>
              <w:left w:val="nil"/>
              <w:bottom w:val="single" w:color="auto" w:sz="4" w:space="0"/>
              <w:right w:val="single" w:color="auto" w:sz="4" w:space="0"/>
            </w:tcBorders>
            <w:vAlign w:val="center"/>
          </w:tcPr>
          <w:p w14:paraId="5C1EC0DA">
            <w:pPr>
              <w:widowControl/>
              <w:ind w:firstLine="240" w:firstLineChars="100"/>
              <w:jc w:val="center"/>
              <w:rPr>
                <w:rFonts w:ascii="宋体" w:hAnsi="宋体" w:cs="Calibri"/>
                <w:color w:val="auto"/>
                <w:sz w:val="24"/>
                <w:highlight w:val="none"/>
              </w:rPr>
            </w:pPr>
            <w:r>
              <w:rPr>
                <w:rFonts w:hint="eastAsia" w:ascii="宋体" w:hAnsi="宋体" w:cs="Calibri"/>
                <w:color w:val="auto"/>
                <w:kern w:val="0"/>
                <w:sz w:val="24"/>
                <w:highlight w:val="none"/>
              </w:rPr>
              <w:t>条款名称</w:t>
            </w:r>
          </w:p>
        </w:tc>
        <w:tc>
          <w:tcPr>
            <w:tcW w:w="6353" w:type="dxa"/>
            <w:tcBorders>
              <w:top w:val="single" w:color="auto" w:sz="4" w:space="0"/>
              <w:left w:val="nil"/>
              <w:bottom w:val="single" w:color="auto" w:sz="4" w:space="0"/>
              <w:right w:val="single" w:color="auto" w:sz="4" w:space="0"/>
            </w:tcBorders>
            <w:vAlign w:val="center"/>
          </w:tcPr>
          <w:p w14:paraId="54F6A57A">
            <w:pPr>
              <w:widowControl/>
              <w:ind w:left="-48" w:leftChars="-23"/>
              <w:jc w:val="center"/>
              <w:rPr>
                <w:rFonts w:ascii="宋体" w:hAnsi="宋体" w:cs="Calibri"/>
                <w:color w:val="auto"/>
                <w:sz w:val="24"/>
                <w:highlight w:val="none"/>
              </w:rPr>
            </w:pPr>
            <w:r>
              <w:rPr>
                <w:rFonts w:hint="eastAsia" w:ascii="宋体" w:hAnsi="宋体" w:cs="Calibri"/>
                <w:color w:val="auto"/>
                <w:kern w:val="0"/>
                <w:sz w:val="24"/>
                <w:highlight w:val="none"/>
              </w:rPr>
              <w:t>编列内容</w:t>
            </w:r>
          </w:p>
        </w:tc>
      </w:tr>
      <w:tr w14:paraId="43EED072">
        <w:tblPrEx>
          <w:tblCellMar>
            <w:top w:w="0" w:type="dxa"/>
            <w:left w:w="108" w:type="dxa"/>
            <w:bottom w:w="0" w:type="dxa"/>
            <w:right w:w="108" w:type="dxa"/>
          </w:tblCellMar>
        </w:tblPrEx>
        <w:trPr>
          <w:trHeight w:val="1935"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32E48808">
            <w:pPr>
              <w:widowControl/>
              <w:jc w:val="center"/>
              <w:rPr>
                <w:rFonts w:ascii="宋体" w:hAnsi="宋体" w:cs="Calibri"/>
                <w:color w:val="auto"/>
                <w:sz w:val="24"/>
                <w:highlight w:val="none"/>
              </w:rPr>
            </w:pPr>
            <w:r>
              <w:rPr>
                <w:rFonts w:hint="eastAsia" w:ascii="宋体" w:hAnsi="宋体" w:cs="Calibri"/>
                <w:color w:val="auto"/>
                <w:kern w:val="0"/>
                <w:sz w:val="24"/>
                <w:highlight w:val="none"/>
              </w:rPr>
              <w:t>1</w:t>
            </w:r>
          </w:p>
        </w:tc>
        <w:tc>
          <w:tcPr>
            <w:tcW w:w="2073" w:type="dxa"/>
            <w:tcBorders>
              <w:top w:val="single" w:color="auto" w:sz="4" w:space="0"/>
              <w:left w:val="nil"/>
              <w:bottom w:val="single" w:color="auto" w:sz="4" w:space="0"/>
              <w:right w:val="single" w:color="auto" w:sz="4" w:space="0"/>
            </w:tcBorders>
            <w:vAlign w:val="center"/>
          </w:tcPr>
          <w:p w14:paraId="24C441C3">
            <w:pPr>
              <w:widowControl/>
              <w:jc w:val="center"/>
              <w:rPr>
                <w:rFonts w:ascii="宋体" w:hAnsi="宋体" w:cs="Calibri"/>
                <w:color w:val="auto"/>
                <w:sz w:val="24"/>
                <w:highlight w:val="none"/>
              </w:rPr>
            </w:pPr>
            <w:r>
              <w:rPr>
                <w:rFonts w:hint="eastAsia" w:ascii="宋体" w:hAnsi="宋体" w:cs="Calibri"/>
                <w:color w:val="auto"/>
                <w:sz w:val="24"/>
                <w:highlight w:val="none"/>
              </w:rPr>
              <w:t>采购人</w:t>
            </w:r>
          </w:p>
        </w:tc>
        <w:tc>
          <w:tcPr>
            <w:tcW w:w="6353" w:type="dxa"/>
            <w:tcBorders>
              <w:top w:val="single" w:color="auto" w:sz="4" w:space="0"/>
              <w:left w:val="nil"/>
              <w:bottom w:val="single" w:color="auto" w:sz="4" w:space="0"/>
              <w:right w:val="single" w:color="auto" w:sz="4" w:space="0"/>
            </w:tcBorders>
            <w:vAlign w:val="center"/>
          </w:tcPr>
          <w:p w14:paraId="6E3359DF">
            <w:pPr>
              <w:widowControl/>
              <w:spacing w:line="500" w:lineRule="exact"/>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采购人：</w:t>
            </w:r>
            <w:r>
              <w:rPr>
                <w:rFonts w:hint="eastAsia" w:ascii="宋体" w:hAnsi="宋体" w:cs="宋体"/>
                <w:color w:val="auto"/>
                <w:sz w:val="24"/>
                <w:szCs w:val="24"/>
                <w:highlight w:val="none"/>
                <w:lang w:eastAsia="zh-CN"/>
              </w:rPr>
              <w:t>渑池县英豪镇人民政府</w:t>
            </w:r>
          </w:p>
          <w:p w14:paraId="3C7BC0B8">
            <w:pPr>
              <w:widowControl/>
              <w:spacing w:line="500" w:lineRule="exact"/>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地址：</w:t>
            </w:r>
            <w:r>
              <w:rPr>
                <w:rFonts w:hint="eastAsia" w:ascii="宋体" w:hAnsi="宋体" w:cs="宋体"/>
                <w:color w:val="auto"/>
                <w:sz w:val="24"/>
                <w:szCs w:val="24"/>
                <w:highlight w:val="none"/>
                <w:lang w:eastAsia="zh-CN"/>
              </w:rPr>
              <w:t>渑池县英豪镇</w:t>
            </w:r>
          </w:p>
          <w:p w14:paraId="0215C660">
            <w:pPr>
              <w:widowControl/>
              <w:spacing w:line="500" w:lineRule="exact"/>
              <w:rPr>
                <w:rFonts w:hint="eastAsia" w:ascii="宋体" w:hAnsi="宋体" w:cs="宋体" w:eastAsiaTheme="minorEastAsia"/>
                <w:color w:val="auto"/>
                <w:sz w:val="24"/>
                <w:szCs w:val="24"/>
                <w:highlight w:val="none"/>
                <w:lang w:val="en-US" w:eastAsia="zh-CN"/>
              </w:rPr>
            </w:pPr>
            <w:r>
              <w:rPr>
                <w:rFonts w:hint="eastAsia" w:ascii="宋体" w:hAnsi="宋体" w:cs="宋体" w:eastAsiaTheme="minorEastAsia"/>
                <w:color w:val="auto"/>
                <w:sz w:val="24"/>
                <w:szCs w:val="24"/>
                <w:highlight w:val="none"/>
                <w:lang w:val="en-US" w:eastAsia="zh-CN"/>
              </w:rPr>
              <w:t>联系人：</w:t>
            </w:r>
            <w:r>
              <w:rPr>
                <w:rFonts w:hint="eastAsia" w:asciiTheme="minorEastAsia" w:hAnsiTheme="minorEastAsia" w:cstheme="minorEastAsia"/>
                <w:color w:val="auto"/>
                <w:sz w:val="24"/>
                <w:szCs w:val="24"/>
                <w:highlight w:val="none"/>
                <w:lang w:val="en-US" w:eastAsia="zh-CN"/>
              </w:rPr>
              <w:t>占先生</w:t>
            </w:r>
          </w:p>
          <w:p w14:paraId="13AECC3F">
            <w:pPr>
              <w:widowControl/>
              <w:spacing w:line="500" w:lineRule="exact"/>
              <w:rPr>
                <w:rFonts w:hint="eastAsia" w:ascii="宋体" w:hAnsi="宋体" w:cs="宋体" w:eastAsiaTheme="minorEastAsia"/>
                <w:color w:val="auto"/>
                <w:sz w:val="24"/>
                <w:szCs w:val="24"/>
                <w:highlight w:val="none"/>
                <w:lang w:eastAsia="zh-CN"/>
              </w:rPr>
            </w:pPr>
            <w:r>
              <w:rPr>
                <w:rFonts w:hint="eastAsia" w:ascii="宋体" w:hAnsi="宋体" w:cs="宋体" w:eastAsiaTheme="minorEastAsia"/>
                <w:color w:val="auto"/>
                <w:sz w:val="24"/>
                <w:szCs w:val="24"/>
                <w:highlight w:val="none"/>
                <w:lang w:val="en-US" w:eastAsia="zh-CN"/>
              </w:rPr>
              <w:t>联系方式：</w:t>
            </w:r>
            <w:r>
              <w:rPr>
                <w:rFonts w:hint="eastAsia" w:asciiTheme="minorEastAsia" w:hAnsiTheme="minorEastAsia" w:cstheme="minorEastAsia"/>
                <w:color w:val="auto"/>
                <w:sz w:val="24"/>
                <w:szCs w:val="24"/>
                <w:highlight w:val="none"/>
                <w:lang w:val="en-US" w:eastAsia="zh-CN"/>
              </w:rPr>
              <w:t>15239871852</w:t>
            </w:r>
          </w:p>
        </w:tc>
      </w:tr>
      <w:tr w14:paraId="7169E5A1">
        <w:tblPrEx>
          <w:tblCellMar>
            <w:top w:w="0" w:type="dxa"/>
            <w:left w:w="108" w:type="dxa"/>
            <w:bottom w:w="0" w:type="dxa"/>
            <w:right w:w="108" w:type="dxa"/>
          </w:tblCellMar>
        </w:tblPrEx>
        <w:trPr>
          <w:trHeight w:val="1996"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15296D13">
            <w:pPr>
              <w:widowControl/>
              <w:jc w:val="center"/>
              <w:rPr>
                <w:rFonts w:ascii="宋体" w:hAnsi="宋体" w:cs="Calibri"/>
                <w:color w:val="auto"/>
                <w:sz w:val="24"/>
                <w:highlight w:val="none"/>
              </w:rPr>
            </w:pPr>
            <w:r>
              <w:rPr>
                <w:rFonts w:hint="eastAsia" w:ascii="宋体" w:hAnsi="宋体" w:cs="Calibri"/>
                <w:color w:val="auto"/>
                <w:kern w:val="0"/>
                <w:sz w:val="24"/>
                <w:highlight w:val="none"/>
              </w:rPr>
              <w:t>2</w:t>
            </w:r>
          </w:p>
        </w:tc>
        <w:tc>
          <w:tcPr>
            <w:tcW w:w="2073" w:type="dxa"/>
            <w:tcBorders>
              <w:top w:val="single" w:color="auto" w:sz="4" w:space="0"/>
              <w:left w:val="nil"/>
              <w:bottom w:val="single" w:color="auto" w:sz="4" w:space="0"/>
              <w:right w:val="single" w:color="auto" w:sz="4" w:space="0"/>
            </w:tcBorders>
            <w:vAlign w:val="center"/>
          </w:tcPr>
          <w:p w14:paraId="5AB46E9E">
            <w:pPr>
              <w:widowControl/>
              <w:jc w:val="center"/>
              <w:rPr>
                <w:rFonts w:ascii="宋体" w:hAnsi="宋体" w:cs="Calibri"/>
                <w:color w:val="auto"/>
                <w:sz w:val="24"/>
                <w:highlight w:val="none"/>
              </w:rPr>
            </w:pPr>
            <w:r>
              <w:rPr>
                <w:rFonts w:hint="eastAsia" w:ascii="宋体" w:hAnsi="宋体" w:cs="Calibri"/>
                <w:color w:val="auto"/>
                <w:kern w:val="0"/>
                <w:sz w:val="24"/>
                <w:highlight w:val="none"/>
              </w:rPr>
              <w:t>采购代理机构</w:t>
            </w:r>
          </w:p>
        </w:tc>
        <w:tc>
          <w:tcPr>
            <w:tcW w:w="6353" w:type="dxa"/>
            <w:tcBorders>
              <w:top w:val="single" w:color="auto" w:sz="4" w:space="0"/>
              <w:left w:val="nil"/>
              <w:bottom w:val="single" w:color="auto" w:sz="4" w:space="0"/>
              <w:right w:val="single" w:color="auto" w:sz="4" w:space="0"/>
            </w:tcBorders>
            <w:vAlign w:val="center"/>
          </w:tcPr>
          <w:p w14:paraId="7FB54551">
            <w:pPr>
              <w:widowControl/>
              <w:spacing w:line="500" w:lineRule="exact"/>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代理机构：</w:t>
            </w:r>
            <w:r>
              <w:rPr>
                <w:rFonts w:hint="eastAsia" w:ascii="宋体" w:hAnsi="宋体" w:cs="宋体"/>
                <w:color w:val="auto"/>
                <w:sz w:val="24"/>
                <w:szCs w:val="24"/>
                <w:highlight w:val="none"/>
                <w:lang w:eastAsia="zh-CN"/>
              </w:rPr>
              <w:t>河南亿禾工程项目管理有限公司</w:t>
            </w:r>
          </w:p>
          <w:p w14:paraId="244F7D9C">
            <w:pPr>
              <w:widowControl/>
              <w:spacing w:line="500" w:lineRule="exact"/>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地址：</w:t>
            </w:r>
            <w:r>
              <w:rPr>
                <w:rFonts w:hint="eastAsia" w:ascii="宋体" w:hAnsi="宋体" w:cs="宋体"/>
                <w:color w:val="auto"/>
                <w:sz w:val="24"/>
                <w:szCs w:val="24"/>
                <w:highlight w:val="none"/>
                <w:lang w:eastAsia="zh-CN"/>
              </w:rPr>
              <w:t>河南省三门峡市湖滨区黄河路建业新天地银座706号</w:t>
            </w:r>
          </w:p>
          <w:p w14:paraId="6D6EA808">
            <w:pPr>
              <w:widowControl/>
              <w:spacing w:line="500" w:lineRule="exact"/>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eastAsia="zh-CN"/>
              </w:rPr>
              <w:t>崔钰焯</w:t>
            </w:r>
          </w:p>
          <w:p w14:paraId="6E9835A8">
            <w:pPr>
              <w:widowControl/>
              <w:spacing w:line="500" w:lineRule="exact"/>
              <w:rPr>
                <w:rFonts w:hint="eastAsia" w:ascii="宋体" w:hAnsi="宋体" w:cs="宋体" w:eastAsiaTheme="minorEastAsia"/>
                <w:color w:val="auto"/>
                <w:sz w:val="24"/>
                <w:highlight w:val="none"/>
                <w:lang w:eastAsia="zh-CN"/>
              </w:rPr>
            </w:pPr>
            <w:r>
              <w:rPr>
                <w:rFonts w:hint="eastAsia" w:ascii="宋体" w:hAnsi="宋体" w:cs="宋体"/>
                <w:color w:val="auto"/>
                <w:sz w:val="24"/>
                <w:szCs w:val="24"/>
                <w:highlight w:val="none"/>
              </w:rPr>
              <w:t>联系电话：</w:t>
            </w:r>
            <w:r>
              <w:rPr>
                <w:rFonts w:hint="eastAsia" w:ascii="宋体" w:hAnsi="宋体" w:cs="宋体"/>
                <w:color w:val="auto"/>
                <w:sz w:val="24"/>
                <w:szCs w:val="24"/>
                <w:highlight w:val="none"/>
                <w:lang w:eastAsia="zh-CN"/>
              </w:rPr>
              <w:t>13343981021</w:t>
            </w:r>
          </w:p>
        </w:tc>
      </w:tr>
      <w:tr w14:paraId="2013D243">
        <w:tblPrEx>
          <w:tblCellMar>
            <w:top w:w="0" w:type="dxa"/>
            <w:left w:w="108" w:type="dxa"/>
            <w:bottom w:w="0" w:type="dxa"/>
            <w:right w:w="108" w:type="dxa"/>
          </w:tblCellMar>
        </w:tblPrEx>
        <w:trPr>
          <w:trHeight w:val="52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6E80A545">
            <w:pPr>
              <w:widowControl/>
              <w:jc w:val="center"/>
              <w:rPr>
                <w:rFonts w:ascii="宋体" w:hAnsi="宋体" w:cs="Calibri"/>
                <w:color w:val="auto"/>
                <w:sz w:val="24"/>
                <w:highlight w:val="none"/>
              </w:rPr>
            </w:pPr>
            <w:r>
              <w:rPr>
                <w:rFonts w:hint="eastAsia" w:ascii="宋体" w:hAnsi="宋体" w:cs="Calibri"/>
                <w:color w:val="auto"/>
                <w:kern w:val="0"/>
                <w:sz w:val="24"/>
                <w:highlight w:val="none"/>
              </w:rPr>
              <w:t>3</w:t>
            </w:r>
          </w:p>
        </w:tc>
        <w:tc>
          <w:tcPr>
            <w:tcW w:w="2073" w:type="dxa"/>
            <w:tcBorders>
              <w:top w:val="single" w:color="auto" w:sz="4" w:space="0"/>
              <w:left w:val="nil"/>
              <w:bottom w:val="single" w:color="auto" w:sz="4" w:space="0"/>
              <w:right w:val="single" w:color="auto" w:sz="4" w:space="0"/>
            </w:tcBorders>
            <w:vAlign w:val="center"/>
          </w:tcPr>
          <w:p w14:paraId="1AE24D50">
            <w:pPr>
              <w:widowControl/>
              <w:jc w:val="center"/>
              <w:rPr>
                <w:rFonts w:ascii="宋体" w:hAnsi="宋体" w:cs="Calibri"/>
                <w:color w:val="auto"/>
                <w:sz w:val="24"/>
                <w:highlight w:val="none"/>
              </w:rPr>
            </w:pPr>
            <w:r>
              <w:rPr>
                <w:rFonts w:hint="eastAsia" w:ascii="宋体" w:hAnsi="宋体" w:cs="Calibri"/>
                <w:color w:val="auto"/>
                <w:kern w:val="0"/>
                <w:sz w:val="24"/>
                <w:highlight w:val="none"/>
              </w:rPr>
              <w:t>项目名称</w:t>
            </w:r>
          </w:p>
        </w:tc>
        <w:tc>
          <w:tcPr>
            <w:tcW w:w="6353" w:type="dxa"/>
            <w:tcBorders>
              <w:top w:val="single" w:color="auto" w:sz="4" w:space="0"/>
              <w:left w:val="nil"/>
              <w:bottom w:val="single" w:color="auto" w:sz="4" w:space="0"/>
              <w:right w:val="single" w:color="auto" w:sz="4" w:space="0"/>
            </w:tcBorders>
            <w:vAlign w:val="center"/>
          </w:tcPr>
          <w:p w14:paraId="34D41419">
            <w:pPr>
              <w:widowControl/>
              <w:rPr>
                <w:rFonts w:hint="eastAsia" w:ascii="宋体" w:hAnsi="宋体" w:cs="Calibri" w:eastAsiaTheme="minorEastAsia"/>
                <w:color w:val="auto"/>
                <w:sz w:val="24"/>
                <w:highlight w:val="none"/>
                <w:lang w:eastAsia="zh-CN"/>
              </w:rPr>
            </w:pPr>
            <w:r>
              <w:rPr>
                <w:rFonts w:hint="eastAsia" w:ascii="宋体" w:hAnsi="宋体" w:cs="宋体"/>
                <w:color w:val="auto"/>
                <w:sz w:val="24"/>
                <w:highlight w:val="none"/>
                <w:lang w:eastAsia="zh-CN"/>
              </w:rPr>
              <w:t>英豪镇后营村购置玉米收割机项目</w:t>
            </w:r>
          </w:p>
        </w:tc>
      </w:tr>
      <w:tr w14:paraId="1B75FCB0">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3858256E">
            <w:pPr>
              <w:widowControl/>
              <w:jc w:val="center"/>
              <w:rPr>
                <w:rFonts w:ascii="宋体" w:hAnsi="宋体" w:cs="Calibri"/>
                <w:color w:val="auto"/>
                <w:sz w:val="24"/>
                <w:highlight w:val="none"/>
              </w:rPr>
            </w:pPr>
            <w:r>
              <w:rPr>
                <w:rFonts w:hint="eastAsia" w:ascii="宋体" w:hAnsi="宋体" w:cs="Calibri"/>
                <w:color w:val="auto"/>
                <w:kern w:val="0"/>
                <w:sz w:val="24"/>
                <w:highlight w:val="none"/>
              </w:rPr>
              <w:t>4</w:t>
            </w:r>
          </w:p>
        </w:tc>
        <w:tc>
          <w:tcPr>
            <w:tcW w:w="2073" w:type="dxa"/>
            <w:tcBorders>
              <w:top w:val="single" w:color="auto" w:sz="4" w:space="0"/>
              <w:left w:val="nil"/>
              <w:bottom w:val="single" w:color="auto" w:sz="4" w:space="0"/>
              <w:right w:val="single" w:color="auto" w:sz="4" w:space="0"/>
            </w:tcBorders>
            <w:vAlign w:val="center"/>
          </w:tcPr>
          <w:p w14:paraId="48B711A1">
            <w:pPr>
              <w:widowControl/>
              <w:jc w:val="center"/>
              <w:rPr>
                <w:rFonts w:ascii="宋体" w:hAnsi="宋体" w:cs="Calibri"/>
                <w:color w:val="auto"/>
                <w:kern w:val="0"/>
                <w:sz w:val="24"/>
                <w:highlight w:val="none"/>
              </w:rPr>
            </w:pPr>
            <w:r>
              <w:rPr>
                <w:rFonts w:hint="eastAsia" w:ascii="宋体" w:hAnsi="宋体" w:cs="Calibri"/>
                <w:color w:val="auto"/>
                <w:kern w:val="0"/>
                <w:sz w:val="24"/>
                <w:highlight w:val="none"/>
              </w:rPr>
              <w:t>资金来源</w:t>
            </w:r>
          </w:p>
        </w:tc>
        <w:tc>
          <w:tcPr>
            <w:tcW w:w="6353" w:type="dxa"/>
            <w:tcBorders>
              <w:top w:val="single" w:color="auto" w:sz="4" w:space="0"/>
              <w:left w:val="nil"/>
              <w:bottom w:val="single" w:color="auto" w:sz="4" w:space="0"/>
              <w:right w:val="single" w:color="auto" w:sz="4" w:space="0"/>
            </w:tcBorders>
            <w:vAlign w:val="center"/>
          </w:tcPr>
          <w:p w14:paraId="39FA2B09">
            <w:pPr>
              <w:widowControl/>
              <w:rPr>
                <w:rFonts w:ascii="宋体" w:hAnsi="宋体" w:cs="Calibri"/>
                <w:color w:val="auto"/>
                <w:kern w:val="0"/>
                <w:sz w:val="24"/>
                <w:highlight w:val="none"/>
              </w:rPr>
            </w:pPr>
            <w:r>
              <w:rPr>
                <w:rFonts w:hint="eastAsia" w:ascii="宋体" w:hAnsi="宋体" w:cs="Calibri"/>
                <w:color w:val="auto"/>
                <w:kern w:val="0"/>
                <w:sz w:val="24"/>
                <w:highlight w:val="none"/>
                <w:shd w:val="clear" w:color="auto" w:fill="FFFFFF"/>
              </w:rPr>
              <w:t>财政资金</w:t>
            </w:r>
            <w:r>
              <w:rPr>
                <w:rFonts w:hint="eastAsia" w:asciiTheme="minorEastAsia" w:hAnsiTheme="minorEastAsia" w:cstheme="minorEastAsia"/>
                <w:color w:val="auto"/>
                <w:sz w:val="24"/>
                <w:szCs w:val="24"/>
                <w:highlight w:val="none"/>
              </w:rPr>
              <w:t>，已落实</w:t>
            </w:r>
          </w:p>
        </w:tc>
      </w:tr>
      <w:tr w14:paraId="668CFAB0">
        <w:tblPrEx>
          <w:tblCellMar>
            <w:top w:w="0" w:type="dxa"/>
            <w:left w:w="108" w:type="dxa"/>
            <w:bottom w:w="0" w:type="dxa"/>
            <w:right w:w="108" w:type="dxa"/>
          </w:tblCellMar>
        </w:tblPrEx>
        <w:trPr>
          <w:trHeight w:val="555"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06DBCD91">
            <w:pPr>
              <w:widowControl/>
              <w:jc w:val="center"/>
              <w:rPr>
                <w:rFonts w:ascii="宋体" w:hAnsi="宋体" w:cs="Calibri"/>
                <w:color w:val="auto"/>
                <w:sz w:val="24"/>
                <w:highlight w:val="none"/>
              </w:rPr>
            </w:pPr>
            <w:r>
              <w:rPr>
                <w:rFonts w:hint="eastAsia" w:ascii="宋体" w:hAnsi="宋体" w:cs="Calibri"/>
                <w:color w:val="auto"/>
                <w:kern w:val="0"/>
                <w:sz w:val="24"/>
                <w:highlight w:val="none"/>
              </w:rPr>
              <w:t>5</w:t>
            </w:r>
          </w:p>
        </w:tc>
        <w:tc>
          <w:tcPr>
            <w:tcW w:w="2073" w:type="dxa"/>
            <w:tcBorders>
              <w:top w:val="single" w:color="auto" w:sz="4" w:space="0"/>
              <w:left w:val="nil"/>
              <w:bottom w:val="single" w:color="auto" w:sz="4" w:space="0"/>
              <w:right w:val="single" w:color="auto" w:sz="4" w:space="0"/>
            </w:tcBorders>
            <w:vAlign w:val="center"/>
          </w:tcPr>
          <w:p w14:paraId="19F99715">
            <w:pPr>
              <w:widowControl/>
              <w:jc w:val="center"/>
              <w:rPr>
                <w:rFonts w:ascii="宋体" w:hAnsi="宋体" w:cs="Calibri"/>
                <w:color w:val="auto"/>
                <w:sz w:val="24"/>
                <w:highlight w:val="none"/>
              </w:rPr>
            </w:pPr>
            <w:r>
              <w:rPr>
                <w:rFonts w:hint="eastAsia" w:ascii="宋体" w:hAnsi="宋体" w:cs="Calibri"/>
                <w:color w:val="auto"/>
                <w:kern w:val="0"/>
                <w:sz w:val="24"/>
                <w:highlight w:val="none"/>
              </w:rPr>
              <w:t>项目编号</w:t>
            </w:r>
          </w:p>
        </w:tc>
        <w:tc>
          <w:tcPr>
            <w:tcW w:w="6353" w:type="dxa"/>
            <w:tcBorders>
              <w:top w:val="single" w:color="auto" w:sz="4" w:space="0"/>
              <w:left w:val="nil"/>
              <w:bottom w:val="single" w:color="auto" w:sz="4" w:space="0"/>
              <w:right w:val="single" w:color="auto" w:sz="4" w:space="0"/>
            </w:tcBorders>
            <w:vAlign w:val="center"/>
          </w:tcPr>
          <w:p w14:paraId="3192DDAD">
            <w:pPr>
              <w:widowControl/>
              <w:rPr>
                <w:rFonts w:hint="eastAsia" w:ascii="宋体" w:hAnsi="宋体" w:cs="Calibri" w:eastAsiaTheme="minorEastAsia"/>
                <w:color w:val="auto"/>
                <w:sz w:val="24"/>
                <w:highlight w:val="none"/>
                <w:shd w:val="clear" w:color="auto" w:fill="FFFFFF"/>
                <w:lang w:eastAsia="zh-CN"/>
              </w:rPr>
            </w:pPr>
            <w:r>
              <w:rPr>
                <w:rFonts w:hint="eastAsia" w:asciiTheme="minorEastAsia" w:hAnsiTheme="minorEastAsia" w:cstheme="minorEastAsia"/>
                <w:color w:val="auto"/>
                <w:sz w:val="24"/>
                <w:szCs w:val="24"/>
                <w:highlight w:val="none"/>
                <w:lang w:eastAsia="zh-CN"/>
              </w:rPr>
              <w:t>渑池竞磋采购-2026-139、MCGZ[2026]203-ZC185</w:t>
            </w:r>
          </w:p>
        </w:tc>
      </w:tr>
      <w:tr w14:paraId="3D1D4FC1">
        <w:tblPrEx>
          <w:tblCellMar>
            <w:top w:w="0" w:type="dxa"/>
            <w:left w:w="108" w:type="dxa"/>
            <w:bottom w:w="0" w:type="dxa"/>
            <w:right w:w="108" w:type="dxa"/>
          </w:tblCellMar>
        </w:tblPrEx>
        <w:trPr>
          <w:trHeight w:val="628"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09797AD6">
            <w:pPr>
              <w:widowControl/>
              <w:jc w:val="center"/>
              <w:rPr>
                <w:rFonts w:ascii="宋体" w:hAnsi="宋体" w:cs="Calibri"/>
                <w:color w:val="auto"/>
                <w:sz w:val="24"/>
                <w:highlight w:val="none"/>
              </w:rPr>
            </w:pPr>
            <w:r>
              <w:rPr>
                <w:rFonts w:hint="eastAsia" w:ascii="宋体" w:hAnsi="宋体" w:cs="Calibri"/>
                <w:color w:val="auto"/>
                <w:kern w:val="0"/>
                <w:sz w:val="24"/>
                <w:highlight w:val="none"/>
              </w:rPr>
              <w:t>6</w:t>
            </w:r>
          </w:p>
        </w:tc>
        <w:tc>
          <w:tcPr>
            <w:tcW w:w="2073" w:type="dxa"/>
            <w:tcBorders>
              <w:top w:val="single" w:color="auto" w:sz="4" w:space="0"/>
              <w:left w:val="nil"/>
              <w:bottom w:val="single" w:color="auto" w:sz="4" w:space="0"/>
              <w:right w:val="single" w:color="auto" w:sz="4" w:space="0"/>
            </w:tcBorders>
            <w:vAlign w:val="center"/>
          </w:tcPr>
          <w:p w14:paraId="73F28187">
            <w:pPr>
              <w:widowControl/>
              <w:jc w:val="center"/>
              <w:rPr>
                <w:rFonts w:ascii="宋体" w:hAnsi="宋体" w:cs="Calibri"/>
                <w:color w:val="auto"/>
                <w:kern w:val="0"/>
                <w:sz w:val="24"/>
                <w:highlight w:val="none"/>
              </w:rPr>
            </w:pPr>
            <w:r>
              <w:rPr>
                <w:rFonts w:hint="eastAsia" w:ascii="宋体" w:hAnsi="宋体" w:cs="Calibri"/>
                <w:color w:val="auto"/>
                <w:kern w:val="0"/>
                <w:sz w:val="24"/>
                <w:highlight w:val="none"/>
              </w:rPr>
              <w:t>质量要求</w:t>
            </w:r>
          </w:p>
        </w:tc>
        <w:tc>
          <w:tcPr>
            <w:tcW w:w="6353" w:type="dxa"/>
            <w:tcBorders>
              <w:top w:val="single" w:color="auto" w:sz="4" w:space="0"/>
              <w:left w:val="nil"/>
              <w:bottom w:val="single" w:color="auto" w:sz="4" w:space="0"/>
              <w:right w:val="single" w:color="auto" w:sz="4" w:space="0"/>
            </w:tcBorders>
            <w:vAlign w:val="center"/>
          </w:tcPr>
          <w:p w14:paraId="588F9251">
            <w:pPr>
              <w:widowControl/>
              <w:rPr>
                <w:rFonts w:ascii="宋体" w:hAnsi="宋体" w:cs="Calibri"/>
                <w:color w:val="auto"/>
                <w:kern w:val="0"/>
                <w:sz w:val="24"/>
                <w:highlight w:val="none"/>
              </w:rPr>
            </w:pPr>
            <w:r>
              <w:rPr>
                <w:rFonts w:hint="eastAsia" w:ascii="宋体" w:hAnsi="宋体" w:cs="宋体"/>
                <w:color w:val="auto"/>
                <w:sz w:val="24"/>
                <w:highlight w:val="none"/>
              </w:rPr>
              <w:t>符合国家及行业标准并满足采购人使用要求</w:t>
            </w:r>
          </w:p>
        </w:tc>
      </w:tr>
      <w:tr w14:paraId="3D460AB5">
        <w:tblPrEx>
          <w:tblCellMar>
            <w:top w:w="0" w:type="dxa"/>
            <w:left w:w="108" w:type="dxa"/>
            <w:bottom w:w="0" w:type="dxa"/>
            <w:right w:w="108" w:type="dxa"/>
          </w:tblCellMar>
        </w:tblPrEx>
        <w:trPr>
          <w:trHeight w:val="628"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242AFEF5">
            <w:pPr>
              <w:widowControl/>
              <w:jc w:val="center"/>
              <w:rPr>
                <w:rFonts w:ascii="宋体" w:hAnsi="宋体" w:cs="Calibri"/>
                <w:color w:val="auto"/>
                <w:kern w:val="0"/>
                <w:sz w:val="24"/>
                <w:highlight w:val="none"/>
              </w:rPr>
            </w:pPr>
            <w:r>
              <w:rPr>
                <w:rFonts w:hint="eastAsia" w:ascii="宋体" w:hAnsi="宋体" w:cs="Calibri"/>
                <w:color w:val="auto"/>
                <w:kern w:val="0"/>
                <w:sz w:val="24"/>
                <w:highlight w:val="none"/>
              </w:rPr>
              <w:t>7</w:t>
            </w:r>
          </w:p>
        </w:tc>
        <w:tc>
          <w:tcPr>
            <w:tcW w:w="2073" w:type="dxa"/>
            <w:tcBorders>
              <w:top w:val="single" w:color="auto" w:sz="4" w:space="0"/>
              <w:left w:val="nil"/>
              <w:bottom w:val="single" w:color="auto" w:sz="4" w:space="0"/>
              <w:right w:val="single" w:color="auto" w:sz="4" w:space="0"/>
            </w:tcBorders>
            <w:vAlign w:val="center"/>
          </w:tcPr>
          <w:p w14:paraId="026AD63D">
            <w:pPr>
              <w:widowControl/>
              <w:jc w:val="center"/>
              <w:rPr>
                <w:rFonts w:ascii="宋体" w:hAnsi="宋体" w:cs="Calibri"/>
                <w:color w:val="auto"/>
                <w:kern w:val="0"/>
                <w:sz w:val="24"/>
                <w:highlight w:val="none"/>
              </w:rPr>
            </w:pPr>
            <w:r>
              <w:rPr>
                <w:rFonts w:hint="eastAsia" w:asciiTheme="minorEastAsia" w:hAnsiTheme="minorEastAsia" w:cstheme="minorEastAsia"/>
                <w:color w:val="auto"/>
                <w:sz w:val="24"/>
                <w:szCs w:val="24"/>
                <w:highlight w:val="none"/>
              </w:rPr>
              <w:t>交货地点</w:t>
            </w:r>
          </w:p>
        </w:tc>
        <w:tc>
          <w:tcPr>
            <w:tcW w:w="6353" w:type="dxa"/>
            <w:tcBorders>
              <w:top w:val="single" w:color="auto" w:sz="4" w:space="0"/>
              <w:left w:val="nil"/>
              <w:bottom w:val="single" w:color="auto" w:sz="4" w:space="0"/>
              <w:right w:val="single" w:color="auto" w:sz="4" w:space="0"/>
            </w:tcBorders>
            <w:vAlign w:val="center"/>
          </w:tcPr>
          <w:p w14:paraId="3576CAED">
            <w:pPr>
              <w:widowControl/>
              <w:rPr>
                <w:rFonts w:hint="eastAsia" w:ascii="宋体" w:hAnsi="宋体" w:cs="Calibri" w:eastAsiaTheme="minorEastAsia"/>
                <w:color w:val="auto"/>
                <w:sz w:val="24"/>
                <w:highlight w:val="none"/>
                <w:lang w:eastAsia="zh-CN"/>
              </w:rPr>
            </w:pPr>
            <w:r>
              <w:rPr>
                <w:rFonts w:hint="eastAsia" w:asciiTheme="minorEastAsia" w:hAnsiTheme="minorEastAsia" w:cstheme="minorEastAsia"/>
                <w:color w:val="auto"/>
                <w:sz w:val="24"/>
                <w:szCs w:val="24"/>
                <w:highlight w:val="none"/>
                <w:lang w:eastAsia="zh-CN"/>
              </w:rPr>
              <w:t>渑池县英豪镇后营村</w:t>
            </w:r>
          </w:p>
        </w:tc>
      </w:tr>
      <w:tr w14:paraId="4927AEAA">
        <w:tblPrEx>
          <w:tblCellMar>
            <w:top w:w="0" w:type="dxa"/>
            <w:left w:w="108" w:type="dxa"/>
            <w:bottom w:w="0" w:type="dxa"/>
            <w:right w:w="108" w:type="dxa"/>
          </w:tblCellMar>
        </w:tblPrEx>
        <w:trPr>
          <w:trHeight w:val="498"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2A786710">
            <w:pPr>
              <w:widowControl/>
              <w:jc w:val="center"/>
              <w:rPr>
                <w:rFonts w:ascii="宋体" w:hAnsi="宋体" w:cs="Calibri"/>
                <w:color w:val="auto"/>
                <w:kern w:val="0"/>
                <w:sz w:val="24"/>
                <w:highlight w:val="none"/>
              </w:rPr>
            </w:pPr>
            <w:r>
              <w:rPr>
                <w:rFonts w:hint="eastAsia" w:ascii="宋体" w:hAnsi="宋体" w:cs="Calibri"/>
                <w:color w:val="auto"/>
                <w:kern w:val="0"/>
                <w:sz w:val="24"/>
                <w:highlight w:val="none"/>
              </w:rPr>
              <w:t>8</w:t>
            </w:r>
          </w:p>
        </w:tc>
        <w:tc>
          <w:tcPr>
            <w:tcW w:w="2073" w:type="dxa"/>
            <w:tcBorders>
              <w:top w:val="single" w:color="auto" w:sz="4" w:space="0"/>
              <w:left w:val="nil"/>
              <w:bottom w:val="single" w:color="auto" w:sz="4" w:space="0"/>
              <w:right w:val="single" w:color="auto" w:sz="4" w:space="0"/>
            </w:tcBorders>
            <w:vAlign w:val="center"/>
          </w:tcPr>
          <w:p w14:paraId="195FC83E">
            <w:pPr>
              <w:widowControl/>
              <w:jc w:val="center"/>
              <w:rPr>
                <w:rFonts w:ascii="宋体" w:hAnsi="宋体" w:cs="Calibri"/>
                <w:color w:val="auto"/>
                <w:kern w:val="0"/>
                <w:sz w:val="24"/>
                <w:highlight w:val="none"/>
              </w:rPr>
            </w:pPr>
            <w:r>
              <w:rPr>
                <w:rFonts w:hint="eastAsia" w:ascii="宋体" w:hAnsi="宋体" w:cs="Calibri"/>
                <w:color w:val="auto"/>
                <w:kern w:val="0"/>
                <w:sz w:val="24"/>
                <w:highlight w:val="none"/>
              </w:rPr>
              <w:t>交货期</w:t>
            </w:r>
          </w:p>
        </w:tc>
        <w:tc>
          <w:tcPr>
            <w:tcW w:w="6353" w:type="dxa"/>
            <w:tcBorders>
              <w:top w:val="single" w:color="auto" w:sz="4" w:space="0"/>
              <w:left w:val="nil"/>
              <w:bottom w:val="single" w:color="auto" w:sz="4" w:space="0"/>
              <w:right w:val="single" w:color="auto" w:sz="4" w:space="0"/>
            </w:tcBorders>
            <w:vAlign w:val="center"/>
          </w:tcPr>
          <w:p w14:paraId="0C114D71">
            <w:pPr>
              <w:widowControl/>
              <w:rPr>
                <w:rFonts w:ascii="宋体" w:hAnsi="宋体" w:cs="Calibri"/>
                <w:color w:val="auto"/>
                <w:sz w:val="24"/>
                <w:highlight w:val="none"/>
              </w:rPr>
            </w:pPr>
            <w:r>
              <w:rPr>
                <w:rFonts w:hint="eastAsia" w:ascii="宋体" w:hAnsi="宋体" w:cs="宋体"/>
                <w:color w:val="auto"/>
                <w:sz w:val="24"/>
                <w:highlight w:val="none"/>
              </w:rPr>
              <w:t>自合同签订之日起30日历天</w:t>
            </w:r>
          </w:p>
        </w:tc>
      </w:tr>
      <w:tr w14:paraId="140D8C87">
        <w:tblPrEx>
          <w:tblCellMar>
            <w:top w:w="0" w:type="dxa"/>
            <w:left w:w="108" w:type="dxa"/>
            <w:bottom w:w="0" w:type="dxa"/>
            <w:right w:w="108" w:type="dxa"/>
          </w:tblCellMar>
        </w:tblPrEx>
        <w:trPr>
          <w:trHeight w:val="498"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358AAE85">
            <w:pPr>
              <w:widowControl/>
              <w:jc w:val="center"/>
              <w:rPr>
                <w:rFonts w:ascii="宋体" w:hAnsi="宋体" w:cs="Calibri"/>
                <w:color w:val="auto"/>
                <w:kern w:val="0"/>
                <w:sz w:val="24"/>
                <w:highlight w:val="none"/>
              </w:rPr>
            </w:pPr>
            <w:r>
              <w:rPr>
                <w:rFonts w:hint="eastAsia" w:ascii="宋体" w:hAnsi="宋体" w:cs="Calibri"/>
                <w:color w:val="auto"/>
                <w:kern w:val="0"/>
                <w:sz w:val="24"/>
                <w:highlight w:val="none"/>
              </w:rPr>
              <w:t>9</w:t>
            </w:r>
          </w:p>
        </w:tc>
        <w:tc>
          <w:tcPr>
            <w:tcW w:w="2073" w:type="dxa"/>
            <w:tcBorders>
              <w:top w:val="single" w:color="auto" w:sz="4" w:space="0"/>
              <w:left w:val="nil"/>
              <w:bottom w:val="single" w:color="auto" w:sz="4" w:space="0"/>
              <w:right w:val="single" w:color="auto" w:sz="4" w:space="0"/>
            </w:tcBorders>
            <w:vAlign w:val="center"/>
          </w:tcPr>
          <w:p w14:paraId="2A16F728">
            <w:pPr>
              <w:widowControl/>
              <w:jc w:val="center"/>
              <w:rPr>
                <w:rFonts w:ascii="宋体" w:hAnsi="宋体" w:cs="Calibri"/>
                <w:color w:val="auto"/>
                <w:kern w:val="0"/>
                <w:sz w:val="24"/>
                <w:highlight w:val="none"/>
              </w:rPr>
            </w:pPr>
            <w:r>
              <w:rPr>
                <w:rFonts w:hint="eastAsia" w:asciiTheme="minorEastAsia" w:hAnsiTheme="minorEastAsia" w:cstheme="minorEastAsia"/>
                <w:color w:val="auto"/>
                <w:sz w:val="24"/>
                <w:szCs w:val="24"/>
                <w:highlight w:val="none"/>
              </w:rPr>
              <w:t>质保期</w:t>
            </w:r>
          </w:p>
        </w:tc>
        <w:tc>
          <w:tcPr>
            <w:tcW w:w="6353" w:type="dxa"/>
            <w:tcBorders>
              <w:top w:val="single" w:color="auto" w:sz="4" w:space="0"/>
              <w:left w:val="nil"/>
              <w:bottom w:val="single" w:color="auto" w:sz="4" w:space="0"/>
              <w:right w:val="single" w:color="auto" w:sz="4" w:space="0"/>
            </w:tcBorders>
            <w:vAlign w:val="center"/>
          </w:tcPr>
          <w:p w14:paraId="29141C6A">
            <w:pPr>
              <w:widowControl/>
              <w:rPr>
                <w:rFonts w:ascii="宋体" w:hAnsi="宋体" w:cs="宋体"/>
                <w:color w:val="auto"/>
                <w:sz w:val="24"/>
                <w:highlight w:val="none"/>
              </w:rPr>
            </w:pPr>
            <w:r>
              <w:rPr>
                <w:rFonts w:hint="eastAsia" w:asciiTheme="minorEastAsia" w:hAnsiTheme="minorEastAsia" w:cstheme="minorEastAsia"/>
                <w:color w:val="auto"/>
                <w:sz w:val="24"/>
                <w:szCs w:val="24"/>
                <w:highlight w:val="none"/>
              </w:rPr>
              <w:t>一年</w:t>
            </w:r>
          </w:p>
        </w:tc>
      </w:tr>
      <w:tr w14:paraId="12870859">
        <w:tblPrEx>
          <w:tblCellMar>
            <w:top w:w="0" w:type="dxa"/>
            <w:left w:w="108" w:type="dxa"/>
            <w:bottom w:w="0" w:type="dxa"/>
            <w:right w:w="108" w:type="dxa"/>
          </w:tblCellMar>
        </w:tblPrEx>
        <w:trPr>
          <w:trHeight w:val="52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5A0AC594">
            <w:pPr>
              <w:widowControl/>
              <w:jc w:val="center"/>
              <w:rPr>
                <w:rFonts w:ascii="宋体" w:hAnsi="宋体" w:cs="Calibri"/>
                <w:color w:val="auto"/>
                <w:sz w:val="24"/>
                <w:highlight w:val="none"/>
              </w:rPr>
            </w:pPr>
            <w:r>
              <w:rPr>
                <w:rFonts w:hint="eastAsia" w:ascii="宋体" w:hAnsi="宋体" w:cs="Calibri"/>
                <w:color w:val="auto"/>
                <w:kern w:val="0"/>
                <w:sz w:val="24"/>
                <w:highlight w:val="none"/>
              </w:rPr>
              <w:t>10</w:t>
            </w:r>
          </w:p>
        </w:tc>
        <w:tc>
          <w:tcPr>
            <w:tcW w:w="2073" w:type="dxa"/>
            <w:tcBorders>
              <w:top w:val="single" w:color="auto" w:sz="4" w:space="0"/>
              <w:left w:val="nil"/>
              <w:bottom w:val="single" w:color="auto" w:sz="4" w:space="0"/>
              <w:right w:val="single" w:color="auto" w:sz="4" w:space="0"/>
            </w:tcBorders>
            <w:vAlign w:val="center"/>
          </w:tcPr>
          <w:p w14:paraId="3D7385D6">
            <w:pPr>
              <w:widowControl/>
              <w:jc w:val="center"/>
              <w:rPr>
                <w:rFonts w:ascii="宋体" w:hAnsi="宋体" w:cs="Calibri"/>
                <w:color w:val="auto"/>
                <w:sz w:val="24"/>
                <w:highlight w:val="none"/>
              </w:rPr>
            </w:pPr>
            <w:r>
              <w:rPr>
                <w:rFonts w:hint="eastAsia" w:ascii="宋体" w:hAnsi="宋体" w:cs="Calibri"/>
                <w:color w:val="auto"/>
                <w:kern w:val="0"/>
                <w:sz w:val="24"/>
                <w:highlight w:val="none"/>
              </w:rPr>
              <w:t>资格要求</w:t>
            </w:r>
          </w:p>
        </w:tc>
        <w:tc>
          <w:tcPr>
            <w:tcW w:w="6353" w:type="dxa"/>
            <w:tcBorders>
              <w:top w:val="single" w:color="auto" w:sz="4" w:space="0"/>
              <w:left w:val="nil"/>
              <w:bottom w:val="single" w:color="auto" w:sz="4" w:space="0"/>
              <w:right w:val="single" w:color="auto" w:sz="4" w:space="0"/>
            </w:tcBorders>
            <w:vAlign w:val="center"/>
          </w:tcPr>
          <w:p w14:paraId="0951B943">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1.满足《中华人民共和国政府采购法》第二十二条规定。</w:t>
            </w:r>
          </w:p>
          <w:p w14:paraId="0E31634B">
            <w:pPr>
              <w:spacing w:line="360" w:lineRule="auto"/>
              <w:ind w:firstLine="484" w:firstLineChars="202"/>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2.落实政府采购政策满足的资格要求：本项目专门面向中小微企业采购项目，执行优先采购节能环保、环境标志性产品，执行中小企业（监狱企业、残疾人福利性企业）发展等政府采购政策。</w:t>
            </w:r>
          </w:p>
          <w:p w14:paraId="2E910327">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3.本项目的特定资格要求：</w:t>
            </w:r>
          </w:p>
          <w:p w14:paraId="19127843">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3.1供应商具有有效的营业执照；</w:t>
            </w:r>
          </w:p>
          <w:p w14:paraId="18AC61E9">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3.2提供供应商企业、法定代表人无行贿犯罪记录，在中国裁判文书网查询（提供网页查询截图）或供应商自行承诺；</w:t>
            </w:r>
          </w:p>
          <w:p w14:paraId="598A5BB2">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3.3供应商需提供无商业贿赂及无不正当竞争行为的承诺书</w:t>
            </w:r>
            <w:r>
              <w:rPr>
                <w:rFonts w:hint="eastAsia" w:ascii="宋体" w:hAnsi="宋体" w:cs="宋体"/>
                <w:color w:val="auto"/>
                <w:sz w:val="24"/>
                <w:highlight w:val="none"/>
              </w:rPr>
              <w:t>（格式自拟）</w:t>
            </w:r>
            <w:r>
              <w:rPr>
                <w:rFonts w:hint="eastAsia" w:asciiTheme="minorEastAsia" w:hAnsiTheme="minorEastAsia" w:cstheme="minorEastAsia"/>
                <w:color w:val="auto"/>
                <w:sz w:val="24"/>
                <w:szCs w:val="24"/>
                <w:highlight w:val="none"/>
              </w:rPr>
              <w:t>；</w:t>
            </w:r>
          </w:p>
          <w:p w14:paraId="37CD132A">
            <w:pPr>
              <w:spacing w:line="360" w:lineRule="auto"/>
              <w:ind w:firstLine="566" w:firstLineChars="236"/>
              <w:rPr>
                <w:rFonts w:asciiTheme="minorEastAsia" w:hAnsiTheme="minorEastAsia" w:cstheme="minorEastAsia"/>
                <w:color w:val="auto"/>
                <w:sz w:val="24"/>
                <w:szCs w:val="24"/>
                <w:highlight w:val="none"/>
              </w:rPr>
            </w:pPr>
            <w:r>
              <w:rPr>
                <w:rFonts w:hint="eastAsia" w:ascii="宋体" w:hAnsi="宋体" w:cs="宋体"/>
                <w:color w:val="auto"/>
                <w:sz w:val="24"/>
                <w:highlight w:val="none"/>
              </w:rPr>
              <w:t>3.4具有履行合同所必需的设备和专业技术能力（自行作出承诺，格式自拟）；</w:t>
            </w:r>
          </w:p>
          <w:p w14:paraId="5ED4629A">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3.5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p>
          <w:p w14:paraId="4BA6EEBB">
            <w:pPr>
              <w:widowControl/>
              <w:spacing w:line="500" w:lineRule="exact"/>
              <w:ind w:firstLine="480" w:firstLineChars="200"/>
              <w:rPr>
                <w:rFonts w:ascii="宋体" w:hAnsi="宋体" w:cs="宋体"/>
                <w:color w:val="auto"/>
                <w:sz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highlight w:val="none"/>
              </w:rPr>
              <w:t>6</w:t>
            </w:r>
            <w:r>
              <w:rPr>
                <w:rFonts w:hint="eastAsia" w:ascii="宋体" w:hAnsi="宋体" w:cs="宋体"/>
                <w:color w:val="auto"/>
                <w:sz w:val="24"/>
                <w:szCs w:val="24"/>
                <w:highlight w:val="none"/>
              </w:rPr>
              <w:t>单位负责人为同一人或者存在直接控股、管理关系的不同投标人，不得参加同一合同项下的采购活动；（提供“国家企业信用信息公示系统”中查询打印的相关信息（查询信息需包含公司基本信息、股东信息及股权变更信息等相关信息，查询日期为本项目公告发布之后至开标截止时间止））</w:t>
            </w:r>
            <w:r>
              <w:rPr>
                <w:rFonts w:hint="eastAsia" w:ascii="宋体" w:hAnsi="宋体" w:cs="宋体"/>
                <w:color w:val="auto"/>
                <w:sz w:val="24"/>
                <w:highlight w:val="none"/>
              </w:rPr>
              <w:t>；</w:t>
            </w:r>
          </w:p>
          <w:p w14:paraId="69CF5A14">
            <w:pPr>
              <w:widowControl/>
              <w:spacing w:line="500" w:lineRule="exact"/>
              <w:ind w:firstLine="480" w:firstLineChars="200"/>
              <w:outlineLvl w:val="2"/>
              <w:rPr>
                <w:rFonts w:ascii="宋体" w:hAnsi="宋体" w:cs="宋体"/>
                <w:color w:val="auto"/>
                <w:sz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highlight w:val="none"/>
              </w:rPr>
              <w:t>7</w:t>
            </w:r>
            <w:r>
              <w:rPr>
                <w:rFonts w:hint="eastAsia" w:ascii="宋体" w:hAnsi="宋体" w:cs="宋体"/>
                <w:color w:val="auto"/>
                <w:sz w:val="24"/>
                <w:highlight w:val="none"/>
              </w:rPr>
              <w:t>本项目不接受联合体投标，</w:t>
            </w:r>
            <w:r>
              <w:rPr>
                <w:rFonts w:hint="eastAsia" w:asciiTheme="minorEastAsia" w:hAnsiTheme="minorEastAsia" w:cstheme="minorEastAsia"/>
                <w:color w:val="auto"/>
                <w:sz w:val="24"/>
                <w:szCs w:val="24"/>
                <w:highlight w:val="none"/>
              </w:rPr>
              <w:t>提供非联合体投标承诺，格式自拟</w:t>
            </w:r>
            <w:r>
              <w:rPr>
                <w:rFonts w:hint="eastAsia" w:ascii="宋体" w:hAnsi="宋体" w:cs="宋体"/>
                <w:color w:val="auto"/>
                <w:sz w:val="24"/>
                <w:highlight w:val="none"/>
              </w:rPr>
              <w:t>。</w:t>
            </w:r>
          </w:p>
          <w:p w14:paraId="53D38BAC">
            <w:pPr>
              <w:widowControl/>
              <w:spacing w:line="480" w:lineRule="exact"/>
              <w:ind w:firstLine="482" w:firstLineChars="200"/>
              <w:jc w:val="left"/>
              <w:rPr>
                <w:rFonts w:ascii="宋体" w:hAnsi="宋体" w:eastAsia="宋体" w:cs="宋体"/>
                <w:b/>
                <w:color w:val="auto"/>
                <w:kern w:val="0"/>
                <w:sz w:val="24"/>
                <w:highlight w:val="none"/>
                <w:lang w:bidi="ar"/>
              </w:rPr>
            </w:pPr>
            <w:r>
              <w:rPr>
                <w:rFonts w:hint="eastAsia" w:ascii="宋体" w:hAnsi="宋体" w:eastAsia="宋体" w:cs="宋体"/>
                <w:b/>
                <w:color w:val="auto"/>
                <w:kern w:val="0"/>
                <w:sz w:val="24"/>
                <w:highlight w:val="none"/>
                <w:lang w:bidi="ar"/>
              </w:rPr>
              <w:t>注：本次磋商实行资格后审，资格评审以投标文件为准，其上传资料真实性由供应商自行承担。</w:t>
            </w:r>
          </w:p>
        </w:tc>
      </w:tr>
      <w:tr w14:paraId="47F4BF9B">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3382D73">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11</w:t>
            </w:r>
          </w:p>
        </w:tc>
        <w:tc>
          <w:tcPr>
            <w:tcW w:w="2073" w:type="dxa"/>
            <w:tcBorders>
              <w:top w:val="single" w:color="auto" w:sz="4" w:space="0"/>
              <w:left w:val="nil"/>
              <w:bottom w:val="single" w:color="auto" w:sz="4" w:space="0"/>
              <w:right w:val="single" w:color="auto" w:sz="4" w:space="0"/>
            </w:tcBorders>
            <w:vAlign w:val="center"/>
          </w:tcPr>
          <w:p w14:paraId="162B7F20">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投标保证金</w:t>
            </w:r>
          </w:p>
        </w:tc>
        <w:tc>
          <w:tcPr>
            <w:tcW w:w="6353" w:type="dxa"/>
            <w:tcBorders>
              <w:top w:val="single" w:color="auto" w:sz="4" w:space="0"/>
              <w:left w:val="nil"/>
              <w:bottom w:val="single" w:color="auto" w:sz="4" w:space="0"/>
              <w:right w:val="single" w:color="auto" w:sz="4" w:space="0"/>
            </w:tcBorders>
            <w:vAlign w:val="center"/>
          </w:tcPr>
          <w:p w14:paraId="57EB3BC2">
            <w:pPr>
              <w:widowControl/>
              <w:spacing w:line="360" w:lineRule="auto"/>
              <w:rPr>
                <w:rFonts w:ascii="宋体" w:hAnsi="宋体" w:cs="Calibri"/>
                <w:color w:val="auto"/>
                <w:sz w:val="24"/>
                <w:highlight w:val="none"/>
              </w:rPr>
            </w:pPr>
            <w:r>
              <w:rPr>
                <w:rFonts w:hint="eastAsia" w:ascii="宋体" w:hAnsi="宋体"/>
                <w:color w:val="auto"/>
                <w:sz w:val="24"/>
                <w:highlight w:val="none"/>
              </w:rPr>
              <w:t>根据《河南省财政厅关于优化政府采购营商环境有关问题的通知》（豫财购【2019】4号）第6条的规定，投标保证金不再收取。</w:t>
            </w:r>
          </w:p>
        </w:tc>
      </w:tr>
      <w:tr w14:paraId="4ED8ECB7">
        <w:tblPrEx>
          <w:tblCellMar>
            <w:top w:w="0" w:type="dxa"/>
            <w:left w:w="108" w:type="dxa"/>
            <w:bottom w:w="0" w:type="dxa"/>
            <w:right w:w="108" w:type="dxa"/>
          </w:tblCellMar>
        </w:tblPrEx>
        <w:trPr>
          <w:trHeight w:val="731"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58836409">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12</w:t>
            </w:r>
          </w:p>
        </w:tc>
        <w:tc>
          <w:tcPr>
            <w:tcW w:w="2073" w:type="dxa"/>
            <w:tcBorders>
              <w:top w:val="single" w:color="auto" w:sz="4" w:space="0"/>
              <w:left w:val="nil"/>
              <w:bottom w:val="single" w:color="auto" w:sz="4" w:space="0"/>
              <w:right w:val="single" w:color="auto" w:sz="4" w:space="0"/>
            </w:tcBorders>
            <w:vAlign w:val="center"/>
          </w:tcPr>
          <w:p w14:paraId="0386D6DB">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是否接受联合体投标</w:t>
            </w:r>
          </w:p>
        </w:tc>
        <w:tc>
          <w:tcPr>
            <w:tcW w:w="6353" w:type="dxa"/>
            <w:tcBorders>
              <w:top w:val="single" w:color="auto" w:sz="4" w:space="0"/>
              <w:left w:val="nil"/>
              <w:bottom w:val="single" w:color="auto" w:sz="4" w:space="0"/>
              <w:right w:val="single" w:color="auto" w:sz="4" w:space="0"/>
            </w:tcBorders>
            <w:vAlign w:val="center"/>
          </w:tcPr>
          <w:p w14:paraId="7B5C731F">
            <w:pPr>
              <w:spacing w:line="360" w:lineRule="auto"/>
              <w:rPr>
                <w:rFonts w:ascii="宋体" w:hAnsi="宋体"/>
                <w:color w:val="auto"/>
                <w:sz w:val="24"/>
                <w:highlight w:val="none"/>
              </w:rPr>
            </w:pPr>
            <w:r>
              <w:rPr>
                <w:rFonts w:hint="eastAsia" w:ascii="宋体" w:hAnsi="宋体" w:cs="宋体"/>
                <w:color w:val="auto"/>
                <w:kern w:val="10"/>
                <w:sz w:val="24"/>
                <w:highlight w:val="none"/>
              </w:rPr>
              <w:t>不接受</w:t>
            </w:r>
          </w:p>
        </w:tc>
      </w:tr>
      <w:tr w14:paraId="4DC14932">
        <w:tblPrEx>
          <w:tblCellMar>
            <w:top w:w="0" w:type="dxa"/>
            <w:left w:w="108" w:type="dxa"/>
            <w:bottom w:w="0" w:type="dxa"/>
            <w:right w:w="108" w:type="dxa"/>
          </w:tblCellMar>
        </w:tblPrEx>
        <w:trPr>
          <w:trHeight w:val="731"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342C566">
            <w:pPr>
              <w:widowControl/>
              <w:spacing w:line="360" w:lineRule="auto"/>
              <w:jc w:val="center"/>
              <w:rPr>
                <w:rFonts w:hint="default" w:ascii="宋体" w:hAnsi="宋体" w:cs="Calibri" w:eastAsiaTheme="minorEastAsia"/>
                <w:color w:val="auto"/>
                <w:kern w:val="0"/>
                <w:sz w:val="24"/>
                <w:highlight w:val="none"/>
                <w:lang w:val="en-US" w:eastAsia="zh-CN"/>
              </w:rPr>
            </w:pPr>
            <w:r>
              <w:rPr>
                <w:rFonts w:hint="eastAsia" w:ascii="宋体" w:hAnsi="宋体" w:cs="Calibri"/>
                <w:color w:val="auto"/>
                <w:kern w:val="0"/>
                <w:sz w:val="24"/>
                <w:highlight w:val="none"/>
                <w:lang w:val="en-US" w:eastAsia="zh-CN"/>
              </w:rPr>
              <w:t>13</w:t>
            </w:r>
          </w:p>
        </w:tc>
        <w:tc>
          <w:tcPr>
            <w:tcW w:w="2073" w:type="dxa"/>
            <w:tcBorders>
              <w:top w:val="single" w:color="auto" w:sz="4" w:space="0"/>
              <w:left w:val="nil"/>
              <w:bottom w:val="single" w:color="auto" w:sz="4" w:space="0"/>
              <w:right w:val="single" w:color="auto" w:sz="4" w:space="0"/>
            </w:tcBorders>
            <w:vAlign w:val="center"/>
          </w:tcPr>
          <w:p w14:paraId="6B8D72AC">
            <w:pPr>
              <w:spacing w:line="360" w:lineRule="auto"/>
              <w:jc w:val="center"/>
              <w:rPr>
                <w:rFonts w:hint="eastAsia" w:ascii="宋体" w:hAnsi="宋体" w:cs="宋体"/>
                <w:color w:val="auto"/>
                <w:kern w:val="10"/>
                <w:sz w:val="24"/>
                <w:highlight w:val="none"/>
              </w:rPr>
            </w:pPr>
            <w:r>
              <w:rPr>
                <w:rFonts w:hint="eastAsia" w:ascii="宋体" w:hAnsi="宋体" w:cs="宋体"/>
                <w:color w:val="auto"/>
                <w:kern w:val="10"/>
                <w:sz w:val="24"/>
                <w:highlight w:val="none"/>
              </w:rPr>
              <w:t>现场踏勘</w:t>
            </w:r>
          </w:p>
        </w:tc>
        <w:tc>
          <w:tcPr>
            <w:tcW w:w="6353" w:type="dxa"/>
            <w:tcBorders>
              <w:top w:val="single" w:color="auto" w:sz="4" w:space="0"/>
              <w:left w:val="nil"/>
              <w:bottom w:val="single" w:color="auto" w:sz="4" w:space="0"/>
              <w:right w:val="single" w:color="auto" w:sz="4" w:space="0"/>
            </w:tcBorders>
            <w:vAlign w:val="center"/>
          </w:tcPr>
          <w:p w14:paraId="7D0CEEEC">
            <w:pPr>
              <w:spacing w:line="360" w:lineRule="auto"/>
              <w:rPr>
                <w:rFonts w:hint="eastAsia" w:ascii="宋体" w:hAnsi="宋体" w:cs="宋体"/>
                <w:color w:val="auto"/>
                <w:kern w:val="10"/>
                <w:sz w:val="24"/>
                <w:highlight w:val="none"/>
              </w:rPr>
            </w:pPr>
            <w:r>
              <w:rPr>
                <w:rFonts w:hint="eastAsia" w:ascii="宋体" w:hAnsi="宋体" w:cs="宋体"/>
                <w:color w:val="auto"/>
                <w:kern w:val="10"/>
                <w:sz w:val="24"/>
                <w:highlight w:val="none"/>
              </w:rPr>
              <w:t>供应商有权自行开展现场踏勘，踏勘产生的相关费用由供应商自行承担。</w:t>
            </w:r>
          </w:p>
        </w:tc>
      </w:tr>
      <w:tr w14:paraId="70C000B4">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073CD334">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1</w:t>
            </w:r>
            <w:r>
              <w:rPr>
                <w:rFonts w:hint="eastAsia" w:ascii="宋体" w:hAnsi="宋体" w:cs="Calibri"/>
                <w:color w:val="auto"/>
                <w:kern w:val="0"/>
                <w:sz w:val="24"/>
                <w:highlight w:val="none"/>
                <w:lang w:val="en-US" w:eastAsia="zh-CN"/>
              </w:rPr>
              <w:t>4</w:t>
            </w:r>
          </w:p>
        </w:tc>
        <w:tc>
          <w:tcPr>
            <w:tcW w:w="2073" w:type="dxa"/>
            <w:tcBorders>
              <w:top w:val="single" w:color="auto" w:sz="4" w:space="0"/>
              <w:left w:val="nil"/>
              <w:bottom w:val="single" w:color="auto" w:sz="4" w:space="0"/>
              <w:right w:val="single" w:color="auto" w:sz="4" w:space="0"/>
            </w:tcBorders>
            <w:vAlign w:val="center"/>
          </w:tcPr>
          <w:p w14:paraId="350EC93C">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投标预备会</w:t>
            </w:r>
          </w:p>
        </w:tc>
        <w:tc>
          <w:tcPr>
            <w:tcW w:w="6353" w:type="dxa"/>
            <w:tcBorders>
              <w:top w:val="single" w:color="auto" w:sz="4" w:space="0"/>
              <w:left w:val="nil"/>
              <w:bottom w:val="single" w:color="auto" w:sz="4" w:space="0"/>
              <w:right w:val="single" w:color="auto" w:sz="4" w:space="0"/>
            </w:tcBorders>
            <w:vAlign w:val="center"/>
          </w:tcPr>
          <w:p w14:paraId="427E90F7">
            <w:pPr>
              <w:spacing w:line="360" w:lineRule="auto"/>
              <w:rPr>
                <w:rFonts w:ascii="宋体" w:hAnsi="宋体"/>
                <w:color w:val="auto"/>
                <w:sz w:val="24"/>
                <w:highlight w:val="none"/>
              </w:rPr>
            </w:pPr>
            <w:r>
              <w:rPr>
                <w:rFonts w:hint="eastAsia" w:ascii="宋体" w:hAnsi="宋体" w:cs="宋体"/>
                <w:color w:val="auto"/>
                <w:kern w:val="10"/>
                <w:sz w:val="24"/>
                <w:highlight w:val="none"/>
              </w:rPr>
              <w:t>不召开</w:t>
            </w:r>
          </w:p>
        </w:tc>
      </w:tr>
      <w:tr w14:paraId="434F975A">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5BD2781">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1</w:t>
            </w:r>
            <w:r>
              <w:rPr>
                <w:rFonts w:hint="eastAsia" w:ascii="宋体" w:hAnsi="宋体" w:cs="Calibri"/>
                <w:color w:val="auto"/>
                <w:kern w:val="0"/>
                <w:sz w:val="24"/>
                <w:highlight w:val="none"/>
                <w:lang w:val="en-US" w:eastAsia="zh-CN"/>
              </w:rPr>
              <w:t>5</w:t>
            </w:r>
          </w:p>
        </w:tc>
        <w:tc>
          <w:tcPr>
            <w:tcW w:w="2073" w:type="dxa"/>
            <w:tcBorders>
              <w:top w:val="single" w:color="auto" w:sz="4" w:space="0"/>
              <w:left w:val="nil"/>
              <w:bottom w:val="single" w:color="auto" w:sz="4" w:space="0"/>
              <w:right w:val="single" w:color="auto" w:sz="4" w:space="0"/>
            </w:tcBorders>
            <w:vAlign w:val="center"/>
          </w:tcPr>
          <w:p w14:paraId="66391994">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投标人提出问题的截止时间</w:t>
            </w:r>
          </w:p>
        </w:tc>
        <w:tc>
          <w:tcPr>
            <w:tcW w:w="6353" w:type="dxa"/>
            <w:tcBorders>
              <w:top w:val="single" w:color="auto" w:sz="4" w:space="0"/>
              <w:left w:val="nil"/>
              <w:bottom w:val="single" w:color="auto" w:sz="4" w:space="0"/>
              <w:right w:val="single" w:color="auto" w:sz="4" w:space="0"/>
            </w:tcBorders>
            <w:vAlign w:val="center"/>
          </w:tcPr>
          <w:p w14:paraId="10243F1C">
            <w:pPr>
              <w:spacing w:line="360" w:lineRule="auto"/>
              <w:rPr>
                <w:rFonts w:ascii="宋体" w:hAnsi="宋体"/>
                <w:color w:val="auto"/>
                <w:sz w:val="24"/>
                <w:highlight w:val="none"/>
              </w:rPr>
            </w:pPr>
            <w:r>
              <w:rPr>
                <w:rFonts w:hint="eastAsia" w:ascii="宋体" w:hAnsi="宋体" w:cs="宋体"/>
                <w:color w:val="auto"/>
                <w:kern w:val="10"/>
                <w:sz w:val="24"/>
                <w:highlight w:val="none"/>
              </w:rPr>
              <w:t>各投标人应将质疑问题以书面形式在投标截止5天前向采购代理机构提交</w:t>
            </w:r>
            <w:r>
              <w:rPr>
                <w:rFonts w:hint="eastAsia" w:ascii="宋体" w:hAnsi="宋体"/>
                <w:color w:val="auto"/>
                <w:kern w:val="0"/>
                <w:sz w:val="24"/>
                <w:highlight w:val="none"/>
              </w:rPr>
              <w:t>。采购人只对书面问题做出答复，并将答复内容以公告的形式发布</w:t>
            </w:r>
          </w:p>
        </w:tc>
      </w:tr>
      <w:tr w14:paraId="37074D47">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E9020F9">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1</w:t>
            </w:r>
            <w:r>
              <w:rPr>
                <w:rFonts w:hint="eastAsia" w:ascii="宋体" w:hAnsi="宋体" w:cs="Calibri"/>
                <w:color w:val="auto"/>
                <w:kern w:val="0"/>
                <w:sz w:val="24"/>
                <w:highlight w:val="none"/>
                <w:lang w:val="en-US" w:eastAsia="zh-CN"/>
              </w:rPr>
              <w:t>6</w:t>
            </w:r>
          </w:p>
        </w:tc>
        <w:tc>
          <w:tcPr>
            <w:tcW w:w="2073" w:type="dxa"/>
            <w:tcBorders>
              <w:top w:val="single" w:color="auto" w:sz="4" w:space="0"/>
              <w:left w:val="nil"/>
              <w:bottom w:val="single" w:color="auto" w:sz="4" w:space="0"/>
              <w:right w:val="single" w:color="auto" w:sz="4" w:space="0"/>
            </w:tcBorders>
            <w:vAlign w:val="center"/>
          </w:tcPr>
          <w:p w14:paraId="37A93E36">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招标人书面澄清的时间</w:t>
            </w:r>
          </w:p>
        </w:tc>
        <w:tc>
          <w:tcPr>
            <w:tcW w:w="6353" w:type="dxa"/>
            <w:tcBorders>
              <w:top w:val="single" w:color="auto" w:sz="4" w:space="0"/>
              <w:left w:val="nil"/>
              <w:bottom w:val="single" w:color="auto" w:sz="4" w:space="0"/>
              <w:right w:val="single" w:color="auto" w:sz="4" w:space="0"/>
            </w:tcBorders>
            <w:vAlign w:val="center"/>
          </w:tcPr>
          <w:p w14:paraId="4F9326EA">
            <w:pPr>
              <w:spacing w:line="360" w:lineRule="auto"/>
              <w:rPr>
                <w:rFonts w:ascii="宋体" w:hAnsi="宋体"/>
                <w:color w:val="auto"/>
                <w:sz w:val="24"/>
                <w:highlight w:val="none"/>
              </w:rPr>
            </w:pPr>
            <w:r>
              <w:rPr>
                <w:rFonts w:hint="eastAsia" w:ascii="宋体" w:hAnsi="宋体" w:cs="宋体"/>
                <w:color w:val="auto"/>
                <w:kern w:val="10"/>
                <w:sz w:val="24"/>
                <w:highlight w:val="none"/>
              </w:rPr>
              <w:t>投标截止日5天前以书面形式（澄清文件）予以答复</w:t>
            </w:r>
          </w:p>
        </w:tc>
      </w:tr>
      <w:tr w14:paraId="0B214805">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3D446DD">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1</w:t>
            </w:r>
            <w:r>
              <w:rPr>
                <w:rFonts w:hint="eastAsia" w:ascii="宋体" w:hAnsi="宋体" w:cs="Calibri"/>
                <w:color w:val="auto"/>
                <w:kern w:val="0"/>
                <w:sz w:val="24"/>
                <w:highlight w:val="none"/>
                <w:lang w:val="en-US" w:eastAsia="zh-CN"/>
              </w:rPr>
              <w:t>7</w:t>
            </w:r>
          </w:p>
        </w:tc>
        <w:tc>
          <w:tcPr>
            <w:tcW w:w="2073" w:type="dxa"/>
            <w:tcBorders>
              <w:top w:val="single" w:color="auto" w:sz="4" w:space="0"/>
              <w:left w:val="nil"/>
              <w:bottom w:val="single" w:color="auto" w:sz="4" w:space="0"/>
              <w:right w:val="single" w:color="auto" w:sz="4" w:space="0"/>
            </w:tcBorders>
            <w:vAlign w:val="center"/>
          </w:tcPr>
          <w:p w14:paraId="3731A965">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分包</w:t>
            </w:r>
          </w:p>
        </w:tc>
        <w:tc>
          <w:tcPr>
            <w:tcW w:w="6353" w:type="dxa"/>
            <w:tcBorders>
              <w:top w:val="single" w:color="auto" w:sz="4" w:space="0"/>
              <w:left w:val="nil"/>
              <w:bottom w:val="single" w:color="auto" w:sz="4" w:space="0"/>
              <w:right w:val="single" w:color="auto" w:sz="4" w:space="0"/>
            </w:tcBorders>
            <w:vAlign w:val="center"/>
          </w:tcPr>
          <w:p w14:paraId="2A9C04F0">
            <w:pPr>
              <w:spacing w:line="360" w:lineRule="auto"/>
              <w:rPr>
                <w:rFonts w:ascii="宋体" w:hAnsi="宋体"/>
                <w:color w:val="auto"/>
                <w:sz w:val="24"/>
                <w:highlight w:val="none"/>
              </w:rPr>
            </w:pPr>
            <w:r>
              <w:rPr>
                <w:rFonts w:hint="eastAsia" w:ascii="宋体" w:hAnsi="宋体" w:cs="宋体"/>
                <w:color w:val="auto"/>
                <w:kern w:val="10"/>
                <w:sz w:val="24"/>
                <w:highlight w:val="none"/>
              </w:rPr>
              <w:t>不允许（转包、分包均不允许）</w:t>
            </w:r>
          </w:p>
        </w:tc>
      </w:tr>
      <w:tr w14:paraId="3F4A3163">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16589F1A">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1</w:t>
            </w:r>
            <w:r>
              <w:rPr>
                <w:rFonts w:hint="eastAsia" w:ascii="宋体" w:hAnsi="宋体" w:cs="Calibri"/>
                <w:color w:val="auto"/>
                <w:kern w:val="0"/>
                <w:sz w:val="24"/>
                <w:highlight w:val="none"/>
                <w:lang w:val="en-US" w:eastAsia="zh-CN"/>
              </w:rPr>
              <w:t>8</w:t>
            </w:r>
          </w:p>
        </w:tc>
        <w:tc>
          <w:tcPr>
            <w:tcW w:w="2073" w:type="dxa"/>
            <w:tcBorders>
              <w:top w:val="single" w:color="auto" w:sz="4" w:space="0"/>
              <w:left w:val="nil"/>
              <w:bottom w:val="single" w:color="auto" w:sz="4" w:space="0"/>
              <w:right w:val="single" w:color="auto" w:sz="4" w:space="0"/>
            </w:tcBorders>
            <w:vAlign w:val="center"/>
          </w:tcPr>
          <w:p w14:paraId="37D30C58">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偏离</w:t>
            </w:r>
          </w:p>
        </w:tc>
        <w:tc>
          <w:tcPr>
            <w:tcW w:w="6353" w:type="dxa"/>
            <w:tcBorders>
              <w:top w:val="single" w:color="auto" w:sz="4" w:space="0"/>
              <w:left w:val="nil"/>
              <w:bottom w:val="single" w:color="auto" w:sz="4" w:space="0"/>
              <w:right w:val="single" w:color="auto" w:sz="4" w:space="0"/>
            </w:tcBorders>
            <w:vAlign w:val="center"/>
          </w:tcPr>
          <w:p w14:paraId="3DEE6332">
            <w:pPr>
              <w:spacing w:line="360" w:lineRule="auto"/>
              <w:rPr>
                <w:rFonts w:ascii="宋体" w:hAnsi="宋体"/>
                <w:color w:val="auto"/>
                <w:sz w:val="24"/>
                <w:highlight w:val="none"/>
              </w:rPr>
            </w:pPr>
            <w:r>
              <w:rPr>
                <w:rFonts w:hint="eastAsia" w:ascii="宋体" w:hAnsi="宋体" w:cs="宋体"/>
                <w:color w:val="auto"/>
                <w:kern w:val="10"/>
                <w:sz w:val="24"/>
                <w:highlight w:val="none"/>
              </w:rPr>
              <w:t>允许</w:t>
            </w:r>
          </w:p>
        </w:tc>
      </w:tr>
      <w:tr w14:paraId="3A9B5741">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148690D9">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1</w:t>
            </w:r>
            <w:r>
              <w:rPr>
                <w:rFonts w:hint="eastAsia" w:ascii="宋体" w:hAnsi="宋体" w:cs="Calibri"/>
                <w:color w:val="auto"/>
                <w:kern w:val="0"/>
                <w:sz w:val="24"/>
                <w:highlight w:val="none"/>
                <w:lang w:val="en-US" w:eastAsia="zh-CN"/>
              </w:rPr>
              <w:t>9</w:t>
            </w:r>
          </w:p>
        </w:tc>
        <w:tc>
          <w:tcPr>
            <w:tcW w:w="2073" w:type="dxa"/>
            <w:tcBorders>
              <w:top w:val="single" w:color="auto" w:sz="4" w:space="0"/>
              <w:left w:val="nil"/>
              <w:bottom w:val="single" w:color="auto" w:sz="4" w:space="0"/>
              <w:right w:val="single" w:color="auto" w:sz="4" w:space="0"/>
            </w:tcBorders>
            <w:vAlign w:val="center"/>
          </w:tcPr>
          <w:p w14:paraId="0BD2BDC7">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构成竞争性磋商文件的其他材料</w:t>
            </w:r>
          </w:p>
        </w:tc>
        <w:tc>
          <w:tcPr>
            <w:tcW w:w="6353" w:type="dxa"/>
            <w:tcBorders>
              <w:top w:val="single" w:color="auto" w:sz="4" w:space="0"/>
              <w:left w:val="nil"/>
              <w:bottom w:val="single" w:color="auto" w:sz="4" w:space="0"/>
              <w:right w:val="single" w:color="auto" w:sz="4" w:space="0"/>
            </w:tcBorders>
            <w:vAlign w:val="center"/>
          </w:tcPr>
          <w:p w14:paraId="48ADD6EC">
            <w:pPr>
              <w:spacing w:line="360" w:lineRule="auto"/>
              <w:rPr>
                <w:rFonts w:ascii="宋体" w:hAnsi="宋体"/>
                <w:color w:val="auto"/>
                <w:sz w:val="24"/>
                <w:highlight w:val="none"/>
              </w:rPr>
            </w:pPr>
            <w:r>
              <w:rPr>
                <w:rFonts w:hint="eastAsia" w:ascii="宋体" w:hAnsi="宋体" w:cs="宋体"/>
                <w:color w:val="auto"/>
                <w:kern w:val="10"/>
                <w:sz w:val="24"/>
                <w:highlight w:val="none"/>
              </w:rPr>
              <w:t>采购人在招标期间发出的竞争性磋商文件修改、招标答疑纪要、澄清</w:t>
            </w:r>
          </w:p>
        </w:tc>
      </w:tr>
      <w:tr w14:paraId="31A9BDAE">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303A93E3">
            <w:pPr>
              <w:widowControl/>
              <w:spacing w:line="360" w:lineRule="auto"/>
              <w:jc w:val="center"/>
              <w:rPr>
                <w:rFonts w:hint="default" w:ascii="宋体" w:hAnsi="宋体" w:cs="Calibri" w:eastAsiaTheme="minorEastAsia"/>
                <w:color w:val="auto"/>
                <w:kern w:val="0"/>
                <w:sz w:val="24"/>
                <w:highlight w:val="none"/>
                <w:lang w:val="en-US" w:eastAsia="zh-CN"/>
              </w:rPr>
            </w:pPr>
            <w:r>
              <w:rPr>
                <w:rFonts w:hint="eastAsia" w:ascii="宋体" w:hAnsi="宋体" w:cs="Calibri"/>
                <w:color w:val="auto"/>
                <w:kern w:val="0"/>
                <w:sz w:val="24"/>
                <w:highlight w:val="none"/>
                <w:lang w:val="en-US" w:eastAsia="zh-CN"/>
              </w:rPr>
              <w:t>20</w:t>
            </w:r>
          </w:p>
        </w:tc>
        <w:tc>
          <w:tcPr>
            <w:tcW w:w="2073" w:type="dxa"/>
            <w:tcBorders>
              <w:top w:val="single" w:color="auto" w:sz="4" w:space="0"/>
              <w:left w:val="nil"/>
              <w:bottom w:val="single" w:color="auto" w:sz="4" w:space="0"/>
              <w:right w:val="single" w:color="auto" w:sz="4" w:space="0"/>
            </w:tcBorders>
            <w:vAlign w:val="center"/>
          </w:tcPr>
          <w:p w14:paraId="5AFACDAC">
            <w:pPr>
              <w:spacing w:line="360" w:lineRule="auto"/>
              <w:jc w:val="center"/>
              <w:rPr>
                <w:rFonts w:ascii="宋体" w:hAnsi="宋体" w:cs="Calibri"/>
                <w:color w:val="auto"/>
                <w:kern w:val="0"/>
                <w:sz w:val="24"/>
                <w:highlight w:val="none"/>
              </w:rPr>
            </w:pPr>
            <w:r>
              <w:rPr>
                <w:rFonts w:hint="eastAsia" w:ascii="宋体" w:hAnsi="宋体" w:cs="宋体"/>
                <w:color w:val="auto"/>
                <w:kern w:val="10"/>
                <w:sz w:val="24"/>
                <w:highlight w:val="none"/>
              </w:rPr>
              <w:t>投标人要求澄清磋商文件的截止时间</w:t>
            </w:r>
          </w:p>
        </w:tc>
        <w:tc>
          <w:tcPr>
            <w:tcW w:w="6353" w:type="dxa"/>
            <w:tcBorders>
              <w:top w:val="single" w:color="auto" w:sz="4" w:space="0"/>
              <w:left w:val="nil"/>
              <w:bottom w:val="single" w:color="auto" w:sz="4" w:space="0"/>
              <w:right w:val="single" w:color="auto" w:sz="4" w:space="0"/>
            </w:tcBorders>
            <w:vAlign w:val="center"/>
          </w:tcPr>
          <w:p w14:paraId="0BA3A5A3">
            <w:pPr>
              <w:spacing w:line="360" w:lineRule="auto"/>
              <w:rPr>
                <w:rFonts w:ascii="宋体" w:hAnsi="宋体"/>
                <w:color w:val="auto"/>
                <w:sz w:val="24"/>
                <w:highlight w:val="none"/>
              </w:rPr>
            </w:pPr>
            <w:r>
              <w:rPr>
                <w:rFonts w:hint="eastAsia" w:ascii="宋体" w:hAnsi="宋体" w:cs="宋体"/>
                <w:color w:val="auto"/>
                <w:kern w:val="10"/>
                <w:sz w:val="24"/>
                <w:highlight w:val="none"/>
              </w:rPr>
              <w:t>递交响应性文件截止之日5天前</w:t>
            </w:r>
          </w:p>
        </w:tc>
      </w:tr>
      <w:tr w14:paraId="777A6C60">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06CC81F">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1</w:t>
            </w:r>
          </w:p>
        </w:tc>
        <w:tc>
          <w:tcPr>
            <w:tcW w:w="2073" w:type="dxa"/>
            <w:tcBorders>
              <w:top w:val="single" w:color="auto" w:sz="4" w:space="0"/>
              <w:left w:val="nil"/>
              <w:bottom w:val="single" w:color="auto" w:sz="4" w:space="0"/>
              <w:right w:val="single" w:color="auto" w:sz="4" w:space="0"/>
            </w:tcBorders>
            <w:vAlign w:val="center"/>
          </w:tcPr>
          <w:p w14:paraId="716AB8EF">
            <w:pPr>
              <w:spacing w:line="360" w:lineRule="auto"/>
              <w:jc w:val="center"/>
              <w:rPr>
                <w:rFonts w:ascii="宋体" w:hAnsi="宋体" w:cs="宋体"/>
                <w:color w:val="auto"/>
                <w:kern w:val="10"/>
                <w:sz w:val="24"/>
                <w:highlight w:val="none"/>
              </w:rPr>
            </w:pPr>
            <w:r>
              <w:rPr>
                <w:rFonts w:hint="eastAsia" w:ascii="宋体" w:hAnsi="宋体" w:cs="宋体"/>
                <w:color w:val="auto"/>
                <w:kern w:val="10"/>
                <w:sz w:val="24"/>
                <w:highlight w:val="none"/>
              </w:rPr>
              <w:t>投标人确认收到竞争性磋商文件澄清的时间</w:t>
            </w:r>
          </w:p>
        </w:tc>
        <w:tc>
          <w:tcPr>
            <w:tcW w:w="6353" w:type="dxa"/>
            <w:tcBorders>
              <w:top w:val="single" w:color="auto" w:sz="4" w:space="0"/>
              <w:left w:val="nil"/>
              <w:bottom w:val="single" w:color="auto" w:sz="4" w:space="0"/>
              <w:right w:val="single" w:color="auto" w:sz="4" w:space="0"/>
            </w:tcBorders>
            <w:vAlign w:val="center"/>
          </w:tcPr>
          <w:p w14:paraId="0134813D">
            <w:pPr>
              <w:spacing w:line="360" w:lineRule="auto"/>
              <w:rPr>
                <w:rFonts w:ascii="宋体" w:hAnsi="宋体" w:cs="宋体"/>
                <w:color w:val="auto"/>
                <w:kern w:val="10"/>
                <w:sz w:val="24"/>
                <w:highlight w:val="none"/>
              </w:rPr>
            </w:pPr>
            <w:r>
              <w:rPr>
                <w:rFonts w:hint="eastAsia" w:ascii="宋体" w:hAnsi="宋体"/>
                <w:color w:val="auto"/>
                <w:sz w:val="24"/>
                <w:highlight w:val="none"/>
              </w:rPr>
              <w:t>收到竞争性磋商文件澄清24小时内</w:t>
            </w:r>
          </w:p>
        </w:tc>
      </w:tr>
      <w:tr w14:paraId="208ABB6B">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CCBF1F9">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2</w:t>
            </w:r>
          </w:p>
        </w:tc>
        <w:tc>
          <w:tcPr>
            <w:tcW w:w="2073" w:type="dxa"/>
            <w:tcBorders>
              <w:top w:val="single" w:color="auto" w:sz="4" w:space="0"/>
              <w:left w:val="nil"/>
              <w:bottom w:val="single" w:color="auto" w:sz="4" w:space="0"/>
              <w:right w:val="single" w:color="auto" w:sz="4" w:space="0"/>
            </w:tcBorders>
            <w:vAlign w:val="center"/>
          </w:tcPr>
          <w:p w14:paraId="21C8E10C">
            <w:pPr>
              <w:spacing w:line="360" w:lineRule="auto"/>
              <w:jc w:val="center"/>
              <w:rPr>
                <w:rFonts w:ascii="宋体" w:hAnsi="宋体" w:cs="宋体"/>
                <w:color w:val="auto"/>
                <w:kern w:val="10"/>
                <w:sz w:val="24"/>
                <w:highlight w:val="none"/>
              </w:rPr>
            </w:pPr>
            <w:r>
              <w:rPr>
                <w:rFonts w:hint="eastAsia" w:ascii="宋体" w:hAnsi="宋体" w:cs="宋体"/>
                <w:color w:val="auto"/>
                <w:kern w:val="10"/>
                <w:sz w:val="24"/>
                <w:highlight w:val="none"/>
              </w:rPr>
              <w:t>投标人确认收到竞争性磋商文件修改的时间</w:t>
            </w:r>
          </w:p>
        </w:tc>
        <w:tc>
          <w:tcPr>
            <w:tcW w:w="6353" w:type="dxa"/>
            <w:tcBorders>
              <w:top w:val="single" w:color="auto" w:sz="4" w:space="0"/>
              <w:left w:val="nil"/>
              <w:bottom w:val="single" w:color="auto" w:sz="4" w:space="0"/>
              <w:right w:val="single" w:color="auto" w:sz="4" w:space="0"/>
            </w:tcBorders>
            <w:vAlign w:val="center"/>
          </w:tcPr>
          <w:p w14:paraId="0895AA1B">
            <w:pPr>
              <w:spacing w:line="360" w:lineRule="auto"/>
              <w:rPr>
                <w:rFonts w:ascii="宋体" w:hAnsi="宋体" w:cs="宋体"/>
                <w:color w:val="auto"/>
                <w:kern w:val="10"/>
                <w:sz w:val="24"/>
                <w:highlight w:val="none"/>
              </w:rPr>
            </w:pPr>
            <w:r>
              <w:rPr>
                <w:rFonts w:hint="eastAsia" w:ascii="宋体" w:hAnsi="宋体"/>
                <w:color w:val="auto"/>
                <w:sz w:val="24"/>
                <w:highlight w:val="none"/>
              </w:rPr>
              <w:t>收到竞争性磋商文件澄清24小时内</w:t>
            </w:r>
          </w:p>
        </w:tc>
      </w:tr>
      <w:tr w14:paraId="7E158243">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131C8BD3">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3</w:t>
            </w:r>
          </w:p>
        </w:tc>
        <w:tc>
          <w:tcPr>
            <w:tcW w:w="2073" w:type="dxa"/>
            <w:tcBorders>
              <w:top w:val="single" w:color="auto" w:sz="4" w:space="0"/>
              <w:left w:val="nil"/>
              <w:bottom w:val="single" w:color="auto" w:sz="4" w:space="0"/>
              <w:right w:val="single" w:color="auto" w:sz="4" w:space="0"/>
            </w:tcBorders>
            <w:vAlign w:val="center"/>
          </w:tcPr>
          <w:p w14:paraId="755516C6">
            <w:pPr>
              <w:spacing w:line="360" w:lineRule="auto"/>
              <w:jc w:val="center"/>
              <w:rPr>
                <w:rFonts w:ascii="宋体" w:hAnsi="宋体" w:cs="宋体"/>
                <w:color w:val="auto"/>
                <w:kern w:val="10"/>
                <w:sz w:val="24"/>
                <w:highlight w:val="none"/>
              </w:rPr>
            </w:pPr>
            <w:r>
              <w:rPr>
                <w:rFonts w:hint="eastAsia" w:ascii="宋体" w:hAnsi="宋体" w:cs="宋体"/>
                <w:color w:val="auto"/>
                <w:kern w:val="10"/>
                <w:sz w:val="24"/>
                <w:highlight w:val="none"/>
              </w:rPr>
              <w:t>构成投标文件的</w:t>
            </w:r>
          </w:p>
          <w:p w14:paraId="76647420">
            <w:pPr>
              <w:spacing w:line="360" w:lineRule="auto"/>
              <w:jc w:val="center"/>
              <w:rPr>
                <w:rFonts w:ascii="宋体" w:hAnsi="宋体" w:cs="宋体"/>
                <w:color w:val="auto"/>
                <w:kern w:val="10"/>
                <w:sz w:val="24"/>
                <w:highlight w:val="none"/>
              </w:rPr>
            </w:pPr>
            <w:r>
              <w:rPr>
                <w:rFonts w:hint="eastAsia" w:ascii="宋体" w:hAnsi="宋体" w:cs="宋体"/>
                <w:color w:val="auto"/>
                <w:kern w:val="10"/>
                <w:sz w:val="24"/>
                <w:highlight w:val="none"/>
              </w:rPr>
              <w:t>其他材料</w:t>
            </w:r>
          </w:p>
        </w:tc>
        <w:tc>
          <w:tcPr>
            <w:tcW w:w="6353" w:type="dxa"/>
            <w:tcBorders>
              <w:top w:val="single" w:color="auto" w:sz="4" w:space="0"/>
              <w:left w:val="nil"/>
              <w:bottom w:val="single" w:color="auto" w:sz="4" w:space="0"/>
              <w:right w:val="single" w:color="auto" w:sz="4" w:space="0"/>
            </w:tcBorders>
            <w:vAlign w:val="center"/>
          </w:tcPr>
          <w:p w14:paraId="46D21A9B">
            <w:pPr>
              <w:spacing w:line="360" w:lineRule="auto"/>
              <w:rPr>
                <w:rFonts w:ascii="宋体" w:hAnsi="宋体" w:cs="宋体"/>
                <w:color w:val="auto"/>
                <w:kern w:val="10"/>
                <w:sz w:val="24"/>
                <w:highlight w:val="none"/>
              </w:rPr>
            </w:pPr>
            <w:r>
              <w:rPr>
                <w:rFonts w:hint="eastAsia" w:ascii="宋体" w:hAnsi="宋体" w:cs="宋体"/>
                <w:color w:val="auto"/>
                <w:kern w:val="10"/>
                <w:sz w:val="24"/>
                <w:highlight w:val="none"/>
              </w:rPr>
              <w:t>按竞争性磋商文件的要求</w:t>
            </w:r>
          </w:p>
        </w:tc>
      </w:tr>
      <w:tr w14:paraId="62D841D2">
        <w:tblPrEx>
          <w:tblCellMar>
            <w:top w:w="0" w:type="dxa"/>
            <w:left w:w="108" w:type="dxa"/>
            <w:bottom w:w="0" w:type="dxa"/>
            <w:right w:w="108" w:type="dxa"/>
          </w:tblCellMar>
        </w:tblPrEx>
        <w:trPr>
          <w:trHeight w:val="57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F91C688">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4</w:t>
            </w:r>
          </w:p>
        </w:tc>
        <w:tc>
          <w:tcPr>
            <w:tcW w:w="2073" w:type="dxa"/>
            <w:tcBorders>
              <w:top w:val="single" w:color="auto" w:sz="4" w:space="0"/>
              <w:left w:val="nil"/>
              <w:bottom w:val="single" w:color="auto" w:sz="4" w:space="0"/>
              <w:right w:val="single" w:color="auto" w:sz="4" w:space="0"/>
            </w:tcBorders>
            <w:vAlign w:val="center"/>
          </w:tcPr>
          <w:p w14:paraId="3B350AAA">
            <w:pPr>
              <w:spacing w:line="360" w:lineRule="auto"/>
              <w:jc w:val="center"/>
              <w:rPr>
                <w:rFonts w:ascii="宋体" w:hAnsi="宋体" w:cs="宋体"/>
                <w:color w:val="auto"/>
                <w:kern w:val="10"/>
                <w:sz w:val="24"/>
                <w:highlight w:val="none"/>
              </w:rPr>
            </w:pPr>
            <w:r>
              <w:rPr>
                <w:rFonts w:hint="eastAsia" w:ascii="宋体" w:hAnsi="宋体" w:cs="宋体"/>
                <w:color w:val="auto"/>
                <w:kern w:val="10"/>
                <w:sz w:val="24"/>
                <w:highlight w:val="none"/>
              </w:rPr>
              <w:t>是否允许递交备选投标方案</w:t>
            </w:r>
          </w:p>
        </w:tc>
        <w:tc>
          <w:tcPr>
            <w:tcW w:w="6353" w:type="dxa"/>
            <w:tcBorders>
              <w:top w:val="single" w:color="auto" w:sz="4" w:space="0"/>
              <w:left w:val="nil"/>
              <w:bottom w:val="single" w:color="auto" w:sz="4" w:space="0"/>
              <w:right w:val="single" w:color="auto" w:sz="4" w:space="0"/>
            </w:tcBorders>
            <w:vAlign w:val="center"/>
          </w:tcPr>
          <w:p w14:paraId="05ABC200">
            <w:pPr>
              <w:spacing w:line="360" w:lineRule="auto"/>
              <w:rPr>
                <w:rFonts w:ascii="宋体" w:hAnsi="宋体" w:cs="宋体"/>
                <w:color w:val="auto"/>
                <w:kern w:val="10"/>
                <w:sz w:val="24"/>
                <w:highlight w:val="none"/>
              </w:rPr>
            </w:pPr>
            <w:r>
              <w:rPr>
                <w:rFonts w:hint="eastAsia" w:ascii="宋体" w:hAnsi="宋体" w:cs="宋体"/>
                <w:color w:val="auto"/>
                <w:kern w:val="10"/>
                <w:sz w:val="24"/>
                <w:highlight w:val="none"/>
              </w:rPr>
              <w:t>不允许</w:t>
            </w:r>
          </w:p>
        </w:tc>
      </w:tr>
      <w:tr w14:paraId="1663B86B">
        <w:tblPrEx>
          <w:tblCellMar>
            <w:top w:w="0" w:type="dxa"/>
            <w:left w:w="108" w:type="dxa"/>
            <w:bottom w:w="0" w:type="dxa"/>
            <w:right w:w="108" w:type="dxa"/>
          </w:tblCellMar>
        </w:tblPrEx>
        <w:trPr>
          <w:trHeight w:val="954"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08227F8">
            <w:pPr>
              <w:widowControl/>
              <w:spacing w:line="360" w:lineRule="auto"/>
              <w:jc w:val="center"/>
              <w:rPr>
                <w:rFonts w:hint="eastAsia" w:ascii="宋体" w:hAnsi="宋体" w:cs="Calibri" w:eastAsiaTheme="minorEastAsia"/>
                <w:color w:val="auto"/>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5</w:t>
            </w:r>
          </w:p>
        </w:tc>
        <w:tc>
          <w:tcPr>
            <w:tcW w:w="2073" w:type="dxa"/>
            <w:tcBorders>
              <w:top w:val="single" w:color="auto" w:sz="4" w:space="0"/>
              <w:left w:val="nil"/>
              <w:bottom w:val="single" w:color="auto" w:sz="4" w:space="0"/>
              <w:right w:val="single" w:color="auto" w:sz="4" w:space="0"/>
            </w:tcBorders>
            <w:vAlign w:val="center"/>
          </w:tcPr>
          <w:p w14:paraId="20E907CB">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响应性文件递交截止时间及地点</w:t>
            </w:r>
          </w:p>
        </w:tc>
        <w:tc>
          <w:tcPr>
            <w:tcW w:w="6353" w:type="dxa"/>
            <w:tcBorders>
              <w:top w:val="single" w:color="auto" w:sz="4" w:space="0"/>
              <w:left w:val="nil"/>
              <w:bottom w:val="single" w:color="auto" w:sz="4" w:space="0"/>
              <w:right w:val="single" w:color="auto" w:sz="4" w:space="0"/>
            </w:tcBorders>
            <w:vAlign w:val="center"/>
          </w:tcPr>
          <w:p w14:paraId="7E9450D2">
            <w:pPr>
              <w:widowControl/>
              <w:spacing w:line="360" w:lineRule="auto"/>
              <w:jc w:val="left"/>
              <w:rPr>
                <w:rFonts w:ascii="宋体" w:hAnsi="宋体" w:cs="Calibri"/>
                <w:b/>
                <w:bCs/>
                <w:color w:val="auto"/>
                <w:kern w:val="0"/>
                <w:sz w:val="24"/>
                <w:highlight w:val="none"/>
              </w:rPr>
            </w:pPr>
            <w:r>
              <w:rPr>
                <w:rFonts w:hint="eastAsia" w:ascii="宋体" w:hAnsi="宋体" w:cs="Calibri"/>
                <w:b/>
                <w:bCs/>
                <w:color w:val="auto"/>
                <w:kern w:val="0"/>
                <w:sz w:val="24"/>
                <w:highlight w:val="none"/>
                <w:lang w:eastAsia="zh-CN"/>
              </w:rPr>
              <w:t>2026年9月29日0</w:t>
            </w:r>
            <w:r>
              <w:rPr>
                <w:rFonts w:hint="eastAsia" w:ascii="宋体" w:hAnsi="宋体" w:cs="Calibri"/>
                <w:b/>
                <w:bCs/>
                <w:color w:val="auto"/>
                <w:kern w:val="0"/>
                <w:sz w:val="24"/>
                <w:highlight w:val="none"/>
                <w:lang w:val="en-US" w:eastAsia="zh-CN"/>
              </w:rPr>
              <w:t>9</w:t>
            </w:r>
            <w:r>
              <w:rPr>
                <w:rFonts w:hint="eastAsia" w:ascii="宋体" w:hAnsi="宋体" w:cs="Calibri"/>
                <w:b/>
                <w:bCs/>
                <w:color w:val="auto"/>
                <w:kern w:val="0"/>
                <w:sz w:val="24"/>
                <w:highlight w:val="none"/>
                <w:lang w:eastAsia="zh-CN"/>
              </w:rPr>
              <w:t>时</w:t>
            </w:r>
            <w:r>
              <w:rPr>
                <w:rFonts w:hint="eastAsia" w:ascii="宋体" w:hAnsi="宋体" w:cs="Calibri"/>
                <w:b/>
                <w:bCs/>
                <w:color w:val="auto"/>
                <w:kern w:val="0"/>
                <w:sz w:val="24"/>
                <w:highlight w:val="none"/>
                <w:lang w:val="en-US" w:eastAsia="zh-CN"/>
              </w:rPr>
              <w:t>0</w:t>
            </w:r>
            <w:r>
              <w:rPr>
                <w:rFonts w:hint="eastAsia" w:ascii="宋体" w:hAnsi="宋体" w:cs="Calibri"/>
                <w:b/>
                <w:bCs/>
                <w:color w:val="auto"/>
                <w:kern w:val="0"/>
                <w:sz w:val="24"/>
                <w:highlight w:val="none"/>
                <w:lang w:eastAsia="zh-CN"/>
              </w:rPr>
              <w:t>0分</w:t>
            </w:r>
            <w:r>
              <w:rPr>
                <w:rFonts w:hint="eastAsia" w:ascii="宋体" w:hAnsi="宋体" w:cs="Calibri"/>
                <w:b/>
                <w:bCs/>
                <w:color w:val="auto"/>
                <w:kern w:val="0"/>
                <w:sz w:val="24"/>
                <w:highlight w:val="none"/>
              </w:rPr>
              <w:t>（北京时间）</w:t>
            </w:r>
          </w:p>
          <w:p w14:paraId="691C8348">
            <w:pPr>
              <w:widowControl/>
              <w:spacing w:line="360" w:lineRule="auto"/>
              <w:jc w:val="left"/>
              <w:rPr>
                <w:rFonts w:ascii="宋体" w:hAnsi="宋体" w:cs="Calibri"/>
                <w:b/>
                <w:bCs/>
                <w:color w:val="auto"/>
                <w:kern w:val="0"/>
                <w:sz w:val="24"/>
                <w:highlight w:val="none"/>
              </w:rPr>
            </w:pPr>
            <w:r>
              <w:rPr>
                <w:rFonts w:hint="eastAsia" w:ascii="宋体" w:hAnsi="宋体" w:cs="Calibri"/>
                <w:b/>
                <w:bCs/>
                <w:color w:val="auto"/>
                <w:kern w:val="0"/>
                <w:sz w:val="24"/>
                <w:highlight w:val="none"/>
              </w:rPr>
              <w:t>上传至三门峡市公共资源交易中心系统</w:t>
            </w:r>
          </w:p>
        </w:tc>
      </w:tr>
      <w:tr w14:paraId="73FA43FE">
        <w:tblPrEx>
          <w:tblCellMar>
            <w:top w:w="0" w:type="dxa"/>
            <w:left w:w="108" w:type="dxa"/>
            <w:bottom w:w="0" w:type="dxa"/>
            <w:right w:w="108" w:type="dxa"/>
          </w:tblCellMar>
        </w:tblPrEx>
        <w:trPr>
          <w:trHeight w:val="467"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690558F4">
            <w:pPr>
              <w:widowControl/>
              <w:spacing w:line="360" w:lineRule="auto"/>
              <w:jc w:val="center"/>
              <w:rPr>
                <w:rFonts w:hint="eastAsia" w:ascii="宋体" w:hAnsi="宋体" w:cs="Calibri" w:eastAsiaTheme="minorEastAsia"/>
                <w:color w:val="auto"/>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6</w:t>
            </w:r>
          </w:p>
        </w:tc>
        <w:tc>
          <w:tcPr>
            <w:tcW w:w="2073" w:type="dxa"/>
            <w:tcBorders>
              <w:top w:val="single" w:color="auto" w:sz="4" w:space="0"/>
              <w:left w:val="nil"/>
              <w:bottom w:val="single" w:color="auto" w:sz="4" w:space="0"/>
              <w:right w:val="single" w:color="auto" w:sz="4" w:space="0"/>
            </w:tcBorders>
            <w:vAlign w:val="center"/>
          </w:tcPr>
          <w:p w14:paraId="1EF75BC4">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开标时间及地点</w:t>
            </w:r>
          </w:p>
        </w:tc>
        <w:tc>
          <w:tcPr>
            <w:tcW w:w="6353" w:type="dxa"/>
            <w:tcBorders>
              <w:top w:val="single" w:color="auto" w:sz="4" w:space="0"/>
              <w:left w:val="nil"/>
              <w:bottom w:val="single" w:color="auto" w:sz="4" w:space="0"/>
              <w:right w:val="single" w:color="auto" w:sz="4" w:space="0"/>
            </w:tcBorders>
            <w:vAlign w:val="center"/>
          </w:tcPr>
          <w:p w14:paraId="6EEBDE84">
            <w:pPr>
              <w:widowControl/>
              <w:spacing w:line="360" w:lineRule="auto"/>
              <w:jc w:val="left"/>
              <w:rPr>
                <w:rFonts w:ascii="宋体" w:hAnsi="宋体" w:cs="Calibri"/>
                <w:b/>
                <w:bCs/>
                <w:color w:val="auto"/>
                <w:kern w:val="0"/>
                <w:sz w:val="24"/>
                <w:highlight w:val="none"/>
              </w:rPr>
            </w:pPr>
            <w:r>
              <w:rPr>
                <w:rFonts w:hint="eastAsia" w:ascii="宋体" w:hAnsi="宋体" w:cs="Calibri"/>
                <w:b/>
                <w:bCs/>
                <w:color w:val="auto"/>
                <w:kern w:val="0"/>
                <w:sz w:val="24"/>
                <w:highlight w:val="none"/>
                <w:lang w:eastAsia="zh-CN"/>
              </w:rPr>
              <w:t>2026年9月29日0</w:t>
            </w:r>
            <w:r>
              <w:rPr>
                <w:rFonts w:hint="eastAsia" w:ascii="宋体" w:hAnsi="宋体" w:cs="Calibri"/>
                <w:b/>
                <w:bCs/>
                <w:color w:val="auto"/>
                <w:kern w:val="0"/>
                <w:sz w:val="24"/>
                <w:highlight w:val="none"/>
                <w:lang w:val="en-US" w:eastAsia="zh-CN"/>
              </w:rPr>
              <w:t>9</w:t>
            </w:r>
            <w:r>
              <w:rPr>
                <w:rFonts w:hint="eastAsia" w:ascii="宋体" w:hAnsi="宋体" w:cs="Calibri"/>
                <w:b/>
                <w:bCs/>
                <w:color w:val="auto"/>
                <w:kern w:val="0"/>
                <w:sz w:val="24"/>
                <w:highlight w:val="none"/>
                <w:lang w:eastAsia="zh-CN"/>
              </w:rPr>
              <w:t>时</w:t>
            </w:r>
            <w:r>
              <w:rPr>
                <w:rFonts w:hint="eastAsia" w:ascii="宋体" w:hAnsi="宋体" w:cs="Calibri"/>
                <w:b/>
                <w:bCs/>
                <w:color w:val="auto"/>
                <w:kern w:val="0"/>
                <w:sz w:val="24"/>
                <w:highlight w:val="none"/>
                <w:lang w:val="en-US" w:eastAsia="zh-CN"/>
              </w:rPr>
              <w:t>0</w:t>
            </w:r>
            <w:r>
              <w:rPr>
                <w:rFonts w:hint="eastAsia" w:ascii="宋体" w:hAnsi="宋体" w:cs="Calibri"/>
                <w:b/>
                <w:bCs/>
                <w:color w:val="auto"/>
                <w:kern w:val="0"/>
                <w:sz w:val="24"/>
                <w:highlight w:val="none"/>
                <w:lang w:eastAsia="zh-CN"/>
              </w:rPr>
              <w:t>0分</w:t>
            </w:r>
            <w:r>
              <w:rPr>
                <w:rFonts w:hint="eastAsia" w:ascii="宋体" w:hAnsi="宋体" w:cs="Calibri"/>
                <w:b/>
                <w:bCs/>
                <w:color w:val="auto"/>
                <w:kern w:val="0"/>
                <w:sz w:val="24"/>
                <w:highlight w:val="none"/>
              </w:rPr>
              <w:t>（北京时间）</w:t>
            </w:r>
          </w:p>
          <w:p w14:paraId="51099A69">
            <w:pPr>
              <w:widowControl/>
              <w:spacing w:line="360" w:lineRule="auto"/>
              <w:jc w:val="left"/>
              <w:rPr>
                <w:rFonts w:ascii="宋体" w:hAnsi="宋体" w:cs="Calibri"/>
                <w:b/>
                <w:bCs/>
                <w:color w:val="auto"/>
                <w:kern w:val="0"/>
                <w:sz w:val="24"/>
                <w:highlight w:val="none"/>
              </w:rPr>
            </w:pPr>
            <w:r>
              <w:rPr>
                <w:rFonts w:hint="eastAsia" w:ascii="宋体" w:hAnsi="宋体" w:cs="Calibri"/>
                <w:b/>
                <w:bCs/>
                <w:color w:val="auto"/>
                <w:kern w:val="0"/>
                <w:sz w:val="24"/>
                <w:highlight w:val="none"/>
              </w:rPr>
              <w:t>渑池县公共资源交易中心六楼开标</w:t>
            </w:r>
            <w:r>
              <w:rPr>
                <w:rFonts w:hint="eastAsia" w:ascii="宋体" w:hAnsi="宋体" w:cs="Calibri"/>
                <w:b/>
                <w:bCs/>
                <w:color w:val="auto"/>
                <w:kern w:val="0"/>
                <w:sz w:val="24"/>
                <w:highlight w:val="none"/>
                <w:lang w:val="en-US" w:eastAsia="zh-CN"/>
              </w:rPr>
              <w:t>一</w:t>
            </w:r>
            <w:r>
              <w:rPr>
                <w:rFonts w:hint="eastAsia" w:ascii="宋体" w:hAnsi="宋体" w:cs="Calibri"/>
                <w:b/>
                <w:bCs/>
                <w:color w:val="auto"/>
                <w:kern w:val="0"/>
                <w:sz w:val="24"/>
                <w:highlight w:val="none"/>
              </w:rPr>
              <w:t>室</w:t>
            </w:r>
          </w:p>
        </w:tc>
      </w:tr>
      <w:tr w14:paraId="1CA99900">
        <w:tblPrEx>
          <w:tblCellMar>
            <w:top w:w="0" w:type="dxa"/>
            <w:left w:w="108" w:type="dxa"/>
            <w:bottom w:w="0" w:type="dxa"/>
            <w:right w:w="108" w:type="dxa"/>
          </w:tblCellMar>
        </w:tblPrEx>
        <w:trPr>
          <w:trHeight w:val="518"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0DB378D">
            <w:pPr>
              <w:widowControl/>
              <w:spacing w:line="360" w:lineRule="auto"/>
              <w:jc w:val="center"/>
              <w:rPr>
                <w:rFonts w:hint="eastAsia" w:ascii="宋体" w:hAnsi="宋体" w:cs="Calibri" w:eastAsiaTheme="minorEastAsia"/>
                <w:color w:val="auto"/>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7</w:t>
            </w:r>
          </w:p>
        </w:tc>
        <w:tc>
          <w:tcPr>
            <w:tcW w:w="2073" w:type="dxa"/>
            <w:tcBorders>
              <w:top w:val="single" w:color="auto" w:sz="4" w:space="0"/>
              <w:left w:val="nil"/>
              <w:bottom w:val="single" w:color="auto" w:sz="4" w:space="0"/>
              <w:right w:val="single" w:color="auto" w:sz="4" w:space="0"/>
            </w:tcBorders>
            <w:vAlign w:val="center"/>
          </w:tcPr>
          <w:p w14:paraId="03F1A1DF">
            <w:pPr>
              <w:widowControl/>
              <w:spacing w:line="360" w:lineRule="auto"/>
              <w:jc w:val="center"/>
              <w:rPr>
                <w:rFonts w:ascii="宋体" w:hAnsi="宋体" w:cs="Calibri"/>
                <w:b/>
                <w:bCs/>
                <w:color w:val="auto"/>
                <w:sz w:val="24"/>
                <w:highlight w:val="none"/>
              </w:rPr>
            </w:pPr>
            <w:r>
              <w:rPr>
                <w:rFonts w:hint="eastAsia" w:ascii="宋体" w:hAnsi="宋体" w:cs="Calibri"/>
                <w:color w:val="auto"/>
                <w:sz w:val="24"/>
                <w:highlight w:val="none"/>
              </w:rPr>
              <w:t>招标控制价</w:t>
            </w:r>
          </w:p>
        </w:tc>
        <w:tc>
          <w:tcPr>
            <w:tcW w:w="6353" w:type="dxa"/>
            <w:tcBorders>
              <w:top w:val="single" w:color="auto" w:sz="4" w:space="0"/>
              <w:left w:val="nil"/>
              <w:bottom w:val="single" w:color="auto" w:sz="4" w:space="0"/>
              <w:right w:val="single" w:color="auto" w:sz="4" w:space="0"/>
            </w:tcBorders>
            <w:vAlign w:val="center"/>
          </w:tcPr>
          <w:p w14:paraId="7263D522">
            <w:pPr>
              <w:widowControl/>
              <w:spacing w:line="360" w:lineRule="auto"/>
              <w:jc w:val="left"/>
              <w:rPr>
                <w:rFonts w:ascii="宋体" w:hAnsi="宋体" w:cs="Calibri"/>
                <w:b/>
                <w:bCs/>
                <w:color w:val="auto"/>
                <w:sz w:val="24"/>
                <w:highlight w:val="none"/>
              </w:rPr>
            </w:pPr>
            <w:r>
              <w:rPr>
                <w:rFonts w:hint="eastAsia" w:ascii="宋体" w:hAnsi="宋体" w:cs="Calibri"/>
                <w:b/>
                <w:bCs/>
                <w:color w:val="auto"/>
                <w:sz w:val="24"/>
                <w:highlight w:val="none"/>
                <w:lang w:eastAsia="zh-CN"/>
              </w:rPr>
              <w:t>500000.00</w:t>
            </w:r>
            <w:r>
              <w:rPr>
                <w:rFonts w:hint="eastAsia" w:ascii="宋体" w:hAnsi="宋体" w:cs="Calibri"/>
                <w:b/>
                <w:bCs/>
                <w:color w:val="auto"/>
                <w:sz w:val="24"/>
                <w:highlight w:val="none"/>
              </w:rPr>
              <w:t>元（大写：</w:t>
            </w:r>
            <w:r>
              <w:rPr>
                <w:rFonts w:hint="eastAsia" w:ascii="宋体" w:hAnsi="宋体" w:cs="Calibri"/>
                <w:b/>
                <w:bCs/>
                <w:color w:val="auto"/>
                <w:sz w:val="24"/>
                <w:highlight w:val="none"/>
                <w:lang w:val="en-US" w:eastAsia="zh-CN"/>
              </w:rPr>
              <w:t>伍拾万元整</w:t>
            </w:r>
            <w:r>
              <w:rPr>
                <w:rFonts w:hint="eastAsia" w:ascii="宋体" w:hAnsi="宋体" w:cs="Calibri"/>
                <w:b/>
                <w:bCs/>
                <w:color w:val="auto"/>
                <w:sz w:val="24"/>
                <w:highlight w:val="none"/>
              </w:rPr>
              <w:t>）</w:t>
            </w:r>
          </w:p>
          <w:p w14:paraId="258E6F6B">
            <w:pPr>
              <w:widowControl/>
              <w:spacing w:line="360" w:lineRule="auto"/>
              <w:jc w:val="left"/>
              <w:rPr>
                <w:rFonts w:ascii="宋体" w:hAnsi="宋体" w:cs="Calibri"/>
                <w:b/>
                <w:bCs/>
                <w:color w:val="auto"/>
                <w:sz w:val="24"/>
                <w:highlight w:val="none"/>
              </w:rPr>
            </w:pPr>
            <w:r>
              <w:rPr>
                <w:rFonts w:hint="eastAsia" w:ascii="宋体" w:hAnsi="宋体" w:cs="Calibri"/>
                <w:b/>
                <w:bCs/>
                <w:color w:val="auto"/>
                <w:sz w:val="24"/>
                <w:highlight w:val="none"/>
              </w:rPr>
              <w:t>供应商的投标报价不得超过最高投标限价，否则视为无效报价。</w:t>
            </w:r>
          </w:p>
        </w:tc>
      </w:tr>
      <w:tr w14:paraId="269D73D4">
        <w:tblPrEx>
          <w:tblCellMar>
            <w:top w:w="0" w:type="dxa"/>
            <w:left w:w="108" w:type="dxa"/>
            <w:bottom w:w="0" w:type="dxa"/>
            <w:right w:w="108" w:type="dxa"/>
          </w:tblCellMar>
        </w:tblPrEx>
        <w:trPr>
          <w:trHeight w:val="518"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1F74563">
            <w:pPr>
              <w:widowControl/>
              <w:spacing w:line="360" w:lineRule="auto"/>
              <w:jc w:val="center"/>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2</w:t>
            </w:r>
            <w:r>
              <w:rPr>
                <w:rFonts w:hint="eastAsia" w:ascii="宋体" w:hAnsi="宋体" w:cs="Calibri"/>
                <w:color w:val="auto"/>
                <w:kern w:val="0"/>
                <w:sz w:val="24"/>
                <w:highlight w:val="none"/>
                <w:lang w:val="en-US" w:eastAsia="zh-CN"/>
              </w:rPr>
              <w:t>8</w:t>
            </w:r>
          </w:p>
        </w:tc>
        <w:tc>
          <w:tcPr>
            <w:tcW w:w="2073" w:type="dxa"/>
            <w:tcBorders>
              <w:top w:val="single" w:color="auto" w:sz="4" w:space="0"/>
              <w:left w:val="nil"/>
              <w:bottom w:val="single" w:color="auto" w:sz="4" w:space="0"/>
              <w:right w:val="single" w:color="auto" w:sz="4" w:space="0"/>
            </w:tcBorders>
            <w:vAlign w:val="center"/>
          </w:tcPr>
          <w:p w14:paraId="0D906624">
            <w:pPr>
              <w:spacing w:line="360" w:lineRule="auto"/>
              <w:jc w:val="center"/>
              <w:rPr>
                <w:rFonts w:ascii="宋体" w:hAnsi="宋体" w:cs="Calibri"/>
                <w:color w:val="auto"/>
                <w:sz w:val="24"/>
                <w:highlight w:val="none"/>
              </w:rPr>
            </w:pPr>
            <w:r>
              <w:rPr>
                <w:rFonts w:hint="eastAsia" w:ascii="宋体" w:hAnsi="宋体" w:cs="宋体"/>
                <w:color w:val="auto"/>
                <w:kern w:val="10"/>
                <w:sz w:val="24"/>
                <w:highlight w:val="none"/>
              </w:rPr>
              <w:t>报价方式</w:t>
            </w:r>
          </w:p>
        </w:tc>
        <w:tc>
          <w:tcPr>
            <w:tcW w:w="6353" w:type="dxa"/>
            <w:tcBorders>
              <w:top w:val="single" w:color="auto" w:sz="4" w:space="0"/>
              <w:left w:val="nil"/>
              <w:bottom w:val="single" w:color="auto" w:sz="4" w:space="0"/>
              <w:right w:val="single" w:color="auto" w:sz="4" w:space="0"/>
            </w:tcBorders>
            <w:vAlign w:val="center"/>
          </w:tcPr>
          <w:p w14:paraId="594D5D69">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1、本次磋商应以人民币报价。</w:t>
            </w:r>
          </w:p>
          <w:p w14:paraId="72EC2D24">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2、本次磋商中，磋商响应文件中的报价为第一次报价，</w:t>
            </w:r>
            <w:r>
              <w:rPr>
                <w:rFonts w:hint="eastAsia"/>
                <w:color w:val="auto"/>
                <w:sz w:val="24"/>
                <w:highlight w:val="none"/>
              </w:rPr>
              <w:t>不得高于项目预算金额且不公开；</w:t>
            </w:r>
          </w:p>
          <w:p w14:paraId="7BFBDAB5">
            <w:pPr>
              <w:spacing w:line="360" w:lineRule="auto"/>
              <w:rPr>
                <w:rFonts w:ascii="宋体" w:hAnsi="宋体" w:cs="Calibri"/>
                <w:b/>
                <w:bCs/>
                <w:color w:val="auto"/>
                <w:sz w:val="24"/>
                <w:highlight w:val="none"/>
              </w:rPr>
            </w:pPr>
            <w:r>
              <w:rPr>
                <w:rFonts w:hint="eastAsia" w:ascii="宋体" w:hAnsi="宋体" w:cs="宋体"/>
                <w:color w:val="auto"/>
                <w:kern w:val="0"/>
                <w:sz w:val="24"/>
                <w:highlight w:val="none"/>
              </w:rPr>
              <w:t>3、磋商投标人可以在磋商小组规定的时间内进行第二次报价，通过交易中心系统以电子形式递交，第二次报价为最终报价；成交价以最终报价为准。最终报价是投标人响应文件的有效组成部分。</w:t>
            </w:r>
          </w:p>
        </w:tc>
      </w:tr>
      <w:tr w14:paraId="0AD0FD74">
        <w:tblPrEx>
          <w:tblCellMar>
            <w:top w:w="0" w:type="dxa"/>
            <w:left w:w="108" w:type="dxa"/>
            <w:bottom w:w="0" w:type="dxa"/>
            <w:right w:w="108" w:type="dxa"/>
          </w:tblCellMar>
        </w:tblPrEx>
        <w:trPr>
          <w:trHeight w:val="2022"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F554C21">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29</w:t>
            </w:r>
          </w:p>
        </w:tc>
        <w:tc>
          <w:tcPr>
            <w:tcW w:w="2073" w:type="dxa"/>
            <w:tcBorders>
              <w:top w:val="single" w:color="auto" w:sz="4" w:space="0"/>
              <w:left w:val="nil"/>
              <w:bottom w:val="single" w:color="auto" w:sz="4" w:space="0"/>
              <w:right w:val="single" w:color="auto" w:sz="4" w:space="0"/>
            </w:tcBorders>
            <w:vAlign w:val="center"/>
          </w:tcPr>
          <w:p w14:paraId="1B148539">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磋商小组的</w:t>
            </w:r>
          </w:p>
          <w:p w14:paraId="3E77F458">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组建</w:t>
            </w:r>
          </w:p>
        </w:tc>
        <w:tc>
          <w:tcPr>
            <w:tcW w:w="6353" w:type="dxa"/>
            <w:tcBorders>
              <w:top w:val="single" w:color="auto" w:sz="4" w:space="0"/>
              <w:left w:val="nil"/>
              <w:bottom w:val="single" w:color="auto" w:sz="4" w:space="0"/>
              <w:right w:val="single" w:color="auto" w:sz="4" w:space="0"/>
            </w:tcBorders>
            <w:vAlign w:val="center"/>
          </w:tcPr>
          <w:p w14:paraId="42A4586E">
            <w:pPr>
              <w:widowControl/>
              <w:spacing w:line="360" w:lineRule="auto"/>
              <w:jc w:val="left"/>
              <w:rPr>
                <w:rFonts w:ascii="宋体" w:hAnsi="宋体" w:cs="Calibri"/>
                <w:color w:val="auto"/>
                <w:sz w:val="24"/>
                <w:highlight w:val="none"/>
              </w:rPr>
            </w:pPr>
            <w:r>
              <w:rPr>
                <w:rFonts w:hint="eastAsia" w:ascii="宋体" w:hAnsi="宋体" w:cs="Calibri"/>
                <w:color w:val="auto"/>
                <w:sz w:val="24"/>
                <w:highlight w:val="none"/>
              </w:rPr>
              <w:t>磋商小组构成：3人；</w:t>
            </w:r>
          </w:p>
          <w:p w14:paraId="01DD8FA2">
            <w:pPr>
              <w:widowControl/>
              <w:spacing w:line="360" w:lineRule="auto"/>
              <w:jc w:val="left"/>
              <w:rPr>
                <w:rFonts w:ascii="宋体" w:hAnsi="宋体" w:cs="Calibri"/>
                <w:color w:val="auto"/>
                <w:sz w:val="24"/>
                <w:highlight w:val="none"/>
              </w:rPr>
            </w:pPr>
            <w:r>
              <w:rPr>
                <w:rFonts w:hint="eastAsia" w:ascii="宋体" w:hAnsi="宋体" w:cs="Calibri"/>
                <w:color w:val="auto"/>
                <w:sz w:val="24"/>
                <w:highlight w:val="none"/>
              </w:rPr>
              <w:t>其中招标人代表1人，经济、技术类专家2人；</w:t>
            </w:r>
          </w:p>
          <w:p w14:paraId="38949AA7">
            <w:pPr>
              <w:widowControl/>
              <w:spacing w:line="360" w:lineRule="auto"/>
              <w:jc w:val="left"/>
              <w:rPr>
                <w:rFonts w:ascii="宋体" w:hAnsi="宋体" w:cs="Calibri"/>
                <w:color w:val="auto"/>
                <w:sz w:val="24"/>
                <w:highlight w:val="none"/>
              </w:rPr>
            </w:pPr>
            <w:r>
              <w:rPr>
                <w:rFonts w:hint="eastAsia" w:ascii="宋体" w:hAnsi="宋体" w:cs="Calibri"/>
                <w:color w:val="auto"/>
                <w:sz w:val="24"/>
                <w:highlight w:val="none"/>
              </w:rPr>
              <w:t>评标专家确定方式：经济、技术专家开标前从相关专家库抽取终端随机抽取确定。</w:t>
            </w:r>
          </w:p>
        </w:tc>
      </w:tr>
      <w:tr w14:paraId="12D9C2EF">
        <w:tblPrEx>
          <w:tblCellMar>
            <w:top w:w="0" w:type="dxa"/>
            <w:left w:w="108" w:type="dxa"/>
            <w:bottom w:w="0" w:type="dxa"/>
            <w:right w:w="108" w:type="dxa"/>
          </w:tblCellMar>
        </w:tblPrEx>
        <w:trPr>
          <w:trHeight w:val="9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D268BDE">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30</w:t>
            </w:r>
          </w:p>
        </w:tc>
        <w:tc>
          <w:tcPr>
            <w:tcW w:w="2073" w:type="dxa"/>
            <w:tcBorders>
              <w:top w:val="single" w:color="auto" w:sz="4" w:space="0"/>
              <w:left w:val="nil"/>
              <w:bottom w:val="single" w:color="auto" w:sz="4" w:space="0"/>
              <w:right w:val="single" w:color="auto" w:sz="4" w:space="0"/>
            </w:tcBorders>
            <w:vAlign w:val="center"/>
          </w:tcPr>
          <w:p w14:paraId="2698838F">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授权评委小组推荐中标候选人</w:t>
            </w:r>
          </w:p>
        </w:tc>
        <w:tc>
          <w:tcPr>
            <w:tcW w:w="6353" w:type="dxa"/>
            <w:tcBorders>
              <w:top w:val="single" w:color="auto" w:sz="4" w:space="0"/>
              <w:left w:val="nil"/>
              <w:bottom w:val="single" w:color="auto" w:sz="4" w:space="0"/>
              <w:right w:val="single" w:color="auto" w:sz="4" w:space="0"/>
            </w:tcBorders>
            <w:vAlign w:val="center"/>
          </w:tcPr>
          <w:p w14:paraId="1E4D47F6">
            <w:pPr>
              <w:widowControl/>
              <w:spacing w:line="360" w:lineRule="auto"/>
              <w:jc w:val="left"/>
              <w:rPr>
                <w:rFonts w:hint="eastAsia" w:ascii="宋体" w:hAnsi="宋体" w:cs="Calibri" w:eastAsiaTheme="minorEastAsia"/>
                <w:color w:val="auto"/>
                <w:kern w:val="0"/>
                <w:sz w:val="24"/>
                <w:highlight w:val="none"/>
                <w:lang w:eastAsia="zh-CN"/>
              </w:rPr>
            </w:pPr>
            <w:r>
              <w:rPr>
                <w:rFonts w:hint="eastAsia" w:ascii="宋体" w:hAnsi="宋体" w:cs="Calibri"/>
                <w:color w:val="auto"/>
                <w:kern w:val="0"/>
                <w:sz w:val="24"/>
                <w:highlight w:val="none"/>
              </w:rPr>
              <w:t>是，推荐的中标候选人数：1-3</w:t>
            </w:r>
            <w:r>
              <w:rPr>
                <w:rFonts w:hint="eastAsia" w:ascii="宋体" w:hAnsi="宋体" w:cs="Calibri"/>
                <w:color w:val="auto"/>
                <w:kern w:val="0"/>
                <w:sz w:val="24"/>
                <w:highlight w:val="none"/>
                <w:lang w:val="en-US" w:eastAsia="zh-CN"/>
              </w:rPr>
              <w:t>名</w:t>
            </w:r>
          </w:p>
        </w:tc>
      </w:tr>
      <w:tr w14:paraId="0D8C65AC">
        <w:tblPrEx>
          <w:tblCellMar>
            <w:top w:w="0" w:type="dxa"/>
            <w:left w:w="108" w:type="dxa"/>
            <w:bottom w:w="0" w:type="dxa"/>
            <w:right w:w="108" w:type="dxa"/>
          </w:tblCellMar>
        </w:tblPrEx>
        <w:trPr>
          <w:trHeight w:val="9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A029649">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31</w:t>
            </w:r>
          </w:p>
        </w:tc>
        <w:tc>
          <w:tcPr>
            <w:tcW w:w="2073" w:type="dxa"/>
            <w:tcBorders>
              <w:top w:val="single" w:color="auto" w:sz="4" w:space="0"/>
              <w:left w:val="nil"/>
              <w:bottom w:val="single" w:color="auto" w:sz="4" w:space="0"/>
              <w:right w:val="single" w:color="auto" w:sz="4" w:space="0"/>
            </w:tcBorders>
            <w:vAlign w:val="center"/>
          </w:tcPr>
          <w:p w14:paraId="6366573D">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结果公示</w:t>
            </w:r>
          </w:p>
        </w:tc>
        <w:tc>
          <w:tcPr>
            <w:tcW w:w="6353" w:type="dxa"/>
            <w:tcBorders>
              <w:top w:val="single" w:color="auto" w:sz="4" w:space="0"/>
              <w:left w:val="nil"/>
              <w:bottom w:val="single" w:color="auto" w:sz="4" w:space="0"/>
              <w:right w:val="single" w:color="auto" w:sz="4" w:space="0"/>
            </w:tcBorders>
            <w:vAlign w:val="center"/>
          </w:tcPr>
          <w:p w14:paraId="351435B1">
            <w:pPr>
              <w:widowControl/>
              <w:spacing w:line="360" w:lineRule="auto"/>
              <w:jc w:val="left"/>
              <w:rPr>
                <w:rFonts w:ascii="宋体" w:hAnsi="宋体" w:cs="Calibri"/>
                <w:color w:val="auto"/>
                <w:kern w:val="0"/>
                <w:sz w:val="24"/>
                <w:highlight w:val="none"/>
              </w:rPr>
            </w:pPr>
            <w:r>
              <w:rPr>
                <w:rFonts w:hint="eastAsia" w:ascii="宋体" w:hAnsi="宋体" w:cs="Calibri"/>
                <w:color w:val="auto"/>
                <w:kern w:val="0"/>
                <w:sz w:val="24"/>
                <w:highlight w:val="none"/>
              </w:rPr>
              <w:t>在《中国招标投标公共服务平台》、《河南省政府采购网》和《三门峡市公共资源交易中心网》三个网站同步中标结果公告。</w:t>
            </w:r>
          </w:p>
          <w:p w14:paraId="2F48831C">
            <w:pPr>
              <w:widowControl/>
              <w:spacing w:line="360" w:lineRule="auto"/>
              <w:jc w:val="left"/>
              <w:rPr>
                <w:rFonts w:ascii="宋体" w:hAnsi="宋体" w:cs="Calibri"/>
                <w:color w:val="auto"/>
                <w:kern w:val="0"/>
                <w:sz w:val="24"/>
                <w:highlight w:val="none"/>
              </w:rPr>
            </w:pPr>
            <w:r>
              <w:rPr>
                <w:rFonts w:hint="eastAsia" w:ascii="宋体" w:hAnsi="宋体" w:cs="Calibri"/>
                <w:color w:val="auto"/>
                <w:kern w:val="0"/>
                <w:sz w:val="24"/>
                <w:highlight w:val="none"/>
              </w:rPr>
              <w:t>招标人以书面形式向中标人发出中标通知书，同时向未中标企业以书面或电子形式告知未中标原因。</w:t>
            </w:r>
          </w:p>
        </w:tc>
      </w:tr>
      <w:tr w14:paraId="6E900DCE">
        <w:tblPrEx>
          <w:tblCellMar>
            <w:top w:w="0" w:type="dxa"/>
            <w:left w:w="108" w:type="dxa"/>
            <w:bottom w:w="0" w:type="dxa"/>
            <w:right w:w="108" w:type="dxa"/>
          </w:tblCellMar>
        </w:tblPrEx>
        <w:trPr>
          <w:trHeight w:val="514"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081E7DE7">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32</w:t>
            </w:r>
          </w:p>
        </w:tc>
        <w:tc>
          <w:tcPr>
            <w:tcW w:w="2073" w:type="dxa"/>
            <w:tcBorders>
              <w:top w:val="single" w:color="auto" w:sz="4" w:space="0"/>
              <w:left w:val="nil"/>
              <w:bottom w:val="single" w:color="auto" w:sz="4" w:space="0"/>
              <w:right w:val="single" w:color="auto" w:sz="4" w:space="0"/>
            </w:tcBorders>
            <w:vAlign w:val="center"/>
          </w:tcPr>
          <w:p w14:paraId="37895145">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签订合同时间</w:t>
            </w:r>
          </w:p>
        </w:tc>
        <w:tc>
          <w:tcPr>
            <w:tcW w:w="6353" w:type="dxa"/>
            <w:tcBorders>
              <w:top w:val="single" w:color="auto" w:sz="4" w:space="0"/>
              <w:left w:val="nil"/>
              <w:bottom w:val="single" w:color="auto" w:sz="4" w:space="0"/>
              <w:right w:val="single" w:color="auto" w:sz="4" w:space="0"/>
            </w:tcBorders>
            <w:vAlign w:val="center"/>
          </w:tcPr>
          <w:p w14:paraId="526F4181">
            <w:pPr>
              <w:widowControl/>
              <w:spacing w:line="360" w:lineRule="auto"/>
              <w:jc w:val="left"/>
              <w:rPr>
                <w:rFonts w:ascii="宋体" w:hAnsi="宋体" w:cs="Calibri"/>
                <w:color w:val="auto"/>
                <w:kern w:val="0"/>
                <w:sz w:val="24"/>
                <w:highlight w:val="none"/>
              </w:rPr>
            </w:pPr>
            <w:r>
              <w:rPr>
                <w:rFonts w:hint="eastAsia" w:ascii="宋体" w:hAnsi="宋体" w:cs="Calibri"/>
                <w:color w:val="auto"/>
                <w:kern w:val="0"/>
                <w:sz w:val="24"/>
                <w:highlight w:val="none"/>
              </w:rPr>
              <w:t>中标通知书发出后30日内</w:t>
            </w:r>
          </w:p>
        </w:tc>
      </w:tr>
      <w:tr w14:paraId="5F5ED040">
        <w:tblPrEx>
          <w:tblCellMar>
            <w:top w:w="0" w:type="dxa"/>
            <w:left w:w="108" w:type="dxa"/>
            <w:bottom w:w="0" w:type="dxa"/>
            <w:right w:w="108" w:type="dxa"/>
          </w:tblCellMar>
        </w:tblPrEx>
        <w:trPr>
          <w:trHeight w:val="514"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3789ED87">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33</w:t>
            </w:r>
          </w:p>
        </w:tc>
        <w:tc>
          <w:tcPr>
            <w:tcW w:w="2073" w:type="dxa"/>
            <w:tcBorders>
              <w:top w:val="single" w:color="auto" w:sz="4" w:space="0"/>
              <w:left w:val="nil"/>
              <w:bottom w:val="single" w:color="auto" w:sz="4" w:space="0"/>
              <w:right w:val="single" w:color="auto" w:sz="4" w:space="0"/>
            </w:tcBorders>
            <w:vAlign w:val="center"/>
          </w:tcPr>
          <w:p w14:paraId="0B6F9387">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合同形式</w:t>
            </w:r>
          </w:p>
        </w:tc>
        <w:tc>
          <w:tcPr>
            <w:tcW w:w="6353" w:type="dxa"/>
            <w:tcBorders>
              <w:top w:val="single" w:color="auto" w:sz="4" w:space="0"/>
              <w:left w:val="nil"/>
              <w:bottom w:val="single" w:color="auto" w:sz="4" w:space="0"/>
              <w:right w:val="single" w:color="auto" w:sz="4" w:space="0"/>
            </w:tcBorders>
            <w:vAlign w:val="center"/>
          </w:tcPr>
          <w:p w14:paraId="50140A1B">
            <w:pPr>
              <w:widowControl/>
              <w:spacing w:line="360" w:lineRule="auto"/>
              <w:jc w:val="left"/>
              <w:rPr>
                <w:rFonts w:ascii="宋体" w:hAnsi="宋体" w:cs="Calibri"/>
                <w:color w:val="auto"/>
                <w:kern w:val="0"/>
                <w:sz w:val="24"/>
                <w:highlight w:val="none"/>
              </w:rPr>
            </w:pPr>
            <w:r>
              <w:rPr>
                <w:rFonts w:ascii="宋体" w:hAnsi="宋体" w:eastAsia="宋体" w:cs="宋体"/>
                <w:color w:val="auto"/>
                <w:sz w:val="24"/>
                <w:szCs w:val="24"/>
                <w:highlight w:val="none"/>
              </w:rPr>
              <w:t>固定总价合同</w:t>
            </w:r>
          </w:p>
        </w:tc>
      </w:tr>
      <w:tr w14:paraId="502611C6">
        <w:tblPrEx>
          <w:tblCellMar>
            <w:top w:w="0" w:type="dxa"/>
            <w:left w:w="108" w:type="dxa"/>
            <w:bottom w:w="0" w:type="dxa"/>
            <w:right w:w="108" w:type="dxa"/>
          </w:tblCellMar>
        </w:tblPrEx>
        <w:trPr>
          <w:trHeight w:val="9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0CAA15B9">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34</w:t>
            </w:r>
          </w:p>
        </w:tc>
        <w:tc>
          <w:tcPr>
            <w:tcW w:w="2073" w:type="dxa"/>
            <w:tcBorders>
              <w:top w:val="single" w:color="auto" w:sz="4" w:space="0"/>
              <w:left w:val="nil"/>
              <w:bottom w:val="single" w:color="auto" w:sz="4" w:space="0"/>
              <w:right w:val="single" w:color="auto" w:sz="4" w:space="0"/>
            </w:tcBorders>
            <w:vAlign w:val="center"/>
          </w:tcPr>
          <w:p w14:paraId="3B889120">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磋商有效期</w:t>
            </w:r>
          </w:p>
        </w:tc>
        <w:tc>
          <w:tcPr>
            <w:tcW w:w="6353" w:type="dxa"/>
            <w:tcBorders>
              <w:top w:val="single" w:color="auto" w:sz="4" w:space="0"/>
              <w:left w:val="nil"/>
              <w:bottom w:val="single" w:color="auto" w:sz="4" w:space="0"/>
              <w:right w:val="single" w:color="auto" w:sz="4" w:space="0"/>
            </w:tcBorders>
            <w:vAlign w:val="center"/>
          </w:tcPr>
          <w:p w14:paraId="017ACC00">
            <w:pPr>
              <w:widowControl/>
              <w:spacing w:line="360" w:lineRule="auto"/>
              <w:jc w:val="left"/>
              <w:rPr>
                <w:rFonts w:ascii="宋体" w:hAnsi="宋体" w:cs="Calibri"/>
                <w:color w:val="auto"/>
                <w:kern w:val="0"/>
                <w:sz w:val="24"/>
                <w:highlight w:val="none"/>
              </w:rPr>
            </w:pPr>
            <w:r>
              <w:rPr>
                <w:rFonts w:hint="eastAsia" w:ascii="宋体" w:hAnsi="宋体" w:cs="Calibri"/>
                <w:color w:val="auto"/>
                <w:kern w:val="0"/>
                <w:sz w:val="24"/>
                <w:highlight w:val="none"/>
              </w:rPr>
              <w:t>投标截止之日起60日历天</w:t>
            </w:r>
          </w:p>
        </w:tc>
      </w:tr>
      <w:tr w14:paraId="4B78A019">
        <w:tblPrEx>
          <w:tblCellMar>
            <w:top w:w="0" w:type="dxa"/>
            <w:left w:w="108" w:type="dxa"/>
            <w:bottom w:w="0" w:type="dxa"/>
            <w:right w:w="108" w:type="dxa"/>
          </w:tblCellMar>
        </w:tblPrEx>
        <w:trPr>
          <w:trHeight w:val="9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BB932C7">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35</w:t>
            </w:r>
          </w:p>
        </w:tc>
        <w:tc>
          <w:tcPr>
            <w:tcW w:w="2073" w:type="dxa"/>
            <w:tcBorders>
              <w:top w:val="single" w:color="auto" w:sz="4" w:space="0"/>
              <w:left w:val="nil"/>
              <w:bottom w:val="single" w:color="auto" w:sz="4" w:space="0"/>
              <w:right w:val="single" w:color="auto" w:sz="4" w:space="0"/>
            </w:tcBorders>
            <w:vAlign w:val="center"/>
          </w:tcPr>
          <w:p w14:paraId="0ACB2AF5">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履约保证金</w:t>
            </w:r>
          </w:p>
        </w:tc>
        <w:tc>
          <w:tcPr>
            <w:tcW w:w="6353" w:type="dxa"/>
            <w:tcBorders>
              <w:top w:val="single" w:color="auto" w:sz="4" w:space="0"/>
              <w:left w:val="nil"/>
              <w:bottom w:val="single" w:color="auto" w:sz="4" w:space="0"/>
              <w:right w:val="single" w:color="auto" w:sz="4" w:space="0"/>
            </w:tcBorders>
            <w:vAlign w:val="center"/>
          </w:tcPr>
          <w:p w14:paraId="2D966F74">
            <w:pPr>
              <w:widowControl/>
              <w:spacing w:line="360" w:lineRule="auto"/>
              <w:jc w:val="left"/>
              <w:rPr>
                <w:rFonts w:ascii="宋体" w:hAnsi="宋体" w:cs="Calibri"/>
                <w:color w:val="auto"/>
                <w:kern w:val="0"/>
                <w:sz w:val="24"/>
                <w:highlight w:val="none"/>
              </w:rPr>
            </w:pPr>
            <w:r>
              <w:rPr>
                <w:rFonts w:hint="eastAsia" w:ascii="宋体" w:hAnsi="宋体" w:cs="Calibri"/>
                <w:color w:val="auto"/>
                <w:kern w:val="0"/>
                <w:sz w:val="24"/>
                <w:highlight w:val="none"/>
              </w:rPr>
              <w:t>本项目不收取履约保证金</w:t>
            </w:r>
          </w:p>
        </w:tc>
      </w:tr>
      <w:tr w14:paraId="5E899891">
        <w:tblPrEx>
          <w:tblCellMar>
            <w:top w:w="0" w:type="dxa"/>
            <w:left w:w="108" w:type="dxa"/>
            <w:bottom w:w="0" w:type="dxa"/>
            <w:right w:w="108" w:type="dxa"/>
          </w:tblCellMar>
        </w:tblPrEx>
        <w:trPr>
          <w:trHeight w:val="90"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7633B11">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36</w:t>
            </w:r>
          </w:p>
        </w:tc>
        <w:tc>
          <w:tcPr>
            <w:tcW w:w="2073" w:type="dxa"/>
            <w:tcBorders>
              <w:top w:val="single" w:color="auto" w:sz="4" w:space="0"/>
              <w:left w:val="nil"/>
              <w:bottom w:val="single" w:color="auto" w:sz="4" w:space="0"/>
              <w:right w:val="single" w:color="auto" w:sz="4" w:space="0"/>
            </w:tcBorders>
            <w:vAlign w:val="center"/>
          </w:tcPr>
          <w:p w14:paraId="08D132B0">
            <w:pPr>
              <w:spacing w:line="560" w:lineRule="exact"/>
              <w:jc w:val="center"/>
              <w:rPr>
                <w:rFonts w:asciiTheme="minorEastAsia" w:hAnsiTheme="minorEastAsia" w:cstheme="minorEastAsia"/>
                <w:color w:val="auto"/>
                <w:sz w:val="24"/>
                <w:szCs w:val="28"/>
                <w:highlight w:val="none"/>
              </w:rPr>
            </w:pPr>
            <w:r>
              <w:rPr>
                <w:rFonts w:hint="eastAsia" w:ascii="宋体" w:hAnsi="宋体" w:cs="Calibri"/>
                <w:color w:val="auto"/>
                <w:sz w:val="24"/>
                <w:highlight w:val="none"/>
              </w:rPr>
              <w:t>报价及费用</w:t>
            </w:r>
          </w:p>
        </w:tc>
        <w:tc>
          <w:tcPr>
            <w:tcW w:w="6353" w:type="dxa"/>
            <w:tcBorders>
              <w:top w:val="single" w:color="auto" w:sz="4" w:space="0"/>
              <w:left w:val="nil"/>
              <w:bottom w:val="single" w:color="auto" w:sz="4" w:space="0"/>
              <w:right w:val="single" w:color="auto" w:sz="4" w:space="0"/>
            </w:tcBorders>
            <w:vAlign w:val="center"/>
          </w:tcPr>
          <w:p w14:paraId="4EC2FE96">
            <w:pPr>
              <w:spacing w:line="420" w:lineRule="exact"/>
              <w:rPr>
                <w:rFonts w:ascii="宋体" w:hAnsi="宋体" w:cs="Calibri"/>
                <w:color w:val="auto"/>
                <w:sz w:val="24"/>
                <w:highlight w:val="none"/>
              </w:rPr>
            </w:pPr>
            <w:r>
              <w:rPr>
                <w:rFonts w:hint="eastAsia" w:ascii="宋体" w:hAnsi="宋体" w:cs="Calibri"/>
                <w:color w:val="auto"/>
                <w:sz w:val="24"/>
                <w:highlight w:val="none"/>
              </w:rPr>
              <w:t>1．本项目应以人民币报价，供应商应就该项目完整投标（报价、服务、税费、售后服务等综合费用），采购人不另外支付其他任何费用；</w:t>
            </w:r>
          </w:p>
          <w:p w14:paraId="2B61A0B4">
            <w:pPr>
              <w:spacing w:line="420" w:lineRule="exact"/>
              <w:rPr>
                <w:rFonts w:ascii="宋体" w:hAnsi="宋体" w:cs="Calibri"/>
                <w:color w:val="auto"/>
                <w:sz w:val="24"/>
                <w:highlight w:val="none"/>
              </w:rPr>
            </w:pPr>
            <w:r>
              <w:rPr>
                <w:rFonts w:hint="eastAsia" w:ascii="宋体" w:hAnsi="宋体" w:cs="Calibri"/>
                <w:color w:val="auto"/>
                <w:sz w:val="24"/>
                <w:highlight w:val="none"/>
              </w:rPr>
              <w:t>2.招标代理服务费</w:t>
            </w:r>
            <w:r>
              <w:rPr>
                <w:rFonts w:hint="eastAsia" w:ascii="宋体" w:hAnsi="宋体" w:cs="Calibri"/>
                <w:color w:val="auto"/>
                <w:sz w:val="24"/>
                <w:highlight w:val="none"/>
                <w:lang w:val="en-US" w:eastAsia="zh-CN"/>
              </w:rPr>
              <w:t>参照《河南省招标代理服务收费指导意见》（豫招协〔2023〕002号）规定的服务类收费标准计算，具体如下：成交金额100万元以下部分按1.7%费率计算。本项目代理服务费（以实际成交金额计算为准），由成交供应商在领取成交通知书时向代理机构支付</w:t>
            </w:r>
            <w:r>
              <w:rPr>
                <w:rFonts w:hint="eastAsia" w:ascii="宋体" w:hAnsi="宋体" w:cs="Calibri"/>
                <w:color w:val="auto"/>
                <w:sz w:val="24"/>
                <w:highlight w:val="none"/>
              </w:rPr>
              <w:t>。</w:t>
            </w:r>
          </w:p>
        </w:tc>
      </w:tr>
      <w:tr w14:paraId="2605FD56">
        <w:tblPrEx>
          <w:tblCellMar>
            <w:top w:w="0" w:type="dxa"/>
            <w:left w:w="108" w:type="dxa"/>
            <w:bottom w:w="0" w:type="dxa"/>
            <w:right w:w="108" w:type="dxa"/>
          </w:tblCellMar>
        </w:tblPrEx>
        <w:trPr>
          <w:trHeight w:val="442"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7FAF5007">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37</w:t>
            </w:r>
          </w:p>
        </w:tc>
        <w:tc>
          <w:tcPr>
            <w:tcW w:w="2073" w:type="dxa"/>
            <w:tcBorders>
              <w:top w:val="single" w:color="auto" w:sz="4" w:space="0"/>
              <w:left w:val="nil"/>
              <w:bottom w:val="single" w:color="auto" w:sz="4" w:space="0"/>
              <w:right w:val="single" w:color="auto" w:sz="4" w:space="0"/>
            </w:tcBorders>
            <w:vAlign w:val="center"/>
          </w:tcPr>
          <w:p w14:paraId="7F588B22">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解释</w:t>
            </w:r>
          </w:p>
        </w:tc>
        <w:tc>
          <w:tcPr>
            <w:tcW w:w="6353" w:type="dxa"/>
            <w:tcBorders>
              <w:top w:val="single" w:color="auto" w:sz="4" w:space="0"/>
              <w:left w:val="nil"/>
              <w:bottom w:val="single" w:color="auto" w:sz="4" w:space="0"/>
              <w:right w:val="single" w:color="auto" w:sz="4" w:space="0"/>
            </w:tcBorders>
            <w:vAlign w:val="center"/>
          </w:tcPr>
          <w:p w14:paraId="0D7EA07B">
            <w:pPr>
              <w:widowControl/>
              <w:spacing w:line="360" w:lineRule="auto"/>
              <w:jc w:val="left"/>
              <w:rPr>
                <w:rFonts w:ascii="宋体" w:hAnsi="宋体" w:cs="Calibri"/>
                <w:color w:val="auto"/>
                <w:kern w:val="0"/>
                <w:sz w:val="24"/>
                <w:highlight w:val="none"/>
              </w:rPr>
            </w:pPr>
            <w:r>
              <w:rPr>
                <w:rFonts w:hint="eastAsia" w:ascii="宋体" w:hAnsi="宋体" w:cs="Calibri"/>
                <w:color w:val="auto"/>
                <w:kern w:val="0"/>
                <w:sz w:val="24"/>
                <w:highlight w:val="none"/>
              </w:rPr>
              <w:t>本竞争性磋商文件的解释权属于采购人。</w:t>
            </w:r>
          </w:p>
        </w:tc>
      </w:tr>
      <w:tr w14:paraId="1A653859">
        <w:tblPrEx>
          <w:tblCellMar>
            <w:top w:w="0" w:type="dxa"/>
            <w:left w:w="108" w:type="dxa"/>
            <w:bottom w:w="0" w:type="dxa"/>
            <w:right w:w="108" w:type="dxa"/>
          </w:tblCellMar>
        </w:tblPrEx>
        <w:trPr>
          <w:trHeight w:val="442"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4EBBD854">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38</w:t>
            </w:r>
          </w:p>
        </w:tc>
        <w:tc>
          <w:tcPr>
            <w:tcW w:w="2073" w:type="dxa"/>
            <w:tcBorders>
              <w:top w:val="single" w:color="auto" w:sz="4" w:space="0"/>
              <w:left w:val="nil"/>
              <w:bottom w:val="single" w:color="auto" w:sz="4" w:space="0"/>
              <w:right w:val="single" w:color="auto" w:sz="4" w:space="0"/>
            </w:tcBorders>
            <w:vAlign w:val="center"/>
          </w:tcPr>
          <w:p w14:paraId="5C1C3EB4">
            <w:pPr>
              <w:spacing w:line="420" w:lineRule="exact"/>
              <w:jc w:val="center"/>
              <w:rPr>
                <w:rFonts w:ascii="宋体" w:hAnsi="宋体" w:cs="Calibri"/>
                <w:color w:val="auto"/>
                <w:sz w:val="24"/>
                <w:highlight w:val="none"/>
              </w:rPr>
            </w:pPr>
            <w:r>
              <w:rPr>
                <w:rFonts w:hint="eastAsia" w:ascii="宋体" w:hAnsi="宋体" w:cs="Calibri"/>
                <w:color w:val="auto"/>
                <w:sz w:val="24"/>
                <w:highlight w:val="none"/>
              </w:rPr>
              <w:t>所属行业</w:t>
            </w:r>
          </w:p>
        </w:tc>
        <w:tc>
          <w:tcPr>
            <w:tcW w:w="6353" w:type="dxa"/>
            <w:tcBorders>
              <w:top w:val="single" w:color="auto" w:sz="4" w:space="0"/>
              <w:left w:val="nil"/>
              <w:bottom w:val="single" w:color="auto" w:sz="4" w:space="0"/>
              <w:right w:val="single" w:color="auto" w:sz="4" w:space="0"/>
            </w:tcBorders>
            <w:vAlign w:val="center"/>
          </w:tcPr>
          <w:p w14:paraId="5CB104A0">
            <w:pPr>
              <w:spacing w:line="420" w:lineRule="exact"/>
              <w:jc w:val="center"/>
              <w:rPr>
                <w:rFonts w:ascii="宋体" w:hAnsi="宋体" w:cs="Calibri"/>
                <w:color w:val="auto"/>
                <w:sz w:val="24"/>
                <w:highlight w:val="none"/>
              </w:rPr>
            </w:pPr>
            <w:r>
              <w:rPr>
                <w:rFonts w:hint="eastAsia" w:ascii="宋体" w:hAnsi="宋体" w:cs="Calibri"/>
                <w:color w:val="auto"/>
                <w:sz w:val="24"/>
                <w:highlight w:val="none"/>
              </w:rPr>
              <w:t>工业</w:t>
            </w:r>
          </w:p>
        </w:tc>
      </w:tr>
      <w:tr w14:paraId="5246B819">
        <w:tblPrEx>
          <w:tblCellMar>
            <w:top w:w="0" w:type="dxa"/>
            <w:left w:w="108" w:type="dxa"/>
            <w:bottom w:w="0" w:type="dxa"/>
            <w:right w:w="108" w:type="dxa"/>
          </w:tblCellMar>
        </w:tblPrEx>
        <w:trPr>
          <w:trHeight w:val="442"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0CE94C3E">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39</w:t>
            </w:r>
          </w:p>
        </w:tc>
        <w:tc>
          <w:tcPr>
            <w:tcW w:w="2073" w:type="dxa"/>
            <w:tcBorders>
              <w:top w:val="single" w:color="auto" w:sz="4" w:space="0"/>
              <w:left w:val="nil"/>
              <w:bottom w:val="single" w:color="auto" w:sz="4" w:space="0"/>
              <w:right w:val="single" w:color="auto" w:sz="4" w:space="0"/>
            </w:tcBorders>
            <w:vAlign w:val="center"/>
          </w:tcPr>
          <w:p w14:paraId="45BD6486">
            <w:pPr>
              <w:widowControl/>
              <w:spacing w:line="360" w:lineRule="auto"/>
              <w:jc w:val="center"/>
              <w:rPr>
                <w:rFonts w:ascii="宋体" w:hAnsi="宋体" w:cs="Calibri"/>
                <w:color w:val="auto"/>
                <w:kern w:val="0"/>
                <w:sz w:val="24"/>
                <w:highlight w:val="none"/>
              </w:rPr>
            </w:pPr>
            <w:r>
              <w:rPr>
                <w:rFonts w:hint="eastAsia" w:ascii="宋体" w:hAnsi="宋体" w:cs="Calibri"/>
                <w:color w:val="auto"/>
                <w:kern w:val="0"/>
                <w:sz w:val="24"/>
                <w:highlight w:val="none"/>
              </w:rPr>
              <w:t>相关政策法规</w:t>
            </w:r>
          </w:p>
        </w:tc>
        <w:tc>
          <w:tcPr>
            <w:tcW w:w="6353" w:type="dxa"/>
            <w:tcBorders>
              <w:top w:val="single" w:color="auto" w:sz="4" w:space="0"/>
              <w:left w:val="nil"/>
              <w:bottom w:val="single" w:color="auto" w:sz="4" w:space="0"/>
              <w:right w:val="single" w:color="auto" w:sz="4" w:space="0"/>
            </w:tcBorders>
            <w:vAlign w:val="center"/>
          </w:tcPr>
          <w:p w14:paraId="4B64E3C7">
            <w:pPr>
              <w:spacing w:line="360" w:lineRule="auto"/>
              <w:ind w:firstLine="480" w:firstLineChars="200"/>
              <w:rPr>
                <w:rFonts w:hint="eastAsia" w:ascii="宋体" w:hAnsi="宋体" w:eastAsia="宋体" w:cs="Times New Roman"/>
                <w:color w:val="000000" w:themeColor="text1"/>
                <w:kern w:val="0"/>
                <w:sz w:val="24"/>
                <w:szCs w:val="24"/>
                <w:highlight w:val="none"/>
                <w:lang w:eastAsia="zh-CN"/>
                <w14:textFill>
                  <w14:solidFill>
                    <w14:schemeClr w14:val="tx1"/>
                  </w14:solidFill>
                </w14:textFill>
              </w:rPr>
            </w:pPr>
            <w:r>
              <w:rPr>
                <w:rFonts w:hint="eastAsia" w:ascii="宋体" w:hAnsi="宋体" w:cs="Calibri"/>
                <w:color w:val="auto"/>
                <w:kern w:val="0"/>
                <w:sz w:val="24"/>
                <w:highlight w:val="none"/>
              </w:rPr>
              <w:t>1.</w:t>
            </w:r>
            <w:r>
              <w:rPr>
                <w:rFonts w:hint="eastAsia" w:ascii="宋体" w:hAnsi="宋体" w:eastAsia="宋体" w:cs="Times New Roman"/>
                <w:color w:val="000000" w:themeColor="text1"/>
                <w:kern w:val="0"/>
                <w:sz w:val="24"/>
                <w:szCs w:val="24"/>
                <w:highlight w:val="none"/>
                <w:lang w:eastAsia="zh-CN"/>
                <w14:textFill>
                  <w14:solidFill>
                    <w14:schemeClr w14:val="tx1"/>
                  </w14:solidFill>
                </w14:textFill>
              </w:rPr>
              <w:t>根据《政府采购货物和服务招标投标管理办法》（财政部第87号令）第31条的规定，非单一产品采购项目且在招标文件中注明核心产品的，提供相同品牌产品且通过资格审查、符合性审查的不同投标供应商参加同一标段投标的，按一家投标供应商计算，评审后得分最高的同品牌投标供应商获得中标人推荐资格；评审得分相同的，以投标报价低者获得中标人推荐资格。</w:t>
            </w:r>
          </w:p>
          <w:p w14:paraId="51E756D6">
            <w:pPr>
              <w:widowControl/>
              <w:spacing w:line="360" w:lineRule="auto"/>
              <w:ind w:firstLine="482" w:firstLineChars="200"/>
              <w:jc w:val="left"/>
              <w:rPr>
                <w:rFonts w:ascii="宋体" w:hAnsi="宋体" w:cs="Calibri"/>
                <w:b/>
                <w:bCs/>
                <w:color w:val="auto"/>
                <w:kern w:val="0"/>
                <w:sz w:val="24"/>
                <w:highlight w:val="none"/>
              </w:rPr>
            </w:pPr>
            <w:r>
              <w:rPr>
                <w:rFonts w:hint="eastAsia" w:ascii="宋体" w:hAnsi="宋体" w:eastAsia="宋体" w:cs="Times New Roman"/>
                <w:b/>
                <w:bCs/>
                <w:color w:val="000000" w:themeColor="text1"/>
                <w:kern w:val="0"/>
                <w:sz w:val="24"/>
                <w:szCs w:val="24"/>
                <w:highlight w:val="none"/>
                <w:lang w:eastAsia="zh-CN"/>
                <w14:textFill>
                  <w14:solidFill>
                    <w14:schemeClr w14:val="tx1"/>
                  </w14:solidFill>
                </w14:textFill>
              </w:rPr>
              <w:t>核心产品：</w:t>
            </w:r>
            <w:r>
              <w:rPr>
                <w:rFonts w:hint="eastAsia" w:ascii="宋体" w:hAnsi="宋体" w:eastAsia="宋体" w:cs="Times New Roman"/>
                <w:b/>
                <w:bCs/>
                <w:color w:val="000000" w:themeColor="text1"/>
                <w:kern w:val="0"/>
                <w:sz w:val="24"/>
                <w:szCs w:val="24"/>
                <w:highlight w:val="none"/>
                <w:lang w:val="en-US" w:eastAsia="zh-CN"/>
                <w14:textFill>
                  <w14:solidFill>
                    <w14:schemeClr w14:val="tx1"/>
                  </w14:solidFill>
                </w14:textFill>
              </w:rPr>
              <w:t>中小型玉米双收机</w:t>
            </w:r>
            <w:r>
              <w:rPr>
                <w:rFonts w:hint="eastAsia" w:ascii="宋体" w:hAnsi="宋体" w:eastAsia="宋体" w:cs="Times New Roman"/>
                <w:b/>
                <w:bCs/>
                <w:color w:val="000000" w:themeColor="text1"/>
                <w:kern w:val="0"/>
                <w:sz w:val="24"/>
                <w:szCs w:val="24"/>
                <w:highlight w:val="none"/>
                <w:lang w:eastAsia="zh-CN"/>
                <w14:textFill>
                  <w14:solidFill>
                    <w14:schemeClr w14:val="tx1"/>
                  </w14:solidFill>
                </w14:textFill>
              </w:rPr>
              <w:t>。</w:t>
            </w:r>
          </w:p>
          <w:p w14:paraId="2055C3F1">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.根据《政府采购促进中小企业发展管理办法》（财库﹝2020﹞46 号）及《三门峡市财政局关于进一步优化提升政府采购营商环境有关事项通知》（三财购（2021）14 号）及《三门峡市财政局关于进一步加大政府采购支持中小企业发展有关事项的通知》（三财购（2022）9 号）的规定，对于非专门面向中小企业的项目</w:t>
            </w: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对小型、微型企业的价格给予 10%～20%的扣除，对于中型企业的价格不予扣除。在货物采购项目中，供应商提供的货物既有中型企业制造，也有小微企业制造的，不享受20%的扣除。（注：小型、微型企业提供中型企业制造的货物的，视同为中型企业。）</w:t>
            </w:r>
          </w:p>
          <w:p w14:paraId="4A6BB00D">
            <w:pPr>
              <w:spacing w:line="460" w:lineRule="exact"/>
              <w:ind w:firstLine="240" w:firstLineChars="1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ascii="宋体" w:hAnsi="宋体" w:eastAsia="宋体" w:cs="宋体"/>
                <w:color w:val="auto"/>
                <w:sz w:val="24"/>
                <w:szCs w:val="24"/>
                <w:highlight w:val="none"/>
              </w:rPr>
              <w:t>根据财政部司法部《关于政府采购支持监狱企业发展有关问题的通知》（财库〔2014〕68 号）规定，对于监狱企业视同为小型、微型企业，价格给予 20%的扣除。</w:t>
            </w:r>
          </w:p>
          <w:p w14:paraId="6F402DF5">
            <w:pPr>
              <w:spacing w:line="460" w:lineRule="exact"/>
              <w:ind w:firstLine="240" w:firstLineChars="1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ascii="宋体" w:hAnsi="宋体" w:eastAsia="宋体" w:cs="宋体"/>
                <w:color w:val="auto"/>
                <w:sz w:val="24"/>
                <w:szCs w:val="24"/>
                <w:highlight w:val="none"/>
              </w:rPr>
              <w:t>根据财政部民政部中国残疾人联合会《关于促进残疾人就业政府采购政策的通知》（财库〔2017〕141 号）规定，对于残疾人福利性单位视同为小型、微型企业，价格给予 20%的扣除。</w:t>
            </w:r>
          </w:p>
          <w:p w14:paraId="33D0A282">
            <w:pPr>
              <w:spacing w:line="460" w:lineRule="exact"/>
              <w:ind w:firstLine="480" w:firstLineChars="200"/>
              <w:jc w:val="left"/>
              <w:outlineLvl w:val="2"/>
              <w:rPr>
                <w:rFonts w:ascii="宋体" w:hAnsi="宋体" w:eastAsia="宋体" w:cs="宋体"/>
                <w:color w:val="auto"/>
                <w:sz w:val="24"/>
                <w:szCs w:val="24"/>
                <w:highlight w:val="none"/>
              </w:rPr>
            </w:pPr>
            <w:r>
              <w:rPr>
                <w:rFonts w:ascii="宋体" w:hAnsi="宋体" w:eastAsia="宋体" w:cs="宋体"/>
                <w:color w:val="auto"/>
                <w:sz w:val="24"/>
                <w:szCs w:val="24"/>
                <w:highlight w:val="none"/>
              </w:rPr>
              <w:t>同一供应商，中小微企业、监狱企业、残疾人福利性单位的价格扣除优惠只享受一次，不得重复享受。</w:t>
            </w:r>
          </w:p>
          <w:p w14:paraId="52DBFA94">
            <w:pPr>
              <w:spacing w:line="460" w:lineRule="exact"/>
              <w:ind w:firstLine="482" w:firstLineChars="200"/>
              <w:jc w:val="left"/>
              <w:outlineLvl w:val="2"/>
              <w:rPr>
                <w:rFonts w:ascii="宋体" w:hAnsi="宋体" w:eastAsia="宋体" w:cs="宋体"/>
                <w:color w:val="92D050"/>
                <w:sz w:val="24"/>
                <w:szCs w:val="24"/>
                <w:highlight w:val="none"/>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因本项目专门面向中小企业采购，不适用价格扣除政策。</w:t>
            </w:r>
          </w:p>
          <w:p w14:paraId="47325A08">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 xml:space="preserve">对本国产品的支持政策 </w:t>
            </w:r>
          </w:p>
          <w:p w14:paraId="1D1F7C55">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Times New Roman"/>
                <w:color w:val="000000" w:themeColor="text1"/>
                <w:kern w:val="0"/>
                <w:sz w:val="24"/>
                <w:szCs w:val="24"/>
                <w:highlight w:val="none"/>
                <w:lang w:val="en-US" w:eastAsia="zh-CN"/>
                <w14:textFill>
                  <w14:solidFill>
                    <w14:schemeClr w14:val="tx1"/>
                  </w14:solidFill>
                </w14:textFill>
              </w:rPr>
              <w:t>根据《国务院办公厅关于在政府采购中实施本国产品标准及相关政策的通知》（国办发〔2025〕34号）文件，本项目不接受进口产品，供应商须提供“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r>
              <w:rPr>
                <w:rFonts w:ascii="宋体" w:hAnsi="宋体" w:eastAsia="宋体" w:cs="宋体"/>
                <w:color w:val="auto"/>
                <w:sz w:val="24"/>
                <w:szCs w:val="24"/>
                <w:highlight w:val="none"/>
              </w:rPr>
              <w:t xml:space="preserve"> </w:t>
            </w:r>
          </w:p>
          <w:p w14:paraId="5FDCB4C2">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、依据</w:t>
            </w:r>
            <w:r>
              <w:rPr>
                <w:rFonts w:ascii="宋体" w:hAnsi="宋体" w:eastAsia="宋体" w:cs="宋体"/>
                <w:color w:val="auto"/>
                <w:sz w:val="24"/>
                <w:szCs w:val="24"/>
                <w:highlight w:val="none"/>
              </w:rPr>
              <w:t>《关于推动解决政府采购异常低价问题的通知》财库〔</w:t>
            </w:r>
            <w:r>
              <w:rPr>
                <w:rFonts w:hint="eastAsia" w:ascii="宋体" w:hAnsi="宋体" w:eastAsia="宋体" w:cs="宋体"/>
                <w:color w:val="auto"/>
                <w:sz w:val="24"/>
                <w:szCs w:val="24"/>
                <w:highlight w:val="none"/>
              </w:rPr>
              <w:t>2026〕2号政府采购评审中出现下列情形之一的，评审委员会应当启动异常低价投标（响应）审查程序：</w:t>
            </w:r>
          </w:p>
          <w:p w14:paraId="4C686A48">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1.投标（响应）报价低于全部通过符合性审查供应商投标（响应）报价平均值50%的，即投标（响应）报价&lt;全部通过符合性审查供应商投标（响应）报价平均值×50%；</w:t>
            </w:r>
          </w:p>
          <w:p w14:paraId="26B95869">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2.投标（响应）报价低于通过符合性审查的次低报价供应商投标（响应）报价50%的，即投标（响应）报价&lt;通过符合性审查的次低报价供应商投标（响应）报价×50%；</w:t>
            </w:r>
          </w:p>
          <w:p w14:paraId="27FA7086">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3.投标（响应）报价低于采购项目最高限价45%的，即投标（响应）报价&lt;采购项目最高限价×45%；</w:t>
            </w:r>
          </w:p>
          <w:p w14:paraId="12D1C6A8">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4.评审委员会基于专业判断，认为供应商报价过低，有可能影响产品质量或者不能诚信履约的其他情形。</w:t>
            </w:r>
          </w:p>
          <w:p w14:paraId="376F5595">
            <w:pPr>
              <w:spacing w:line="460" w:lineRule="exact"/>
              <w:ind w:firstLine="480" w:firstLineChars="200"/>
              <w:jc w:val="left"/>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人可以结合具体项目实际情况，提高上述第1项至第3项中启动异常低价投标（响应）审查的数值标准，但是最高不得超过65%。相关法律法规对供应商报价有规定的，从其规定。供应商不能提供书面说明、证明材料，或者提供的书面说明、证明材料不能证明其报价合理性的，评审委员会应当将其作为无效投标（响应）处理。</w:t>
            </w:r>
          </w:p>
        </w:tc>
      </w:tr>
      <w:tr w14:paraId="0B9B2BA5">
        <w:tblPrEx>
          <w:tblCellMar>
            <w:top w:w="0" w:type="dxa"/>
            <w:left w:w="108" w:type="dxa"/>
            <w:bottom w:w="0" w:type="dxa"/>
            <w:right w:w="108" w:type="dxa"/>
          </w:tblCellMar>
        </w:tblPrEx>
        <w:trPr>
          <w:trHeight w:val="683" w:hRule="atLeast"/>
          <w:jc w:val="center"/>
        </w:trPr>
        <w:tc>
          <w:tcPr>
            <w:tcW w:w="694" w:type="dxa"/>
            <w:tcBorders>
              <w:top w:val="single" w:color="auto" w:sz="4" w:space="0"/>
              <w:left w:val="single" w:color="auto" w:sz="4" w:space="0"/>
              <w:bottom w:val="single" w:color="auto" w:sz="4" w:space="0"/>
              <w:right w:val="single" w:color="auto" w:sz="4" w:space="0"/>
            </w:tcBorders>
            <w:vAlign w:val="center"/>
          </w:tcPr>
          <w:p w14:paraId="6294C49A">
            <w:pPr>
              <w:widowControl/>
              <w:spacing w:line="360" w:lineRule="auto"/>
              <w:jc w:val="center"/>
              <w:rPr>
                <w:rFonts w:ascii="宋体" w:hAnsi="宋体" w:cs="Calibri"/>
                <w:color w:val="auto"/>
                <w:sz w:val="24"/>
                <w:highlight w:val="none"/>
              </w:rPr>
            </w:pPr>
            <w:r>
              <w:rPr>
                <w:rFonts w:hint="eastAsia" w:ascii="宋体" w:hAnsi="宋体" w:cs="Calibri"/>
                <w:color w:val="auto"/>
                <w:kern w:val="0"/>
                <w:sz w:val="24"/>
                <w:highlight w:val="none"/>
              </w:rPr>
              <w:t>40</w:t>
            </w:r>
          </w:p>
        </w:tc>
        <w:tc>
          <w:tcPr>
            <w:tcW w:w="2073" w:type="dxa"/>
            <w:tcBorders>
              <w:top w:val="single" w:color="auto" w:sz="4" w:space="0"/>
              <w:left w:val="nil"/>
              <w:bottom w:val="single" w:color="auto" w:sz="4" w:space="0"/>
              <w:right w:val="single" w:color="auto" w:sz="4" w:space="0"/>
            </w:tcBorders>
            <w:vAlign w:val="center"/>
          </w:tcPr>
          <w:p w14:paraId="69BD5B50">
            <w:pPr>
              <w:widowControl/>
              <w:spacing w:line="360" w:lineRule="auto"/>
              <w:jc w:val="center"/>
              <w:rPr>
                <w:rFonts w:ascii="宋体" w:hAnsi="宋体" w:cs="Calibri"/>
                <w:color w:val="auto"/>
                <w:sz w:val="24"/>
                <w:highlight w:val="none"/>
              </w:rPr>
            </w:pPr>
            <w:r>
              <w:rPr>
                <w:rFonts w:hint="eastAsia" w:ascii="宋体" w:hAnsi="宋体" w:cs="Calibri"/>
                <w:b/>
                <w:bCs/>
                <w:color w:val="auto"/>
                <w:kern w:val="0"/>
                <w:sz w:val="24"/>
                <w:highlight w:val="none"/>
              </w:rPr>
              <w:t>电子化交易注意事项</w:t>
            </w:r>
          </w:p>
        </w:tc>
        <w:tc>
          <w:tcPr>
            <w:tcW w:w="6353" w:type="dxa"/>
            <w:tcBorders>
              <w:top w:val="single" w:color="auto" w:sz="4" w:space="0"/>
              <w:left w:val="nil"/>
              <w:bottom w:val="single" w:color="auto" w:sz="4" w:space="0"/>
              <w:right w:val="single" w:color="auto" w:sz="4" w:space="0"/>
            </w:tcBorders>
            <w:vAlign w:val="center"/>
          </w:tcPr>
          <w:p w14:paraId="798DF1F0">
            <w:pPr>
              <w:spacing w:line="400" w:lineRule="exact"/>
              <w:rPr>
                <w:rFonts w:ascii="宋体" w:hAnsi="宋体"/>
                <w:color w:val="auto"/>
                <w:sz w:val="24"/>
                <w:highlight w:val="none"/>
              </w:rPr>
            </w:pPr>
            <w:r>
              <w:rPr>
                <w:rFonts w:hint="eastAsia" w:ascii="宋体" w:hAnsi="宋体"/>
                <w:color w:val="auto"/>
                <w:sz w:val="24"/>
                <w:highlight w:val="none"/>
              </w:rPr>
              <w:t>本项目为电子化交易项目，投标文件是供应商、投标人（以下简称“供应商”）通过中心投标文件制作系统制作，并经过电子签章和加密后生成的电子版投标文件。供应商投标时，不须提交纸质文件资料。</w:t>
            </w:r>
          </w:p>
          <w:p w14:paraId="136A1CC3">
            <w:pPr>
              <w:spacing w:line="400" w:lineRule="exact"/>
              <w:rPr>
                <w:rFonts w:ascii="宋体" w:hAnsi="宋体"/>
                <w:color w:val="auto"/>
                <w:sz w:val="24"/>
                <w:highlight w:val="none"/>
              </w:rPr>
            </w:pPr>
            <w:r>
              <w:rPr>
                <w:rFonts w:hint="eastAsia" w:ascii="宋体" w:hAnsi="宋体"/>
                <w:color w:val="auto"/>
                <w:sz w:val="24"/>
                <w:highlight w:val="none"/>
              </w:rPr>
              <w:t>电子化投标文件具体制作教材请供应商通过CA证书登录三门峡市公共资源电子化交易系统在 “交易智库”中下载操作流程</w:t>
            </w:r>
          </w:p>
          <w:p w14:paraId="793604EC">
            <w:pPr>
              <w:spacing w:line="400" w:lineRule="exact"/>
              <w:rPr>
                <w:rFonts w:ascii="宋体" w:hAnsi="宋体"/>
                <w:color w:val="auto"/>
                <w:sz w:val="24"/>
                <w:highlight w:val="none"/>
              </w:rPr>
            </w:pPr>
            <w:r>
              <w:rPr>
                <w:rFonts w:hint="eastAsia" w:ascii="宋体" w:hAnsi="宋体"/>
                <w:color w:val="auto"/>
                <w:sz w:val="24"/>
                <w:highlight w:val="none"/>
              </w:rPr>
              <w:t>温馨提示：本项目为电子化、无纸化交易项目，供应商时不接受任何纸质资料，为保证您能投标成功，请需仔细阅读以下条款。</w:t>
            </w:r>
          </w:p>
          <w:p w14:paraId="5466CB7B">
            <w:pPr>
              <w:spacing w:line="400" w:lineRule="exact"/>
              <w:rPr>
                <w:rFonts w:ascii="宋体" w:hAnsi="宋体"/>
                <w:color w:val="auto"/>
                <w:sz w:val="24"/>
                <w:highlight w:val="none"/>
              </w:rPr>
            </w:pPr>
            <w:r>
              <w:rPr>
                <w:rFonts w:hint="eastAsia" w:ascii="宋体" w:hAnsi="宋体"/>
                <w:color w:val="auto"/>
                <w:sz w:val="24"/>
                <w:highlight w:val="none"/>
              </w:rPr>
              <w:t>一、电子化投标</w:t>
            </w:r>
          </w:p>
          <w:p w14:paraId="71E8AC0D">
            <w:pPr>
              <w:spacing w:line="400" w:lineRule="exact"/>
              <w:rPr>
                <w:rFonts w:ascii="宋体" w:hAnsi="宋体"/>
                <w:color w:val="auto"/>
                <w:sz w:val="24"/>
                <w:highlight w:val="none"/>
              </w:rPr>
            </w:pPr>
            <w:r>
              <w:rPr>
                <w:rFonts w:hint="eastAsia" w:ascii="宋体" w:hAnsi="宋体"/>
                <w:color w:val="auto"/>
                <w:sz w:val="24"/>
                <w:highlight w:val="none"/>
              </w:rPr>
              <w:t>（一）电子化投标文件的签章</w:t>
            </w:r>
          </w:p>
          <w:p w14:paraId="7DC0D7F5">
            <w:pPr>
              <w:spacing w:line="400" w:lineRule="exact"/>
              <w:rPr>
                <w:rFonts w:ascii="宋体" w:hAnsi="宋体"/>
                <w:color w:val="auto"/>
                <w:sz w:val="24"/>
                <w:highlight w:val="none"/>
              </w:rPr>
            </w:pPr>
            <w:r>
              <w:rPr>
                <w:rFonts w:hint="eastAsia" w:ascii="宋体" w:hAnsi="宋体"/>
                <w:color w:val="auto"/>
                <w:sz w:val="24"/>
                <w:highlight w:val="none"/>
              </w:rPr>
              <w:t>1、供应商在生成电子化投标文件后，应对电子化投标文件进行签章，未进行签章的视为无效投标。</w:t>
            </w:r>
          </w:p>
          <w:p w14:paraId="248F40FF">
            <w:pPr>
              <w:spacing w:line="400" w:lineRule="exact"/>
              <w:jc w:val="left"/>
              <w:rPr>
                <w:rFonts w:ascii="宋体" w:hAnsi="宋体"/>
                <w:color w:val="auto"/>
                <w:sz w:val="24"/>
                <w:highlight w:val="none"/>
              </w:rPr>
            </w:pPr>
            <w:r>
              <w:rPr>
                <w:rFonts w:hint="eastAsia" w:ascii="宋体" w:hAnsi="宋体"/>
                <w:color w:val="auto"/>
                <w:sz w:val="24"/>
                <w:highlight w:val="none"/>
              </w:rPr>
              <w:t>2、投标文件中要求</w:t>
            </w:r>
            <w:r>
              <w:rPr>
                <w:rFonts w:hint="eastAsia" w:ascii="宋体" w:hAnsi="宋体"/>
                <w:color w:val="auto"/>
                <w:sz w:val="24"/>
                <w:highlight w:val="none"/>
                <w:lang w:val="en-US" w:eastAsia="zh-CN"/>
              </w:rPr>
              <w:t>投标供应商盖章的，以签盖单位章为准；要求法定代表人签章的，以签盖法定代表人签章为准</w:t>
            </w:r>
            <w:r>
              <w:rPr>
                <w:rFonts w:hint="eastAsia" w:ascii="宋体" w:hAnsi="宋体"/>
                <w:color w:val="auto"/>
                <w:sz w:val="24"/>
                <w:highlight w:val="none"/>
              </w:rPr>
              <w:t>。电子化投标文件具体制作教材请供应商通过CA证书登录三门峡市公共资源电子化交易系统在右上角“交易智库”中查看。电子化投标文件工具请点击</w:t>
            </w:r>
            <w:r>
              <w:rPr>
                <w:rFonts w:ascii="宋体" w:hAnsi="宋体"/>
                <w:color w:val="auto"/>
                <w:sz w:val="24"/>
                <w:highlight w:val="none"/>
              </w:rPr>
              <w:t>https://download.bqpoint.com/download/downloadlist.html?SoftTypeCode=03</w:t>
            </w:r>
            <w:r>
              <w:rPr>
                <w:rFonts w:hint="eastAsia" w:ascii="宋体" w:hAnsi="宋体"/>
                <w:color w:val="auto"/>
                <w:sz w:val="24"/>
                <w:highlight w:val="none"/>
              </w:rPr>
              <w:t>进行下载。</w:t>
            </w:r>
          </w:p>
          <w:p w14:paraId="5AFE8D49">
            <w:pPr>
              <w:spacing w:line="400" w:lineRule="exact"/>
              <w:rPr>
                <w:rFonts w:ascii="宋体" w:hAnsi="宋体"/>
                <w:color w:val="auto"/>
                <w:sz w:val="24"/>
                <w:highlight w:val="none"/>
              </w:rPr>
            </w:pPr>
            <w:r>
              <w:rPr>
                <w:rFonts w:hint="eastAsia" w:ascii="宋体" w:hAnsi="宋体"/>
                <w:color w:val="auto"/>
                <w:sz w:val="24"/>
                <w:highlight w:val="none"/>
              </w:rPr>
              <w:t>（二）电子化投标文件的格式及上传投标</w:t>
            </w:r>
          </w:p>
          <w:p w14:paraId="78D2827D">
            <w:pPr>
              <w:spacing w:line="400" w:lineRule="exact"/>
              <w:jc w:val="left"/>
              <w:rPr>
                <w:rFonts w:ascii="宋体" w:hAnsi="宋体"/>
                <w:color w:val="auto"/>
                <w:sz w:val="24"/>
                <w:highlight w:val="none"/>
              </w:rPr>
            </w:pPr>
            <w:r>
              <w:rPr>
                <w:rFonts w:hint="eastAsia" w:ascii="宋体" w:hAnsi="宋体"/>
                <w:color w:val="auto"/>
                <w:sz w:val="24"/>
                <w:highlight w:val="none"/>
              </w:rPr>
              <w:t>1、供应商所上传的电子化投标文件，应是通过中心投标文件制作系统制作的（投标文件制作工具下载地址：</w:t>
            </w:r>
            <w:r>
              <w:rPr>
                <w:rFonts w:ascii="宋体" w:hAnsi="宋体"/>
                <w:color w:val="auto"/>
                <w:sz w:val="24"/>
                <w:highlight w:val="none"/>
              </w:rPr>
              <w:t>https://download.bqpoint.com/download/downloadlist.html?SoftTypeCode=03</w:t>
            </w:r>
            <w:r>
              <w:rPr>
                <w:rFonts w:hint="eastAsia" w:ascii="宋体" w:hAnsi="宋体"/>
                <w:color w:val="auto"/>
                <w:sz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1FBC0B9C">
            <w:pPr>
              <w:spacing w:line="400" w:lineRule="exact"/>
              <w:rPr>
                <w:rFonts w:ascii="宋体" w:hAnsi="宋体"/>
                <w:color w:val="auto"/>
                <w:sz w:val="24"/>
                <w:highlight w:val="none"/>
              </w:rPr>
            </w:pPr>
            <w:r>
              <w:rPr>
                <w:rFonts w:hint="eastAsia" w:ascii="宋体" w:hAnsi="宋体"/>
                <w:color w:val="auto"/>
                <w:sz w:val="24"/>
                <w:highlight w:val="none"/>
              </w:rPr>
              <w:t>注：供应商投报多个标段的，需要每个标段单独制作电子投标文件。</w:t>
            </w:r>
          </w:p>
          <w:p w14:paraId="09E4AE95">
            <w:pPr>
              <w:spacing w:line="400" w:lineRule="exact"/>
              <w:rPr>
                <w:rFonts w:ascii="宋体" w:hAnsi="宋体"/>
                <w:color w:val="auto"/>
                <w:sz w:val="24"/>
                <w:highlight w:val="none"/>
              </w:rPr>
            </w:pPr>
            <w:r>
              <w:rPr>
                <w:rFonts w:hint="eastAsia" w:ascii="宋体" w:hAnsi="宋体"/>
                <w:color w:val="auto"/>
                <w:sz w:val="24"/>
                <w:highlight w:val="none"/>
              </w:rPr>
              <w:t>2、电子化投标文件应在投标截止时间前成功上传至三门峡市公共资源电子化交易系统。至投标截止时间止，仍未上传成功的电子化投标文件将不予接收。</w:t>
            </w:r>
          </w:p>
          <w:p w14:paraId="739FDF11">
            <w:pPr>
              <w:spacing w:line="400" w:lineRule="exact"/>
              <w:rPr>
                <w:rFonts w:ascii="宋体" w:hAnsi="宋体"/>
                <w:color w:val="auto"/>
                <w:sz w:val="24"/>
                <w:highlight w:val="none"/>
              </w:rPr>
            </w:pPr>
            <w:r>
              <w:rPr>
                <w:rFonts w:hint="eastAsia" w:ascii="宋体" w:hAnsi="宋体"/>
                <w:color w:val="auto"/>
                <w:sz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15893AB9">
            <w:pPr>
              <w:spacing w:line="400" w:lineRule="exact"/>
              <w:rPr>
                <w:rFonts w:ascii="宋体" w:hAnsi="宋体"/>
                <w:color w:val="auto"/>
                <w:sz w:val="24"/>
                <w:highlight w:val="none"/>
              </w:rPr>
            </w:pPr>
            <w:r>
              <w:rPr>
                <w:rFonts w:hint="eastAsia" w:ascii="宋体" w:hAnsi="宋体"/>
                <w:color w:val="auto"/>
                <w:sz w:val="24"/>
                <w:highlight w:val="none"/>
              </w:rPr>
              <w:t>技术联系电话：400-998-0000</w:t>
            </w:r>
          </w:p>
          <w:p w14:paraId="76690FFC">
            <w:pPr>
              <w:spacing w:line="400" w:lineRule="exact"/>
              <w:rPr>
                <w:rFonts w:ascii="宋体" w:hAnsi="宋体"/>
                <w:color w:val="auto"/>
                <w:sz w:val="24"/>
                <w:highlight w:val="none"/>
              </w:rPr>
            </w:pPr>
            <w:r>
              <w:rPr>
                <w:rFonts w:hint="eastAsia" w:ascii="宋体" w:hAnsi="宋体"/>
                <w:color w:val="auto"/>
                <w:sz w:val="24"/>
                <w:highlight w:val="none"/>
              </w:rPr>
              <w:t>主体库咨询电话:0398-3117815</w:t>
            </w:r>
          </w:p>
          <w:p w14:paraId="775ED930">
            <w:pPr>
              <w:spacing w:line="400" w:lineRule="exact"/>
              <w:rPr>
                <w:rFonts w:ascii="宋体" w:hAnsi="宋体"/>
                <w:color w:val="auto"/>
                <w:sz w:val="24"/>
                <w:highlight w:val="none"/>
              </w:rPr>
            </w:pPr>
            <w:r>
              <w:rPr>
                <w:rFonts w:hint="eastAsia" w:ascii="宋体" w:hAnsi="宋体"/>
                <w:color w:val="auto"/>
                <w:sz w:val="24"/>
                <w:highlight w:val="none"/>
              </w:rPr>
              <w:t>CA证书制发:0398-2181635</w:t>
            </w:r>
          </w:p>
          <w:p w14:paraId="17D03714">
            <w:pPr>
              <w:spacing w:line="400" w:lineRule="exact"/>
              <w:rPr>
                <w:rFonts w:ascii="宋体" w:hAnsi="宋体"/>
                <w:color w:val="auto"/>
                <w:sz w:val="24"/>
                <w:highlight w:val="none"/>
              </w:rPr>
            </w:pPr>
            <w:r>
              <w:rPr>
                <w:rFonts w:hint="eastAsia" w:ascii="宋体" w:hAnsi="宋体"/>
                <w:color w:val="auto"/>
                <w:sz w:val="24"/>
                <w:highlight w:val="none"/>
              </w:rPr>
              <w:t>科技信息科:0398-3117095</w:t>
            </w:r>
          </w:p>
          <w:p w14:paraId="66BECFC5">
            <w:pPr>
              <w:spacing w:line="400" w:lineRule="exact"/>
              <w:rPr>
                <w:rFonts w:ascii="宋体" w:hAnsi="宋体"/>
                <w:color w:val="auto"/>
                <w:sz w:val="24"/>
                <w:highlight w:val="none"/>
              </w:rPr>
            </w:pPr>
            <w:r>
              <w:rPr>
                <w:rFonts w:hint="eastAsia" w:ascii="宋体" w:hAnsi="宋体"/>
                <w:color w:val="auto"/>
                <w:sz w:val="24"/>
                <w:highlight w:val="none"/>
              </w:rPr>
              <w:t>（三）电子化项目开标、解密、唱标、评标</w:t>
            </w:r>
          </w:p>
          <w:p w14:paraId="2D6EAB0E">
            <w:pPr>
              <w:wordWrap w:val="0"/>
              <w:spacing w:line="400" w:lineRule="exact"/>
              <w:ind w:firstLine="357"/>
              <w:rPr>
                <w:rFonts w:ascii="宋体" w:hAnsi="宋体"/>
                <w:color w:val="auto"/>
                <w:sz w:val="24"/>
                <w:highlight w:val="none"/>
              </w:rPr>
            </w:pPr>
            <w:r>
              <w:rPr>
                <w:rFonts w:hint="eastAsia" w:ascii="宋体" w:hAnsi="宋体"/>
                <w:color w:val="auto"/>
                <w:sz w:val="24"/>
                <w:highlight w:val="none"/>
              </w:rPr>
              <w:t>1、本项目采用电子化、无纸化进行招标，开标当日，供应商无需到开标现场参加开标会议，供应商应当在投标截止时间前，登陆不见面开标大厅选择登陆三门峡市公共资源电子招投标系统进行登陆（</w:t>
            </w:r>
            <w:r>
              <w:rPr>
                <w:rFonts w:hint="eastAsia" w:ascii="宋体" w:hAnsi="宋体" w:cs="宋体"/>
                <w:color w:val="auto"/>
                <w:sz w:val="24"/>
                <w:szCs w:val="24"/>
                <w:highlight w:val="none"/>
              </w:rPr>
              <w:t>网址为</w:t>
            </w:r>
            <w:r>
              <w:rPr>
                <w:rFonts w:ascii="宋体" w:hAnsi="宋体" w:cs="宋体"/>
                <w:color w:val="auto"/>
                <w:sz w:val="24"/>
                <w:szCs w:val="24"/>
                <w:highlight w:val="none"/>
              </w:rPr>
              <w:t>http://120.194.249.36:10094/BidOpening/bidopeninghallaction/hall/login</w:t>
            </w:r>
            <w:r>
              <w:rPr>
                <w:rFonts w:hint="eastAsia" w:ascii="宋体" w:hAnsi="宋体"/>
                <w:color w:val="auto"/>
                <w:sz w:val="24"/>
                <w:highlight w:val="none"/>
              </w:rPr>
              <w:t>）,在线准时参加开标活动并进行投标文件解密等。</w:t>
            </w:r>
          </w:p>
          <w:p w14:paraId="39CCB83F">
            <w:pPr>
              <w:spacing w:line="400" w:lineRule="exact"/>
              <w:rPr>
                <w:rFonts w:ascii="宋体" w:hAnsi="宋体"/>
                <w:color w:val="auto"/>
                <w:sz w:val="24"/>
                <w:highlight w:val="none"/>
              </w:rPr>
            </w:pPr>
            <w:r>
              <w:rPr>
                <w:rFonts w:hint="eastAsia" w:ascii="宋体" w:hAnsi="宋体"/>
                <w:color w:val="auto"/>
                <w:sz w:val="24"/>
                <w:highlight w:val="none"/>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320CB7CA">
            <w:pPr>
              <w:spacing w:line="400" w:lineRule="exact"/>
              <w:rPr>
                <w:rFonts w:ascii="宋体" w:hAnsi="宋体"/>
                <w:color w:val="auto"/>
                <w:sz w:val="24"/>
                <w:highlight w:val="none"/>
              </w:rPr>
            </w:pPr>
            <w:r>
              <w:rPr>
                <w:rFonts w:hint="eastAsia" w:ascii="宋体" w:hAnsi="宋体"/>
                <w:color w:val="auto"/>
                <w:sz w:val="24"/>
                <w:highlight w:val="none"/>
              </w:rPr>
              <w:t>3、电子化投标文件解密异常的处理</w:t>
            </w:r>
          </w:p>
          <w:p w14:paraId="1628D9DE">
            <w:pPr>
              <w:spacing w:line="400" w:lineRule="exact"/>
              <w:rPr>
                <w:rFonts w:ascii="宋体" w:hAnsi="宋体"/>
                <w:color w:val="auto"/>
                <w:sz w:val="24"/>
                <w:highlight w:val="none"/>
              </w:rPr>
            </w:pPr>
            <w:r>
              <w:rPr>
                <w:rFonts w:hint="eastAsia" w:ascii="宋体" w:hAnsi="宋体"/>
                <w:color w:val="auto"/>
                <w:sz w:val="24"/>
                <w:highlight w:val="none"/>
              </w:rPr>
              <w:t>如出现供应商的电子投标文件无法解密等异常情况，供应商应及时致电中介服务机构说明。投标文件异常，按以下步骤进行处理：</w:t>
            </w:r>
          </w:p>
          <w:p w14:paraId="7459F589">
            <w:pPr>
              <w:spacing w:line="400" w:lineRule="exact"/>
              <w:rPr>
                <w:rFonts w:ascii="宋体" w:hAnsi="宋体"/>
                <w:color w:val="auto"/>
                <w:sz w:val="24"/>
                <w:highlight w:val="none"/>
              </w:rPr>
            </w:pPr>
            <w:r>
              <w:rPr>
                <w:rFonts w:hint="eastAsia" w:ascii="宋体" w:hAnsi="宋体"/>
                <w:color w:val="auto"/>
                <w:sz w:val="24"/>
                <w:highlight w:val="none"/>
              </w:rPr>
              <w:t>（1）首先由技术人员进行问题排查。</w:t>
            </w:r>
          </w:p>
          <w:p w14:paraId="550FA47A">
            <w:pPr>
              <w:spacing w:line="400" w:lineRule="exact"/>
              <w:rPr>
                <w:rFonts w:ascii="宋体" w:hAnsi="宋体"/>
                <w:color w:val="auto"/>
                <w:sz w:val="24"/>
                <w:highlight w:val="none"/>
              </w:rPr>
            </w:pPr>
            <w:r>
              <w:rPr>
                <w:rFonts w:hint="eastAsia" w:ascii="宋体" w:hAnsi="宋体"/>
                <w:color w:val="auto"/>
                <w:sz w:val="24"/>
                <w:highlight w:val="none"/>
              </w:rPr>
              <w:t>（2）经技术人员排查后，是供应商文件自身问题导致投标文件无法解密的，该投标文件将不予接收、解密和唱标。开标会议继续进行。</w:t>
            </w:r>
          </w:p>
          <w:p w14:paraId="1E9E57EB">
            <w:pPr>
              <w:spacing w:line="400" w:lineRule="exact"/>
              <w:rPr>
                <w:rFonts w:ascii="宋体" w:hAnsi="宋体"/>
                <w:color w:val="auto"/>
                <w:sz w:val="24"/>
                <w:highlight w:val="none"/>
              </w:rPr>
            </w:pPr>
            <w:r>
              <w:rPr>
                <w:rFonts w:hint="eastAsia" w:ascii="宋体" w:hAnsi="宋体"/>
                <w:color w:val="auto"/>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61A4A605">
            <w:pPr>
              <w:spacing w:line="400" w:lineRule="exact"/>
              <w:rPr>
                <w:rFonts w:ascii="宋体" w:hAnsi="宋体"/>
                <w:color w:val="auto"/>
                <w:sz w:val="24"/>
                <w:highlight w:val="none"/>
              </w:rPr>
            </w:pPr>
            <w:r>
              <w:rPr>
                <w:rFonts w:hint="eastAsia" w:ascii="宋体" w:hAnsi="宋体"/>
                <w:color w:val="auto"/>
                <w:sz w:val="24"/>
                <w:highlight w:val="none"/>
              </w:rPr>
              <w:t>4、待所有供应商投标文件解密完成后，由中介服务机构操作，对所有已解密投标文件进行唱标。</w:t>
            </w:r>
          </w:p>
          <w:p w14:paraId="2C2971C5">
            <w:pPr>
              <w:spacing w:line="400" w:lineRule="exact"/>
              <w:rPr>
                <w:rFonts w:ascii="宋体" w:hAnsi="宋体"/>
                <w:color w:val="auto"/>
                <w:sz w:val="24"/>
                <w:highlight w:val="none"/>
              </w:rPr>
            </w:pPr>
            <w:r>
              <w:rPr>
                <w:rFonts w:hint="eastAsia" w:ascii="宋体" w:hAnsi="宋体"/>
                <w:color w:val="auto"/>
                <w:sz w:val="24"/>
                <w:highlight w:val="none"/>
              </w:rPr>
              <w:t>供应商应保证在开标期间电话、电脑、网络能够正常工作，供应商因停电、电脑病毒、网络堵塞等原因，未在规定的解密时间内对投标文件进行解密的，其投标文件不予接收、唱标。</w:t>
            </w:r>
          </w:p>
          <w:p w14:paraId="7E2BD8C0">
            <w:pPr>
              <w:spacing w:line="400" w:lineRule="exact"/>
              <w:rPr>
                <w:rFonts w:ascii="宋体" w:hAnsi="宋体"/>
                <w:color w:val="auto"/>
                <w:sz w:val="24"/>
                <w:highlight w:val="none"/>
              </w:rPr>
            </w:pPr>
            <w:r>
              <w:rPr>
                <w:rFonts w:hint="eastAsia" w:ascii="宋体" w:hAnsi="宋体"/>
                <w:color w:val="auto"/>
                <w:sz w:val="24"/>
                <w:highlight w:val="none"/>
              </w:rPr>
              <w:t>5、开标时供应商可登录到交易系统中在开标解密栏中点击报价一览表查看自己的投标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06DF5B79">
            <w:pPr>
              <w:spacing w:line="400" w:lineRule="exact"/>
              <w:rPr>
                <w:rFonts w:ascii="宋体" w:hAnsi="宋体"/>
                <w:color w:val="auto"/>
                <w:sz w:val="24"/>
                <w:highlight w:val="none"/>
              </w:rPr>
            </w:pPr>
            <w:r>
              <w:rPr>
                <w:rFonts w:hint="eastAsia" w:ascii="宋体" w:hAnsi="宋体"/>
                <w:color w:val="auto"/>
                <w:sz w:val="24"/>
                <w:highlight w:val="none"/>
              </w:rPr>
              <w:t>6、评标时，磋商小组对电子化投标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6E1D95AB">
            <w:pPr>
              <w:spacing w:line="400" w:lineRule="exact"/>
              <w:rPr>
                <w:rFonts w:ascii="宋体" w:hAnsi="宋体"/>
                <w:color w:val="auto"/>
                <w:sz w:val="24"/>
                <w:highlight w:val="none"/>
              </w:rPr>
            </w:pPr>
            <w:r>
              <w:rPr>
                <w:rFonts w:hint="eastAsia" w:ascii="宋体" w:hAnsi="宋体"/>
                <w:color w:val="auto"/>
                <w:sz w:val="24"/>
                <w:highlight w:val="none"/>
              </w:rPr>
              <w:t>7、如磋商小组对需要回复的供应商连续三次致电未接通的，视为供应商放弃回复，磋商小组将自行对需要回复的内容进行认定。</w:t>
            </w:r>
          </w:p>
          <w:p w14:paraId="22EF1136">
            <w:pPr>
              <w:spacing w:line="400" w:lineRule="exact"/>
              <w:rPr>
                <w:rFonts w:ascii="宋体" w:hAnsi="宋体"/>
                <w:color w:val="auto"/>
                <w:sz w:val="24"/>
                <w:highlight w:val="none"/>
              </w:rPr>
            </w:pPr>
            <w:r>
              <w:rPr>
                <w:rFonts w:hint="eastAsia" w:ascii="宋体" w:hAnsi="宋体"/>
                <w:color w:val="auto"/>
                <w:sz w:val="24"/>
                <w:highlight w:val="none"/>
              </w:rPr>
              <w:t>二、相关证书原件的提交</w:t>
            </w:r>
          </w:p>
          <w:p w14:paraId="41946A67">
            <w:pPr>
              <w:spacing w:line="400" w:lineRule="exact"/>
              <w:rPr>
                <w:rFonts w:ascii="宋体" w:hAnsi="宋体"/>
                <w:color w:val="auto"/>
                <w:sz w:val="24"/>
                <w:highlight w:val="none"/>
              </w:rPr>
            </w:pPr>
            <w:r>
              <w:rPr>
                <w:rFonts w:hint="eastAsia" w:ascii="宋体" w:hAnsi="宋体"/>
                <w:color w:val="auto"/>
                <w:sz w:val="24"/>
                <w:highlight w:val="none"/>
              </w:rPr>
              <w:t>本项目实行资格后审，资格评审以投标文件为准，其上传资料真实性由供应商自行承担。（注：评标过程中若主体库资料显示不全面，不得作为废标的依据）</w:t>
            </w:r>
          </w:p>
          <w:p w14:paraId="46F0D196">
            <w:pPr>
              <w:spacing w:line="400" w:lineRule="exact"/>
              <w:rPr>
                <w:rFonts w:ascii="宋体" w:hAnsi="宋体"/>
                <w:color w:val="auto"/>
                <w:sz w:val="24"/>
                <w:highlight w:val="none"/>
              </w:rPr>
            </w:pPr>
            <w:r>
              <w:rPr>
                <w:rFonts w:hint="eastAsia" w:ascii="宋体" w:hAnsi="宋体"/>
                <w:color w:val="auto"/>
                <w:sz w:val="24"/>
                <w:highlight w:val="none"/>
              </w:rPr>
              <w:t>提示：本项目为电子化、无纸化交易项目，开标时不再接受任何纸质资料，为保证您能投标成功，请需仔细阅读以上条款。</w:t>
            </w:r>
          </w:p>
        </w:tc>
      </w:tr>
    </w:tbl>
    <w:p w14:paraId="63DE7904">
      <w:pPr>
        <w:pStyle w:val="17"/>
        <w:spacing w:line="460" w:lineRule="exact"/>
        <w:outlineLvl w:val="1"/>
        <w:rPr>
          <w:rFonts w:ascii="宋体" w:hAnsi="宋体" w:eastAsia="宋体" w:cs="宋体"/>
          <w:color w:val="auto"/>
          <w:highlight w:val="none"/>
        </w:rPr>
      </w:pPr>
      <w:r>
        <w:rPr>
          <w:rFonts w:hint="eastAsia" w:ascii="宋体" w:hAnsi="宋体"/>
          <w:b/>
          <w:bCs/>
          <w:color w:val="auto"/>
          <w:kern w:val="0"/>
          <w:highlight w:val="none"/>
        </w:rPr>
        <w:br w:type="page"/>
      </w:r>
      <w:bookmarkStart w:id="23" w:name="_Toc120614214"/>
      <w:bookmarkEnd w:id="23"/>
      <w:bookmarkStart w:id="24" w:name="_Toc513029203"/>
      <w:bookmarkEnd w:id="24"/>
      <w:bookmarkStart w:id="25" w:name="_Toc517178993"/>
      <w:bookmarkEnd w:id="25"/>
      <w:bookmarkStart w:id="26" w:name="_Toc20823275"/>
      <w:bookmarkEnd w:id="26"/>
      <w:bookmarkStart w:id="27" w:name="_Toc16770549"/>
      <w:bookmarkEnd w:id="27"/>
      <w:bookmarkStart w:id="28" w:name="_Toc16938519"/>
      <w:bookmarkEnd w:id="28"/>
      <w:bookmarkStart w:id="29" w:name="_Toc3111_WPSOffice_Level1"/>
      <w:bookmarkStart w:id="30" w:name="_Toc2341_WPSOffice_Level1"/>
      <w:bookmarkStart w:id="31" w:name="_Toc32643"/>
      <w:bookmarkStart w:id="32" w:name="_Toc4714_WPSOffice_Level1"/>
      <w:bookmarkStart w:id="33" w:name="_Toc27375_WPSOffice_Level1"/>
      <w:r>
        <w:rPr>
          <w:rFonts w:hint="eastAsia" w:ascii="宋体" w:hAnsi="宋体"/>
          <w:b/>
          <w:bCs/>
          <w:color w:val="auto"/>
          <w:kern w:val="0"/>
          <w:highlight w:val="none"/>
        </w:rPr>
        <w:t xml:space="preserve">    </w:t>
      </w:r>
      <w:r>
        <w:rPr>
          <w:rFonts w:hint="eastAsia" w:ascii="宋体" w:hAnsi="宋体" w:eastAsia="宋体" w:cs="宋体"/>
          <w:color w:val="auto"/>
          <w:highlight w:val="none"/>
        </w:rPr>
        <w:t>1.总则</w:t>
      </w:r>
    </w:p>
    <w:p w14:paraId="7D68B784">
      <w:pPr>
        <w:wordWrap w:val="0"/>
        <w:spacing w:line="460" w:lineRule="exact"/>
        <w:ind w:firstLine="480" w:firstLineChars="200"/>
        <w:jc w:val="left"/>
        <w:outlineLvl w:val="2"/>
        <w:rPr>
          <w:rFonts w:ascii="宋体" w:hAnsi="宋体" w:eastAsia="宋体" w:cs="宋体"/>
          <w:color w:val="auto"/>
          <w:sz w:val="24"/>
          <w:szCs w:val="24"/>
          <w:highlight w:val="none"/>
        </w:rPr>
      </w:pPr>
      <w:bookmarkStart w:id="34" w:name="_Toc513029204"/>
      <w:bookmarkEnd w:id="34"/>
      <w:bookmarkStart w:id="35" w:name="_Toc16938520"/>
      <w:bookmarkEnd w:id="35"/>
      <w:bookmarkStart w:id="36" w:name="_Toc20823276"/>
      <w:bookmarkEnd w:id="36"/>
      <w:bookmarkStart w:id="37" w:name="_Toc528078009"/>
      <w:r>
        <w:rPr>
          <w:rFonts w:hint="eastAsia" w:ascii="宋体" w:hAnsi="宋体" w:eastAsia="宋体" w:cs="宋体"/>
          <w:color w:val="auto"/>
          <w:sz w:val="24"/>
          <w:szCs w:val="24"/>
          <w:highlight w:val="none"/>
        </w:rPr>
        <w:t>1.1.1</w:t>
      </w:r>
      <w:bookmarkEnd w:id="37"/>
      <w:r>
        <w:rPr>
          <w:rFonts w:hint="eastAsia" w:ascii="宋体" w:hAnsi="宋体" w:eastAsia="宋体" w:cs="宋体"/>
          <w:color w:val="auto"/>
          <w:sz w:val="24"/>
          <w:szCs w:val="24"/>
          <w:highlight w:val="none"/>
        </w:rPr>
        <w:t>采购方式及</w:t>
      </w:r>
      <w:r>
        <w:rPr>
          <w:rFonts w:hint="eastAsia" w:ascii="宋体" w:hAnsi="宋体"/>
          <w:color w:val="auto"/>
          <w:sz w:val="24"/>
          <w:highlight w:val="none"/>
        </w:rPr>
        <w:t>项目概况</w:t>
      </w:r>
    </w:p>
    <w:p w14:paraId="68EDAA3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根据</w:t>
      </w:r>
      <w:r>
        <w:rPr>
          <w:rFonts w:ascii="宋体" w:hAnsi="宋体"/>
          <w:color w:val="auto"/>
          <w:sz w:val="24"/>
          <w:highlight w:val="none"/>
        </w:rPr>
        <w:t>《中华人民共和国政府采购法》等有关法律、法规和规章的规定，本招标项目已具备</w:t>
      </w:r>
      <w:r>
        <w:rPr>
          <w:rFonts w:hint="eastAsia" w:ascii="宋体" w:hAnsi="宋体"/>
          <w:color w:val="auto"/>
          <w:sz w:val="24"/>
          <w:highlight w:val="none"/>
        </w:rPr>
        <w:t>磋商</w:t>
      </w:r>
      <w:r>
        <w:rPr>
          <w:rFonts w:ascii="宋体" w:hAnsi="宋体"/>
          <w:color w:val="auto"/>
          <w:sz w:val="24"/>
          <w:highlight w:val="none"/>
        </w:rPr>
        <w:t>条件，现对本项目进行</w:t>
      </w:r>
      <w:r>
        <w:rPr>
          <w:rFonts w:hint="eastAsia" w:ascii="宋体" w:hAnsi="宋体"/>
          <w:color w:val="auto"/>
          <w:sz w:val="24"/>
          <w:highlight w:val="none"/>
        </w:rPr>
        <w:t>磋商。</w:t>
      </w:r>
    </w:p>
    <w:p w14:paraId="0A1B8161">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本项目采购人：见供应商须知前附表。</w:t>
      </w:r>
    </w:p>
    <w:p w14:paraId="41D6E2E5">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本项目招标代理机构：见供应商须知前附表。</w:t>
      </w:r>
    </w:p>
    <w:p w14:paraId="1D371339">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本项目名称：见供应商须知前附表。</w:t>
      </w:r>
    </w:p>
    <w:p w14:paraId="765F4E08">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本项目的资金来源：见供应商须知前附表。</w:t>
      </w:r>
    </w:p>
    <w:p w14:paraId="683EE136">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本项目的出资比例：见供应商须知前附表。</w:t>
      </w:r>
    </w:p>
    <w:p w14:paraId="2D972CED">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本项目的资金落实情况：见供应商须知前附表。。</w:t>
      </w:r>
    </w:p>
    <w:p w14:paraId="7AEF0830">
      <w:pPr>
        <w:spacing w:line="360" w:lineRule="auto"/>
        <w:ind w:firstLine="480" w:firstLineChars="200"/>
        <w:jc w:val="left"/>
        <w:rPr>
          <w:rFonts w:ascii="宋体" w:hAnsi="宋体"/>
          <w:color w:val="auto"/>
          <w:sz w:val="24"/>
          <w:highlight w:val="none"/>
        </w:rPr>
      </w:pPr>
      <w:bookmarkStart w:id="38" w:name="_Toc144974500"/>
      <w:bookmarkStart w:id="39" w:name="_Toc179632549"/>
      <w:bookmarkStart w:id="40" w:name="_Toc152045532"/>
      <w:bookmarkStart w:id="41" w:name="_Toc152042308"/>
      <w:r>
        <w:rPr>
          <w:rFonts w:hint="eastAsia" w:ascii="宋体" w:hAnsi="宋体"/>
          <w:color w:val="auto"/>
          <w:sz w:val="24"/>
          <w:highlight w:val="none"/>
        </w:rPr>
        <w:t>本项目采购范围：见供应商须知前附表。</w:t>
      </w:r>
    </w:p>
    <w:p w14:paraId="0E79AC41">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本项目的质量</w:t>
      </w:r>
      <w:r>
        <w:rPr>
          <w:rFonts w:hint="eastAsia" w:ascii="宋体" w:hAnsi="宋体"/>
          <w:color w:val="auto"/>
          <w:sz w:val="24"/>
          <w:highlight w:val="none"/>
          <w:lang w:val="en-US" w:eastAsia="zh-CN"/>
        </w:rPr>
        <w:t>要求</w:t>
      </w:r>
      <w:r>
        <w:rPr>
          <w:rFonts w:hint="eastAsia" w:ascii="宋体" w:hAnsi="宋体"/>
          <w:color w:val="auto"/>
          <w:sz w:val="24"/>
          <w:highlight w:val="none"/>
        </w:rPr>
        <w:t>：见供应商须知前附表。</w:t>
      </w:r>
    </w:p>
    <w:p w14:paraId="3A3DA271">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本项目的交货期：见供应商须知前附表。</w:t>
      </w:r>
    </w:p>
    <w:p w14:paraId="1D469225">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本项目交货地点：见供应商须知前附表。</w:t>
      </w:r>
    </w:p>
    <w:bookmarkEnd w:id="38"/>
    <w:bookmarkEnd w:id="39"/>
    <w:bookmarkEnd w:id="40"/>
    <w:bookmarkEnd w:id="41"/>
    <w:p w14:paraId="1368A58D">
      <w:pPr>
        <w:spacing w:line="360" w:lineRule="auto"/>
        <w:ind w:firstLine="480" w:firstLineChars="200"/>
        <w:jc w:val="left"/>
        <w:rPr>
          <w:rFonts w:ascii="宋体" w:hAnsi="宋体"/>
          <w:color w:val="auto"/>
          <w:sz w:val="24"/>
          <w:highlight w:val="none"/>
        </w:rPr>
      </w:pPr>
      <w:bookmarkStart w:id="42" w:name="_Toc179632550"/>
      <w:bookmarkStart w:id="43" w:name="_Toc152045533"/>
      <w:bookmarkStart w:id="44" w:name="_Toc152042309"/>
      <w:bookmarkStart w:id="45" w:name="_Toc144974501"/>
      <w:r>
        <w:rPr>
          <w:rFonts w:hint="eastAsia" w:ascii="宋体" w:hAnsi="宋体"/>
          <w:color w:val="auto"/>
          <w:sz w:val="24"/>
          <w:highlight w:val="none"/>
        </w:rPr>
        <w:t>投标人资格要求</w:t>
      </w:r>
      <w:bookmarkEnd w:id="42"/>
      <w:bookmarkEnd w:id="43"/>
      <w:bookmarkEnd w:id="44"/>
      <w:bookmarkEnd w:id="45"/>
      <w:r>
        <w:rPr>
          <w:rFonts w:hint="eastAsia" w:ascii="宋体" w:hAnsi="宋体"/>
          <w:color w:val="auto"/>
          <w:sz w:val="24"/>
          <w:highlight w:val="none"/>
        </w:rPr>
        <w:t>：见供应商须知前附表。</w:t>
      </w:r>
    </w:p>
    <w:p w14:paraId="12E8E6D8">
      <w:pPr>
        <w:wordWrap w:val="0"/>
        <w:spacing w:line="460" w:lineRule="exact"/>
        <w:ind w:firstLine="480" w:firstLineChars="200"/>
        <w:jc w:val="left"/>
        <w:outlineLvl w:val="2"/>
        <w:rPr>
          <w:rFonts w:ascii="宋体" w:hAnsi="宋体" w:eastAsia="宋体" w:cs="宋体"/>
          <w:color w:val="auto"/>
          <w:sz w:val="24"/>
          <w:szCs w:val="24"/>
          <w:highlight w:val="none"/>
        </w:rPr>
      </w:pPr>
      <w:bookmarkStart w:id="46" w:name="_Toc16938522"/>
      <w:bookmarkEnd w:id="46"/>
      <w:bookmarkStart w:id="47" w:name="_Toc513029206"/>
      <w:bookmarkEnd w:id="47"/>
      <w:bookmarkStart w:id="48" w:name="_Toc20823278"/>
      <w:bookmarkEnd w:id="48"/>
      <w:bookmarkStart w:id="49" w:name="_Toc528078010"/>
      <w:r>
        <w:rPr>
          <w:rFonts w:hint="eastAsia" w:ascii="宋体" w:hAnsi="宋体" w:eastAsia="宋体" w:cs="宋体"/>
          <w:color w:val="auto"/>
          <w:sz w:val="24"/>
          <w:szCs w:val="24"/>
          <w:highlight w:val="none"/>
        </w:rPr>
        <w:t>1.1.2</w:t>
      </w:r>
      <w:bookmarkEnd w:id="49"/>
      <w:r>
        <w:rPr>
          <w:rFonts w:hint="eastAsia" w:ascii="宋体" w:hAnsi="宋体" w:eastAsia="宋体" w:cs="宋体"/>
          <w:color w:val="auto"/>
          <w:sz w:val="24"/>
          <w:szCs w:val="24"/>
          <w:highlight w:val="none"/>
        </w:rPr>
        <w:t>适用法律</w:t>
      </w:r>
    </w:p>
    <w:p w14:paraId="489F4355">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本次竞争性磋商及由此产生的合同受中华人民共和国有关的法律法规制约和保护。</w:t>
      </w:r>
    </w:p>
    <w:p w14:paraId="7A684F51">
      <w:pPr>
        <w:wordWrap w:val="0"/>
        <w:spacing w:line="460" w:lineRule="exact"/>
        <w:ind w:firstLine="480" w:firstLineChars="200"/>
        <w:jc w:val="left"/>
        <w:outlineLvl w:val="2"/>
        <w:rPr>
          <w:rFonts w:ascii="宋体" w:hAnsi="宋体" w:eastAsia="宋体" w:cs="宋体"/>
          <w:color w:val="auto"/>
          <w:sz w:val="24"/>
          <w:szCs w:val="24"/>
          <w:highlight w:val="none"/>
        </w:rPr>
      </w:pPr>
      <w:bookmarkStart w:id="50" w:name="_Toc16938523"/>
      <w:bookmarkEnd w:id="50"/>
      <w:bookmarkStart w:id="51" w:name="_Toc20823279"/>
      <w:bookmarkEnd w:id="51"/>
      <w:bookmarkStart w:id="52" w:name="_Toc462564067"/>
      <w:bookmarkEnd w:id="52"/>
      <w:bookmarkStart w:id="53" w:name="_Toc513029207"/>
      <w:bookmarkEnd w:id="53"/>
      <w:bookmarkStart w:id="54" w:name="_Toc528078011"/>
      <w:r>
        <w:rPr>
          <w:rFonts w:hint="eastAsia" w:ascii="宋体" w:hAnsi="宋体" w:eastAsia="宋体" w:cs="宋体"/>
          <w:color w:val="auto"/>
          <w:sz w:val="24"/>
          <w:szCs w:val="24"/>
          <w:highlight w:val="none"/>
        </w:rPr>
        <w:t>1.1.3</w:t>
      </w:r>
      <w:bookmarkEnd w:id="54"/>
      <w:r>
        <w:rPr>
          <w:rFonts w:hint="eastAsia" w:ascii="宋体" w:hAnsi="宋体" w:eastAsia="宋体" w:cs="宋体"/>
          <w:color w:val="auto"/>
          <w:sz w:val="24"/>
          <w:szCs w:val="24"/>
          <w:highlight w:val="none"/>
        </w:rPr>
        <w:t>磋商费用</w:t>
      </w:r>
    </w:p>
    <w:p w14:paraId="60074FB0">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本次竞争性磋商磋商服务费：</w:t>
      </w:r>
      <w:r>
        <w:rPr>
          <w:rFonts w:hint="eastAsia" w:ascii="宋体" w:hAnsi="宋体" w:cs="Calibri"/>
          <w:color w:val="auto"/>
          <w:sz w:val="24"/>
          <w:highlight w:val="none"/>
        </w:rPr>
        <w:t>招标代理服务费</w:t>
      </w:r>
      <w:r>
        <w:rPr>
          <w:rFonts w:hint="eastAsia" w:ascii="宋体" w:hAnsi="宋体" w:cs="Calibri"/>
          <w:color w:val="auto"/>
          <w:sz w:val="24"/>
          <w:highlight w:val="none"/>
          <w:lang w:val="en-US" w:eastAsia="zh-CN"/>
        </w:rPr>
        <w:t>参照《河南省招标代理服务收费指导意见》（豫招协〔2023〕002号）规定的服务类收费标准计算，具体如下：成交金额100万元以下部分按1.7%费率计算。本项目代理服务费（以实际成交金额计算为准），由成交供应商在领取成交通知书时向代理机构支付</w:t>
      </w:r>
      <w:r>
        <w:rPr>
          <w:rFonts w:hint="eastAsia" w:ascii="宋体" w:hAnsi="宋体" w:cs="Calibri"/>
          <w:color w:val="auto"/>
          <w:sz w:val="24"/>
          <w:highlight w:val="none"/>
        </w:rPr>
        <w:t>。</w:t>
      </w:r>
    </w:p>
    <w:p w14:paraId="246F119D">
      <w:pPr>
        <w:wordWrap w:val="0"/>
        <w:spacing w:line="460" w:lineRule="exact"/>
        <w:ind w:left="566" w:leftChars="218" w:hanging="108" w:hangingChars="45"/>
        <w:jc w:val="left"/>
        <w:outlineLvl w:val="1"/>
        <w:rPr>
          <w:rFonts w:ascii="宋体" w:hAnsi="宋体" w:eastAsia="宋体" w:cs="宋体"/>
          <w:color w:val="auto"/>
          <w:kern w:val="0"/>
          <w:sz w:val="24"/>
          <w:szCs w:val="24"/>
          <w:highlight w:val="none"/>
        </w:rPr>
      </w:pPr>
      <w:bookmarkStart w:id="55" w:name="_Toc504491968"/>
      <w:bookmarkEnd w:id="55"/>
      <w:bookmarkStart w:id="56" w:name="_Toc120614215"/>
      <w:bookmarkEnd w:id="56"/>
      <w:bookmarkStart w:id="57" w:name="_Toc20823281"/>
      <w:bookmarkEnd w:id="57"/>
      <w:bookmarkStart w:id="58" w:name="_Toc16938525"/>
      <w:bookmarkEnd w:id="58"/>
      <w:bookmarkStart w:id="59" w:name="_Toc505350554"/>
      <w:bookmarkEnd w:id="59"/>
      <w:bookmarkStart w:id="60" w:name="_Toc517178994"/>
      <w:bookmarkEnd w:id="60"/>
      <w:bookmarkStart w:id="61" w:name="_Toc513029209"/>
      <w:bookmarkEnd w:id="61"/>
      <w:bookmarkStart w:id="62" w:name="_Toc403987206"/>
      <w:bookmarkEnd w:id="62"/>
      <w:bookmarkStart w:id="63" w:name="_Toc528078012"/>
      <w:r>
        <w:rPr>
          <w:rFonts w:hint="eastAsia" w:ascii="宋体" w:hAnsi="宋体" w:eastAsia="宋体" w:cs="宋体"/>
          <w:color w:val="auto"/>
          <w:sz w:val="24"/>
          <w:szCs w:val="24"/>
          <w:highlight w:val="none"/>
        </w:rPr>
        <w:t>2.</w:t>
      </w:r>
      <w:bookmarkEnd w:id="63"/>
      <w:r>
        <w:rPr>
          <w:rFonts w:hint="eastAsia" w:ascii="宋体" w:hAnsi="宋体" w:eastAsia="宋体" w:cs="宋体"/>
          <w:color w:val="auto"/>
          <w:sz w:val="24"/>
          <w:szCs w:val="24"/>
          <w:highlight w:val="none"/>
        </w:rPr>
        <w:t>竞争性磋商文件</w:t>
      </w:r>
    </w:p>
    <w:p w14:paraId="014B2162">
      <w:pPr>
        <w:wordWrap w:val="0"/>
        <w:spacing w:line="460" w:lineRule="exact"/>
        <w:ind w:firstLine="480" w:firstLineChars="200"/>
        <w:jc w:val="left"/>
        <w:outlineLvl w:val="2"/>
        <w:rPr>
          <w:rFonts w:ascii="宋体" w:hAnsi="宋体" w:eastAsia="宋体" w:cs="宋体"/>
          <w:color w:val="auto"/>
          <w:sz w:val="24"/>
          <w:szCs w:val="24"/>
          <w:highlight w:val="none"/>
        </w:rPr>
      </w:pPr>
      <w:bookmarkStart w:id="64" w:name="_Toc20823282"/>
      <w:bookmarkEnd w:id="64"/>
      <w:bookmarkStart w:id="65" w:name="_Toc16938526"/>
      <w:bookmarkEnd w:id="65"/>
      <w:bookmarkStart w:id="66" w:name="_Toc513029210"/>
      <w:bookmarkEnd w:id="66"/>
      <w:bookmarkStart w:id="67" w:name="_Toc528078013"/>
      <w:r>
        <w:rPr>
          <w:rFonts w:hint="eastAsia" w:ascii="宋体" w:hAnsi="宋体" w:eastAsia="宋体" w:cs="宋体"/>
          <w:color w:val="auto"/>
          <w:sz w:val="24"/>
          <w:szCs w:val="24"/>
          <w:highlight w:val="none"/>
        </w:rPr>
        <w:t>2.1</w:t>
      </w:r>
      <w:bookmarkEnd w:id="67"/>
      <w:r>
        <w:rPr>
          <w:rFonts w:hint="eastAsia" w:ascii="宋体" w:hAnsi="宋体" w:eastAsia="宋体" w:cs="宋体"/>
          <w:color w:val="auto"/>
          <w:sz w:val="24"/>
          <w:szCs w:val="24"/>
          <w:highlight w:val="none"/>
        </w:rPr>
        <w:t>竞争性磋商文件构成</w:t>
      </w:r>
    </w:p>
    <w:p w14:paraId="3BED17B6">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2.1.1竞争性磋商公告</w:t>
      </w:r>
    </w:p>
    <w:p w14:paraId="3A77074B">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2.1.2供应商须知</w:t>
      </w:r>
    </w:p>
    <w:p w14:paraId="3B61E0BA">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2.1.3评标办法（综合评分法）</w:t>
      </w:r>
    </w:p>
    <w:p w14:paraId="5F5FD653">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2.1.4合同主要条款及格式</w:t>
      </w:r>
    </w:p>
    <w:p w14:paraId="5C90A99F">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2.1.5采购清单及技术参数</w:t>
      </w:r>
    </w:p>
    <w:p w14:paraId="65F20A23">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2.1.6投标文件格式</w:t>
      </w:r>
    </w:p>
    <w:p w14:paraId="3DD13C92">
      <w:pPr>
        <w:wordWrap w:val="0"/>
        <w:spacing w:line="460" w:lineRule="exact"/>
        <w:ind w:firstLine="480" w:firstLineChars="200"/>
        <w:jc w:val="left"/>
        <w:outlineLvl w:val="2"/>
        <w:rPr>
          <w:rFonts w:ascii="宋体" w:hAnsi="宋体" w:eastAsia="宋体" w:cs="宋体"/>
          <w:color w:val="auto"/>
          <w:sz w:val="24"/>
          <w:szCs w:val="24"/>
          <w:highlight w:val="none"/>
        </w:rPr>
      </w:pPr>
      <w:bookmarkStart w:id="68" w:name="_Toc16938527"/>
      <w:bookmarkEnd w:id="68"/>
      <w:bookmarkStart w:id="69" w:name="_Toc513029211"/>
      <w:bookmarkEnd w:id="69"/>
      <w:bookmarkStart w:id="70" w:name="_Toc20823283"/>
      <w:bookmarkEnd w:id="70"/>
      <w:bookmarkStart w:id="71" w:name="_Toc462564070"/>
      <w:bookmarkEnd w:id="71"/>
      <w:bookmarkStart w:id="72" w:name="_Toc528078014"/>
      <w:r>
        <w:rPr>
          <w:rFonts w:hint="eastAsia" w:ascii="宋体" w:hAnsi="宋体" w:eastAsia="宋体" w:cs="宋体"/>
          <w:color w:val="auto"/>
          <w:sz w:val="24"/>
          <w:szCs w:val="24"/>
          <w:highlight w:val="none"/>
        </w:rPr>
        <w:t>2.2</w:t>
      </w:r>
      <w:bookmarkEnd w:id="72"/>
      <w:r>
        <w:rPr>
          <w:rFonts w:hint="eastAsia" w:ascii="宋体" w:hAnsi="宋体" w:eastAsia="宋体" w:cs="宋体"/>
          <w:color w:val="auto"/>
          <w:sz w:val="24"/>
          <w:szCs w:val="24"/>
          <w:highlight w:val="none"/>
        </w:rPr>
        <w:t>竞争性磋商文件的澄清及修改</w:t>
      </w:r>
    </w:p>
    <w:p w14:paraId="55A1921A">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供应商应仔细阅读和检查磋商文件的全部内容。如发现电子文件缺页或附件不全，应及时向采购人提出，以便补齐。如有疑问，应在投标截止日期5日前在三门峡市公共资源交易系统中提出咨询并打电话至采购代理机构，要求采购人对磋商文件予以澄清。</w:t>
      </w:r>
    </w:p>
    <w:p w14:paraId="2AEFE10E">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2.2.2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p>
    <w:p w14:paraId="7A52EEBF">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2.2.3提交首次响应文件截止之日前，采购人、采购代理公司可以对已发出的磋商文件进行必要的澄清或者修改，澄清或者修改的内容作为磋商文件的组成部分。澄清或者修改的内容可能影响响应文件编制的，采购人、采购代理公司将在提交首次响应文件截止时间至少5日前，在相关网上发布变更公告形式通知所有获取磋商文件的供应商。不足5日的，应当顺延提交首次响应文件截止时间。</w:t>
      </w:r>
    </w:p>
    <w:p w14:paraId="65F2D218">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2.2.4供应商应自行查看澄清或变更信息。</w:t>
      </w:r>
    </w:p>
    <w:p w14:paraId="2CB340FB">
      <w:pPr>
        <w:wordWrap w:val="0"/>
        <w:spacing w:line="460" w:lineRule="exact"/>
        <w:ind w:firstLine="480" w:firstLineChars="200"/>
        <w:jc w:val="left"/>
        <w:outlineLvl w:val="1"/>
        <w:rPr>
          <w:rFonts w:ascii="宋体" w:hAnsi="宋体" w:eastAsia="宋体" w:cs="宋体"/>
          <w:color w:val="auto"/>
          <w:kern w:val="0"/>
          <w:sz w:val="24"/>
          <w:szCs w:val="24"/>
          <w:highlight w:val="none"/>
        </w:rPr>
      </w:pPr>
      <w:bookmarkStart w:id="73" w:name="_Toc462564072"/>
      <w:bookmarkEnd w:id="73"/>
      <w:bookmarkStart w:id="74" w:name="_Toc16938529"/>
      <w:bookmarkEnd w:id="74"/>
      <w:bookmarkStart w:id="75" w:name="_Toc120614216"/>
      <w:bookmarkEnd w:id="75"/>
      <w:bookmarkStart w:id="76" w:name="_Toc403987207"/>
      <w:bookmarkEnd w:id="76"/>
      <w:bookmarkStart w:id="77" w:name="_Toc504491969"/>
      <w:bookmarkEnd w:id="77"/>
      <w:bookmarkStart w:id="78" w:name="_Toc505350555"/>
      <w:bookmarkEnd w:id="78"/>
      <w:bookmarkStart w:id="79" w:name="_Toc20823285"/>
      <w:bookmarkEnd w:id="79"/>
      <w:bookmarkStart w:id="80" w:name="_Toc528078015"/>
      <w:bookmarkEnd w:id="80"/>
      <w:bookmarkStart w:id="81" w:name="_Toc517178995"/>
      <w:bookmarkEnd w:id="81"/>
      <w:r>
        <w:rPr>
          <w:rFonts w:hint="eastAsia" w:ascii="宋体" w:hAnsi="宋体" w:eastAsia="宋体" w:cs="宋体"/>
          <w:color w:val="auto"/>
          <w:sz w:val="24"/>
          <w:szCs w:val="24"/>
          <w:highlight w:val="none"/>
        </w:rPr>
        <w:t>3.磋商响应文件的编制及递交</w:t>
      </w:r>
    </w:p>
    <w:p w14:paraId="607EE45F">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交易项目竞争性磋商响应文件（以下简称“响应文件”）是投标人、供应商（以下简称“供应商”）通过中心响应文件制作系统制作，并经过签章和加密后生成的电子版响应文件。供应商投标时，将不再接受任何纸质文件资料。</w:t>
      </w:r>
    </w:p>
    <w:p w14:paraId="66BA94FD">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电子化响应文件具体制作教材请供应商通过CA证书登录三门峡市公共资源电子化交易系统在“组建下载”中查看。</w:t>
      </w:r>
    </w:p>
    <w:p w14:paraId="78BA76C4">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温馨提示：本项目为电子化、无纸化交易项目，开标时不接受任何纸质资料，为保证您能投标成功，请需仔细阅读以下条款。</w:t>
      </w:r>
    </w:p>
    <w:p w14:paraId="6EEECFA0">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一、电子化投标</w:t>
      </w:r>
    </w:p>
    <w:p w14:paraId="5AEA8DA3">
      <w:pPr>
        <w:wordWrap w:val="0"/>
        <w:spacing w:line="460" w:lineRule="exact"/>
        <w:ind w:firstLine="480" w:firstLineChars="200"/>
        <w:jc w:val="left"/>
        <w:outlineLvl w:val="3"/>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（一）电子化响应文件的签章</w:t>
      </w:r>
    </w:p>
    <w:p w14:paraId="37A664C9">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1、供应商在生成电子化响应文件后，应对电子化响应文件进行签章，未进行签章的视为无效投标。</w:t>
      </w:r>
    </w:p>
    <w:p w14:paraId="393BAAF0">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2、磋商文件中要求</w:t>
      </w:r>
      <w:r>
        <w:rPr>
          <w:rFonts w:hint="eastAsia" w:ascii="宋体" w:hAnsi="宋体" w:eastAsia="宋体" w:cs="宋体"/>
          <w:b w:val="0"/>
          <w:bCs/>
          <w:color w:val="000000" w:themeColor="text1"/>
          <w:kern w:val="0"/>
          <w:sz w:val="24"/>
          <w:szCs w:val="24"/>
          <w:lang w:val="en-US" w:eastAsia="zh-CN" w:bidi="ar-SA"/>
          <w14:textFill>
            <w14:solidFill>
              <w14:schemeClr w14:val="tx1"/>
            </w14:solidFill>
          </w14:textFill>
        </w:rPr>
        <w:t>投标供应商盖章的，以签盖单位章为准；要求法定代表人签章的，以签盖法定代表人签章为准</w:t>
      </w:r>
      <w:r>
        <w:rPr>
          <w:rFonts w:hint="eastAsia" w:ascii="宋体" w:hAnsi="宋体" w:eastAsia="宋体" w:cs="宋体"/>
          <w:color w:val="auto"/>
          <w:sz w:val="24"/>
          <w:szCs w:val="24"/>
          <w:highlight w:val="none"/>
        </w:rPr>
        <w:t>。电子化响应文件具体制作教材请供应商通过CA证书登录三门峡市公共资源电子化交易系统在右上角“组建下载”中查看。</w:t>
      </w:r>
    </w:p>
    <w:p w14:paraId="6A2AD32F">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（二）电子化响应文件的格式及上传投标</w:t>
      </w:r>
    </w:p>
    <w:p w14:paraId="69F4F94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1、供应商所上传的电子化响应文件，应是通过中心响应文件制作系统制作的，经过签章和加密后生成的电子版响应文件。</w:t>
      </w:r>
    </w:p>
    <w:p w14:paraId="662EFA7B">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2、电子化响应文件应在投标截止时间前成功上传至三门峡市公共资源电子化交易系统。至投标截止时间止，仍未上传成功的电子化响应文件将不予接收。</w:t>
      </w:r>
    </w:p>
    <w:p w14:paraId="3807C542">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0CF60FD2">
      <w:pPr>
        <w:wordWrap w:val="0"/>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（三）电子化项目开标、解密、唱标、磋商</w:t>
      </w:r>
    </w:p>
    <w:p w14:paraId="115C67DE">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1、本项目采用电子化、无纸化进行招标，供应商可以通过网络登录交易平台进入项目开标大厅远程在线参加开标会议。</w:t>
      </w:r>
    </w:p>
    <w:p w14:paraId="0100D4E4">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响应文件采用双重加密方式。开标时，请供应商使用CA证书登录交易平台，进入本项目开标大厅点击解密来完成响应文件的解密工作。每位供应商的解密时间为开标时间起30分钟内完成。待所有供应商全部解密完成后，再由中介服务机构使用CA证书对响应文件进行再次解密。</w:t>
      </w:r>
    </w:p>
    <w:p w14:paraId="23673C95">
      <w:pPr>
        <w:wordWrap w:val="0"/>
        <w:spacing w:line="460" w:lineRule="exact"/>
        <w:ind w:firstLine="480" w:firstLineChars="200"/>
        <w:jc w:val="left"/>
        <w:outlineLvl w:val="1"/>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3、电子化响应文件解密异常的处理</w:t>
      </w:r>
    </w:p>
    <w:p w14:paraId="3B2FB115">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如出现供应商的电子响应文件无法解密等异常情况，供应商应及时致电中介服务机构说明。响应文件异常，按以下步骤进行处理：</w:t>
      </w:r>
    </w:p>
    <w:p w14:paraId="2EB68793">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（1）首先由技术人员进行问题排查。</w:t>
      </w:r>
    </w:p>
    <w:p w14:paraId="6FEBC068">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（2）经技术人员排查后，是供应商文件自身问题导致响应文件无法解密的，该响应文件将不予接收、解密和唱标。开标会议继续进行。</w:t>
      </w:r>
    </w:p>
    <w:p w14:paraId="118D52F7">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199D5CB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4、供应商应保证在开标期间电话、电脑、网络能够正常工作，供应商因停电、电脑病毒、网络堵塞等原因，未在规定的解密时间内对响应文件进行解密的，其响应文件不予接收、唱标。</w:t>
      </w:r>
    </w:p>
    <w:p w14:paraId="057E2E7A">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磋商小组对电子化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5F430FF1">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6、如磋商小组对需要回复的供应商连续三次致电未接通的，视为供应商放弃回复，磋商小组将自行对需要回复的内容进行认定。</w:t>
      </w:r>
    </w:p>
    <w:p w14:paraId="28D952FB">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二、相关证书原件的提交</w:t>
      </w:r>
    </w:p>
    <w:p w14:paraId="1E79E1B0">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1.本项目实行资格后审，竞争性磋商文件中要求供应商提交营业执照、证书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业绩</w:t>
      </w:r>
      <w:r>
        <w:rPr>
          <w:rFonts w:hint="eastAsia" w:ascii="宋体" w:hAnsi="宋体" w:eastAsia="宋体" w:cs="宋体"/>
          <w:color w:val="auto"/>
          <w:sz w:val="24"/>
          <w:szCs w:val="24"/>
          <w:highlight w:val="none"/>
        </w:rPr>
        <w:t>等相关资料</w:t>
      </w:r>
    </w:p>
    <w:p w14:paraId="7D1C1079">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2.供应商需应仔细阅读操作手册，保证上传内容齐全，真实有效，原件扫描件清晰可辨。因供应商上传原因导致应得分项而未得分或资格审查不合格等情况的，由供应商自行承担责任。</w:t>
      </w:r>
    </w:p>
    <w:p w14:paraId="312E372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提示：本项目为电子化、无纸化交易项目，开标时不再接受任何纸质资料，为保证您能投标成功，请需仔细阅读以上条款。</w:t>
      </w:r>
    </w:p>
    <w:p w14:paraId="48C97137">
      <w:pPr>
        <w:wordWrap w:val="0"/>
        <w:spacing w:line="460" w:lineRule="exact"/>
        <w:ind w:firstLine="480" w:firstLineChars="200"/>
        <w:jc w:val="left"/>
        <w:outlineLvl w:val="1"/>
        <w:rPr>
          <w:rFonts w:ascii="宋体" w:hAnsi="宋体" w:eastAsia="宋体" w:cs="宋体"/>
          <w:color w:val="auto"/>
          <w:sz w:val="24"/>
          <w:szCs w:val="24"/>
          <w:highlight w:val="none"/>
        </w:rPr>
      </w:pPr>
      <w:bookmarkStart w:id="82" w:name="_Toc528078016"/>
      <w:bookmarkEnd w:id="82"/>
      <w:r>
        <w:rPr>
          <w:rFonts w:hint="eastAsia" w:ascii="宋体" w:hAnsi="宋体" w:eastAsia="宋体" w:cs="宋体"/>
          <w:color w:val="auto"/>
          <w:sz w:val="24"/>
          <w:szCs w:val="24"/>
          <w:highlight w:val="none"/>
        </w:rPr>
        <w:t>3.初次报价表</w:t>
      </w:r>
    </w:p>
    <w:p w14:paraId="615D908B">
      <w:pPr>
        <w:wordWrap w:val="0"/>
        <w:spacing w:line="460" w:lineRule="exact"/>
        <w:ind w:firstLine="480" w:firstLineChars="200"/>
        <w:jc w:val="left"/>
        <w:outlineLvl w:val="2"/>
        <w:rPr>
          <w:rFonts w:ascii="宋体" w:hAnsi="宋体" w:eastAsia="宋体" w:cs="宋体"/>
          <w:color w:val="auto"/>
          <w:sz w:val="24"/>
          <w:szCs w:val="24"/>
          <w:highlight w:val="none"/>
        </w:rPr>
      </w:pPr>
      <w:bookmarkStart w:id="83" w:name="_Toc528078017"/>
      <w:bookmarkEnd w:id="83"/>
      <w:r>
        <w:rPr>
          <w:rFonts w:hint="eastAsia" w:ascii="宋体" w:hAnsi="宋体" w:eastAsia="宋体" w:cs="宋体"/>
          <w:color w:val="auto"/>
          <w:sz w:val="24"/>
          <w:szCs w:val="24"/>
          <w:highlight w:val="none"/>
        </w:rPr>
        <w:t>3.1供应商应按照竞争性磋商文件规定格式填报</w:t>
      </w:r>
      <w:bookmarkStart w:id="84" w:name="_Hlt26670399"/>
      <w:bookmarkEnd w:id="84"/>
      <w:r>
        <w:rPr>
          <w:rFonts w:hint="eastAsia" w:ascii="宋体" w:hAnsi="宋体" w:eastAsia="宋体" w:cs="宋体"/>
          <w:color w:val="auto"/>
          <w:sz w:val="24"/>
          <w:szCs w:val="24"/>
          <w:highlight w:val="none"/>
        </w:rPr>
        <w:t>初次报价表。每项费用允许有一个报价，任何有选择的报价将不予接受。</w:t>
      </w:r>
    </w:p>
    <w:p w14:paraId="66E9309B">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3.2有关费用处理</w:t>
      </w:r>
    </w:p>
    <w:p w14:paraId="69E5095D">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本项目应以人民币报价，供应商应就该项目完整投标（报价、服务、税费、售后服务等综合费用），采购人不另外支付其他任何费用；</w:t>
      </w:r>
    </w:p>
    <w:p w14:paraId="67C68FAE">
      <w:pPr>
        <w:wordWrap w:val="0"/>
        <w:spacing w:line="460" w:lineRule="exact"/>
        <w:ind w:firstLine="480" w:firstLineChars="200"/>
        <w:jc w:val="left"/>
        <w:outlineLvl w:val="2"/>
        <w:rPr>
          <w:rFonts w:ascii="宋体" w:hAnsi="宋体" w:eastAsia="宋体" w:cs="宋体"/>
          <w:color w:val="auto"/>
          <w:sz w:val="24"/>
          <w:szCs w:val="24"/>
          <w:highlight w:val="none"/>
        </w:rPr>
      </w:pPr>
      <w:bookmarkStart w:id="85" w:name="_Toc528078018"/>
      <w:bookmarkEnd w:id="85"/>
      <w:r>
        <w:rPr>
          <w:rFonts w:hint="eastAsia" w:ascii="宋体" w:hAnsi="宋体" w:eastAsia="宋体" w:cs="宋体"/>
          <w:color w:val="auto"/>
          <w:sz w:val="24"/>
          <w:szCs w:val="24"/>
          <w:highlight w:val="none"/>
        </w:rPr>
        <w:t>3.3其它费用处理</w:t>
      </w:r>
    </w:p>
    <w:p w14:paraId="7B7EE269">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竞争性磋商文件未列明，而供应商认为必需的费用也需列入报价。</w:t>
      </w:r>
    </w:p>
    <w:p w14:paraId="2EF43B37">
      <w:pPr>
        <w:wordWrap w:val="0"/>
        <w:spacing w:line="460" w:lineRule="exact"/>
        <w:ind w:firstLine="480" w:firstLineChars="200"/>
        <w:jc w:val="left"/>
        <w:outlineLvl w:val="2"/>
        <w:rPr>
          <w:rFonts w:ascii="宋体" w:hAnsi="宋体" w:eastAsia="宋体" w:cs="宋体"/>
          <w:color w:val="auto"/>
          <w:sz w:val="24"/>
          <w:szCs w:val="24"/>
          <w:highlight w:val="none"/>
        </w:rPr>
      </w:pPr>
      <w:bookmarkStart w:id="86" w:name="_Toc528078019"/>
      <w:bookmarkEnd w:id="86"/>
      <w:r>
        <w:rPr>
          <w:rFonts w:hint="eastAsia" w:ascii="宋体" w:hAnsi="宋体" w:eastAsia="宋体" w:cs="宋体"/>
          <w:color w:val="auto"/>
          <w:sz w:val="24"/>
          <w:szCs w:val="24"/>
          <w:highlight w:val="none"/>
        </w:rPr>
        <w:t>3.4响应文件货币</w:t>
      </w:r>
    </w:p>
    <w:p w14:paraId="7BD618F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响应文件中的货物单价和总价无特殊规定的采用人民币报价，以元为单位标注。竞争性磋商文件中另有规定的按规定执行。</w:t>
      </w:r>
    </w:p>
    <w:p w14:paraId="024BB8EB">
      <w:pPr>
        <w:wordWrap w:val="0"/>
        <w:spacing w:line="460" w:lineRule="exact"/>
        <w:ind w:firstLine="480" w:firstLineChars="200"/>
        <w:jc w:val="left"/>
        <w:outlineLvl w:val="2"/>
        <w:rPr>
          <w:rFonts w:ascii="宋体" w:hAnsi="宋体" w:eastAsia="宋体" w:cs="宋体"/>
          <w:color w:val="auto"/>
          <w:sz w:val="24"/>
          <w:szCs w:val="24"/>
          <w:highlight w:val="none"/>
        </w:rPr>
      </w:pPr>
      <w:bookmarkStart w:id="87" w:name="_Toc528078020"/>
      <w:bookmarkEnd w:id="87"/>
      <w:r>
        <w:rPr>
          <w:rFonts w:hint="eastAsia" w:ascii="宋体" w:hAnsi="宋体" w:eastAsia="宋体" w:cs="宋体"/>
          <w:color w:val="auto"/>
          <w:sz w:val="24"/>
          <w:szCs w:val="24"/>
          <w:highlight w:val="none"/>
        </w:rPr>
        <w:t>3.5初次报价表上的价格应按下列方式填写：</w:t>
      </w:r>
    </w:p>
    <w:p w14:paraId="5F623575">
      <w:pPr>
        <w:wordWrap w:val="0"/>
        <w:spacing w:line="460" w:lineRule="exact"/>
        <w:ind w:firstLine="480" w:firstLineChars="200"/>
        <w:jc w:val="left"/>
        <w:rPr>
          <w:rFonts w:ascii="宋体" w:hAnsi="宋体" w:eastAsia="宋体" w:cs="宋体"/>
          <w:color w:val="auto"/>
          <w:sz w:val="24"/>
          <w:szCs w:val="24"/>
          <w:highlight w:val="none"/>
        </w:rPr>
      </w:pPr>
      <w:bookmarkStart w:id="88" w:name="_Hlt26670403"/>
      <w:bookmarkEnd w:id="88"/>
      <w:bookmarkStart w:id="89" w:name="_Hlt26670425"/>
      <w:bookmarkEnd w:id="89"/>
      <w:bookmarkStart w:id="90" w:name="_Hlt26954844"/>
      <w:bookmarkEnd w:id="90"/>
      <w:bookmarkStart w:id="91" w:name="_Hlt26668983"/>
      <w:bookmarkEnd w:id="91"/>
      <w:bookmarkStart w:id="92" w:name="_Hlt26954842"/>
      <w:bookmarkEnd w:id="92"/>
      <w:r>
        <w:rPr>
          <w:rFonts w:hint="eastAsia" w:ascii="宋体" w:hAnsi="宋体" w:eastAsia="宋体" w:cs="宋体"/>
          <w:color w:val="auto"/>
          <w:sz w:val="24"/>
          <w:szCs w:val="24"/>
          <w:highlight w:val="none"/>
        </w:rPr>
        <w:t>3.5.1项目总价：包括买方采购需求所涉及的所有费用。</w:t>
      </w:r>
    </w:p>
    <w:p w14:paraId="2F5EFE56">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3.5.2各项报价的总和等于总价</w:t>
      </w:r>
    </w:p>
    <w:p w14:paraId="3A91F99D">
      <w:pPr>
        <w:wordWrap w:val="0"/>
        <w:spacing w:line="460" w:lineRule="exact"/>
        <w:ind w:firstLine="480" w:firstLineChars="200"/>
        <w:jc w:val="left"/>
        <w:outlineLvl w:val="1"/>
        <w:rPr>
          <w:rFonts w:ascii="宋体" w:hAnsi="宋体" w:eastAsia="宋体" w:cs="宋体"/>
          <w:color w:val="auto"/>
          <w:kern w:val="0"/>
          <w:sz w:val="24"/>
          <w:szCs w:val="24"/>
          <w:highlight w:val="none"/>
        </w:rPr>
      </w:pPr>
      <w:bookmarkStart w:id="93" w:name="_Hlt26954846"/>
      <w:bookmarkEnd w:id="93"/>
      <w:bookmarkStart w:id="94" w:name="_Hlt26670486"/>
      <w:bookmarkEnd w:id="94"/>
      <w:bookmarkStart w:id="95" w:name="_Hlt26954848"/>
      <w:bookmarkEnd w:id="95"/>
      <w:bookmarkStart w:id="96" w:name="_Toc505350556"/>
      <w:bookmarkEnd w:id="96"/>
      <w:bookmarkStart w:id="97" w:name="_Hlt26670482"/>
      <w:bookmarkEnd w:id="97"/>
      <w:bookmarkStart w:id="98" w:name="_Hlt26954731"/>
      <w:bookmarkEnd w:id="98"/>
      <w:bookmarkStart w:id="99" w:name="_Toc517178996"/>
      <w:bookmarkEnd w:id="99"/>
      <w:bookmarkStart w:id="100" w:name="_Toc528078025"/>
      <w:r>
        <w:rPr>
          <w:rFonts w:hint="eastAsia" w:ascii="宋体" w:hAnsi="宋体" w:eastAsia="宋体" w:cs="宋体"/>
          <w:color w:val="auto"/>
          <w:sz w:val="24"/>
          <w:szCs w:val="24"/>
          <w:highlight w:val="none"/>
        </w:rPr>
        <w:t>4.磋商与评审</w:t>
      </w:r>
      <w:bookmarkEnd w:id="100"/>
      <w:bookmarkStart w:id="101" w:name="_Toc528078026"/>
      <w:bookmarkEnd w:id="101"/>
    </w:p>
    <w:p w14:paraId="3C37958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采购代理机构根据采购项目的特点依法组建磋商小组</w:t>
      </w:r>
      <w:r>
        <w:rPr>
          <w:rFonts w:ascii="宋体" w:hAnsi="宋体" w:cs="宋体"/>
          <w:color w:val="auto"/>
          <w:sz w:val="24"/>
          <w:highlight w:val="none"/>
        </w:rPr>
        <w:t>负责磋商</w:t>
      </w:r>
      <w:r>
        <w:rPr>
          <w:rFonts w:hint="eastAsia" w:ascii="宋体" w:hAnsi="宋体" w:eastAsia="宋体" w:cs="宋体"/>
          <w:color w:val="auto"/>
          <w:sz w:val="24"/>
          <w:szCs w:val="24"/>
          <w:highlight w:val="none"/>
        </w:rPr>
        <w:t>。磋商小组由采购人代表和有关技术、经济等方面的专家组成，成员为3人。其中：技术、经济等方面的专家不能少于磋商小组成员的2/3。采购人代表不得担任磋商小组组长。2名磋商小组成员确定方式：从相关专家库中随机抽取。</w:t>
      </w:r>
      <w:bookmarkStart w:id="102" w:name="_Toc528078027"/>
      <w:bookmarkEnd w:id="102"/>
    </w:p>
    <w:p w14:paraId="464A3E4B">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根据《政府采购竞争性磋商采购方式管理办法》的规定，磋商小组应当履行以下义务：</w:t>
      </w:r>
    </w:p>
    <w:p w14:paraId="4CD3C07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w:t>
      </w:r>
      <w:r>
        <w:rPr>
          <w:rFonts w:ascii="宋体" w:hAnsi="宋体" w:cs="宋体"/>
          <w:color w:val="auto"/>
          <w:sz w:val="24"/>
          <w:highlight w:val="none"/>
        </w:rPr>
        <w:t>遵纪守法，客观、公正、</w:t>
      </w:r>
      <w:r>
        <w:rPr>
          <w:rFonts w:hint="eastAsia" w:ascii="宋体" w:hAnsi="宋体" w:cs="宋体"/>
          <w:color w:val="auto"/>
          <w:sz w:val="24"/>
          <w:highlight w:val="none"/>
        </w:rPr>
        <w:t>廉洁</w:t>
      </w:r>
      <w:r>
        <w:rPr>
          <w:rFonts w:ascii="宋体" w:hAnsi="宋体" w:cs="宋体"/>
          <w:color w:val="auto"/>
          <w:sz w:val="24"/>
          <w:highlight w:val="none"/>
        </w:rPr>
        <w:t xml:space="preserve">地履行职责； </w:t>
      </w:r>
    </w:p>
    <w:p w14:paraId="48C4AD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w:t>
      </w:r>
      <w:r>
        <w:rPr>
          <w:rFonts w:ascii="宋体" w:hAnsi="宋体" w:cs="宋体"/>
          <w:color w:val="auto"/>
          <w:sz w:val="24"/>
          <w:highlight w:val="none"/>
        </w:rPr>
        <w:t>根据竞争性磋商文件的规定独立进行评审，对个人的评审意见承担法律责任；磋商小组将综合分析、评审投标人的各项指标，而不以单项指标的优劣评定出成交候选</w:t>
      </w:r>
      <w:r>
        <w:rPr>
          <w:rFonts w:hint="eastAsia" w:ascii="宋体" w:hAnsi="宋体" w:cs="宋体"/>
          <w:color w:val="auto"/>
          <w:sz w:val="24"/>
          <w:highlight w:val="none"/>
        </w:rPr>
        <w:t>人</w:t>
      </w:r>
      <w:r>
        <w:rPr>
          <w:rFonts w:ascii="宋体" w:hAnsi="宋体" w:cs="宋体"/>
          <w:color w:val="auto"/>
          <w:sz w:val="24"/>
          <w:highlight w:val="none"/>
        </w:rPr>
        <w:t>或成交</w:t>
      </w:r>
      <w:r>
        <w:rPr>
          <w:rFonts w:hint="eastAsia" w:ascii="宋体" w:hAnsi="宋体" w:cs="宋体"/>
          <w:color w:val="auto"/>
          <w:sz w:val="24"/>
          <w:highlight w:val="none"/>
        </w:rPr>
        <w:t>人</w:t>
      </w:r>
      <w:r>
        <w:rPr>
          <w:rFonts w:ascii="宋体" w:hAnsi="宋体" w:cs="宋体"/>
          <w:color w:val="auto"/>
          <w:sz w:val="24"/>
          <w:highlight w:val="none"/>
        </w:rPr>
        <w:t>。</w:t>
      </w:r>
    </w:p>
    <w:p w14:paraId="0C04E5A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w:t>
      </w:r>
      <w:r>
        <w:rPr>
          <w:rFonts w:ascii="宋体" w:hAnsi="宋体" w:cs="宋体"/>
          <w:color w:val="auto"/>
          <w:sz w:val="24"/>
          <w:highlight w:val="none"/>
        </w:rPr>
        <w:t>参与磋商报告的起草；</w:t>
      </w:r>
    </w:p>
    <w:p w14:paraId="3DB8C29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w:t>
      </w:r>
      <w:r>
        <w:rPr>
          <w:rFonts w:ascii="宋体" w:hAnsi="宋体" w:cs="宋体"/>
          <w:color w:val="auto"/>
          <w:sz w:val="24"/>
          <w:highlight w:val="none"/>
        </w:rPr>
        <w:t>配合采购人、代理机构答复投标人提出的质疑；</w:t>
      </w:r>
    </w:p>
    <w:p w14:paraId="571C320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w:t>
      </w:r>
      <w:r>
        <w:rPr>
          <w:rFonts w:ascii="宋体" w:hAnsi="宋体" w:cs="宋体"/>
          <w:color w:val="auto"/>
          <w:sz w:val="24"/>
          <w:highlight w:val="none"/>
        </w:rPr>
        <w:t>配合财政部门的投诉处理和监督检查工作。</w:t>
      </w:r>
    </w:p>
    <w:p w14:paraId="05C60B30">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szCs w:val="24"/>
          <w:highlight w:val="none"/>
        </w:rPr>
        <w:t>4.6</w:t>
      </w:r>
      <w:r>
        <w:rPr>
          <w:rFonts w:ascii="宋体" w:hAnsi="宋体" w:eastAsia="宋体" w:cs="宋体"/>
          <w:color w:val="auto"/>
          <w:sz w:val="24"/>
          <w:szCs w:val="24"/>
          <w:highlight w:val="none"/>
        </w:rPr>
        <w:t>磋商过程中，磋商小组成员有回避事由、擅离职守或者因健康等原因不能继续评审的，采购人有权更换。被更换的磋商小组成员作出的评审结论无效，由更换后的磋商小组成员重新进行评审。</w:t>
      </w:r>
    </w:p>
    <w:p w14:paraId="33EB163A">
      <w:pPr>
        <w:wordWrap w:val="0"/>
        <w:spacing w:line="460" w:lineRule="exact"/>
        <w:ind w:firstLine="480" w:firstLineChars="200"/>
        <w:jc w:val="left"/>
        <w:outlineLvl w:val="1"/>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5、磋商小组工作原则</w:t>
      </w:r>
    </w:p>
    <w:p w14:paraId="14155294">
      <w:pPr>
        <w:wordWrap w:val="0"/>
        <w:spacing w:line="460" w:lineRule="exact"/>
        <w:ind w:firstLine="480" w:firstLineChars="200"/>
        <w:jc w:val="left"/>
        <w:outlineLvl w:val="2"/>
        <w:rPr>
          <w:rFonts w:ascii="宋体" w:hAnsi="宋体" w:eastAsia="宋体" w:cs="宋体"/>
          <w:color w:val="auto"/>
          <w:sz w:val="24"/>
          <w:szCs w:val="24"/>
          <w:highlight w:val="none"/>
        </w:rPr>
      </w:pPr>
      <w:bookmarkStart w:id="103" w:name="_Toc528078029"/>
      <w:bookmarkEnd w:id="103"/>
      <w:r>
        <w:rPr>
          <w:rFonts w:hint="eastAsia" w:ascii="宋体" w:hAnsi="宋体" w:eastAsia="宋体" w:cs="宋体"/>
          <w:color w:val="auto"/>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磋商文件内容违反国家有关强制性规定的，磋商小组应当停止评审并向采购人或者采购代理机构说明情况。</w:t>
      </w:r>
    </w:p>
    <w:p w14:paraId="04BF5EB6">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评标委员会成员应当在评审报告上签字，对自己的评审意见承担法律责任。对评审报告有异议的，应当在评审报告上签署不同意见，并说明理由，否则视为同意评审报告。</w:t>
      </w:r>
    </w:p>
    <w:p w14:paraId="4E40FCD3">
      <w:pPr>
        <w:wordWrap w:val="0"/>
        <w:spacing w:line="460" w:lineRule="exact"/>
        <w:ind w:firstLine="480" w:firstLineChars="200"/>
        <w:jc w:val="left"/>
        <w:outlineLvl w:val="1"/>
        <w:rPr>
          <w:rFonts w:ascii="宋体" w:hAnsi="宋体" w:eastAsia="宋体" w:cs="宋体"/>
          <w:color w:val="auto"/>
          <w:sz w:val="24"/>
          <w:szCs w:val="24"/>
          <w:highlight w:val="none"/>
        </w:rPr>
      </w:pPr>
      <w:bookmarkStart w:id="104" w:name="_Toc528078030"/>
      <w:bookmarkEnd w:id="104"/>
      <w:r>
        <w:rPr>
          <w:rFonts w:hint="eastAsia" w:ascii="宋体" w:hAnsi="宋体" w:eastAsia="宋体" w:cs="宋体"/>
          <w:color w:val="auto"/>
          <w:sz w:val="24"/>
          <w:szCs w:val="24"/>
          <w:highlight w:val="none"/>
        </w:rPr>
        <w:t>6、响应文件审查</w:t>
      </w:r>
    </w:p>
    <w:p w14:paraId="70AF5F08">
      <w:pPr>
        <w:wordWrap w:val="0"/>
        <w:spacing w:line="460" w:lineRule="exact"/>
        <w:ind w:firstLine="480" w:firstLineChars="200"/>
        <w:jc w:val="left"/>
        <w:outlineLvl w:val="2"/>
        <w:rPr>
          <w:rFonts w:ascii="宋体" w:hAnsi="宋体" w:eastAsia="宋体" w:cs="宋体"/>
          <w:color w:val="auto"/>
          <w:sz w:val="24"/>
          <w:szCs w:val="24"/>
          <w:highlight w:val="none"/>
        </w:rPr>
      </w:pPr>
      <w:bookmarkStart w:id="105" w:name="_Toc528078031"/>
      <w:bookmarkEnd w:id="105"/>
      <w:r>
        <w:rPr>
          <w:rFonts w:hint="eastAsia" w:ascii="宋体" w:hAnsi="宋体" w:eastAsia="宋体" w:cs="宋体"/>
          <w:color w:val="auto"/>
          <w:sz w:val="24"/>
          <w:szCs w:val="24"/>
          <w:highlight w:val="none"/>
        </w:rPr>
        <w:t>磋商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160A6CCC">
      <w:pPr>
        <w:wordWrap w:val="0"/>
        <w:spacing w:line="460" w:lineRule="exact"/>
        <w:ind w:firstLine="480" w:firstLineChars="200"/>
        <w:jc w:val="left"/>
        <w:outlineLvl w:val="1"/>
        <w:rPr>
          <w:rFonts w:ascii="宋体" w:hAnsi="宋体" w:eastAsia="宋体" w:cs="宋体"/>
          <w:color w:val="auto"/>
          <w:sz w:val="24"/>
          <w:szCs w:val="24"/>
          <w:highlight w:val="none"/>
        </w:rPr>
      </w:pPr>
      <w:bookmarkStart w:id="106" w:name="_Toc20823304"/>
      <w:bookmarkEnd w:id="106"/>
      <w:bookmarkStart w:id="107" w:name="_Toc513029232"/>
      <w:bookmarkEnd w:id="107"/>
      <w:bookmarkStart w:id="108" w:name="_Toc16938548"/>
      <w:bookmarkEnd w:id="108"/>
      <w:r>
        <w:rPr>
          <w:rFonts w:hint="eastAsia" w:ascii="宋体" w:hAnsi="宋体" w:eastAsia="宋体" w:cs="宋体"/>
          <w:color w:val="auto"/>
          <w:sz w:val="24"/>
          <w:szCs w:val="24"/>
          <w:highlight w:val="none"/>
        </w:rPr>
        <w:t>7、磋商程序、最后报价、综合评分</w:t>
      </w:r>
    </w:p>
    <w:p w14:paraId="3034FB54">
      <w:pPr>
        <w:wordWrap w:val="0"/>
        <w:spacing w:line="460" w:lineRule="exact"/>
        <w:ind w:firstLine="480" w:firstLineChars="200"/>
        <w:jc w:val="left"/>
        <w:outlineLvl w:val="2"/>
        <w:rPr>
          <w:rFonts w:ascii="宋体" w:hAnsi="宋体" w:eastAsia="宋体" w:cs="宋体"/>
          <w:color w:val="auto"/>
          <w:sz w:val="24"/>
          <w:szCs w:val="24"/>
          <w:highlight w:val="none"/>
        </w:rPr>
      </w:pPr>
      <w:bookmarkStart w:id="109" w:name="_Toc528078034"/>
      <w:bookmarkEnd w:id="109"/>
      <w:r>
        <w:rPr>
          <w:rFonts w:hint="eastAsia" w:ascii="宋体" w:hAnsi="宋体" w:eastAsia="宋体" w:cs="宋体"/>
          <w:color w:val="auto"/>
          <w:sz w:val="24"/>
          <w:szCs w:val="24"/>
          <w:highlight w:val="none"/>
        </w:rPr>
        <w:t>7.1</w:t>
      </w:r>
      <w:r>
        <w:rPr>
          <w:rFonts w:ascii="宋体" w:hAnsi="宋体" w:eastAsia="宋体" w:cs="宋体"/>
          <w:color w:val="auto"/>
          <w:sz w:val="24"/>
          <w:szCs w:val="24"/>
          <w:highlight w:val="none"/>
        </w:rPr>
        <w:t>磋商小组按照“第</w:t>
      </w:r>
      <w:r>
        <w:rPr>
          <w:rFonts w:hint="eastAsia" w:ascii="宋体" w:hAnsi="宋体" w:eastAsia="宋体" w:cs="宋体"/>
          <w:color w:val="auto"/>
          <w:sz w:val="24"/>
          <w:szCs w:val="24"/>
          <w:highlight w:val="none"/>
        </w:rPr>
        <w:t>三</w:t>
      </w:r>
      <w:r>
        <w:rPr>
          <w:rFonts w:ascii="宋体" w:hAnsi="宋体" w:eastAsia="宋体" w:cs="宋体"/>
          <w:color w:val="auto"/>
          <w:sz w:val="24"/>
          <w:szCs w:val="24"/>
          <w:highlight w:val="none"/>
        </w:rPr>
        <w:t>章 评审办法”规定的方法、评审因素、标准和程序对响应文件进行评审。综合评分法，是指响应文件满足磋商文件全部实质性要求且按评审因素的量化指标评审得分最高的供应商为成交候选供应商的评审方法</w:t>
      </w:r>
      <w:bookmarkStart w:id="110" w:name="_Toc528078035"/>
      <w:bookmarkEnd w:id="110"/>
      <w:r>
        <w:rPr>
          <w:rFonts w:ascii="宋体" w:hAnsi="宋体" w:eastAsia="宋体" w:cs="宋体"/>
          <w:color w:val="auto"/>
          <w:sz w:val="24"/>
          <w:szCs w:val="24"/>
          <w:highlight w:val="none"/>
        </w:rPr>
        <w:t>。</w:t>
      </w:r>
    </w:p>
    <w:p w14:paraId="6629A5BC">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7.2</w:t>
      </w:r>
      <w:r>
        <w:rPr>
          <w:rFonts w:ascii="宋体" w:hAnsi="宋体" w:eastAsia="宋体" w:cs="宋体"/>
          <w:color w:val="auto"/>
          <w:sz w:val="24"/>
          <w:szCs w:val="24"/>
          <w:highlight w:val="none"/>
        </w:rPr>
        <w:t>磋商小组负责审查电子响应文件是否符合磋商文件的要求，并进行审查、磋商、评估和比较。磋商小组认为必要时，可向供应商进行磋商。</w:t>
      </w:r>
    </w:p>
    <w:p w14:paraId="63172A55">
      <w:pPr>
        <w:wordWrap w:val="0"/>
        <w:spacing w:line="460" w:lineRule="exact"/>
        <w:ind w:firstLine="480" w:firstLineChars="200"/>
        <w:jc w:val="left"/>
        <w:outlineLvl w:val="2"/>
        <w:rPr>
          <w:rFonts w:ascii="宋体" w:hAnsi="宋体" w:eastAsia="宋体" w:cs="宋体"/>
          <w:color w:val="auto"/>
          <w:sz w:val="24"/>
          <w:szCs w:val="24"/>
          <w:highlight w:val="none"/>
        </w:rPr>
      </w:pPr>
      <w:bookmarkStart w:id="111" w:name="_Toc528078036"/>
      <w:bookmarkEnd w:id="111"/>
      <w:r>
        <w:rPr>
          <w:rFonts w:hint="eastAsia" w:ascii="宋体" w:hAnsi="宋体" w:eastAsia="宋体" w:cs="宋体"/>
          <w:color w:val="auto"/>
          <w:sz w:val="24"/>
          <w:szCs w:val="24"/>
          <w:highlight w:val="none"/>
        </w:rPr>
        <w:t>7.3</w:t>
      </w:r>
      <w:r>
        <w:rPr>
          <w:rFonts w:ascii="宋体" w:hAnsi="宋体" w:eastAsia="宋体" w:cs="宋体"/>
          <w:color w:val="auto"/>
          <w:sz w:val="24"/>
          <w:szCs w:val="24"/>
          <w:highlight w:val="none"/>
        </w:rPr>
        <w:t>本次磋商为分为初次报价、最终报价。</w:t>
      </w:r>
      <w:r>
        <w:rPr>
          <w:rFonts w:hint="eastAsia" w:ascii="宋体" w:hAnsi="宋体" w:eastAsia="宋体" w:cs="宋体"/>
          <w:color w:val="auto"/>
          <w:sz w:val="24"/>
          <w:szCs w:val="24"/>
          <w:highlight w:val="none"/>
        </w:rPr>
        <w:t>磋商文件能够详细列明采购标的的技术、服务要求的，磋商结束后，磋商小组将要求所有实质性响应的供应商在规定时间内提交最后报价。最后报价是供应商响应文件的有效组成部分。</w:t>
      </w:r>
    </w:p>
    <w:p w14:paraId="0B69B07C">
      <w:pPr>
        <w:spacing w:line="360" w:lineRule="auto"/>
        <w:ind w:firstLine="360" w:firstLineChars="150"/>
        <w:rPr>
          <w:rFonts w:ascii="宋体" w:hAnsi="宋体" w:eastAsia="宋体" w:cs="宋体"/>
          <w:color w:val="auto"/>
          <w:sz w:val="24"/>
          <w:szCs w:val="24"/>
          <w:highlight w:val="none"/>
        </w:rPr>
      </w:pPr>
      <w:bookmarkStart w:id="112" w:name="_Toc528078037"/>
      <w:bookmarkEnd w:id="112"/>
      <w:r>
        <w:rPr>
          <w:rFonts w:hint="eastAsia" w:ascii="宋体" w:hAnsi="宋体" w:eastAsia="宋体" w:cs="宋体"/>
          <w:color w:val="auto"/>
          <w:sz w:val="24"/>
          <w:szCs w:val="24"/>
          <w:highlight w:val="none"/>
        </w:rPr>
        <w:t>7.4已提交响应文件的供应商，在提交最后报价之前，可以根据磋商情况退出磋商。</w:t>
      </w:r>
      <w:r>
        <w:rPr>
          <w:rFonts w:hint="eastAsia" w:ascii="宋体" w:hAnsi="宋体" w:eastAsia="宋体" w:cs="宋体"/>
          <w:color w:val="000000" w:themeColor="text1"/>
          <w:sz w:val="24"/>
          <w:lang w:val="en-US" w:eastAsia="zh-CN"/>
          <w14:textFill>
            <w14:solidFill>
              <w14:schemeClr w14:val="tx1"/>
            </w14:solidFill>
          </w14:textFill>
        </w:rPr>
        <w:t>“根据《财政部关于政府采购竞争性磋商采购方式管理暂行办法有关问题的补充通知》（财库〔2015〕124号），采用竞争性磋商方式采购的政府购买服务项目，在采购过程中符合要求的供应商只有2家的，竞争性磋商采购活动可以继续进行。”</w:t>
      </w:r>
    </w:p>
    <w:p w14:paraId="3D024CEB">
      <w:pPr>
        <w:wordWrap w:val="0"/>
        <w:spacing w:line="460" w:lineRule="exact"/>
        <w:ind w:firstLine="480" w:firstLineChars="200"/>
        <w:jc w:val="left"/>
        <w:outlineLvl w:val="2"/>
        <w:rPr>
          <w:rFonts w:ascii="宋体" w:hAnsi="宋体" w:eastAsia="宋体" w:cs="宋体"/>
          <w:color w:val="auto"/>
          <w:sz w:val="24"/>
          <w:szCs w:val="24"/>
          <w:highlight w:val="none"/>
        </w:rPr>
      </w:pPr>
      <w:bookmarkStart w:id="113" w:name="_Toc528078038"/>
      <w:bookmarkEnd w:id="113"/>
      <w:r>
        <w:rPr>
          <w:rFonts w:hint="eastAsia" w:ascii="宋体" w:hAnsi="宋体" w:eastAsia="宋体" w:cs="宋体"/>
          <w:color w:val="auto"/>
          <w:sz w:val="24"/>
          <w:szCs w:val="24"/>
          <w:highlight w:val="none"/>
        </w:rPr>
        <w:t>7.5评审时，磋商小组各成员独立对每个有效响应的文件进行评价、打分，然后汇总每个供应商每项评分因素的得分。</w:t>
      </w:r>
    </w:p>
    <w:p w14:paraId="527A544A">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7.6经磋商确定最终采购需求和提交最后报价的供应商后，由磋商小组采用综合评分法对提交最后报价的供应商的响应文件和最后报价进行综合评分。</w:t>
      </w:r>
      <w:bookmarkStart w:id="114" w:name="_Toc528078040"/>
      <w:bookmarkEnd w:id="114"/>
      <w:bookmarkStart w:id="115" w:name="_Toc528078039"/>
      <w:bookmarkEnd w:id="115"/>
      <w:r>
        <w:rPr>
          <w:rFonts w:hint="eastAsia" w:ascii="宋体" w:hAnsi="宋体" w:eastAsia="宋体" w:cs="宋体"/>
          <w:color w:val="auto"/>
          <w:sz w:val="24"/>
          <w:szCs w:val="24"/>
          <w:highlight w:val="none"/>
        </w:rPr>
        <w:t>磋商小组应当根据综合评分情况，按照评审得分由高到低顺序推荐1-3名成交候选供应商，并编写评审报告。评审得</w:t>
      </w:r>
      <w:r>
        <w:rPr>
          <w:rFonts w:hint="eastAsia" w:ascii="Times New Roman" w:hAnsi="Times New Roman" w:eastAsia="宋体" w:cs="Times New Roman"/>
          <w:color w:val="auto"/>
          <w:sz w:val="24"/>
          <w:szCs w:val="24"/>
          <w:highlight w:val="none"/>
        </w:rPr>
        <w:t>分相同的，按照最后报价由低到高的顺序推荐。评审得分且最后报价相同的，按照技术指标优劣顺序推荐。</w:t>
      </w:r>
    </w:p>
    <w:p w14:paraId="3D9F7352">
      <w:pPr>
        <w:wordWrap w:val="0"/>
        <w:spacing w:line="460" w:lineRule="exact"/>
        <w:ind w:firstLine="480" w:firstLineChars="200"/>
        <w:jc w:val="left"/>
        <w:outlineLvl w:val="2"/>
        <w:rPr>
          <w:rFonts w:ascii="宋体" w:hAnsi="宋体" w:eastAsia="宋体" w:cs="宋体"/>
          <w:color w:val="auto"/>
          <w:sz w:val="24"/>
          <w:szCs w:val="24"/>
          <w:highlight w:val="none"/>
        </w:rPr>
      </w:pPr>
      <w:bookmarkStart w:id="116" w:name="_Toc528078041"/>
      <w:bookmarkEnd w:id="116"/>
      <w:r>
        <w:rPr>
          <w:rFonts w:hint="eastAsia" w:ascii="宋体" w:hAnsi="宋体" w:eastAsia="宋体" w:cs="宋体"/>
          <w:color w:val="auto"/>
          <w:sz w:val="24"/>
          <w:szCs w:val="24"/>
          <w:highlight w:val="none"/>
        </w:rPr>
        <w:t>7.7响应无效和终止磋商活动条款</w:t>
      </w:r>
    </w:p>
    <w:p w14:paraId="33ED0AB4">
      <w:pPr>
        <w:wordWrap w:val="0"/>
        <w:spacing w:line="460" w:lineRule="exact"/>
        <w:ind w:firstLine="480" w:firstLineChars="200"/>
        <w:jc w:val="left"/>
        <w:rPr>
          <w:rFonts w:ascii="宋体" w:hAnsi="宋体" w:eastAsia="宋体" w:cs="宋体"/>
          <w:color w:val="auto"/>
          <w:sz w:val="24"/>
          <w:szCs w:val="24"/>
          <w:highlight w:val="none"/>
        </w:rPr>
      </w:pPr>
      <w:bookmarkStart w:id="117" w:name="_Toc513029235"/>
      <w:bookmarkEnd w:id="117"/>
      <w:bookmarkStart w:id="118" w:name="_Toc16938551"/>
      <w:bookmarkEnd w:id="118"/>
      <w:r>
        <w:rPr>
          <w:rFonts w:hint="eastAsia" w:ascii="宋体" w:hAnsi="宋体" w:eastAsia="宋体" w:cs="宋体"/>
          <w:color w:val="auto"/>
          <w:sz w:val="24"/>
          <w:szCs w:val="24"/>
          <w:highlight w:val="none"/>
        </w:rPr>
        <w:t>1）未按照竞争性磋商文件规定要求签署、盖章的；</w:t>
      </w:r>
    </w:p>
    <w:p w14:paraId="57F7F751">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2）供应商不具备竞争性磋商文件中规定资格条件的；</w:t>
      </w:r>
    </w:p>
    <w:p w14:paraId="201EBD19">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3）投标文件含有采购人不能接受的附加条件的；</w:t>
      </w:r>
    </w:p>
    <w:p w14:paraId="1E425176">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4）报价超过竞争性磋商文件中规定的预算金额或者最高限价的；</w:t>
      </w:r>
    </w:p>
    <w:p w14:paraId="3D9CACFD">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5）其他法律、法规及本竞争性磋商文件规定的属响应无效的情形。</w:t>
      </w:r>
    </w:p>
    <w:p w14:paraId="30698CC2">
      <w:pPr>
        <w:wordWrap w:val="0"/>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7.8终止竞争性磋商采购活动的条款</w:t>
      </w:r>
    </w:p>
    <w:p w14:paraId="621FDAE3">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出现下列情形之一的，采购人将终止竞争性磋商采购活动，发布项目终止公告并说明原因，重新开展采购活动：</w:t>
      </w:r>
    </w:p>
    <w:p w14:paraId="3EF3B9BF">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1）因情况变化，不再符合规定的竞争性磋商采购方式适用情形的；</w:t>
      </w:r>
    </w:p>
    <w:p w14:paraId="262906A3">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3C71FBB">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highlight w:val="none"/>
        </w:rPr>
        <w:t>除《政府采购竞争性磋商采购方式管理暂行办法》第二十一条第三款规定的情形外，在采购过程中符合要求的投标人或者报价未超过采购预算的投标人不足</w:t>
      </w:r>
      <w:r>
        <w:rPr>
          <w:rFonts w:ascii="宋体" w:hAnsi="宋体" w:cs="宋体"/>
          <w:color w:val="auto"/>
          <w:sz w:val="24"/>
          <w:highlight w:val="none"/>
        </w:rPr>
        <w:t>3家的</w:t>
      </w:r>
      <w:r>
        <w:rPr>
          <w:rFonts w:hint="eastAsia" w:ascii="宋体" w:hAnsi="宋体" w:eastAsia="宋体" w:cs="宋体"/>
          <w:color w:val="auto"/>
          <w:sz w:val="24"/>
          <w:szCs w:val="24"/>
          <w:highlight w:val="none"/>
        </w:rPr>
        <w:t>。</w:t>
      </w:r>
    </w:p>
    <w:p w14:paraId="074272C0">
      <w:pPr>
        <w:wordWrap w:val="0"/>
        <w:spacing w:line="460" w:lineRule="exact"/>
        <w:ind w:firstLine="480" w:firstLineChars="200"/>
        <w:jc w:val="left"/>
        <w:outlineLvl w:val="1"/>
        <w:rPr>
          <w:rFonts w:ascii="宋体" w:hAnsi="宋体" w:eastAsia="宋体" w:cs="宋体"/>
          <w:color w:val="auto"/>
          <w:kern w:val="0"/>
          <w:sz w:val="24"/>
          <w:szCs w:val="24"/>
          <w:highlight w:val="none"/>
        </w:rPr>
      </w:pPr>
      <w:bookmarkStart w:id="119" w:name="_Toc504491971"/>
      <w:bookmarkEnd w:id="119"/>
      <w:bookmarkStart w:id="120" w:name="_Toc505350557"/>
      <w:bookmarkEnd w:id="120"/>
      <w:bookmarkStart w:id="121" w:name="_Toc517178997"/>
      <w:bookmarkEnd w:id="121"/>
      <w:bookmarkStart w:id="122" w:name="_Toc528078042"/>
      <w:r>
        <w:rPr>
          <w:rFonts w:hint="eastAsia" w:ascii="宋体" w:hAnsi="宋体" w:eastAsia="宋体" w:cs="宋体"/>
          <w:color w:val="auto"/>
          <w:sz w:val="24"/>
          <w:szCs w:val="24"/>
          <w:highlight w:val="none"/>
        </w:rPr>
        <w:t>8.确定成交、询问及质疑</w:t>
      </w:r>
      <w:bookmarkEnd w:id="122"/>
    </w:p>
    <w:p w14:paraId="3957EC1B">
      <w:pPr>
        <w:wordWrap w:val="0"/>
        <w:spacing w:line="460" w:lineRule="exact"/>
        <w:ind w:firstLine="480" w:firstLineChars="200"/>
        <w:jc w:val="left"/>
        <w:outlineLvl w:val="2"/>
        <w:rPr>
          <w:rFonts w:ascii="宋体" w:hAnsi="宋体" w:eastAsia="宋体" w:cs="宋体"/>
          <w:color w:val="auto"/>
          <w:sz w:val="24"/>
          <w:szCs w:val="24"/>
          <w:highlight w:val="none"/>
        </w:rPr>
      </w:pPr>
      <w:bookmarkStart w:id="123" w:name="_Toc20823310"/>
      <w:bookmarkEnd w:id="123"/>
      <w:bookmarkStart w:id="124" w:name="_Toc16938554"/>
      <w:bookmarkEnd w:id="124"/>
      <w:bookmarkStart w:id="125" w:name="_Toc528078043"/>
      <w:r>
        <w:rPr>
          <w:rFonts w:hint="eastAsia" w:ascii="宋体" w:hAnsi="宋体" w:eastAsia="宋体" w:cs="宋体"/>
          <w:color w:val="auto"/>
          <w:sz w:val="24"/>
          <w:szCs w:val="24"/>
          <w:highlight w:val="none"/>
        </w:rPr>
        <w:t>8.1</w:t>
      </w:r>
      <w:bookmarkEnd w:id="125"/>
      <w:r>
        <w:rPr>
          <w:rFonts w:hint="eastAsia" w:ascii="宋体" w:hAnsi="宋体" w:eastAsia="宋体" w:cs="宋体"/>
          <w:color w:val="auto"/>
          <w:sz w:val="24"/>
          <w:szCs w:val="24"/>
          <w:highlight w:val="none"/>
        </w:rPr>
        <w:t>确定成交供应商</w:t>
      </w:r>
    </w:p>
    <w:p w14:paraId="561B831E">
      <w:pPr>
        <w:wordWrap w:val="0"/>
        <w:spacing w:line="46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8.1.1采购代理机构应当在评标结束后2个工作日内将评标报告送采购人。</w:t>
      </w:r>
    </w:p>
    <w:p w14:paraId="0801BF0E">
      <w:pPr>
        <w:wordWrap w:val="0"/>
        <w:spacing w:line="4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应当自收到评标报告之日起5个工作日内，在评标报告确定的中标候选人名单中按顺序确定中标人。中标候选人并列的，由采购人或者采购人委托磋商小组按照竞争性磋商文件规定的方式确定中标人；竞争性磋商文件未规定的，采取随机抽取的方式确定。</w:t>
      </w:r>
    </w:p>
    <w:p w14:paraId="47165CD3">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8.1.2成交供应商确定后2个工作日内在“《中国招标投标公共服务平台》、《河南省政府采购网》和《三门峡市公共资源交易中心网》”公告成交结果。</w:t>
      </w:r>
    </w:p>
    <w:p w14:paraId="01685394">
      <w:pPr>
        <w:wordWrap w:val="0"/>
        <w:spacing w:line="460" w:lineRule="exact"/>
        <w:ind w:firstLine="480" w:firstLineChars="200"/>
        <w:jc w:val="left"/>
        <w:outlineLvl w:val="1"/>
        <w:rPr>
          <w:rFonts w:ascii="宋体" w:hAnsi="宋体" w:eastAsia="宋体" w:cs="宋体"/>
          <w:color w:val="auto"/>
          <w:kern w:val="0"/>
          <w:sz w:val="24"/>
          <w:szCs w:val="24"/>
          <w:highlight w:val="none"/>
        </w:rPr>
      </w:pPr>
      <w:bookmarkStart w:id="126" w:name="_Toc513029236"/>
      <w:bookmarkEnd w:id="126"/>
      <w:bookmarkStart w:id="127" w:name="_Toc403987211"/>
      <w:bookmarkEnd w:id="127"/>
      <w:bookmarkStart w:id="128" w:name="_Toc20823308"/>
      <w:bookmarkEnd w:id="128"/>
      <w:bookmarkStart w:id="129" w:name="_Toc200451960"/>
      <w:bookmarkEnd w:id="129"/>
      <w:bookmarkStart w:id="130" w:name="_Toc517178998"/>
      <w:bookmarkEnd w:id="130"/>
      <w:bookmarkStart w:id="131" w:name="_Toc504491972"/>
      <w:bookmarkEnd w:id="131"/>
      <w:bookmarkStart w:id="132" w:name="_Toc120614220"/>
      <w:bookmarkEnd w:id="132"/>
      <w:bookmarkStart w:id="133" w:name="_Toc16938552"/>
      <w:bookmarkEnd w:id="133"/>
      <w:bookmarkStart w:id="134" w:name="_Toc505350558"/>
      <w:bookmarkEnd w:id="134"/>
      <w:bookmarkStart w:id="135" w:name="_Toc528078045"/>
      <w:r>
        <w:rPr>
          <w:rFonts w:hint="eastAsia" w:ascii="宋体" w:hAnsi="宋体" w:eastAsia="宋体" w:cs="宋体"/>
          <w:color w:val="auto"/>
          <w:sz w:val="24"/>
          <w:szCs w:val="24"/>
          <w:highlight w:val="none"/>
        </w:rPr>
        <w:t>9.</w:t>
      </w:r>
      <w:bookmarkEnd w:id="135"/>
      <w:r>
        <w:rPr>
          <w:rFonts w:hint="eastAsia" w:ascii="宋体" w:hAnsi="宋体" w:eastAsia="宋体" w:cs="宋体"/>
          <w:color w:val="auto"/>
          <w:sz w:val="24"/>
          <w:szCs w:val="24"/>
          <w:highlight w:val="none"/>
        </w:rPr>
        <w:t>授予合同</w:t>
      </w:r>
    </w:p>
    <w:p w14:paraId="6C460B89">
      <w:pPr>
        <w:wordWrap w:val="0"/>
        <w:spacing w:line="460" w:lineRule="exact"/>
        <w:ind w:firstLine="480" w:firstLineChars="200"/>
        <w:jc w:val="left"/>
        <w:outlineLvl w:val="2"/>
        <w:rPr>
          <w:rFonts w:ascii="宋体" w:hAnsi="宋体" w:eastAsia="宋体" w:cs="宋体"/>
          <w:color w:val="auto"/>
          <w:sz w:val="24"/>
          <w:szCs w:val="24"/>
          <w:highlight w:val="none"/>
        </w:rPr>
      </w:pPr>
      <w:bookmarkStart w:id="136" w:name="_Toc20823309"/>
      <w:bookmarkEnd w:id="136"/>
      <w:bookmarkStart w:id="137" w:name="_Toc513029237"/>
      <w:bookmarkEnd w:id="137"/>
      <w:bookmarkStart w:id="138" w:name="_Toc16938553"/>
      <w:bookmarkEnd w:id="138"/>
      <w:bookmarkStart w:id="139" w:name="_Toc528078046"/>
      <w:r>
        <w:rPr>
          <w:rFonts w:hint="eastAsia" w:ascii="宋体" w:hAnsi="宋体" w:eastAsia="宋体" w:cs="宋体"/>
          <w:color w:val="auto"/>
          <w:sz w:val="24"/>
          <w:szCs w:val="24"/>
          <w:highlight w:val="none"/>
        </w:rPr>
        <w:t>9.1签订合同</w:t>
      </w:r>
      <w:bookmarkEnd w:id="139"/>
    </w:p>
    <w:p w14:paraId="5796AF7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9.1.1采购人、成交供应商在成交通知书发出之日起30日内（不超过30日），根据竞争性磋商文件确定的事项和成交供应商响应性文件签订合同。双方所签订的合同不得对竞争性磋商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62014A2C">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9.1.2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00F0D08D">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9.1.3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bookmarkStart w:id="140" w:name="_Toc513029242"/>
      <w:bookmarkEnd w:id="140"/>
      <w:bookmarkStart w:id="141" w:name="_Toc16938558"/>
      <w:bookmarkEnd w:id="141"/>
      <w:bookmarkStart w:id="142" w:name="_Toc20823314"/>
      <w:bookmarkEnd w:id="142"/>
      <w:bookmarkStart w:id="143" w:name="_Toc528078047"/>
      <w:bookmarkEnd w:id="143"/>
      <w:bookmarkStart w:id="144" w:name="_Toc120614221"/>
      <w:bookmarkEnd w:id="144"/>
      <w:bookmarkStart w:id="145" w:name="_Hlt16619475"/>
      <w:bookmarkEnd w:id="145"/>
      <w:bookmarkStart w:id="146" w:name="_Toc517178999"/>
      <w:bookmarkEnd w:id="146"/>
      <w:bookmarkStart w:id="147" w:name="_Toc479757211"/>
      <w:bookmarkEnd w:id="147"/>
      <w:bookmarkStart w:id="148" w:name="_Toc479757207"/>
      <w:bookmarkEnd w:id="148"/>
      <w:bookmarkStart w:id="149" w:name="_Toc528078062"/>
      <w:r>
        <w:rPr>
          <w:rFonts w:hint="eastAsia" w:ascii="宋体" w:hAnsi="宋体" w:eastAsia="宋体" w:cs="宋体"/>
          <w:color w:val="auto"/>
          <w:sz w:val="24"/>
          <w:szCs w:val="24"/>
          <w:highlight w:val="none"/>
        </w:rPr>
        <w:t>。</w:t>
      </w:r>
      <w:bookmarkEnd w:id="149"/>
    </w:p>
    <w:p w14:paraId="72167221">
      <w:pPr>
        <w:wordWrap w:val="0"/>
        <w:spacing w:line="460" w:lineRule="exact"/>
        <w:ind w:firstLine="480" w:firstLineChars="200"/>
        <w:jc w:val="left"/>
        <w:outlineLvl w:val="2"/>
        <w:rPr>
          <w:rFonts w:ascii="宋体" w:hAnsi="宋体" w:eastAsia="宋体" w:cs="宋体"/>
          <w:color w:val="auto"/>
          <w:sz w:val="24"/>
          <w:szCs w:val="24"/>
          <w:highlight w:val="none"/>
        </w:rPr>
      </w:pPr>
      <w:bookmarkStart w:id="150" w:name="_Toc528078044"/>
      <w:r>
        <w:rPr>
          <w:rFonts w:hint="eastAsia" w:ascii="宋体" w:hAnsi="宋体" w:eastAsia="宋体" w:cs="宋体"/>
          <w:color w:val="auto"/>
          <w:sz w:val="24"/>
          <w:szCs w:val="24"/>
          <w:highlight w:val="none"/>
        </w:rPr>
        <w:t>10.询问及质疑</w:t>
      </w:r>
      <w:bookmarkEnd w:id="150"/>
    </w:p>
    <w:p w14:paraId="33109C05">
      <w:pPr>
        <w:wordWrap w:val="0"/>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10.1询问及质疑依据《中华人民共和国政府采购法》、《中华人民共和国政府采购法实施条例》及相关法律法规处理。</w:t>
      </w:r>
    </w:p>
    <w:p w14:paraId="357B1382">
      <w:pPr>
        <w:widowControl/>
        <w:spacing w:line="480" w:lineRule="exact"/>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质疑</w:t>
      </w:r>
    </w:p>
    <w:p w14:paraId="48917891">
      <w:pPr>
        <w:spacing w:line="500" w:lineRule="exact"/>
        <w:ind w:firstLine="480" w:firstLineChars="200"/>
        <w:rPr>
          <w:rFonts w:ascii="宋体" w:hAnsi="宋体" w:eastAsia="宋体" w:cs="Times New Roman"/>
          <w:color w:val="auto"/>
          <w:sz w:val="24"/>
          <w:szCs w:val="24"/>
          <w:highlight w:val="none"/>
        </w:rPr>
      </w:pPr>
      <w:bookmarkStart w:id="151" w:name="_Toc466566702"/>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.1 供应商或有关</w:t>
      </w:r>
      <w:bookmarkStart w:id="248" w:name="_GoBack"/>
      <w:r>
        <w:rPr>
          <w:rFonts w:hint="eastAsia" w:ascii="宋体" w:hAnsi="宋体" w:eastAsia="宋体" w:cs="Times New Roman"/>
          <w:color w:val="auto"/>
          <w:sz w:val="24"/>
          <w:szCs w:val="24"/>
          <w:highlight w:val="none"/>
        </w:rPr>
        <w:t>当事人</w:t>
      </w:r>
      <w:bookmarkEnd w:id="248"/>
      <w:r>
        <w:rPr>
          <w:rFonts w:hint="eastAsia" w:ascii="宋体" w:hAnsi="宋体" w:eastAsia="宋体" w:cs="Times New Roman"/>
          <w:color w:val="auto"/>
          <w:sz w:val="24"/>
          <w:szCs w:val="24"/>
          <w:highlight w:val="none"/>
        </w:rPr>
        <w:t>对磋商过程、成交结果有异议的，可以向采购人或者采购代理机构提出询问。</w:t>
      </w:r>
    </w:p>
    <w:p w14:paraId="7184DF7E">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 采购人或者采购代理机构应当在三个工作日内对供应商依法提出的询问作出答复。</w:t>
      </w:r>
    </w:p>
    <w:p w14:paraId="40572377">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.3 供应商认为竞争性磋商文件、采购过程使自己的权益受到损害的，可以在知道或者应知其权益受到损害之日起七个工作日内，以书面形式向采购人提出质疑。</w:t>
      </w:r>
    </w:p>
    <w:p w14:paraId="27450AB9">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.4 供应商认为成交结果使自己的权益受到损害的，可以在成交结果公告期限届满之日起七个工作日内，以书面形式向采购人提出质疑，接收质疑函联系部门、电话及地址详见竞争性磋商公告。在法定质疑期内供应商针对同一采购程序环节的质疑应当一次性提出。</w:t>
      </w:r>
    </w:p>
    <w:p w14:paraId="2F0B270B">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.5 采购人或者采购代理机构应当在收到供应商的书面质疑后七个工作日内作出答复，并以书面形式通知质疑供应商和其他有关供应商，但答复的内容不得涉及商业秘密。</w:t>
      </w:r>
    </w:p>
    <w:p w14:paraId="17BA04B2">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.6 质疑单位对采购人、采购代理机构的答复不满意或者采购人、采购代理机构未在规定的时间内作出答复的，可以在答复期满后十五个工作日内向同级政府采购监督管理部门投诉。</w:t>
      </w:r>
    </w:p>
    <w:p w14:paraId="48F4E06D">
      <w:pPr>
        <w:spacing w:line="500" w:lineRule="exact"/>
        <w:ind w:firstLine="480" w:firstLineChars="200"/>
        <w:rPr>
          <w:rFonts w:ascii="Calibri" w:hAnsi="Calibri" w:eastAsia="宋体" w:cs="Times New Roman"/>
          <w:color w:val="auto"/>
          <w:kern w:val="0"/>
          <w:sz w:val="24"/>
          <w:szCs w:val="24"/>
          <w:highlight w:val="none"/>
        </w:rPr>
      </w:pPr>
      <w:r>
        <w:rPr>
          <w:rFonts w:hint="eastAsia" w:ascii="宋体" w:hAnsi="宋体" w:eastAsia="宋体" w:cs="Times New Roman"/>
          <w:color w:val="auto"/>
          <w:sz w:val="24"/>
          <w:szCs w:val="24"/>
          <w:highlight w:val="none"/>
        </w:rPr>
        <w:t>10.</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.7 供应商质疑、投诉应当有明确的请求和必要的证明材料。供应商投诉的事项不得超出已质疑事项的范围。</w:t>
      </w:r>
      <w:r>
        <w:rPr>
          <w:rFonts w:hint="eastAsia" w:ascii="Calibri" w:hAnsi="Calibri" w:eastAsia="宋体" w:cs="Times New Roman"/>
          <w:color w:val="auto"/>
          <w:kern w:val="0"/>
          <w:sz w:val="24"/>
          <w:szCs w:val="24"/>
          <w:highlight w:val="none"/>
        </w:rPr>
        <w:t>质疑函应当包括下列内容：</w:t>
      </w:r>
    </w:p>
    <w:p w14:paraId="724BA1FC">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1、供应商的姓名或者名称、地址、邮编、联系人及联系电话；</w:t>
      </w:r>
    </w:p>
    <w:p w14:paraId="6E682CBB">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2、质疑项目的名称、编号；</w:t>
      </w:r>
    </w:p>
    <w:p w14:paraId="68B3C6B6">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3、具体、明确的质疑事项和与质疑事项相关的请求；</w:t>
      </w:r>
    </w:p>
    <w:p w14:paraId="45B63B9B">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4、事实依据；</w:t>
      </w:r>
    </w:p>
    <w:p w14:paraId="63A49EEE">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5、必要的法律依据；</w:t>
      </w:r>
    </w:p>
    <w:p w14:paraId="28762AD7">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10.2.8提出质疑的日期。</w:t>
      </w:r>
    </w:p>
    <w:p w14:paraId="198EB3D1">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按照有关法律、法规和规章规定及招标文件要求属于保密或者处于保密阶段的事项，供应商必须提供正常的信息来源或有效证据，供应商不能提供或者拒绝提供合法的信息来源或有效证据的，其质疑将被拒绝；</w:t>
      </w:r>
    </w:p>
    <w:p w14:paraId="5A5B5358">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质疑函应提供充足有效的相关证明材料；如果涉及到产品功能或技术指标的，应出具相关制造商的证明文件；</w:t>
      </w:r>
    </w:p>
    <w:p w14:paraId="129A8D48">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质疑材料中有外文资料的，应一并附上中文译本，并以中文译本为准。</w:t>
      </w:r>
    </w:p>
    <w:p w14:paraId="77DEC49A">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供应商质疑实行实名制并须在质疑书上署名。供应商不得进行虚假、恶意质疑，不得以质疑为手段获取不当得利、实现非法目的。</w:t>
      </w:r>
    </w:p>
    <w:p w14:paraId="71F2F2D2">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供应商可以委托代理人进行质疑和投诉。其授权委托书应当载明代理人的姓名或者名称、代理事项、具体权限、期限和相关事项。供应商为自然人的，应当由本人签</w:t>
      </w:r>
      <w:bookmarkStart w:id="152" w:name="第四部分_合同条款"/>
      <w:bookmarkEnd w:id="152"/>
      <w:r>
        <w:rPr>
          <w:rFonts w:hint="eastAsia" w:ascii="宋体" w:hAnsi="宋体" w:eastAsia="宋体" w:cs="宋体"/>
          <w:color w:val="auto"/>
          <w:sz w:val="24"/>
          <w:szCs w:val="24"/>
          <w:highlight w:val="none"/>
        </w:rPr>
        <w:t>字；供应商为法人或者其他组织的，应当由法定代表人、主要负责人签字或者盖章，并加盖公章。代理人提出质疑和投诉，应当提交供应商签署的授权委托书。授权委托书应载明委托代理的具体权限和事项。授权委托书应当由委托人签字并加盖单位公章。</w:t>
      </w:r>
    </w:p>
    <w:p w14:paraId="69C421B4">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质疑书提交方式。供应商或者其委托代理人应当当面提交质疑书及相关证明材料。提交质疑书时，供应商应同时提交本人身份证，委托他人代理质疑事宜的，还应提交被委托人的身份证。</w:t>
      </w:r>
    </w:p>
    <w:p w14:paraId="3B65CA08">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不得虚假质疑和恶意质疑，并对质疑内容的真实性承担责任。供应商或者其他利害关系人通过捏造事实、伪造证明材料等方式提出异议或投诉，阻碍招投标活动正常进行的，属于严重不良行为，监督部门将其列入不良行为记录名单，并依法予以处罚。</w:t>
      </w:r>
    </w:p>
    <w:p w14:paraId="6E3A5EF4">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采购人或招标代理机构将在收到符合上述条件的书面质疑后7个工作日内审查质疑事项，采购人做出答复或相关处理决定，并以书面形式通知质疑供应商和其他有关供应商。</w:t>
      </w:r>
    </w:p>
    <w:p w14:paraId="4D3BDF57">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依法提出质疑的供应商对采购人或招标代理机构的答复不满意、以及采购人或招标代理机构未在规定的时间内做出答复的，可以在答复期满后15个工作日内向监督部门投诉。</w:t>
      </w:r>
    </w:p>
    <w:p w14:paraId="0E33C4F4">
      <w:pPr>
        <w:spacing w:line="500" w:lineRule="exact"/>
        <w:ind w:firstLine="480" w:firstLineChars="200"/>
        <w:outlineLvl w:val="3"/>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质疑函格式详见附件3</w:t>
      </w:r>
    </w:p>
    <w:p w14:paraId="7C84E8A6">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10.2.9供应商和其他利害关系人认为本次竞争性磋商违反法律、法规和规章规定的，有权向有关行政监督部门投诉。</w:t>
      </w:r>
    </w:p>
    <w:p w14:paraId="641517B0">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79E70927">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1、捏造事实；</w:t>
      </w:r>
    </w:p>
    <w:p w14:paraId="6414E054">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2、提供虚假材料；</w:t>
      </w:r>
    </w:p>
    <w:p w14:paraId="598085BE">
      <w:pPr>
        <w:spacing w:line="48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3、以非法手段取得证明材料。证据来源的合法性存在明显疑问，投诉人无法证明其取得方式合法的，视为以非法手段取得证明材料。</w:t>
      </w:r>
    </w:p>
    <w:p w14:paraId="488F5342">
      <w:pPr>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11.需要补充的其他内容</w:t>
      </w:r>
    </w:p>
    <w:p w14:paraId="62A619E3">
      <w:pPr>
        <w:spacing w:before="181" w:line="220" w:lineRule="auto"/>
        <w:ind w:firstLine="234" w:firstLineChars="100"/>
        <w:rPr>
          <w:rFonts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11.1</w:t>
      </w:r>
      <w:r>
        <w:rPr>
          <w:rFonts w:ascii="宋体" w:hAnsi="宋体" w:eastAsia="宋体" w:cs="宋体"/>
          <w:color w:val="auto"/>
          <w:spacing w:val="-36"/>
          <w:sz w:val="24"/>
          <w:szCs w:val="24"/>
          <w:highlight w:val="none"/>
        </w:rPr>
        <w:t xml:space="preserve"> </w:t>
      </w:r>
      <w:r>
        <w:rPr>
          <w:rFonts w:ascii="宋体" w:hAnsi="宋体" w:eastAsia="宋体" w:cs="宋体"/>
          <w:color w:val="auto"/>
          <w:spacing w:val="-3"/>
          <w:sz w:val="24"/>
          <w:szCs w:val="24"/>
          <w:highlight w:val="none"/>
        </w:rPr>
        <w:t>其它未尽事宜，按国家有关法律、法规执行。</w:t>
      </w:r>
    </w:p>
    <w:p w14:paraId="41497102">
      <w:pPr>
        <w:spacing w:before="178" w:line="219" w:lineRule="auto"/>
        <w:ind w:firstLine="232" w:firstLineChars="100"/>
        <w:rPr>
          <w:rFonts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11.2</w:t>
      </w:r>
      <w:r>
        <w:rPr>
          <w:rFonts w:ascii="宋体" w:hAnsi="宋体" w:eastAsia="宋体" w:cs="宋体"/>
          <w:color w:val="auto"/>
          <w:spacing w:val="-39"/>
          <w:sz w:val="24"/>
          <w:szCs w:val="24"/>
          <w:highlight w:val="none"/>
        </w:rPr>
        <w:t xml:space="preserve"> </w:t>
      </w:r>
      <w:r>
        <w:rPr>
          <w:rFonts w:ascii="宋体" w:hAnsi="宋体" w:eastAsia="宋体" w:cs="宋体"/>
          <w:color w:val="auto"/>
          <w:spacing w:val="-4"/>
          <w:sz w:val="24"/>
          <w:szCs w:val="24"/>
          <w:highlight w:val="none"/>
        </w:rPr>
        <w:t>本招标文件解释权归采购人。</w:t>
      </w:r>
    </w:p>
    <w:p w14:paraId="57209851">
      <w:pPr>
        <w:widowControl/>
        <w:jc w:val="left"/>
        <w:rPr>
          <w:rFonts w:ascii="黑体" w:hAnsi="黑体" w:eastAsia="黑体" w:cs="黑体"/>
          <w:color w:val="auto"/>
          <w:spacing w:val="-9"/>
          <w:sz w:val="28"/>
          <w:szCs w:val="28"/>
          <w:highlight w:val="none"/>
        </w:rPr>
      </w:pPr>
      <w:r>
        <w:rPr>
          <w:rFonts w:ascii="黑体" w:hAnsi="黑体" w:eastAsia="黑体" w:cs="黑体"/>
          <w:color w:val="auto"/>
          <w:spacing w:val="-9"/>
          <w:sz w:val="28"/>
          <w:szCs w:val="28"/>
          <w:highlight w:val="none"/>
        </w:rPr>
        <w:br w:type="page"/>
      </w:r>
    </w:p>
    <w:p w14:paraId="5723F79C">
      <w:pPr>
        <w:spacing w:before="178" w:line="219" w:lineRule="auto"/>
        <w:ind w:firstLine="262" w:firstLineChars="100"/>
        <w:rPr>
          <w:rFonts w:ascii="黑体" w:hAnsi="黑体" w:eastAsia="黑体" w:cs="黑体"/>
          <w:color w:val="auto"/>
          <w:sz w:val="28"/>
          <w:szCs w:val="28"/>
          <w:highlight w:val="none"/>
        </w:rPr>
      </w:pPr>
      <w:r>
        <w:rPr>
          <w:rFonts w:ascii="黑体" w:hAnsi="黑体" w:eastAsia="黑体" w:cs="黑体"/>
          <w:color w:val="auto"/>
          <w:spacing w:val="-9"/>
          <w:sz w:val="28"/>
          <w:szCs w:val="28"/>
          <w:highlight w:val="none"/>
        </w:rPr>
        <w:t>附件</w:t>
      </w:r>
      <w:r>
        <w:rPr>
          <w:rFonts w:ascii="黑体" w:hAnsi="黑体" w:eastAsia="黑体" w:cs="黑体"/>
          <w:color w:val="auto"/>
          <w:spacing w:val="-45"/>
          <w:sz w:val="28"/>
          <w:szCs w:val="28"/>
          <w:highlight w:val="none"/>
        </w:rPr>
        <w:t xml:space="preserve"> </w:t>
      </w:r>
      <w:r>
        <w:rPr>
          <w:rFonts w:ascii="黑体" w:hAnsi="黑体" w:eastAsia="黑体" w:cs="黑体"/>
          <w:color w:val="auto"/>
          <w:spacing w:val="-9"/>
          <w:sz w:val="28"/>
          <w:szCs w:val="28"/>
          <w:highlight w:val="none"/>
        </w:rPr>
        <w:t>1</w:t>
      </w:r>
      <w:r>
        <w:rPr>
          <w:rFonts w:hint="eastAsia" w:ascii="黑体" w:hAnsi="黑体" w:eastAsia="黑体" w:cs="黑体"/>
          <w:color w:val="auto"/>
          <w:sz w:val="28"/>
          <w:szCs w:val="28"/>
          <w:highlight w:val="none"/>
        </w:rPr>
        <w:t xml:space="preserve">                </w:t>
      </w:r>
    </w:p>
    <w:p w14:paraId="05BA8BED">
      <w:pPr>
        <w:spacing w:before="178" w:line="219" w:lineRule="auto"/>
        <w:jc w:val="center"/>
        <w:rPr>
          <w:rFonts w:ascii="宋体" w:hAnsi="宋体" w:eastAsia="宋体" w:cs="宋体"/>
          <w:color w:val="auto"/>
          <w:sz w:val="24"/>
          <w:szCs w:val="24"/>
          <w:highlight w:val="none"/>
        </w:rPr>
      </w:pPr>
      <w:r>
        <w:rPr>
          <w:rFonts w:ascii="宋体" w:hAnsi="宋体" w:eastAsia="宋体" w:cs="宋体"/>
          <w:b/>
          <w:bCs/>
          <w:color w:val="auto"/>
          <w:spacing w:val="-5"/>
          <w:sz w:val="28"/>
          <w:szCs w:val="28"/>
          <w:highlight w:val="none"/>
        </w:rPr>
        <w:t>中小企业划型标准规定</w:t>
      </w:r>
    </w:p>
    <w:p w14:paraId="2E5AFA19">
      <w:pPr>
        <w:spacing w:line="117" w:lineRule="exact"/>
        <w:rPr>
          <w:color w:val="auto"/>
          <w:highlight w:val="none"/>
        </w:rPr>
      </w:pPr>
    </w:p>
    <w:tbl>
      <w:tblPr>
        <w:tblStyle w:val="40"/>
        <w:tblW w:w="9358" w:type="dxa"/>
        <w:jc w:val="center"/>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Layout w:type="fixed"/>
        <w:tblCellMar>
          <w:top w:w="0" w:type="dxa"/>
          <w:left w:w="0" w:type="dxa"/>
          <w:bottom w:w="0" w:type="dxa"/>
          <w:right w:w="0" w:type="dxa"/>
        </w:tblCellMar>
      </w:tblPr>
      <w:tblGrid>
        <w:gridCol w:w="1151"/>
        <w:gridCol w:w="1492"/>
        <w:gridCol w:w="726"/>
        <w:gridCol w:w="1244"/>
        <w:gridCol w:w="1961"/>
        <w:gridCol w:w="1756"/>
        <w:gridCol w:w="1028"/>
      </w:tblGrid>
      <w:tr w14:paraId="418E53C2">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54" w:hRule="atLeast"/>
          <w:jc w:val="center"/>
        </w:trPr>
        <w:tc>
          <w:tcPr>
            <w:tcW w:w="1151" w:type="dxa"/>
            <w:tcBorders>
              <w:bottom w:val="single" w:color="FFFFFF" w:sz="2" w:space="0"/>
              <w:right w:val="single" w:color="4F81BD" w:sz="2" w:space="0"/>
            </w:tcBorders>
            <w:shd w:val="clear" w:color="auto" w:fill="4F81BD"/>
          </w:tcPr>
          <w:p w14:paraId="47E270B8">
            <w:pPr>
              <w:pStyle w:val="39"/>
              <w:spacing w:before="226" w:line="221" w:lineRule="auto"/>
              <w:ind w:left="126"/>
              <w:rPr>
                <w:color w:val="auto"/>
                <w:sz w:val="21"/>
                <w:szCs w:val="21"/>
                <w:highlight w:val="none"/>
              </w:rPr>
            </w:pPr>
            <w:r>
              <w:rPr>
                <w:b/>
                <w:bCs/>
                <w:color w:val="auto"/>
                <w:spacing w:val="7"/>
                <w:sz w:val="21"/>
                <w:szCs w:val="21"/>
                <w:highlight w:val="none"/>
              </w:rPr>
              <w:t>行业名称</w:t>
            </w:r>
          </w:p>
        </w:tc>
        <w:tc>
          <w:tcPr>
            <w:tcW w:w="1492" w:type="dxa"/>
            <w:tcBorders>
              <w:left w:val="single" w:color="4F81BD" w:sz="2" w:space="0"/>
              <w:bottom w:val="single" w:color="FFFFFF" w:sz="2" w:space="0"/>
              <w:right w:val="single" w:color="4F81BD" w:sz="2" w:space="0"/>
            </w:tcBorders>
            <w:shd w:val="clear" w:color="auto" w:fill="4F81BD"/>
          </w:tcPr>
          <w:p w14:paraId="1B229A60">
            <w:pPr>
              <w:pStyle w:val="39"/>
              <w:spacing w:before="226" w:line="221" w:lineRule="auto"/>
              <w:ind w:left="296"/>
              <w:rPr>
                <w:color w:val="auto"/>
                <w:sz w:val="21"/>
                <w:szCs w:val="21"/>
                <w:highlight w:val="none"/>
              </w:rPr>
            </w:pPr>
            <w:r>
              <w:rPr>
                <w:b/>
                <w:bCs/>
                <w:color w:val="auto"/>
                <w:spacing w:val="8"/>
                <w:sz w:val="21"/>
                <w:szCs w:val="21"/>
                <w:highlight w:val="none"/>
              </w:rPr>
              <w:t>指标名称</w:t>
            </w:r>
          </w:p>
        </w:tc>
        <w:tc>
          <w:tcPr>
            <w:tcW w:w="726" w:type="dxa"/>
            <w:tcBorders>
              <w:left w:val="single" w:color="4F81BD" w:sz="2" w:space="0"/>
              <w:bottom w:val="single" w:color="FFFFFF" w:sz="2" w:space="0"/>
              <w:right w:val="single" w:color="4F81BD" w:sz="2" w:space="0"/>
            </w:tcBorders>
            <w:shd w:val="clear" w:color="auto" w:fill="4F81BD"/>
          </w:tcPr>
          <w:p w14:paraId="499B6D13">
            <w:pPr>
              <w:pStyle w:val="39"/>
              <w:spacing w:before="70" w:line="222" w:lineRule="auto"/>
              <w:ind w:left="137"/>
              <w:rPr>
                <w:color w:val="auto"/>
                <w:sz w:val="21"/>
                <w:szCs w:val="21"/>
                <w:highlight w:val="none"/>
              </w:rPr>
            </w:pPr>
            <w:r>
              <w:rPr>
                <w:b/>
                <w:bCs/>
                <w:color w:val="auto"/>
                <w:spacing w:val="3"/>
                <w:sz w:val="21"/>
                <w:szCs w:val="21"/>
                <w:highlight w:val="none"/>
              </w:rPr>
              <w:t>计量</w:t>
            </w:r>
          </w:p>
          <w:p w14:paraId="666F2D16">
            <w:pPr>
              <w:pStyle w:val="39"/>
              <w:spacing w:before="59" w:line="221" w:lineRule="auto"/>
              <w:ind w:left="139"/>
              <w:rPr>
                <w:color w:val="auto"/>
                <w:sz w:val="21"/>
                <w:szCs w:val="21"/>
                <w:highlight w:val="none"/>
              </w:rPr>
            </w:pPr>
            <w:r>
              <w:rPr>
                <w:b/>
                <w:bCs/>
                <w:color w:val="auto"/>
                <w:spacing w:val="2"/>
                <w:sz w:val="21"/>
                <w:szCs w:val="21"/>
                <w:highlight w:val="none"/>
              </w:rPr>
              <w:t>单位</w:t>
            </w:r>
          </w:p>
        </w:tc>
        <w:tc>
          <w:tcPr>
            <w:tcW w:w="1244" w:type="dxa"/>
            <w:tcBorders>
              <w:left w:val="single" w:color="4F81BD" w:sz="2" w:space="0"/>
              <w:bottom w:val="single" w:color="FFFFFF" w:sz="2" w:space="0"/>
              <w:right w:val="single" w:color="4F81BD" w:sz="2" w:space="0"/>
            </w:tcBorders>
            <w:shd w:val="clear" w:color="auto" w:fill="4F81BD"/>
          </w:tcPr>
          <w:p w14:paraId="23EA0F75">
            <w:pPr>
              <w:pStyle w:val="39"/>
              <w:spacing w:before="226" w:line="221" w:lineRule="auto"/>
              <w:ind w:left="402"/>
              <w:rPr>
                <w:color w:val="auto"/>
                <w:sz w:val="21"/>
                <w:szCs w:val="21"/>
                <w:highlight w:val="none"/>
              </w:rPr>
            </w:pPr>
            <w:r>
              <w:rPr>
                <w:b/>
                <w:bCs/>
                <w:color w:val="auto"/>
                <w:spacing w:val="2"/>
                <w:sz w:val="21"/>
                <w:szCs w:val="21"/>
                <w:highlight w:val="none"/>
              </w:rPr>
              <w:t>大型</w:t>
            </w:r>
          </w:p>
        </w:tc>
        <w:tc>
          <w:tcPr>
            <w:tcW w:w="1961" w:type="dxa"/>
            <w:tcBorders>
              <w:left w:val="single" w:color="4F81BD" w:sz="2" w:space="0"/>
              <w:bottom w:val="single" w:color="FFFFFF" w:sz="2" w:space="0"/>
              <w:right w:val="single" w:color="4F81BD" w:sz="2" w:space="0"/>
            </w:tcBorders>
            <w:shd w:val="clear" w:color="auto" w:fill="4F81BD"/>
          </w:tcPr>
          <w:p w14:paraId="12CFE3B9">
            <w:pPr>
              <w:pStyle w:val="39"/>
              <w:spacing w:before="226" w:line="221" w:lineRule="auto"/>
              <w:ind w:left="779"/>
              <w:rPr>
                <w:color w:val="auto"/>
                <w:sz w:val="21"/>
                <w:szCs w:val="21"/>
                <w:highlight w:val="none"/>
              </w:rPr>
            </w:pPr>
            <w:r>
              <w:rPr>
                <w:b/>
                <w:bCs/>
                <w:color w:val="auto"/>
                <w:spacing w:val="-5"/>
                <w:sz w:val="21"/>
                <w:szCs w:val="21"/>
                <w:highlight w:val="none"/>
              </w:rPr>
              <w:t>中型</w:t>
            </w:r>
          </w:p>
        </w:tc>
        <w:tc>
          <w:tcPr>
            <w:tcW w:w="1756" w:type="dxa"/>
            <w:tcBorders>
              <w:left w:val="single" w:color="4F81BD" w:sz="2" w:space="0"/>
              <w:bottom w:val="single" w:color="FFFFFF" w:sz="2" w:space="0"/>
              <w:right w:val="single" w:color="4F81BD" w:sz="2" w:space="0"/>
            </w:tcBorders>
            <w:shd w:val="clear" w:color="auto" w:fill="4F81BD"/>
          </w:tcPr>
          <w:p w14:paraId="462CEB6F">
            <w:pPr>
              <w:pStyle w:val="39"/>
              <w:spacing w:before="225" w:line="223" w:lineRule="auto"/>
              <w:ind w:left="664"/>
              <w:rPr>
                <w:color w:val="auto"/>
                <w:sz w:val="21"/>
                <w:szCs w:val="21"/>
                <w:highlight w:val="none"/>
              </w:rPr>
            </w:pPr>
            <w:r>
              <w:rPr>
                <w:b/>
                <w:bCs/>
                <w:color w:val="auto"/>
                <w:sz w:val="21"/>
                <w:szCs w:val="21"/>
                <w:highlight w:val="none"/>
              </w:rPr>
              <w:t>小型</w:t>
            </w:r>
          </w:p>
        </w:tc>
        <w:tc>
          <w:tcPr>
            <w:tcW w:w="1028" w:type="dxa"/>
            <w:tcBorders>
              <w:left w:val="single" w:color="4F81BD" w:sz="2" w:space="0"/>
              <w:bottom w:val="single" w:color="FFFFFF" w:sz="2" w:space="0"/>
              <w:right w:val="single" w:color="4F81BD" w:sz="2" w:space="0"/>
            </w:tcBorders>
            <w:shd w:val="clear" w:color="auto" w:fill="4F81BD"/>
          </w:tcPr>
          <w:p w14:paraId="65AC248A">
            <w:pPr>
              <w:pStyle w:val="39"/>
              <w:spacing w:before="225" w:line="221" w:lineRule="auto"/>
              <w:ind w:left="295"/>
              <w:rPr>
                <w:color w:val="auto"/>
                <w:sz w:val="21"/>
                <w:szCs w:val="21"/>
                <w:highlight w:val="none"/>
              </w:rPr>
            </w:pPr>
            <w:r>
              <w:rPr>
                <w:b/>
                <w:bCs/>
                <w:color w:val="auto"/>
                <w:spacing w:val="3"/>
                <w:sz w:val="21"/>
                <w:szCs w:val="21"/>
                <w:highlight w:val="none"/>
              </w:rPr>
              <w:t>微型</w:t>
            </w:r>
          </w:p>
        </w:tc>
      </w:tr>
      <w:tr w14:paraId="50CBAE07">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727" w:hRule="atLeast"/>
          <w:jc w:val="center"/>
        </w:trPr>
        <w:tc>
          <w:tcPr>
            <w:tcW w:w="1151" w:type="dxa"/>
            <w:tcBorders>
              <w:top w:val="single" w:color="FFFFFF" w:sz="2" w:space="0"/>
              <w:bottom w:val="single" w:color="000000" w:sz="2" w:space="0"/>
            </w:tcBorders>
            <w:shd w:val="clear" w:color="auto" w:fill="B8CCE4"/>
          </w:tcPr>
          <w:p w14:paraId="044F97B6">
            <w:pPr>
              <w:spacing w:line="41" w:lineRule="exact"/>
              <w:ind w:firstLine="4"/>
              <w:rPr>
                <w:color w:val="auto"/>
                <w:highlight w:val="none"/>
              </w:rPr>
            </w:pPr>
            <w:r>
              <w:rPr>
                <w:color w:val="auto"/>
                <w:highlight w:val="none"/>
              </w:rPr>
              <mc:AlternateContent>
                <mc:Choice Requires="wps">
                  <w:drawing>
                    <wp:inline distT="0" distB="0" distL="114300" distR="114300">
                      <wp:extent cx="718185" cy="27940"/>
                      <wp:effectExtent l="0" t="0" r="13335" b="2540"/>
                      <wp:docPr id="5" name="任意多边形 5"/>
                      <wp:cNvGraphicFramePr/>
                      <a:graphic xmlns:a="http://schemas.openxmlformats.org/drawingml/2006/main">
                        <a:graphicData uri="http://schemas.microsoft.com/office/word/2010/wordprocessingShape">
                          <wps:wsp>
                            <wps:cNvSpPr/>
                            <wps:spPr>
                              <a:xfrm>
                                <a:off x="0" y="0"/>
                                <a:ext cx="718185" cy="27940"/>
                              </a:xfrm>
                              <a:custGeom>
                                <a:avLst/>
                                <a:gdLst/>
                                <a:ahLst/>
                                <a:cxnLst/>
                                <a:rect l="0" t="0" r="0" b="0"/>
                                <a:pathLst>
                                  <a:path w="1130" h="44">
                                    <a:moveTo>
                                      <a:pt x="0" y="43"/>
                                    </a:moveTo>
                                    <a:lnTo>
                                      <a:pt x="1130" y="43"/>
                                    </a:lnTo>
                                    <a:lnTo>
                                      <a:pt x="1130"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56.55pt;" fillcolor="#FFFFFF" filled="t" stroked="f" coordsize="1130,44" o:gfxdata="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Z93bnRAAAAAwEAAA8A&#10;AAAAAAAAAQAgAAAAIgAAAGRycy9kb3ducmV2LnhtbFBLAQIUABQAAAAIAIdO4kDJTVFkHgIAAJ0E&#10;AAAOAAAAAAAAAAEAIAAAACABAABkcnMvZTJvRG9jLnhtbFBLBQYAAAAABgAGAFkBAACwBQAAAAA=&#10;" path="m0,43l1130,43,1130,0,0,0,0,43xe">
                      <v:fill on="t" focussize="0,0"/>
                      <v:stroke on="f"/>
                      <v:imagedata o:title=""/>
                      <o:lock v:ext="edit" aspectratio="f"/>
                      <w10:wrap type="none"/>
                      <w10:anchorlock/>
                    </v:shape>
                  </w:pict>
                </mc:Fallback>
              </mc:AlternateContent>
            </w:r>
          </w:p>
          <w:p w14:paraId="6BF1EB1D">
            <w:pPr>
              <w:pStyle w:val="39"/>
              <w:spacing w:before="82" w:line="221" w:lineRule="auto"/>
              <w:ind w:left="125"/>
              <w:rPr>
                <w:color w:val="auto"/>
                <w:sz w:val="21"/>
                <w:szCs w:val="21"/>
                <w:highlight w:val="none"/>
              </w:rPr>
            </w:pPr>
            <w:r>
              <w:rPr>
                <w:color w:val="auto"/>
                <w:spacing w:val="2"/>
                <w:sz w:val="21"/>
                <w:szCs w:val="21"/>
                <w:highlight w:val="none"/>
              </w:rPr>
              <w:t>农、林、</w:t>
            </w:r>
          </w:p>
          <w:p w14:paraId="24FCDA82">
            <w:pPr>
              <w:pStyle w:val="39"/>
              <w:spacing w:before="60" w:line="221" w:lineRule="auto"/>
              <w:ind w:left="126"/>
              <w:rPr>
                <w:color w:val="auto"/>
                <w:sz w:val="21"/>
                <w:szCs w:val="21"/>
                <w:highlight w:val="none"/>
              </w:rPr>
            </w:pPr>
            <w:r>
              <w:rPr>
                <w:color w:val="auto"/>
                <w:spacing w:val="9"/>
                <w:sz w:val="21"/>
                <w:szCs w:val="21"/>
                <w:highlight w:val="none"/>
              </w:rPr>
              <w:t>牧、渔业</w:t>
            </w:r>
          </w:p>
        </w:tc>
        <w:tc>
          <w:tcPr>
            <w:tcW w:w="1492" w:type="dxa"/>
            <w:tcBorders>
              <w:top w:val="single" w:color="FFFFFF" w:sz="2" w:space="0"/>
              <w:bottom w:val="single" w:color="000000" w:sz="2" w:space="0"/>
            </w:tcBorders>
            <w:shd w:val="clear" w:color="auto" w:fill="B8CCE4"/>
          </w:tcPr>
          <w:p w14:paraId="7A1505E2">
            <w:pPr>
              <w:spacing w:line="41" w:lineRule="exact"/>
              <w:ind w:firstLine="26"/>
              <w:rPr>
                <w:color w:val="auto"/>
                <w:highlight w:val="none"/>
              </w:rPr>
            </w:pPr>
            <w:r>
              <w:rPr>
                <w:color w:val="auto"/>
                <w:highlight w:val="none"/>
              </w:rPr>
              <mc:AlternateContent>
                <mc:Choice Requires="wps">
                  <w:drawing>
                    <wp:inline distT="0" distB="0" distL="114300" distR="114300">
                      <wp:extent cx="921385" cy="27940"/>
                      <wp:effectExtent l="0" t="0" r="8255" b="2540"/>
                      <wp:docPr id="1" name="任意多边形 1"/>
                      <wp:cNvGraphicFramePr/>
                      <a:graphic xmlns:a="http://schemas.openxmlformats.org/drawingml/2006/main">
                        <a:graphicData uri="http://schemas.microsoft.com/office/word/2010/wordprocessingShape">
                          <wps:wsp>
                            <wps:cNvSpPr/>
                            <wps:spPr>
                              <a:xfrm>
                                <a:off x="0" y="0"/>
                                <a:ext cx="921385" cy="27940"/>
                              </a:xfrm>
                              <a:custGeom>
                                <a:avLst/>
                                <a:gdLst/>
                                <a:ahLst/>
                                <a:cxnLst/>
                                <a:rect l="0" t="0" r="0" b="0"/>
                                <a:pathLst>
                                  <a:path w="1451" h="44">
                                    <a:moveTo>
                                      <a:pt x="0" y="43"/>
                                    </a:moveTo>
                                    <a:lnTo>
                                      <a:pt x="1450" y="43"/>
                                    </a:lnTo>
                                    <a:lnTo>
                                      <a:pt x="1450"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72.55pt;" fillcolor="#FFFFFF" filled="t" stroked="f" coordsize="1451,44" o:gfxdata="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DPDnvTAAAAAwEAAA8AAAAA&#10;AAAAAQAgAAAAIgAAAGRycy9kb3ducmV2LnhtbFBLAQIUABQAAAAIAIdO4kDR901VGQIAAJ0EAAAO&#10;AAAAAAAAAAEAIAAAACIBAABkcnMvZTJvRG9jLnhtbFBLBQYAAAAABgAGAFkBAACtBQAAAAA=&#10;" path="m0,43l1450,43,1450,0,0,0,0,43xe">
                      <v:fill on="t" focussize="0,0"/>
                      <v:stroke on="f"/>
                      <v:imagedata o:title=""/>
                      <o:lock v:ext="edit" aspectratio="f"/>
                      <w10:wrap type="none"/>
                      <w10:anchorlock/>
                    </v:shape>
                  </w:pict>
                </mc:Fallback>
              </mc:AlternateContent>
            </w:r>
          </w:p>
          <w:p w14:paraId="076A4079">
            <w:pPr>
              <w:pStyle w:val="39"/>
              <w:spacing w:before="238" w:line="221" w:lineRule="auto"/>
              <w:ind w:left="130"/>
              <w:rPr>
                <w:color w:val="auto"/>
                <w:sz w:val="21"/>
                <w:szCs w:val="21"/>
                <w:highlight w:val="none"/>
              </w:rPr>
            </w:pPr>
            <w:r>
              <w:rPr>
                <w:color w:val="auto"/>
                <w:spacing w:val="9"/>
                <w:sz w:val="21"/>
                <w:szCs w:val="21"/>
                <w:highlight w:val="none"/>
              </w:rPr>
              <w:t>营业收入(Y)</w:t>
            </w:r>
          </w:p>
        </w:tc>
        <w:tc>
          <w:tcPr>
            <w:tcW w:w="726" w:type="dxa"/>
            <w:tcBorders>
              <w:top w:val="single" w:color="FFFFFF" w:sz="2" w:space="0"/>
              <w:bottom w:val="single" w:color="000000" w:sz="2" w:space="0"/>
            </w:tcBorders>
            <w:shd w:val="clear" w:color="auto" w:fill="B8CCE4"/>
          </w:tcPr>
          <w:p w14:paraId="3FE65660">
            <w:pPr>
              <w:spacing w:line="41" w:lineRule="exact"/>
              <w:ind w:firstLine="28"/>
              <w:rPr>
                <w:color w:val="auto"/>
                <w:highlight w:val="none"/>
              </w:rPr>
            </w:pPr>
            <w:r>
              <w:rPr>
                <w:color w:val="auto"/>
                <w:highlight w:val="none"/>
              </w:rPr>
              <mc:AlternateContent>
                <mc:Choice Requires="wps">
                  <w:drawing>
                    <wp:inline distT="0" distB="0" distL="114300" distR="114300">
                      <wp:extent cx="434340" cy="27940"/>
                      <wp:effectExtent l="0" t="0" r="7620" b="2540"/>
                      <wp:docPr id="2" name="任意多边形 2"/>
                      <wp:cNvGraphicFramePr/>
                      <a:graphic xmlns:a="http://schemas.openxmlformats.org/drawingml/2006/main">
                        <a:graphicData uri="http://schemas.microsoft.com/office/word/2010/wordprocessingShape">
                          <wps:wsp>
                            <wps:cNvSpPr/>
                            <wps:spPr>
                              <a:xfrm>
                                <a:off x="0" y="0"/>
                                <a:ext cx="434340" cy="27940"/>
                              </a:xfrm>
                              <a:custGeom>
                                <a:avLst/>
                                <a:gdLst/>
                                <a:ahLst/>
                                <a:cxnLst/>
                                <a:rect l="0" t="0" r="0" b="0"/>
                                <a:pathLst>
                                  <a:path w="684" h="44">
                                    <a:moveTo>
                                      <a:pt x="0" y="43"/>
                                    </a:moveTo>
                                    <a:lnTo>
                                      <a:pt x="683" y="43"/>
                                    </a:lnTo>
                                    <a:lnTo>
                                      <a:pt x="683"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34.2pt;" fillcolor="#FFFFFF" filled="t" stroked="f" coordsize="684,44" o:gfxdata="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Jdcf77UAAAAAgEAAA8A&#10;AAAAAAAAAQAgAAAAIgAAAGRycy9kb3ducmV2LnhtbFBLAQIUABQAAAAIAIdO4kCPVWyeGwIAAJoE&#10;AAAOAAAAAAAAAAEAIAAAACMBAABkcnMvZTJvRG9jLnhtbFBLBQYAAAAABgAGAFkBAACwBQAAAAA=&#10;" path="m0,43l683,43,683,0,0,0,0,43xe">
                      <v:fill on="t" focussize="0,0"/>
                      <v:stroke on="f"/>
                      <v:imagedata o:title=""/>
                      <o:lock v:ext="edit" aspectratio="f"/>
                      <w10:wrap type="none"/>
                      <w10:anchorlock/>
                    </v:shape>
                  </w:pict>
                </mc:Fallback>
              </mc:AlternateContent>
            </w:r>
          </w:p>
          <w:p w14:paraId="638D84FA">
            <w:pPr>
              <w:pStyle w:val="39"/>
              <w:spacing w:before="238" w:line="221" w:lineRule="auto"/>
              <w:ind w:left="142"/>
              <w:rPr>
                <w:color w:val="auto"/>
                <w:sz w:val="21"/>
                <w:szCs w:val="21"/>
                <w:highlight w:val="none"/>
              </w:rPr>
            </w:pPr>
            <w:r>
              <w:rPr>
                <w:color w:val="auto"/>
                <w:spacing w:val="1"/>
                <w:sz w:val="21"/>
                <w:szCs w:val="21"/>
                <w:highlight w:val="none"/>
              </w:rPr>
              <w:t>万元</w:t>
            </w:r>
          </w:p>
        </w:tc>
        <w:tc>
          <w:tcPr>
            <w:tcW w:w="1244" w:type="dxa"/>
            <w:tcBorders>
              <w:top w:val="single" w:color="FFFFFF" w:sz="2" w:space="0"/>
              <w:bottom w:val="single" w:color="000000" w:sz="2" w:space="0"/>
            </w:tcBorders>
            <w:shd w:val="clear" w:color="auto" w:fill="B8CCE4"/>
          </w:tcPr>
          <w:p w14:paraId="6B37C719">
            <w:pPr>
              <w:spacing w:line="41" w:lineRule="exact"/>
              <w:ind w:firstLine="29"/>
              <w:rPr>
                <w:color w:val="auto"/>
                <w:highlight w:val="none"/>
              </w:rPr>
            </w:pPr>
            <w:r>
              <w:rPr>
                <w:color w:val="auto"/>
                <w:highlight w:val="none"/>
              </w:rPr>
              <mc:AlternateContent>
                <mc:Choice Requires="wps">
                  <w:drawing>
                    <wp:inline distT="0" distB="0" distL="114300" distR="114300">
                      <wp:extent cx="763905" cy="27940"/>
                      <wp:effectExtent l="0" t="0" r="13335" b="2540"/>
                      <wp:docPr id="8" name="任意多边形 8"/>
                      <wp:cNvGraphicFramePr/>
                      <a:graphic xmlns:a="http://schemas.openxmlformats.org/drawingml/2006/main">
                        <a:graphicData uri="http://schemas.microsoft.com/office/word/2010/wordprocessingShape">
                          <wps:wsp>
                            <wps:cNvSpPr/>
                            <wps:spPr>
                              <a:xfrm>
                                <a:off x="0" y="0"/>
                                <a:ext cx="763905" cy="27940"/>
                              </a:xfrm>
                              <a:custGeom>
                                <a:avLst/>
                                <a:gdLst/>
                                <a:ahLst/>
                                <a:cxnLst/>
                                <a:rect l="0" t="0" r="0" b="0"/>
                                <a:pathLst>
                                  <a:path w="1203" h="44">
                                    <a:moveTo>
                                      <a:pt x="0" y="43"/>
                                    </a:moveTo>
                                    <a:lnTo>
                                      <a:pt x="1202" y="43"/>
                                    </a:lnTo>
                                    <a:lnTo>
                                      <a:pt x="1202"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60.15pt;" fillcolor="#FFFFFF" filled="t" stroked="f" coordsize="1203,44" o:gfxdata="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o+ij30wAAAAMB&#10;AAAPAAAAAAAAAAEAIAAAACIAAABkcnMvZG93bnJldi54bWxQSwECFAAUAAAACACHTuJAAtgYnSAC&#10;AACdBAAADgAAAAAAAAABACAAAAAiAQAAZHJzL2Uyb0RvYy54bWxQSwUGAAAAAAYABgBZAQAAtAUA&#10;AAAA&#10;" path="m0,43l1202,43,1202,0,0,0,0,43xe">
                      <v:fill on="t" focussize="0,0"/>
                      <v:stroke on="f"/>
                      <v:imagedata o:title=""/>
                      <o:lock v:ext="edit" aspectratio="f"/>
                      <w10:wrap type="none"/>
                      <w10:anchorlock/>
                    </v:shape>
                  </w:pict>
                </mc:Fallback>
              </mc:AlternateContent>
            </w:r>
          </w:p>
          <w:p w14:paraId="0245C35E">
            <w:pPr>
              <w:pStyle w:val="39"/>
              <w:spacing w:before="238" w:line="239" w:lineRule="auto"/>
              <w:ind w:left="168"/>
              <w:rPr>
                <w:color w:val="auto"/>
                <w:sz w:val="21"/>
                <w:szCs w:val="21"/>
                <w:highlight w:val="none"/>
              </w:rPr>
            </w:pPr>
            <w:r>
              <w:rPr>
                <w:color w:val="auto"/>
                <w:spacing w:val="7"/>
                <w:sz w:val="21"/>
                <w:szCs w:val="21"/>
                <w:highlight w:val="none"/>
              </w:rPr>
              <w:t>Y≥20000</w:t>
            </w:r>
          </w:p>
        </w:tc>
        <w:tc>
          <w:tcPr>
            <w:tcW w:w="1961" w:type="dxa"/>
            <w:tcBorders>
              <w:top w:val="single" w:color="FFFFFF" w:sz="2" w:space="0"/>
              <w:bottom w:val="single" w:color="000000" w:sz="2" w:space="0"/>
            </w:tcBorders>
            <w:shd w:val="clear" w:color="auto" w:fill="B8CCE4"/>
          </w:tcPr>
          <w:p w14:paraId="37FB63F5">
            <w:pPr>
              <w:spacing w:line="41" w:lineRule="exact"/>
              <w:ind w:firstLine="31"/>
              <w:rPr>
                <w:color w:val="auto"/>
                <w:highlight w:val="none"/>
              </w:rPr>
            </w:pPr>
            <w:r>
              <w:rPr>
                <w:color w:val="auto"/>
                <w:highlight w:val="none"/>
              </w:rPr>
              <mc:AlternateContent>
                <mc:Choice Requires="wps">
                  <w:drawing>
                    <wp:inline distT="0" distB="0" distL="114300" distR="114300">
                      <wp:extent cx="1219835" cy="27940"/>
                      <wp:effectExtent l="0" t="0" r="0" b="2540"/>
                      <wp:docPr id="7" name="任意多边形 7"/>
                      <wp:cNvGraphicFramePr/>
                      <a:graphic xmlns:a="http://schemas.openxmlformats.org/drawingml/2006/main">
                        <a:graphicData uri="http://schemas.microsoft.com/office/word/2010/wordprocessingShape">
                          <wps:wsp>
                            <wps:cNvSpPr/>
                            <wps:spPr>
                              <a:xfrm>
                                <a:off x="0" y="0"/>
                                <a:ext cx="1219835" cy="27940"/>
                              </a:xfrm>
                              <a:custGeom>
                                <a:avLst/>
                                <a:gdLst/>
                                <a:ahLst/>
                                <a:cxnLst/>
                                <a:rect l="0" t="0" r="0" b="0"/>
                                <a:pathLst>
                                  <a:path w="1921" h="44">
                                    <a:moveTo>
                                      <a:pt x="0" y="43"/>
                                    </a:moveTo>
                                    <a:lnTo>
                                      <a:pt x="1920" y="43"/>
                                    </a:lnTo>
                                    <a:lnTo>
                                      <a:pt x="1920"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96.05pt;" fillcolor="#FFFFFF" filled="t" stroked="f" coordsize="1921,44" o:gfxdata="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j/XcU1gAAAAMBAAAP&#10;AAAAAAAAAAEAIAAAACIAAABkcnMvZG93bnJldi54bWxQSwECFAAUAAAACACHTuJAxO4MUxoCAACe&#10;BAAADgAAAAAAAAABACAAAAAlAQAAZHJzL2Uyb0RvYy54bWxQSwUGAAAAAAYABgBZAQAAsQUAAAAA&#10;" path="m0,43l1920,43,1920,0,0,0,0,43xe">
                      <v:fill on="t" focussize="0,0"/>
                      <v:stroke on="f"/>
                      <v:imagedata o:title=""/>
                      <o:lock v:ext="edit" aspectratio="f"/>
                      <w10:wrap type="none"/>
                      <w10:anchorlock/>
                    </v:shape>
                  </w:pict>
                </mc:Fallback>
              </mc:AlternateContent>
            </w:r>
          </w:p>
          <w:p w14:paraId="4CF0F458">
            <w:pPr>
              <w:pStyle w:val="39"/>
              <w:spacing w:before="238" w:line="237" w:lineRule="auto"/>
              <w:ind w:left="252"/>
              <w:rPr>
                <w:color w:val="auto"/>
                <w:sz w:val="21"/>
                <w:szCs w:val="21"/>
                <w:highlight w:val="none"/>
              </w:rPr>
            </w:pPr>
            <w:r>
              <w:rPr>
                <w:color w:val="auto"/>
                <w:spacing w:val="7"/>
                <w:sz w:val="21"/>
                <w:szCs w:val="21"/>
                <w:highlight w:val="none"/>
              </w:rPr>
              <w:t>500≤Y＜20000</w:t>
            </w:r>
          </w:p>
        </w:tc>
        <w:tc>
          <w:tcPr>
            <w:tcW w:w="1756" w:type="dxa"/>
            <w:tcBorders>
              <w:top w:val="single" w:color="FFFFFF" w:sz="2" w:space="0"/>
              <w:bottom w:val="single" w:color="000000" w:sz="2" w:space="0"/>
            </w:tcBorders>
            <w:shd w:val="clear" w:color="auto" w:fill="B8CCE4"/>
          </w:tcPr>
          <w:p w14:paraId="1EF49CF1">
            <w:pPr>
              <w:spacing w:line="41" w:lineRule="exact"/>
              <w:ind w:firstLine="33"/>
              <w:rPr>
                <w:color w:val="auto"/>
                <w:highlight w:val="none"/>
              </w:rPr>
            </w:pPr>
            <w:r>
              <w:rPr>
                <w:color w:val="auto"/>
                <w:highlight w:val="none"/>
              </w:rPr>
              <mc:AlternateContent>
                <mc:Choice Requires="wps">
                  <w:drawing>
                    <wp:inline distT="0" distB="0" distL="114300" distR="114300">
                      <wp:extent cx="1089025" cy="27940"/>
                      <wp:effectExtent l="0" t="0" r="8255" b="2540"/>
                      <wp:docPr id="3" name="任意多边形 3"/>
                      <wp:cNvGraphicFramePr/>
                      <a:graphic xmlns:a="http://schemas.openxmlformats.org/drawingml/2006/main">
                        <a:graphicData uri="http://schemas.microsoft.com/office/word/2010/wordprocessingShape">
                          <wps:wsp>
                            <wps:cNvSpPr/>
                            <wps:spPr>
                              <a:xfrm>
                                <a:off x="0" y="0"/>
                                <a:ext cx="1089025" cy="27940"/>
                              </a:xfrm>
                              <a:custGeom>
                                <a:avLst/>
                                <a:gdLst/>
                                <a:ahLst/>
                                <a:cxnLst/>
                                <a:rect l="0" t="0" r="0" b="0"/>
                                <a:pathLst>
                                  <a:path w="1715" h="44">
                                    <a:moveTo>
                                      <a:pt x="0" y="43"/>
                                    </a:moveTo>
                                    <a:lnTo>
                                      <a:pt x="1714" y="43"/>
                                    </a:lnTo>
                                    <a:lnTo>
                                      <a:pt x="1714"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85.75pt;" fillcolor="#FFFFFF" filled="t" stroked="f" coordsize="1715,44" o:gfxdata="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UDYebTAAAA&#10;AwEAAA8AAAAAAAAAAQAgAAAAIgAAAGRycy9kb3ducmV2LnhtbFBLAQIUABQAAAAIAIdO4kCgFSS3&#10;IgIAAJ4EAAAOAAAAAAAAAAEAIAAAACIBAABkcnMvZTJvRG9jLnhtbFBLBQYAAAAABgAGAFkBAAC2&#10;BQAAAAA=&#10;" path="m0,43l1714,43,1714,0,0,0,0,43xe">
                      <v:fill on="t" focussize="0,0"/>
                      <v:stroke on="f"/>
                      <v:imagedata o:title=""/>
                      <o:lock v:ext="edit" aspectratio="f"/>
                      <w10:wrap type="none"/>
                      <w10:anchorlock/>
                    </v:shape>
                  </w:pict>
                </mc:Fallback>
              </mc:AlternateContent>
            </w:r>
          </w:p>
          <w:p w14:paraId="27A94778">
            <w:pPr>
              <w:pStyle w:val="39"/>
              <w:spacing w:before="238" w:line="237" w:lineRule="auto"/>
              <w:ind w:left="322"/>
              <w:rPr>
                <w:color w:val="auto"/>
                <w:sz w:val="21"/>
                <w:szCs w:val="21"/>
                <w:highlight w:val="none"/>
              </w:rPr>
            </w:pPr>
            <w:r>
              <w:rPr>
                <w:color w:val="auto"/>
                <w:spacing w:val="7"/>
                <w:sz w:val="21"/>
                <w:szCs w:val="21"/>
                <w:highlight w:val="none"/>
              </w:rPr>
              <w:t>50≤Y＜500</w:t>
            </w:r>
          </w:p>
        </w:tc>
        <w:tc>
          <w:tcPr>
            <w:tcW w:w="1028" w:type="dxa"/>
            <w:tcBorders>
              <w:top w:val="single" w:color="FFFFFF" w:sz="2" w:space="0"/>
              <w:bottom w:val="single" w:color="000000" w:sz="2" w:space="0"/>
            </w:tcBorders>
            <w:shd w:val="clear" w:color="auto" w:fill="B8CCE4"/>
          </w:tcPr>
          <w:p w14:paraId="415EB8B2">
            <w:pPr>
              <w:spacing w:line="41" w:lineRule="exact"/>
              <w:ind w:firstLine="35"/>
              <w:rPr>
                <w:color w:val="auto"/>
                <w:highlight w:val="none"/>
              </w:rPr>
            </w:pPr>
            <w:r>
              <w:rPr>
                <w:color w:val="auto"/>
                <w:highlight w:val="none"/>
              </w:rPr>
              <mc:AlternateContent>
                <mc:Choice Requires="wps">
                  <w:drawing>
                    <wp:inline distT="0" distB="0" distL="114300" distR="114300">
                      <wp:extent cx="622300" cy="27940"/>
                      <wp:effectExtent l="0" t="0" r="2540" b="2540"/>
                      <wp:docPr id="4" name="任意多边形 4"/>
                      <wp:cNvGraphicFramePr/>
                      <a:graphic xmlns:a="http://schemas.openxmlformats.org/drawingml/2006/main">
                        <a:graphicData uri="http://schemas.microsoft.com/office/word/2010/wordprocessingShape">
                          <wps:wsp>
                            <wps:cNvSpPr/>
                            <wps:spPr>
                              <a:xfrm>
                                <a:off x="0" y="0"/>
                                <a:ext cx="622300" cy="27940"/>
                              </a:xfrm>
                              <a:custGeom>
                                <a:avLst/>
                                <a:gdLst/>
                                <a:ahLst/>
                                <a:cxnLst/>
                                <a:rect l="0" t="0" r="0" b="0"/>
                                <a:pathLst>
                                  <a:path w="980" h="44">
                                    <a:moveTo>
                                      <a:pt x="0" y="43"/>
                                    </a:moveTo>
                                    <a:lnTo>
                                      <a:pt x="979" y="43"/>
                                    </a:lnTo>
                                    <a:lnTo>
                                      <a:pt x="979" y="0"/>
                                    </a:lnTo>
                                    <a:lnTo>
                                      <a:pt x="0" y="0"/>
                                    </a:lnTo>
                                    <a:lnTo>
                                      <a:pt x="0" y="43"/>
                                    </a:lnTo>
                                    <a:close/>
                                  </a:path>
                                </a:pathLst>
                              </a:custGeom>
                              <a:solidFill>
                                <a:srgbClr val="FFFFFF"/>
                              </a:solidFill>
                              <a:ln>
                                <a:noFill/>
                              </a:ln>
                            </wps:spPr>
                            <wps:bodyPr upright="1"/>
                          </wps:wsp>
                        </a:graphicData>
                      </a:graphic>
                    </wp:inline>
                  </w:drawing>
                </mc:Choice>
                <mc:Fallback>
                  <w:pict>
                    <v:shape id="_x0000_s1026" o:spid="_x0000_s1026" o:spt="100" style="height:2.2pt;width:49pt;" fillcolor="#FFFFFF" filled="t" stroked="f" coordsize="980,44" o:gfxdata="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Iy8NLRAAAAAgEAAA8A&#10;AAAAAAAAAQAgAAAAIgAAAGRycy9kb3ducmV2LnhtbFBLAQIUABQAAAAIAIdO4kCxSkiHHgIAAJoE&#10;AAAOAAAAAAAAAAEAIAAAACABAABkcnMvZTJvRG9jLnhtbFBLBQYAAAAABgAGAFkBAACwBQAAAAA=&#10;" path="m0,43l979,43,979,0,0,0,0,43xe">
                      <v:fill on="t" focussize="0,0"/>
                      <v:stroke on="f"/>
                      <v:imagedata o:title=""/>
                      <o:lock v:ext="edit" aspectratio="f"/>
                      <w10:wrap type="none"/>
                      <w10:anchorlock/>
                    </v:shape>
                  </w:pict>
                </mc:Fallback>
              </mc:AlternateContent>
            </w:r>
          </w:p>
          <w:p w14:paraId="3840BC99">
            <w:pPr>
              <w:pStyle w:val="39"/>
              <w:spacing w:before="238" w:line="241" w:lineRule="auto"/>
              <w:ind w:left="234"/>
              <w:rPr>
                <w:color w:val="auto"/>
                <w:sz w:val="21"/>
                <w:szCs w:val="21"/>
                <w:highlight w:val="none"/>
              </w:rPr>
            </w:pPr>
            <w:r>
              <w:rPr>
                <w:color w:val="auto"/>
                <w:spacing w:val="6"/>
                <w:sz w:val="21"/>
                <w:szCs w:val="21"/>
                <w:highlight w:val="none"/>
              </w:rPr>
              <w:t>Y＜50</w:t>
            </w:r>
          </w:p>
        </w:tc>
      </w:tr>
      <w:tr w14:paraId="4BB85292">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restart"/>
            <w:tcBorders>
              <w:bottom w:val="nil"/>
              <w:right w:val="single" w:color="4F81BD" w:sz="2" w:space="0"/>
            </w:tcBorders>
          </w:tcPr>
          <w:p w14:paraId="2EEF6163">
            <w:pPr>
              <w:spacing w:line="424" w:lineRule="auto"/>
              <w:rPr>
                <w:color w:val="auto"/>
                <w:highlight w:val="none"/>
              </w:rPr>
            </w:pPr>
          </w:p>
          <w:p w14:paraId="54EBECCE">
            <w:pPr>
              <w:pStyle w:val="39"/>
              <w:spacing w:before="68" w:line="233" w:lineRule="auto"/>
              <w:ind w:left="235"/>
              <w:rPr>
                <w:color w:val="auto"/>
                <w:sz w:val="21"/>
                <w:szCs w:val="21"/>
                <w:highlight w:val="none"/>
              </w:rPr>
            </w:pPr>
            <w:r>
              <w:rPr>
                <w:color w:val="auto"/>
                <w:spacing w:val="2"/>
                <w:sz w:val="21"/>
                <w:szCs w:val="21"/>
                <w:highlight w:val="none"/>
              </w:rPr>
              <w:t>工业</w:t>
            </w:r>
            <w:r>
              <w:rPr>
                <w:color w:val="auto"/>
                <w:spacing w:val="36"/>
                <w:sz w:val="21"/>
                <w:szCs w:val="21"/>
                <w:highlight w:val="none"/>
              </w:rPr>
              <w:t xml:space="preserve"> </w:t>
            </w:r>
            <w:r>
              <w:rPr>
                <w:color w:val="auto"/>
                <w:spacing w:val="2"/>
                <w:sz w:val="21"/>
                <w:szCs w:val="21"/>
                <w:highlight w:val="none"/>
              </w:rPr>
              <w:t>*</w:t>
            </w:r>
          </w:p>
        </w:tc>
        <w:tc>
          <w:tcPr>
            <w:tcW w:w="1492" w:type="dxa"/>
            <w:tcBorders>
              <w:left w:val="single" w:color="4F81BD" w:sz="2" w:space="0"/>
              <w:right w:val="single" w:color="4F81BD" w:sz="2" w:space="0"/>
            </w:tcBorders>
          </w:tcPr>
          <w:p w14:paraId="629AE3DD">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27526F2E">
            <w:pPr>
              <w:pStyle w:val="39"/>
              <w:spacing w:before="193"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1485171A">
            <w:pPr>
              <w:pStyle w:val="39"/>
              <w:spacing w:before="192" w:line="239" w:lineRule="auto"/>
              <w:ind w:left="227"/>
              <w:rPr>
                <w:color w:val="auto"/>
                <w:sz w:val="21"/>
                <w:szCs w:val="21"/>
                <w:highlight w:val="none"/>
              </w:rPr>
            </w:pPr>
            <w:r>
              <w:rPr>
                <w:color w:val="auto"/>
                <w:spacing w:val="6"/>
                <w:sz w:val="21"/>
                <w:szCs w:val="21"/>
                <w:highlight w:val="none"/>
              </w:rPr>
              <w:t>X≥1000</w:t>
            </w:r>
          </w:p>
        </w:tc>
        <w:tc>
          <w:tcPr>
            <w:tcW w:w="1961" w:type="dxa"/>
            <w:tcBorders>
              <w:left w:val="single" w:color="4F81BD" w:sz="2" w:space="0"/>
              <w:right w:val="single" w:color="4F81BD" w:sz="2" w:space="0"/>
            </w:tcBorders>
          </w:tcPr>
          <w:p w14:paraId="38B6E71E">
            <w:pPr>
              <w:pStyle w:val="39"/>
              <w:spacing w:before="193" w:line="237" w:lineRule="auto"/>
              <w:ind w:left="312"/>
              <w:rPr>
                <w:color w:val="auto"/>
                <w:sz w:val="21"/>
                <w:szCs w:val="21"/>
                <w:highlight w:val="none"/>
              </w:rPr>
            </w:pPr>
            <w:r>
              <w:rPr>
                <w:color w:val="auto"/>
                <w:spacing w:val="1"/>
                <w:sz w:val="21"/>
                <w:szCs w:val="21"/>
                <w:highlight w:val="none"/>
              </w:rPr>
              <w:t>300≤X＜</w:t>
            </w:r>
            <w:r>
              <w:rPr>
                <w:color w:val="auto"/>
                <w:spacing w:val="-42"/>
                <w:sz w:val="21"/>
                <w:szCs w:val="21"/>
                <w:highlight w:val="none"/>
              </w:rPr>
              <w:t xml:space="preserve"> </w:t>
            </w:r>
            <w:r>
              <w:rPr>
                <w:color w:val="auto"/>
                <w:spacing w:val="1"/>
                <w:sz w:val="21"/>
                <w:szCs w:val="21"/>
                <w:highlight w:val="none"/>
              </w:rPr>
              <w:t>1000</w:t>
            </w:r>
          </w:p>
        </w:tc>
        <w:tc>
          <w:tcPr>
            <w:tcW w:w="1756" w:type="dxa"/>
            <w:tcBorders>
              <w:left w:val="single" w:color="4F81BD" w:sz="2" w:space="0"/>
              <w:right w:val="single" w:color="4F81BD" w:sz="2" w:space="0"/>
            </w:tcBorders>
          </w:tcPr>
          <w:p w14:paraId="50811477">
            <w:pPr>
              <w:pStyle w:val="39"/>
              <w:spacing w:before="193" w:line="237" w:lineRule="auto"/>
              <w:ind w:left="322"/>
              <w:rPr>
                <w:color w:val="auto"/>
                <w:sz w:val="21"/>
                <w:szCs w:val="21"/>
                <w:highlight w:val="none"/>
              </w:rPr>
            </w:pPr>
            <w:r>
              <w:rPr>
                <w:color w:val="auto"/>
                <w:spacing w:val="7"/>
                <w:sz w:val="21"/>
                <w:szCs w:val="21"/>
                <w:highlight w:val="none"/>
              </w:rPr>
              <w:t>20≤X＜300</w:t>
            </w:r>
          </w:p>
        </w:tc>
        <w:tc>
          <w:tcPr>
            <w:tcW w:w="1028" w:type="dxa"/>
            <w:tcBorders>
              <w:left w:val="single" w:color="4F81BD" w:sz="2" w:space="0"/>
              <w:right w:val="single" w:color="4F81BD" w:sz="2" w:space="0"/>
            </w:tcBorders>
          </w:tcPr>
          <w:p w14:paraId="4FF7749F">
            <w:pPr>
              <w:pStyle w:val="39"/>
              <w:spacing w:before="193" w:line="241" w:lineRule="auto"/>
              <w:ind w:left="237"/>
              <w:rPr>
                <w:color w:val="auto"/>
                <w:sz w:val="21"/>
                <w:szCs w:val="21"/>
                <w:highlight w:val="none"/>
              </w:rPr>
            </w:pPr>
            <w:r>
              <w:rPr>
                <w:color w:val="auto"/>
                <w:spacing w:val="6"/>
                <w:sz w:val="21"/>
                <w:szCs w:val="21"/>
                <w:highlight w:val="none"/>
              </w:rPr>
              <w:t>X＜20</w:t>
            </w:r>
          </w:p>
        </w:tc>
      </w:tr>
      <w:tr w14:paraId="5D94996A">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right w:val="single" w:color="4F81BD" w:sz="2" w:space="0"/>
            </w:tcBorders>
          </w:tcPr>
          <w:p w14:paraId="292A7D5E">
            <w:pPr>
              <w:rPr>
                <w:color w:val="auto"/>
                <w:highlight w:val="none"/>
              </w:rPr>
            </w:pPr>
          </w:p>
        </w:tc>
        <w:tc>
          <w:tcPr>
            <w:tcW w:w="1492" w:type="dxa"/>
            <w:tcBorders>
              <w:left w:val="single" w:color="000000" w:sz="2" w:space="0"/>
            </w:tcBorders>
            <w:shd w:val="clear" w:color="auto" w:fill="B8CCE4"/>
          </w:tcPr>
          <w:p w14:paraId="572E1DF3">
            <w:pPr>
              <w:pStyle w:val="39"/>
              <w:spacing w:before="192"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0AACEF65">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5DFA6357">
            <w:pPr>
              <w:pStyle w:val="39"/>
              <w:spacing w:before="192" w:line="239" w:lineRule="auto"/>
              <w:ind w:left="168"/>
              <w:rPr>
                <w:color w:val="auto"/>
                <w:sz w:val="21"/>
                <w:szCs w:val="21"/>
                <w:highlight w:val="none"/>
              </w:rPr>
            </w:pPr>
            <w:r>
              <w:rPr>
                <w:color w:val="auto"/>
                <w:spacing w:val="7"/>
                <w:sz w:val="21"/>
                <w:szCs w:val="21"/>
                <w:highlight w:val="none"/>
              </w:rPr>
              <w:t>Y≥40000</w:t>
            </w:r>
          </w:p>
        </w:tc>
        <w:tc>
          <w:tcPr>
            <w:tcW w:w="1961" w:type="dxa"/>
            <w:shd w:val="clear" w:color="auto" w:fill="B8CCE4"/>
          </w:tcPr>
          <w:p w14:paraId="604B9AA3">
            <w:pPr>
              <w:pStyle w:val="39"/>
              <w:spacing w:before="193" w:line="237" w:lineRule="auto"/>
              <w:ind w:left="195"/>
              <w:rPr>
                <w:color w:val="auto"/>
                <w:sz w:val="21"/>
                <w:szCs w:val="21"/>
                <w:highlight w:val="none"/>
              </w:rPr>
            </w:pPr>
            <w:r>
              <w:rPr>
                <w:color w:val="auto"/>
                <w:spacing w:val="7"/>
                <w:sz w:val="21"/>
                <w:szCs w:val="21"/>
                <w:highlight w:val="none"/>
              </w:rPr>
              <w:t>2000≤Y＜40000</w:t>
            </w:r>
          </w:p>
        </w:tc>
        <w:tc>
          <w:tcPr>
            <w:tcW w:w="1756" w:type="dxa"/>
            <w:shd w:val="clear" w:color="auto" w:fill="B8CCE4"/>
          </w:tcPr>
          <w:p w14:paraId="5B404EF2">
            <w:pPr>
              <w:pStyle w:val="39"/>
              <w:spacing w:before="193" w:line="237" w:lineRule="auto"/>
              <w:ind w:left="209"/>
              <w:rPr>
                <w:color w:val="auto"/>
                <w:sz w:val="21"/>
                <w:szCs w:val="21"/>
                <w:highlight w:val="none"/>
              </w:rPr>
            </w:pPr>
            <w:r>
              <w:rPr>
                <w:color w:val="auto"/>
                <w:spacing w:val="7"/>
                <w:sz w:val="21"/>
                <w:szCs w:val="21"/>
                <w:highlight w:val="none"/>
              </w:rPr>
              <w:t>300≤Y＜2000</w:t>
            </w:r>
          </w:p>
        </w:tc>
        <w:tc>
          <w:tcPr>
            <w:tcW w:w="1028" w:type="dxa"/>
            <w:shd w:val="clear" w:color="auto" w:fill="B8CCE4"/>
          </w:tcPr>
          <w:p w14:paraId="34183A2A">
            <w:pPr>
              <w:pStyle w:val="39"/>
              <w:spacing w:before="192" w:line="241" w:lineRule="auto"/>
              <w:ind w:left="176"/>
              <w:rPr>
                <w:color w:val="auto"/>
                <w:sz w:val="21"/>
                <w:szCs w:val="21"/>
                <w:highlight w:val="none"/>
              </w:rPr>
            </w:pPr>
            <w:r>
              <w:rPr>
                <w:color w:val="auto"/>
                <w:spacing w:val="6"/>
                <w:sz w:val="21"/>
                <w:szCs w:val="21"/>
                <w:highlight w:val="none"/>
              </w:rPr>
              <w:t>Y＜300</w:t>
            </w:r>
          </w:p>
        </w:tc>
      </w:tr>
      <w:tr w14:paraId="300F59FA">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3" w:hRule="atLeast"/>
          <w:jc w:val="center"/>
        </w:trPr>
        <w:tc>
          <w:tcPr>
            <w:tcW w:w="1151" w:type="dxa"/>
            <w:vMerge w:val="restart"/>
            <w:tcBorders>
              <w:bottom w:val="nil"/>
              <w:right w:val="single" w:color="4F81BD" w:sz="2" w:space="0"/>
            </w:tcBorders>
          </w:tcPr>
          <w:p w14:paraId="181114A6">
            <w:pPr>
              <w:spacing w:line="423" w:lineRule="auto"/>
              <w:rPr>
                <w:color w:val="auto"/>
                <w:highlight w:val="none"/>
              </w:rPr>
            </w:pPr>
          </w:p>
          <w:p w14:paraId="1888F345">
            <w:pPr>
              <w:pStyle w:val="39"/>
              <w:spacing w:before="68" w:line="221" w:lineRule="auto"/>
              <w:ind w:left="240"/>
              <w:rPr>
                <w:color w:val="auto"/>
                <w:sz w:val="21"/>
                <w:szCs w:val="21"/>
                <w:highlight w:val="none"/>
              </w:rPr>
            </w:pPr>
            <w:r>
              <w:rPr>
                <w:color w:val="auto"/>
                <w:spacing w:val="7"/>
                <w:sz w:val="21"/>
                <w:szCs w:val="21"/>
                <w:highlight w:val="none"/>
              </w:rPr>
              <w:t>建筑业</w:t>
            </w:r>
          </w:p>
        </w:tc>
        <w:tc>
          <w:tcPr>
            <w:tcW w:w="1492" w:type="dxa"/>
            <w:tcBorders>
              <w:left w:val="single" w:color="4F81BD" w:sz="2" w:space="0"/>
              <w:right w:val="single" w:color="4F81BD" w:sz="2" w:space="0"/>
            </w:tcBorders>
          </w:tcPr>
          <w:p w14:paraId="642A9183">
            <w:pPr>
              <w:pStyle w:val="39"/>
              <w:spacing w:before="193" w:line="221" w:lineRule="auto"/>
              <w:ind w:left="133"/>
              <w:rPr>
                <w:color w:val="auto"/>
                <w:sz w:val="21"/>
                <w:szCs w:val="21"/>
                <w:highlight w:val="none"/>
              </w:rPr>
            </w:pPr>
            <w:r>
              <w:rPr>
                <w:color w:val="auto"/>
                <w:spacing w:val="9"/>
                <w:sz w:val="21"/>
                <w:szCs w:val="21"/>
                <w:highlight w:val="none"/>
              </w:rPr>
              <w:t>营业收入(Y)</w:t>
            </w:r>
          </w:p>
        </w:tc>
        <w:tc>
          <w:tcPr>
            <w:tcW w:w="726" w:type="dxa"/>
            <w:tcBorders>
              <w:left w:val="single" w:color="4F81BD" w:sz="2" w:space="0"/>
              <w:right w:val="single" w:color="4F81BD" w:sz="2" w:space="0"/>
            </w:tcBorders>
          </w:tcPr>
          <w:p w14:paraId="5DE75CE2">
            <w:pPr>
              <w:pStyle w:val="39"/>
              <w:spacing w:before="193" w:line="221" w:lineRule="auto"/>
              <w:ind w:left="144"/>
              <w:rPr>
                <w:color w:val="auto"/>
                <w:sz w:val="21"/>
                <w:szCs w:val="21"/>
                <w:highlight w:val="none"/>
              </w:rPr>
            </w:pPr>
            <w:r>
              <w:rPr>
                <w:color w:val="auto"/>
                <w:spacing w:val="1"/>
                <w:sz w:val="21"/>
                <w:szCs w:val="21"/>
                <w:highlight w:val="none"/>
              </w:rPr>
              <w:t>万元</w:t>
            </w:r>
          </w:p>
        </w:tc>
        <w:tc>
          <w:tcPr>
            <w:tcW w:w="1244" w:type="dxa"/>
            <w:tcBorders>
              <w:left w:val="single" w:color="4F81BD" w:sz="2" w:space="0"/>
              <w:right w:val="single" w:color="4F81BD" w:sz="2" w:space="0"/>
            </w:tcBorders>
          </w:tcPr>
          <w:p w14:paraId="51E56E19">
            <w:pPr>
              <w:pStyle w:val="39"/>
              <w:spacing w:before="193" w:line="239" w:lineRule="auto"/>
              <w:ind w:left="171"/>
              <w:rPr>
                <w:color w:val="auto"/>
                <w:sz w:val="21"/>
                <w:szCs w:val="21"/>
                <w:highlight w:val="none"/>
              </w:rPr>
            </w:pPr>
            <w:r>
              <w:rPr>
                <w:color w:val="auto"/>
                <w:spacing w:val="7"/>
                <w:sz w:val="21"/>
                <w:szCs w:val="21"/>
                <w:highlight w:val="none"/>
              </w:rPr>
              <w:t>Y≥80000</w:t>
            </w:r>
          </w:p>
        </w:tc>
        <w:tc>
          <w:tcPr>
            <w:tcW w:w="1961" w:type="dxa"/>
            <w:tcBorders>
              <w:left w:val="single" w:color="4F81BD" w:sz="2" w:space="0"/>
              <w:right w:val="single" w:color="4F81BD" w:sz="2" w:space="0"/>
            </w:tcBorders>
          </w:tcPr>
          <w:p w14:paraId="6BB138ED">
            <w:pPr>
              <w:pStyle w:val="39"/>
              <w:spacing w:before="193" w:line="237" w:lineRule="auto"/>
              <w:ind w:left="197"/>
              <w:rPr>
                <w:color w:val="auto"/>
                <w:sz w:val="21"/>
                <w:szCs w:val="21"/>
                <w:highlight w:val="none"/>
              </w:rPr>
            </w:pPr>
            <w:r>
              <w:rPr>
                <w:color w:val="auto"/>
                <w:spacing w:val="7"/>
                <w:sz w:val="21"/>
                <w:szCs w:val="21"/>
                <w:highlight w:val="none"/>
              </w:rPr>
              <w:t>6000≤Y＜80000</w:t>
            </w:r>
          </w:p>
        </w:tc>
        <w:tc>
          <w:tcPr>
            <w:tcW w:w="1756" w:type="dxa"/>
            <w:tcBorders>
              <w:left w:val="single" w:color="4F81BD" w:sz="2" w:space="0"/>
              <w:right w:val="single" w:color="4F81BD" w:sz="2" w:space="0"/>
            </w:tcBorders>
          </w:tcPr>
          <w:p w14:paraId="1F2A2E4F">
            <w:pPr>
              <w:pStyle w:val="39"/>
              <w:spacing w:before="193" w:line="237" w:lineRule="auto"/>
              <w:ind w:left="211"/>
              <w:rPr>
                <w:color w:val="auto"/>
                <w:sz w:val="21"/>
                <w:szCs w:val="21"/>
                <w:highlight w:val="none"/>
              </w:rPr>
            </w:pPr>
            <w:r>
              <w:rPr>
                <w:color w:val="auto"/>
                <w:spacing w:val="7"/>
                <w:sz w:val="21"/>
                <w:szCs w:val="21"/>
                <w:highlight w:val="none"/>
              </w:rPr>
              <w:t>300≤Y＜6000</w:t>
            </w:r>
          </w:p>
        </w:tc>
        <w:tc>
          <w:tcPr>
            <w:tcW w:w="1028" w:type="dxa"/>
            <w:tcBorders>
              <w:left w:val="single" w:color="4F81BD" w:sz="2" w:space="0"/>
              <w:right w:val="single" w:color="4F81BD" w:sz="2" w:space="0"/>
            </w:tcBorders>
          </w:tcPr>
          <w:p w14:paraId="7355E4AC">
            <w:pPr>
              <w:pStyle w:val="39"/>
              <w:spacing w:before="193" w:line="241" w:lineRule="auto"/>
              <w:ind w:left="179"/>
              <w:rPr>
                <w:color w:val="auto"/>
                <w:sz w:val="21"/>
                <w:szCs w:val="21"/>
                <w:highlight w:val="none"/>
              </w:rPr>
            </w:pPr>
            <w:r>
              <w:rPr>
                <w:color w:val="auto"/>
                <w:spacing w:val="6"/>
                <w:sz w:val="21"/>
                <w:szCs w:val="21"/>
                <w:highlight w:val="none"/>
              </w:rPr>
              <w:t>Y＜300</w:t>
            </w:r>
          </w:p>
        </w:tc>
      </w:tr>
      <w:tr w14:paraId="22A856F0">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right w:val="single" w:color="4F81BD" w:sz="2" w:space="0"/>
            </w:tcBorders>
          </w:tcPr>
          <w:p w14:paraId="42398DDC">
            <w:pPr>
              <w:rPr>
                <w:color w:val="auto"/>
                <w:highlight w:val="none"/>
              </w:rPr>
            </w:pPr>
          </w:p>
        </w:tc>
        <w:tc>
          <w:tcPr>
            <w:tcW w:w="1492" w:type="dxa"/>
            <w:tcBorders>
              <w:left w:val="single" w:color="000000" w:sz="2" w:space="0"/>
            </w:tcBorders>
            <w:shd w:val="clear" w:color="auto" w:fill="B8CCE4"/>
          </w:tcPr>
          <w:p w14:paraId="0D85091A">
            <w:pPr>
              <w:pStyle w:val="39"/>
              <w:spacing w:before="192" w:line="221" w:lineRule="auto"/>
              <w:ind w:left="135"/>
              <w:rPr>
                <w:color w:val="auto"/>
                <w:sz w:val="21"/>
                <w:szCs w:val="21"/>
                <w:highlight w:val="none"/>
              </w:rPr>
            </w:pPr>
            <w:r>
              <w:rPr>
                <w:color w:val="auto"/>
                <w:spacing w:val="8"/>
                <w:sz w:val="21"/>
                <w:szCs w:val="21"/>
                <w:highlight w:val="none"/>
              </w:rPr>
              <w:t>资产总额(Z)</w:t>
            </w:r>
          </w:p>
        </w:tc>
        <w:tc>
          <w:tcPr>
            <w:tcW w:w="726" w:type="dxa"/>
            <w:shd w:val="clear" w:color="auto" w:fill="B8CCE4"/>
          </w:tcPr>
          <w:p w14:paraId="56A40F77">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45EFB7D2">
            <w:pPr>
              <w:pStyle w:val="39"/>
              <w:spacing w:before="192" w:line="239" w:lineRule="auto"/>
              <w:ind w:left="171"/>
              <w:rPr>
                <w:color w:val="auto"/>
                <w:sz w:val="21"/>
                <w:szCs w:val="21"/>
                <w:highlight w:val="none"/>
              </w:rPr>
            </w:pPr>
            <w:r>
              <w:rPr>
                <w:color w:val="auto"/>
                <w:spacing w:val="6"/>
                <w:sz w:val="21"/>
                <w:szCs w:val="21"/>
                <w:highlight w:val="none"/>
              </w:rPr>
              <w:t>Z≥80000</w:t>
            </w:r>
          </w:p>
        </w:tc>
        <w:tc>
          <w:tcPr>
            <w:tcW w:w="1961" w:type="dxa"/>
            <w:shd w:val="clear" w:color="auto" w:fill="B8CCE4"/>
          </w:tcPr>
          <w:p w14:paraId="5D71F8F7">
            <w:pPr>
              <w:pStyle w:val="39"/>
              <w:spacing w:before="193" w:line="237" w:lineRule="auto"/>
              <w:ind w:left="197"/>
              <w:rPr>
                <w:color w:val="auto"/>
                <w:sz w:val="21"/>
                <w:szCs w:val="21"/>
                <w:highlight w:val="none"/>
              </w:rPr>
            </w:pPr>
            <w:r>
              <w:rPr>
                <w:color w:val="auto"/>
                <w:spacing w:val="7"/>
                <w:sz w:val="21"/>
                <w:szCs w:val="21"/>
                <w:highlight w:val="none"/>
              </w:rPr>
              <w:t>5000≤Z＜80000</w:t>
            </w:r>
          </w:p>
        </w:tc>
        <w:tc>
          <w:tcPr>
            <w:tcW w:w="1756" w:type="dxa"/>
            <w:shd w:val="clear" w:color="auto" w:fill="B8CCE4"/>
          </w:tcPr>
          <w:p w14:paraId="5FEE14F1">
            <w:pPr>
              <w:pStyle w:val="39"/>
              <w:spacing w:before="193" w:line="237" w:lineRule="auto"/>
              <w:ind w:left="209"/>
              <w:rPr>
                <w:color w:val="auto"/>
                <w:sz w:val="21"/>
                <w:szCs w:val="21"/>
                <w:highlight w:val="none"/>
              </w:rPr>
            </w:pPr>
            <w:r>
              <w:rPr>
                <w:color w:val="auto"/>
                <w:spacing w:val="7"/>
                <w:sz w:val="21"/>
                <w:szCs w:val="21"/>
                <w:highlight w:val="none"/>
              </w:rPr>
              <w:t>300≤Z＜5000</w:t>
            </w:r>
          </w:p>
        </w:tc>
        <w:tc>
          <w:tcPr>
            <w:tcW w:w="1028" w:type="dxa"/>
            <w:shd w:val="clear" w:color="auto" w:fill="B8CCE4"/>
          </w:tcPr>
          <w:p w14:paraId="795C744A">
            <w:pPr>
              <w:pStyle w:val="39"/>
              <w:spacing w:before="192" w:line="241" w:lineRule="auto"/>
              <w:ind w:left="179"/>
              <w:rPr>
                <w:color w:val="auto"/>
                <w:sz w:val="21"/>
                <w:szCs w:val="21"/>
                <w:highlight w:val="none"/>
              </w:rPr>
            </w:pPr>
            <w:r>
              <w:rPr>
                <w:color w:val="auto"/>
                <w:spacing w:val="6"/>
                <w:sz w:val="21"/>
                <w:szCs w:val="21"/>
                <w:highlight w:val="none"/>
              </w:rPr>
              <w:t>Z＜300</w:t>
            </w:r>
          </w:p>
        </w:tc>
      </w:tr>
      <w:tr w14:paraId="1805B5E4">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restart"/>
            <w:tcBorders>
              <w:bottom w:val="nil"/>
              <w:right w:val="single" w:color="4F81BD" w:sz="2" w:space="0"/>
            </w:tcBorders>
          </w:tcPr>
          <w:p w14:paraId="396E4538">
            <w:pPr>
              <w:spacing w:line="424" w:lineRule="auto"/>
              <w:rPr>
                <w:color w:val="auto"/>
                <w:highlight w:val="none"/>
              </w:rPr>
            </w:pPr>
          </w:p>
          <w:p w14:paraId="08CE30F8">
            <w:pPr>
              <w:pStyle w:val="39"/>
              <w:spacing w:before="68" w:line="221" w:lineRule="auto"/>
              <w:ind w:left="237"/>
              <w:rPr>
                <w:color w:val="auto"/>
                <w:sz w:val="21"/>
                <w:szCs w:val="21"/>
                <w:highlight w:val="none"/>
              </w:rPr>
            </w:pPr>
            <w:r>
              <w:rPr>
                <w:color w:val="auto"/>
                <w:spacing w:val="8"/>
                <w:sz w:val="21"/>
                <w:szCs w:val="21"/>
                <w:highlight w:val="none"/>
              </w:rPr>
              <w:t>批发业</w:t>
            </w:r>
          </w:p>
        </w:tc>
        <w:tc>
          <w:tcPr>
            <w:tcW w:w="1492" w:type="dxa"/>
            <w:tcBorders>
              <w:left w:val="single" w:color="4F81BD" w:sz="2" w:space="0"/>
              <w:right w:val="single" w:color="4F81BD" w:sz="2" w:space="0"/>
            </w:tcBorders>
          </w:tcPr>
          <w:p w14:paraId="561FCEC8">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46A0AA02">
            <w:pPr>
              <w:pStyle w:val="39"/>
              <w:spacing w:before="193"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05D67702">
            <w:pPr>
              <w:pStyle w:val="39"/>
              <w:spacing w:before="192" w:line="239" w:lineRule="auto"/>
              <w:ind w:left="284"/>
              <w:rPr>
                <w:color w:val="auto"/>
                <w:sz w:val="21"/>
                <w:szCs w:val="21"/>
                <w:highlight w:val="none"/>
              </w:rPr>
            </w:pPr>
            <w:r>
              <w:rPr>
                <w:color w:val="auto"/>
                <w:spacing w:val="6"/>
                <w:sz w:val="21"/>
                <w:szCs w:val="21"/>
                <w:highlight w:val="none"/>
              </w:rPr>
              <w:t>X≥200</w:t>
            </w:r>
          </w:p>
        </w:tc>
        <w:tc>
          <w:tcPr>
            <w:tcW w:w="1961" w:type="dxa"/>
            <w:tcBorders>
              <w:left w:val="single" w:color="4F81BD" w:sz="2" w:space="0"/>
              <w:right w:val="single" w:color="4F81BD" w:sz="2" w:space="0"/>
            </w:tcBorders>
          </w:tcPr>
          <w:p w14:paraId="36BA9358">
            <w:pPr>
              <w:pStyle w:val="39"/>
              <w:spacing w:before="192" w:line="237" w:lineRule="auto"/>
              <w:ind w:left="423"/>
              <w:rPr>
                <w:color w:val="auto"/>
                <w:sz w:val="21"/>
                <w:szCs w:val="21"/>
                <w:highlight w:val="none"/>
              </w:rPr>
            </w:pPr>
            <w:r>
              <w:rPr>
                <w:color w:val="auto"/>
                <w:spacing w:val="7"/>
                <w:sz w:val="21"/>
                <w:szCs w:val="21"/>
                <w:highlight w:val="none"/>
              </w:rPr>
              <w:t>20≤X＜200</w:t>
            </w:r>
          </w:p>
        </w:tc>
        <w:tc>
          <w:tcPr>
            <w:tcW w:w="1756" w:type="dxa"/>
            <w:tcBorders>
              <w:left w:val="single" w:color="4F81BD" w:sz="2" w:space="0"/>
              <w:right w:val="single" w:color="4F81BD" w:sz="2" w:space="0"/>
            </w:tcBorders>
          </w:tcPr>
          <w:p w14:paraId="132D9AB9">
            <w:pPr>
              <w:pStyle w:val="39"/>
              <w:spacing w:before="192" w:line="237" w:lineRule="auto"/>
              <w:ind w:left="437"/>
              <w:rPr>
                <w:color w:val="auto"/>
                <w:sz w:val="21"/>
                <w:szCs w:val="21"/>
                <w:highlight w:val="none"/>
              </w:rPr>
            </w:pPr>
            <w:r>
              <w:rPr>
                <w:color w:val="auto"/>
                <w:spacing w:val="7"/>
                <w:sz w:val="21"/>
                <w:szCs w:val="21"/>
                <w:highlight w:val="none"/>
              </w:rPr>
              <w:t>5≤X＜20</w:t>
            </w:r>
          </w:p>
        </w:tc>
        <w:tc>
          <w:tcPr>
            <w:tcW w:w="1028" w:type="dxa"/>
            <w:tcBorders>
              <w:left w:val="single" w:color="4F81BD" w:sz="2" w:space="0"/>
              <w:right w:val="single" w:color="4F81BD" w:sz="2" w:space="0"/>
            </w:tcBorders>
          </w:tcPr>
          <w:p w14:paraId="58DF27BA">
            <w:pPr>
              <w:pStyle w:val="39"/>
              <w:spacing w:before="192" w:line="241" w:lineRule="auto"/>
              <w:ind w:left="292"/>
              <w:rPr>
                <w:color w:val="auto"/>
                <w:sz w:val="21"/>
                <w:szCs w:val="21"/>
                <w:highlight w:val="none"/>
              </w:rPr>
            </w:pPr>
            <w:r>
              <w:rPr>
                <w:color w:val="auto"/>
                <w:spacing w:val="6"/>
                <w:sz w:val="21"/>
                <w:szCs w:val="21"/>
                <w:highlight w:val="none"/>
              </w:rPr>
              <w:t>X＜5</w:t>
            </w:r>
          </w:p>
        </w:tc>
      </w:tr>
      <w:tr w14:paraId="1E7198F8">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2" w:hRule="atLeast"/>
          <w:jc w:val="center"/>
        </w:trPr>
        <w:tc>
          <w:tcPr>
            <w:tcW w:w="1151" w:type="dxa"/>
            <w:vMerge w:val="continue"/>
            <w:tcBorders>
              <w:top w:val="nil"/>
              <w:right w:val="single" w:color="4F81BD" w:sz="2" w:space="0"/>
            </w:tcBorders>
          </w:tcPr>
          <w:p w14:paraId="01E3C86C">
            <w:pPr>
              <w:rPr>
                <w:color w:val="auto"/>
                <w:highlight w:val="none"/>
              </w:rPr>
            </w:pPr>
          </w:p>
        </w:tc>
        <w:tc>
          <w:tcPr>
            <w:tcW w:w="1492" w:type="dxa"/>
            <w:tcBorders>
              <w:left w:val="single" w:color="000000" w:sz="2" w:space="0"/>
            </w:tcBorders>
            <w:shd w:val="clear" w:color="auto" w:fill="B8CCE4"/>
          </w:tcPr>
          <w:p w14:paraId="1A45D669">
            <w:pPr>
              <w:pStyle w:val="39"/>
              <w:spacing w:before="192"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626D2C0B">
            <w:pPr>
              <w:pStyle w:val="39"/>
              <w:spacing w:before="192"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275F89BF">
            <w:pPr>
              <w:pStyle w:val="39"/>
              <w:spacing w:before="192" w:line="239" w:lineRule="auto"/>
              <w:ind w:left="168"/>
              <w:rPr>
                <w:color w:val="auto"/>
                <w:sz w:val="21"/>
                <w:szCs w:val="21"/>
                <w:highlight w:val="none"/>
              </w:rPr>
            </w:pPr>
            <w:r>
              <w:rPr>
                <w:color w:val="auto"/>
                <w:spacing w:val="7"/>
                <w:sz w:val="21"/>
                <w:szCs w:val="21"/>
                <w:highlight w:val="none"/>
              </w:rPr>
              <w:t>Y≥40000</w:t>
            </w:r>
          </w:p>
        </w:tc>
        <w:tc>
          <w:tcPr>
            <w:tcW w:w="1961" w:type="dxa"/>
            <w:shd w:val="clear" w:color="auto" w:fill="B8CCE4"/>
          </w:tcPr>
          <w:p w14:paraId="695EBC1E">
            <w:pPr>
              <w:pStyle w:val="39"/>
              <w:spacing w:before="192" w:line="237" w:lineRule="auto"/>
              <w:ind w:left="197"/>
              <w:rPr>
                <w:color w:val="auto"/>
                <w:sz w:val="21"/>
                <w:szCs w:val="21"/>
                <w:highlight w:val="none"/>
              </w:rPr>
            </w:pPr>
            <w:r>
              <w:rPr>
                <w:color w:val="auto"/>
                <w:spacing w:val="7"/>
                <w:sz w:val="21"/>
                <w:szCs w:val="21"/>
                <w:highlight w:val="none"/>
              </w:rPr>
              <w:t>5000≤Y＜40000</w:t>
            </w:r>
          </w:p>
        </w:tc>
        <w:tc>
          <w:tcPr>
            <w:tcW w:w="1756" w:type="dxa"/>
            <w:shd w:val="clear" w:color="auto" w:fill="B8CCE4"/>
          </w:tcPr>
          <w:p w14:paraId="040EC99E">
            <w:pPr>
              <w:pStyle w:val="39"/>
              <w:spacing w:before="192" w:line="237" w:lineRule="auto"/>
              <w:ind w:left="165"/>
              <w:rPr>
                <w:color w:val="auto"/>
                <w:sz w:val="21"/>
                <w:szCs w:val="21"/>
                <w:highlight w:val="none"/>
              </w:rPr>
            </w:pPr>
            <w:r>
              <w:rPr>
                <w:color w:val="auto"/>
                <w:spacing w:val="6"/>
                <w:sz w:val="21"/>
                <w:szCs w:val="21"/>
                <w:highlight w:val="none"/>
              </w:rPr>
              <w:t>1000≤Y＜5000</w:t>
            </w:r>
          </w:p>
        </w:tc>
        <w:tc>
          <w:tcPr>
            <w:tcW w:w="1028" w:type="dxa"/>
            <w:shd w:val="clear" w:color="auto" w:fill="B8CCE4"/>
          </w:tcPr>
          <w:p w14:paraId="2FC2CFFF">
            <w:pPr>
              <w:pStyle w:val="39"/>
              <w:spacing w:before="192" w:line="241" w:lineRule="auto"/>
              <w:ind w:left="119"/>
              <w:rPr>
                <w:color w:val="auto"/>
                <w:sz w:val="21"/>
                <w:szCs w:val="21"/>
                <w:highlight w:val="none"/>
              </w:rPr>
            </w:pPr>
            <w:r>
              <w:rPr>
                <w:color w:val="auto"/>
                <w:spacing w:val="-4"/>
                <w:sz w:val="21"/>
                <w:szCs w:val="21"/>
                <w:highlight w:val="none"/>
              </w:rPr>
              <w:t>Y＜</w:t>
            </w:r>
            <w:r>
              <w:rPr>
                <w:color w:val="auto"/>
                <w:spacing w:val="-40"/>
                <w:sz w:val="21"/>
                <w:szCs w:val="21"/>
                <w:highlight w:val="none"/>
              </w:rPr>
              <w:t xml:space="preserve"> </w:t>
            </w:r>
            <w:r>
              <w:rPr>
                <w:color w:val="auto"/>
                <w:spacing w:val="-4"/>
                <w:sz w:val="21"/>
                <w:szCs w:val="21"/>
                <w:highlight w:val="none"/>
              </w:rPr>
              <w:t>1000</w:t>
            </w:r>
          </w:p>
        </w:tc>
      </w:tr>
      <w:tr w14:paraId="178E6798">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restart"/>
            <w:tcBorders>
              <w:bottom w:val="nil"/>
              <w:right w:val="single" w:color="4F81BD" w:sz="2" w:space="0"/>
            </w:tcBorders>
          </w:tcPr>
          <w:p w14:paraId="05731A22">
            <w:pPr>
              <w:spacing w:line="424" w:lineRule="auto"/>
              <w:rPr>
                <w:color w:val="auto"/>
                <w:highlight w:val="none"/>
              </w:rPr>
            </w:pPr>
          </w:p>
          <w:p w14:paraId="75EBB9CB">
            <w:pPr>
              <w:pStyle w:val="39"/>
              <w:spacing w:before="68" w:line="221" w:lineRule="auto"/>
              <w:ind w:left="239"/>
              <w:rPr>
                <w:color w:val="auto"/>
                <w:sz w:val="21"/>
                <w:szCs w:val="21"/>
                <w:highlight w:val="none"/>
              </w:rPr>
            </w:pPr>
            <w:r>
              <w:rPr>
                <w:color w:val="auto"/>
                <w:spacing w:val="7"/>
                <w:sz w:val="21"/>
                <w:szCs w:val="21"/>
                <w:highlight w:val="none"/>
              </w:rPr>
              <w:t>零售业</w:t>
            </w:r>
          </w:p>
        </w:tc>
        <w:tc>
          <w:tcPr>
            <w:tcW w:w="1492" w:type="dxa"/>
            <w:tcBorders>
              <w:left w:val="single" w:color="4F81BD" w:sz="2" w:space="0"/>
              <w:right w:val="single" w:color="4F81BD" w:sz="2" w:space="0"/>
            </w:tcBorders>
          </w:tcPr>
          <w:p w14:paraId="4EAEF53D">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63EE564A">
            <w:pPr>
              <w:pStyle w:val="39"/>
              <w:spacing w:before="193"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2CB863A5">
            <w:pPr>
              <w:pStyle w:val="39"/>
              <w:spacing w:before="192" w:line="239" w:lineRule="auto"/>
              <w:ind w:left="284"/>
              <w:rPr>
                <w:color w:val="auto"/>
                <w:sz w:val="21"/>
                <w:szCs w:val="21"/>
                <w:highlight w:val="none"/>
              </w:rPr>
            </w:pPr>
            <w:r>
              <w:rPr>
                <w:color w:val="auto"/>
                <w:spacing w:val="6"/>
                <w:sz w:val="21"/>
                <w:szCs w:val="21"/>
                <w:highlight w:val="none"/>
              </w:rPr>
              <w:t>X≥300</w:t>
            </w:r>
          </w:p>
        </w:tc>
        <w:tc>
          <w:tcPr>
            <w:tcW w:w="1961" w:type="dxa"/>
            <w:tcBorders>
              <w:left w:val="single" w:color="4F81BD" w:sz="2" w:space="0"/>
              <w:right w:val="single" w:color="4F81BD" w:sz="2" w:space="0"/>
            </w:tcBorders>
          </w:tcPr>
          <w:p w14:paraId="03A6E26E">
            <w:pPr>
              <w:pStyle w:val="39"/>
              <w:spacing w:before="193" w:line="237" w:lineRule="auto"/>
              <w:ind w:left="425"/>
              <w:rPr>
                <w:color w:val="auto"/>
                <w:sz w:val="21"/>
                <w:szCs w:val="21"/>
                <w:highlight w:val="none"/>
              </w:rPr>
            </w:pPr>
            <w:r>
              <w:rPr>
                <w:color w:val="auto"/>
                <w:spacing w:val="7"/>
                <w:sz w:val="21"/>
                <w:szCs w:val="21"/>
                <w:highlight w:val="none"/>
              </w:rPr>
              <w:t>50≤X＜300</w:t>
            </w:r>
          </w:p>
        </w:tc>
        <w:tc>
          <w:tcPr>
            <w:tcW w:w="1756" w:type="dxa"/>
            <w:tcBorders>
              <w:left w:val="single" w:color="4F81BD" w:sz="2" w:space="0"/>
              <w:right w:val="single" w:color="4F81BD" w:sz="2" w:space="0"/>
            </w:tcBorders>
          </w:tcPr>
          <w:p w14:paraId="4564A6CF">
            <w:pPr>
              <w:pStyle w:val="39"/>
              <w:spacing w:before="193" w:line="237" w:lineRule="auto"/>
              <w:ind w:left="393"/>
              <w:rPr>
                <w:color w:val="auto"/>
                <w:sz w:val="21"/>
                <w:szCs w:val="21"/>
                <w:highlight w:val="none"/>
              </w:rPr>
            </w:pPr>
            <w:r>
              <w:rPr>
                <w:color w:val="auto"/>
                <w:spacing w:val="5"/>
                <w:sz w:val="21"/>
                <w:szCs w:val="21"/>
                <w:highlight w:val="none"/>
              </w:rPr>
              <w:t>10≤X＜50</w:t>
            </w:r>
          </w:p>
        </w:tc>
        <w:tc>
          <w:tcPr>
            <w:tcW w:w="1028" w:type="dxa"/>
            <w:tcBorders>
              <w:left w:val="single" w:color="4F81BD" w:sz="2" w:space="0"/>
              <w:right w:val="single" w:color="4F81BD" w:sz="2" w:space="0"/>
            </w:tcBorders>
          </w:tcPr>
          <w:p w14:paraId="33C7FECB">
            <w:pPr>
              <w:pStyle w:val="39"/>
              <w:spacing w:before="192" w:line="241" w:lineRule="auto"/>
              <w:ind w:left="237"/>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r w14:paraId="0B3CD7D1">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right w:val="single" w:color="4F81BD" w:sz="2" w:space="0"/>
            </w:tcBorders>
          </w:tcPr>
          <w:p w14:paraId="1431A9BD">
            <w:pPr>
              <w:rPr>
                <w:color w:val="auto"/>
                <w:highlight w:val="none"/>
              </w:rPr>
            </w:pPr>
          </w:p>
        </w:tc>
        <w:tc>
          <w:tcPr>
            <w:tcW w:w="1492" w:type="dxa"/>
            <w:tcBorders>
              <w:left w:val="single" w:color="000000" w:sz="2" w:space="0"/>
            </w:tcBorders>
            <w:shd w:val="clear" w:color="auto" w:fill="B8CCE4"/>
          </w:tcPr>
          <w:p w14:paraId="50C4FC61">
            <w:pPr>
              <w:pStyle w:val="39"/>
              <w:spacing w:before="192"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0C0E1BA8">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0920077A">
            <w:pPr>
              <w:pStyle w:val="39"/>
              <w:spacing w:before="192" w:line="239" w:lineRule="auto"/>
              <w:ind w:left="168"/>
              <w:rPr>
                <w:color w:val="auto"/>
                <w:sz w:val="21"/>
                <w:szCs w:val="21"/>
                <w:highlight w:val="none"/>
              </w:rPr>
            </w:pPr>
            <w:r>
              <w:rPr>
                <w:color w:val="auto"/>
                <w:spacing w:val="7"/>
                <w:sz w:val="21"/>
                <w:szCs w:val="21"/>
                <w:highlight w:val="none"/>
              </w:rPr>
              <w:t>Y≥20000</w:t>
            </w:r>
          </w:p>
        </w:tc>
        <w:tc>
          <w:tcPr>
            <w:tcW w:w="1961" w:type="dxa"/>
            <w:shd w:val="clear" w:color="auto" w:fill="B8CCE4"/>
          </w:tcPr>
          <w:p w14:paraId="47379A36">
            <w:pPr>
              <w:pStyle w:val="39"/>
              <w:spacing w:before="192" w:line="237" w:lineRule="auto"/>
              <w:ind w:left="252"/>
              <w:rPr>
                <w:color w:val="auto"/>
                <w:sz w:val="21"/>
                <w:szCs w:val="21"/>
                <w:highlight w:val="none"/>
              </w:rPr>
            </w:pPr>
            <w:r>
              <w:rPr>
                <w:color w:val="auto"/>
                <w:spacing w:val="7"/>
                <w:sz w:val="21"/>
                <w:szCs w:val="21"/>
                <w:highlight w:val="none"/>
              </w:rPr>
              <w:t>500≤Y＜20000</w:t>
            </w:r>
          </w:p>
        </w:tc>
        <w:tc>
          <w:tcPr>
            <w:tcW w:w="1756" w:type="dxa"/>
            <w:shd w:val="clear" w:color="auto" w:fill="B8CCE4"/>
          </w:tcPr>
          <w:p w14:paraId="3E354407">
            <w:pPr>
              <w:pStyle w:val="39"/>
              <w:spacing w:before="192" w:line="237" w:lineRule="auto"/>
              <w:ind w:left="278"/>
              <w:rPr>
                <w:color w:val="auto"/>
                <w:sz w:val="21"/>
                <w:szCs w:val="21"/>
                <w:highlight w:val="none"/>
              </w:rPr>
            </w:pPr>
            <w:r>
              <w:rPr>
                <w:color w:val="auto"/>
                <w:spacing w:val="6"/>
                <w:sz w:val="21"/>
                <w:szCs w:val="21"/>
                <w:highlight w:val="none"/>
              </w:rPr>
              <w:t>100≤Y＜500</w:t>
            </w:r>
          </w:p>
        </w:tc>
        <w:tc>
          <w:tcPr>
            <w:tcW w:w="1028" w:type="dxa"/>
            <w:shd w:val="clear" w:color="auto" w:fill="B8CCE4"/>
          </w:tcPr>
          <w:p w14:paraId="11A49A1C">
            <w:pPr>
              <w:pStyle w:val="39"/>
              <w:spacing w:before="192" w:line="241" w:lineRule="auto"/>
              <w:ind w:left="176"/>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r w14:paraId="54434CEB">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2" w:hRule="atLeast"/>
          <w:jc w:val="center"/>
        </w:trPr>
        <w:tc>
          <w:tcPr>
            <w:tcW w:w="1151" w:type="dxa"/>
            <w:vMerge w:val="restart"/>
            <w:tcBorders>
              <w:bottom w:val="nil"/>
              <w:right w:val="single" w:color="4F81BD" w:sz="2" w:space="0"/>
            </w:tcBorders>
          </w:tcPr>
          <w:p w14:paraId="5C0192A6">
            <w:pPr>
              <w:spacing w:line="267" w:lineRule="auto"/>
              <w:rPr>
                <w:color w:val="auto"/>
                <w:highlight w:val="none"/>
              </w:rPr>
            </w:pPr>
          </w:p>
          <w:p w14:paraId="0A58FFA1">
            <w:pPr>
              <w:pStyle w:val="39"/>
              <w:spacing w:before="69" w:line="282" w:lineRule="auto"/>
              <w:ind w:left="344" w:right="138" w:hanging="215"/>
              <w:rPr>
                <w:color w:val="auto"/>
                <w:sz w:val="21"/>
                <w:szCs w:val="21"/>
                <w:highlight w:val="none"/>
              </w:rPr>
            </w:pPr>
            <w:r>
              <w:rPr>
                <w:color w:val="auto"/>
                <w:spacing w:val="8"/>
                <w:sz w:val="21"/>
                <w:szCs w:val="21"/>
                <w:highlight w:val="none"/>
              </w:rPr>
              <w:t>交通运输</w:t>
            </w:r>
            <w:r>
              <w:rPr>
                <w:color w:val="auto"/>
                <w:spacing w:val="-4"/>
                <w:sz w:val="21"/>
                <w:szCs w:val="21"/>
                <w:highlight w:val="none"/>
              </w:rPr>
              <w:t>业</w:t>
            </w:r>
            <w:r>
              <w:rPr>
                <w:color w:val="auto"/>
                <w:spacing w:val="37"/>
                <w:sz w:val="21"/>
                <w:szCs w:val="21"/>
                <w:highlight w:val="none"/>
              </w:rPr>
              <w:t xml:space="preserve"> </w:t>
            </w:r>
            <w:r>
              <w:rPr>
                <w:color w:val="auto"/>
                <w:spacing w:val="-4"/>
                <w:sz w:val="21"/>
                <w:szCs w:val="21"/>
                <w:highlight w:val="none"/>
              </w:rPr>
              <w:t>*</w:t>
            </w:r>
          </w:p>
        </w:tc>
        <w:tc>
          <w:tcPr>
            <w:tcW w:w="1492" w:type="dxa"/>
            <w:tcBorders>
              <w:left w:val="single" w:color="4F81BD" w:sz="2" w:space="0"/>
              <w:right w:val="single" w:color="4F81BD" w:sz="2" w:space="0"/>
            </w:tcBorders>
          </w:tcPr>
          <w:p w14:paraId="7F512F3B">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173F6452">
            <w:pPr>
              <w:pStyle w:val="39"/>
              <w:spacing w:before="193"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09D19748">
            <w:pPr>
              <w:pStyle w:val="39"/>
              <w:spacing w:before="192" w:line="239" w:lineRule="auto"/>
              <w:ind w:left="227"/>
              <w:rPr>
                <w:color w:val="auto"/>
                <w:sz w:val="21"/>
                <w:szCs w:val="21"/>
                <w:highlight w:val="none"/>
              </w:rPr>
            </w:pPr>
            <w:r>
              <w:rPr>
                <w:color w:val="auto"/>
                <w:spacing w:val="6"/>
                <w:sz w:val="21"/>
                <w:szCs w:val="21"/>
                <w:highlight w:val="none"/>
              </w:rPr>
              <w:t>X≥1000</w:t>
            </w:r>
          </w:p>
        </w:tc>
        <w:tc>
          <w:tcPr>
            <w:tcW w:w="1961" w:type="dxa"/>
            <w:tcBorders>
              <w:left w:val="single" w:color="4F81BD" w:sz="2" w:space="0"/>
              <w:right w:val="single" w:color="4F81BD" w:sz="2" w:space="0"/>
            </w:tcBorders>
          </w:tcPr>
          <w:p w14:paraId="736F95D6">
            <w:pPr>
              <w:pStyle w:val="39"/>
              <w:spacing w:before="193" w:line="237" w:lineRule="auto"/>
              <w:ind w:left="312"/>
              <w:rPr>
                <w:color w:val="auto"/>
                <w:sz w:val="21"/>
                <w:szCs w:val="21"/>
                <w:highlight w:val="none"/>
              </w:rPr>
            </w:pPr>
            <w:r>
              <w:rPr>
                <w:color w:val="auto"/>
                <w:spacing w:val="1"/>
                <w:sz w:val="21"/>
                <w:szCs w:val="21"/>
                <w:highlight w:val="none"/>
              </w:rPr>
              <w:t>300≤X＜</w:t>
            </w:r>
            <w:r>
              <w:rPr>
                <w:color w:val="auto"/>
                <w:spacing w:val="-42"/>
                <w:sz w:val="21"/>
                <w:szCs w:val="21"/>
                <w:highlight w:val="none"/>
              </w:rPr>
              <w:t xml:space="preserve"> </w:t>
            </w:r>
            <w:r>
              <w:rPr>
                <w:color w:val="auto"/>
                <w:spacing w:val="1"/>
                <w:sz w:val="21"/>
                <w:szCs w:val="21"/>
                <w:highlight w:val="none"/>
              </w:rPr>
              <w:t>1000</w:t>
            </w:r>
          </w:p>
        </w:tc>
        <w:tc>
          <w:tcPr>
            <w:tcW w:w="1756" w:type="dxa"/>
            <w:tcBorders>
              <w:left w:val="single" w:color="4F81BD" w:sz="2" w:space="0"/>
              <w:right w:val="single" w:color="4F81BD" w:sz="2" w:space="0"/>
            </w:tcBorders>
          </w:tcPr>
          <w:p w14:paraId="1585092C">
            <w:pPr>
              <w:pStyle w:val="39"/>
              <w:spacing w:before="193" w:line="237" w:lineRule="auto"/>
              <w:ind w:left="322"/>
              <w:rPr>
                <w:color w:val="auto"/>
                <w:sz w:val="21"/>
                <w:szCs w:val="21"/>
                <w:highlight w:val="none"/>
              </w:rPr>
            </w:pPr>
            <w:r>
              <w:rPr>
                <w:color w:val="auto"/>
                <w:spacing w:val="7"/>
                <w:sz w:val="21"/>
                <w:szCs w:val="21"/>
                <w:highlight w:val="none"/>
              </w:rPr>
              <w:t>20≤X＜300</w:t>
            </w:r>
          </w:p>
        </w:tc>
        <w:tc>
          <w:tcPr>
            <w:tcW w:w="1028" w:type="dxa"/>
            <w:tcBorders>
              <w:left w:val="single" w:color="4F81BD" w:sz="2" w:space="0"/>
              <w:right w:val="single" w:color="4F81BD" w:sz="2" w:space="0"/>
            </w:tcBorders>
          </w:tcPr>
          <w:p w14:paraId="09B18248">
            <w:pPr>
              <w:pStyle w:val="39"/>
              <w:spacing w:before="192" w:line="241" w:lineRule="auto"/>
              <w:ind w:left="237"/>
              <w:rPr>
                <w:color w:val="auto"/>
                <w:sz w:val="21"/>
                <w:szCs w:val="21"/>
                <w:highlight w:val="none"/>
              </w:rPr>
            </w:pPr>
            <w:r>
              <w:rPr>
                <w:color w:val="auto"/>
                <w:spacing w:val="6"/>
                <w:sz w:val="21"/>
                <w:szCs w:val="21"/>
                <w:highlight w:val="none"/>
              </w:rPr>
              <w:t>X＜20</w:t>
            </w:r>
          </w:p>
        </w:tc>
      </w:tr>
      <w:tr w14:paraId="5B6C4B11">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right w:val="single" w:color="4F81BD" w:sz="2" w:space="0"/>
            </w:tcBorders>
          </w:tcPr>
          <w:p w14:paraId="54CD2C04">
            <w:pPr>
              <w:rPr>
                <w:color w:val="auto"/>
                <w:highlight w:val="none"/>
              </w:rPr>
            </w:pPr>
          </w:p>
        </w:tc>
        <w:tc>
          <w:tcPr>
            <w:tcW w:w="1492" w:type="dxa"/>
            <w:tcBorders>
              <w:left w:val="single" w:color="000000" w:sz="2" w:space="0"/>
            </w:tcBorders>
            <w:shd w:val="clear" w:color="auto" w:fill="B8CCE4"/>
          </w:tcPr>
          <w:p w14:paraId="2F5970A9">
            <w:pPr>
              <w:pStyle w:val="39"/>
              <w:spacing w:before="192"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09CA61A4">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72E9089A">
            <w:pPr>
              <w:pStyle w:val="39"/>
              <w:spacing w:before="192" w:line="239" w:lineRule="auto"/>
              <w:ind w:left="168"/>
              <w:rPr>
                <w:color w:val="auto"/>
                <w:sz w:val="21"/>
                <w:szCs w:val="21"/>
                <w:highlight w:val="none"/>
              </w:rPr>
            </w:pPr>
            <w:r>
              <w:rPr>
                <w:color w:val="auto"/>
                <w:spacing w:val="7"/>
                <w:sz w:val="21"/>
                <w:szCs w:val="21"/>
                <w:highlight w:val="none"/>
              </w:rPr>
              <w:t>Y≥30000</w:t>
            </w:r>
          </w:p>
        </w:tc>
        <w:tc>
          <w:tcPr>
            <w:tcW w:w="1961" w:type="dxa"/>
            <w:shd w:val="clear" w:color="auto" w:fill="B8CCE4"/>
          </w:tcPr>
          <w:p w14:paraId="52D9B63A">
            <w:pPr>
              <w:pStyle w:val="39"/>
              <w:spacing w:before="193" w:line="237" w:lineRule="auto"/>
              <w:ind w:left="197"/>
              <w:rPr>
                <w:color w:val="auto"/>
                <w:sz w:val="21"/>
                <w:szCs w:val="21"/>
                <w:highlight w:val="none"/>
              </w:rPr>
            </w:pPr>
            <w:r>
              <w:rPr>
                <w:color w:val="auto"/>
                <w:spacing w:val="7"/>
                <w:sz w:val="21"/>
                <w:szCs w:val="21"/>
                <w:highlight w:val="none"/>
              </w:rPr>
              <w:t>3000≤Y＜30000</w:t>
            </w:r>
          </w:p>
        </w:tc>
        <w:tc>
          <w:tcPr>
            <w:tcW w:w="1756" w:type="dxa"/>
            <w:shd w:val="clear" w:color="auto" w:fill="B8CCE4"/>
          </w:tcPr>
          <w:p w14:paraId="1B87462A">
            <w:pPr>
              <w:pStyle w:val="39"/>
              <w:spacing w:before="193" w:line="237" w:lineRule="auto"/>
              <w:ind w:left="207"/>
              <w:rPr>
                <w:color w:val="auto"/>
                <w:sz w:val="21"/>
                <w:szCs w:val="21"/>
                <w:highlight w:val="none"/>
              </w:rPr>
            </w:pPr>
            <w:r>
              <w:rPr>
                <w:color w:val="auto"/>
                <w:spacing w:val="7"/>
                <w:sz w:val="21"/>
                <w:szCs w:val="21"/>
                <w:highlight w:val="none"/>
              </w:rPr>
              <w:t>200≤Y＜3000</w:t>
            </w:r>
          </w:p>
        </w:tc>
        <w:tc>
          <w:tcPr>
            <w:tcW w:w="1028" w:type="dxa"/>
            <w:shd w:val="clear" w:color="auto" w:fill="B8CCE4"/>
          </w:tcPr>
          <w:p w14:paraId="6A430D79">
            <w:pPr>
              <w:pStyle w:val="39"/>
              <w:spacing w:before="193" w:line="241" w:lineRule="auto"/>
              <w:ind w:left="176"/>
              <w:rPr>
                <w:color w:val="auto"/>
                <w:sz w:val="21"/>
                <w:szCs w:val="21"/>
                <w:highlight w:val="none"/>
              </w:rPr>
            </w:pPr>
            <w:r>
              <w:rPr>
                <w:color w:val="auto"/>
                <w:spacing w:val="6"/>
                <w:sz w:val="21"/>
                <w:szCs w:val="21"/>
                <w:highlight w:val="none"/>
              </w:rPr>
              <w:t>Y＜200</w:t>
            </w:r>
          </w:p>
        </w:tc>
      </w:tr>
      <w:tr w14:paraId="393D9E67">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restart"/>
            <w:tcBorders>
              <w:bottom w:val="nil"/>
              <w:right w:val="single" w:color="4F81BD" w:sz="2" w:space="0"/>
            </w:tcBorders>
          </w:tcPr>
          <w:p w14:paraId="16F12BA0">
            <w:pPr>
              <w:spacing w:line="425" w:lineRule="auto"/>
              <w:rPr>
                <w:color w:val="auto"/>
                <w:highlight w:val="none"/>
              </w:rPr>
            </w:pPr>
          </w:p>
          <w:p w14:paraId="2378405C">
            <w:pPr>
              <w:pStyle w:val="39"/>
              <w:spacing w:before="68" w:line="221" w:lineRule="auto"/>
              <w:ind w:left="179"/>
              <w:rPr>
                <w:color w:val="auto"/>
                <w:sz w:val="21"/>
                <w:szCs w:val="21"/>
                <w:highlight w:val="none"/>
              </w:rPr>
            </w:pPr>
            <w:r>
              <w:rPr>
                <w:color w:val="auto"/>
                <w:spacing w:val="9"/>
                <w:sz w:val="21"/>
                <w:szCs w:val="21"/>
                <w:highlight w:val="none"/>
              </w:rPr>
              <w:t>仓储业*</w:t>
            </w:r>
          </w:p>
        </w:tc>
        <w:tc>
          <w:tcPr>
            <w:tcW w:w="1492" w:type="dxa"/>
            <w:tcBorders>
              <w:left w:val="single" w:color="4F81BD" w:sz="2" w:space="0"/>
              <w:right w:val="single" w:color="4F81BD" w:sz="2" w:space="0"/>
            </w:tcBorders>
          </w:tcPr>
          <w:p w14:paraId="023496DF">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1AEB1724">
            <w:pPr>
              <w:pStyle w:val="39"/>
              <w:spacing w:before="193"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6265B825">
            <w:pPr>
              <w:pStyle w:val="39"/>
              <w:spacing w:before="192" w:line="239" w:lineRule="auto"/>
              <w:ind w:left="284"/>
              <w:rPr>
                <w:color w:val="auto"/>
                <w:sz w:val="21"/>
                <w:szCs w:val="21"/>
                <w:highlight w:val="none"/>
              </w:rPr>
            </w:pPr>
            <w:r>
              <w:rPr>
                <w:color w:val="auto"/>
                <w:spacing w:val="6"/>
                <w:sz w:val="21"/>
                <w:szCs w:val="21"/>
                <w:highlight w:val="none"/>
              </w:rPr>
              <w:t>X≥200</w:t>
            </w:r>
          </w:p>
        </w:tc>
        <w:tc>
          <w:tcPr>
            <w:tcW w:w="1961" w:type="dxa"/>
            <w:tcBorders>
              <w:left w:val="single" w:color="4F81BD" w:sz="2" w:space="0"/>
              <w:right w:val="single" w:color="4F81BD" w:sz="2" w:space="0"/>
            </w:tcBorders>
          </w:tcPr>
          <w:p w14:paraId="52546B52">
            <w:pPr>
              <w:pStyle w:val="39"/>
              <w:spacing w:before="193" w:line="237" w:lineRule="auto"/>
              <w:ind w:left="379"/>
              <w:rPr>
                <w:color w:val="auto"/>
                <w:sz w:val="21"/>
                <w:szCs w:val="21"/>
                <w:highlight w:val="none"/>
              </w:rPr>
            </w:pPr>
            <w:r>
              <w:rPr>
                <w:color w:val="auto"/>
                <w:spacing w:val="6"/>
                <w:sz w:val="21"/>
                <w:szCs w:val="21"/>
                <w:highlight w:val="none"/>
              </w:rPr>
              <w:t>100≤X＜200</w:t>
            </w:r>
          </w:p>
        </w:tc>
        <w:tc>
          <w:tcPr>
            <w:tcW w:w="1756" w:type="dxa"/>
            <w:tcBorders>
              <w:left w:val="single" w:color="4F81BD" w:sz="2" w:space="0"/>
              <w:right w:val="single" w:color="4F81BD" w:sz="2" w:space="0"/>
            </w:tcBorders>
          </w:tcPr>
          <w:p w14:paraId="05A28D10">
            <w:pPr>
              <w:pStyle w:val="39"/>
              <w:spacing w:before="193" w:line="237" w:lineRule="auto"/>
              <w:ind w:left="322"/>
              <w:rPr>
                <w:color w:val="auto"/>
                <w:sz w:val="21"/>
                <w:szCs w:val="21"/>
                <w:highlight w:val="none"/>
              </w:rPr>
            </w:pPr>
            <w:r>
              <w:rPr>
                <w:color w:val="auto"/>
                <w:spacing w:val="-1"/>
                <w:sz w:val="21"/>
                <w:szCs w:val="21"/>
                <w:highlight w:val="none"/>
              </w:rPr>
              <w:t>20≤X＜</w:t>
            </w:r>
            <w:r>
              <w:rPr>
                <w:color w:val="auto"/>
                <w:spacing w:val="-35"/>
                <w:sz w:val="21"/>
                <w:szCs w:val="21"/>
                <w:highlight w:val="none"/>
              </w:rPr>
              <w:t xml:space="preserve"> </w:t>
            </w:r>
            <w:r>
              <w:rPr>
                <w:color w:val="auto"/>
                <w:spacing w:val="-1"/>
                <w:sz w:val="21"/>
                <w:szCs w:val="21"/>
                <w:highlight w:val="none"/>
              </w:rPr>
              <w:t>100</w:t>
            </w:r>
          </w:p>
        </w:tc>
        <w:tc>
          <w:tcPr>
            <w:tcW w:w="1028" w:type="dxa"/>
            <w:tcBorders>
              <w:left w:val="single" w:color="4F81BD" w:sz="2" w:space="0"/>
              <w:right w:val="single" w:color="4F81BD" w:sz="2" w:space="0"/>
            </w:tcBorders>
          </w:tcPr>
          <w:p w14:paraId="248868BE">
            <w:pPr>
              <w:pStyle w:val="39"/>
              <w:spacing w:before="192" w:line="241" w:lineRule="auto"/>
              <w:ind w:left="237"/>
              <w:rPr>
                <w:color w:val="auto"/>
                <w:sz w:val="21"/>
                <w:szCs w:val="21"/>
                <w:highlight w:val="none"/>
              </w:rPr>
            </w:pPr>
            <w:r>
              <w:rPr>
                <w:color w:val="auto"/>
                <w:spacing w:val="6"/>
                <w:sz w:val="21"/>
                <w:szCs w:val="21"/>
                <w:highlight w:val="none"/>
              </w:rPr>
              <w:t>X＜20</w:t>
            </w:r>
          </w:p>
        </w:tc>
      </w:tr>
      <w:tr w14:paraId="66B4805D">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2" w:hRule="atLeast"/>
          <w:jc w:val="center"/>
        </w:trPr>
        <w:tc>
          <w:tcPr>
            <w:tcW w:w="1151" w:type="dxa"/>
            <w:vMerge w:val="continue"/>
            <w:tcBorders>
              <w:top w:val="nil"/>
              <w:right w:val="single" w:color="4F81BD" w:sz="2" w:space="0"/>
            </w:tcBorders>
          </w:tcPr>
          <w:p w14:paraId="05FEFD03">
            <w:pPr>
              <w:rPr>
                <w:color w:val="auto"/>
                <w:highlight w:val="none"/>
              </w:rPr>
            </w:pPr>
          </w:p>
        </w:tc>
        <w:tc>
          <w:tcPr>
            <w:tcW w:w="1492" w:type="dxa"/>
            <w:tcBorders>
              <w:left w:val="single" w:color="000000" w:sz="2" w:space="0"/>
            </w:tcBorders>
            <w:shd w:val="clear" w:color="auto" w:fill="B8CCE4"/>
          </w:tcPr>
          <w:p w14:paraId="43940656">
            <w:pPr>
              <w:pStyle w:val="39"/>
              <w:spacing w:before="192"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1233979F">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162491AB">
            <w:pPr>
              <w:pStyle w:val="39"/>
              <w:spacing w:before="192" w:line="239" w:lineRule="auto"/>
              <w:ind w:left="168"/>
              <w:rPr>
                <w:color w:val="auto"/>
                <w:sz w:val="21"/>
                <w:szCs w:val="21"/>
                <w:highlight w:val="none"/>
              </w:rPr>
            </w:pPr>
            <w:r>
              <w:rPr>
                <w:color w:val="auto"/>
                <w:spacing w:val="7"/>
                <w:sz w:val="21"/>
                <w:szCs w:val="21"/>
                <w:highlight w:val="none"/>
              </w:rPr>
              <w:t>Y≥30000</w:t>
            </w:r>
          </w:p>
        </w:tc>
        <w:tc>
          <w:tcPr>
            <w:tcW w:w="1961" w:type="dxa"/>
            <w:shd w:val="clear" w:color="auto" w:fill="B8CCE4"/>
          </w:tcPr>
          <w:p w14:paraId="0C1217C8">
            <w:pPr>
              <w:pStyle w:val="39"/>
              <w:spacing w:before="193" w:line="237" w:lineRule="auto"/>
              <w:ind w:left="208"/>
              <w:rPr>
                <w:color w:val="auto"/>
                <w:sz w:val="21"/>
                <w:szCs w:val="21"/>
                <w:highlight w:val="none"/>
              </w:rPr>
            </w:pPr>
            <w:r>
              <w:rPr>
                <w:color w:val="auto"/>
                <w:spacing w:val="6"/>
                <w:sz w:val="21"/>
                <w:szCs w:val="21"/>
                <w:highlight w:val="none"/>
              </w:rPr>
              <w:t>1000≤Y＜30000</w:t>
            </w:r>
          </w:p>
        </w:tc>
        <w:tc>
          <w:tcPr>
            <w:tcW w:w="1756" w:type="dxa"/>
            <w:shd w:val="clear" w:color="auto" w:fill="B8CCE4"/>
          </w:tcPr>
          <w:p w14:paraId="721F0E0C">
            <w:pPr>
              <w:pStyle w:val="39"/>
              <w:spacing w:before="193" w:line="237" w:lineRule="auto"/>
              <w:ind w:left="220"/>
              <w:rPr>
                <w:color w:val="auto"/>
                <w:sz w:val="21"/>
                <w:szCs w:val="21"/>
                <w:highlight w:val="none"/>
              </w:rPr>
            </w:pPr>
            <w:r>
              <w:rPr>
                <w:color w:val="auto"/>
                <w:spacing w:val="-1"/>
                <w:sz w:val="21"/>
                <w:szCs w:val="21"/>
                <w:highlight w:val="none"/>
              </w:rPr>
              <w:t>100≤Y＜</w:t>
            </w:r>
            <w:r>
              <w:rPr>
                <w:color w:val="auto"/>
                <w:spacing w:val="-33"/>
                <w:sz w:val="21"/>
                <w:szCs w:val="21"/>
                <w:highlight w:val="none"/>
              </w:rPr>
              <w:t xml:space="preserve"> </w:t>
            </w:r>
            <w:r>
              <w:rPr>
                <w:color w:val="auto"/>
                <w:spacing w:val="-1"/>
                <w:sz w:val="21"/>
                <w:szCs w:val="21"/>
                <w:highlight w:val="none"/>
              </w:rPr>
              <w:t>1000</w:t>
            </w:r>
          </w:p>
        </w:tc>
        <w:tc>
          <w:tcPr>
            <w:tcW w:w="1028" w:type="dxa"/>
            <w:shd w:val="clear" w:color="auto" w:fill="B8CCE4"/>
          </w:tcPr>
          <w:p w14:paraId="3A6421FD">
            <w:pPr>
              <w:pStyle w:val="39"/>
              <w:spacing w:before="192" w:line="241" w:lineRule="auto"/>
              <w:ind w:left="176"/>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r w14:paraId="6B014165">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restart"/>
            <w:tcBorders>
              <w:bottom w:val="nil"/>
              <w:right w:val="single" w:color="4F81BD" w:sz="2" w:space="0"/>
            </w:tcBorders>
          </w:tcPr>
          <w:p w14:paraId="604E732B">
            <w:pPr>
              <w:spacing w:line="424" w:lineRule="auto"/>
              <w:rPr>
                <w:color w:val="auto"/>
                <w:highlight w:val="none"/>
              </w:rPr>
            </w:pPr>
          </w:p>
          <w:p w14:paraId="77288156">
            <w:pPr>
              <w:pStyle w:val="39"/>
              <w:spacing w:before="69" w:line="222" w:lineRule="auto"/>
              <w:ind w:left="253"/>
              <w:rPr>
                <w:color w:val="auto"/>
                <w:sz w:val="21"/>
                <w:szCs w:val="21"/>
                <w:highlight w:val="none"/>
              </w:rPr>
            </w:pPr>
            <w:r>
              <w:rPr>
                <w:color w:val="auto"/>
                <w:spacing w:val="2"/>
                <w:sz w:val="21"/>
                <w:szCs w:val="21"/>
                <w:highlight w:val="none"/>
              </w:rPr>
              <w:t>邮政业</w:t>
            </w:r>
          </w:p>
        </w:tc>
        <w:tc>
          <w:tcPr>
            <w:tcW w:w="1492" w:type="dxa"/>
            <w:tcBorders>
              <w:left w:val="single" w:color="4F81BD" w:sz="2" w:space="0"/>
              <w:right w:val="single" w:color="4F81BD" w:sz="2" w:space="0"/>
            </w:tcBorders>
          </w:tcPr>
          <w:p w14:paraId="59ADE9ED">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2574E858">
            <w:pPr>
              <w:pStyle w:val="39"/>
              <w:spacing w:before="193"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1F0E0914">
            <w:pPr>
              <w:pStyle w:val="39"/>
              <w:spacing w:before="192" w:line="239" w:lineRule="auto"/>
              <w:ind w:left="227"/>
              <w:rPr>
                <w:color w:val="auto"/>
                <w:sz w:val="21"/>
                <w:szCs w:val="21"/>
                <w:highlight w:val="none"/>
              </w:rPr>
            </w:pPr>
            <w:r>
              <w:rPr>
                <w:color w:val="auto"/>
                <w:spacing w:val="6"/>
                <w:sz w:val="21"/>
                <w:szCs w:val="21"/>
                <w:highlight w:val="none"/>
              </w:rPr>
              <w:t>X≥1000</w:t>
            </w:r>
          </w:p>
        </w:tc>
        <w:tc>
          <w:tcPr>
            <w:tcW w:w="1961" w:type="dxa"/>
            <w:tcBorders>
              <w:left w:val="single" w:color="4F81BD" w:sz="2" w:space="0"/>
              <w:right w:val="single" w:color="4F81BD" w:sz="2" w:space="0"/>
            </w:tcBorders>
          </w:tcPr>
          <w:p w14:paraId="25EB9AF1">
            <w:pPr>
              <w:pStyle w:val="39"/>
              <w:spacing w:before="193" w:line="237" w:lineRule="auto"/>
              <w:ind w:left="312"/>
              <w:rPr>
                <w:color w:val="auto"/>
                <w:sz w:val="21"/>
                <w:szCs w:val="21"/>
                <w:highlight w:val="none"/>
              </w:rPr>
            </w:pPr>
            <w:r>
              <w:rPr>
                <w:color w:val="auto"/>
                <w:spacing w:val="1"/>
                <w:sz w:val="21"/>
                <w:szCs w:val="21"/>
                <w:highlight w:val="none"/>
              </w:rPr>
              <w:t>300≤X＜</w:t>
            </w:r>
            <w:r>
              <w:rPr>
                <w:color w:val="auto"/>
                <w:spacing w:val="-42"/>
                <w:sz w:val="21"/>
                <w:szCs w:val="21"/>
                <w:highlight w:val="none"/>
              </w:rPr>
              <w:t xml:space="preserve"> </w:t>
            </w:r>
            <w:r>
              <w:rPr>
                <w:color w:val="auto"/>
                <w:spacing w:val="1"/>
                <w:sz w:val="21"/>
                <w:szCs w:val="21"/>
                <w:highlight w:val="none"/>
              </w:rPr>
              <w:t>1000</w:t>
            </w:r>
          </w:p>
        </w:tc>
        <w:tc>
          <w:tcPr>
            <w:tcW w:w="1756" w:type="dxa"/>
            <w:tcBorders>
              <w:left w:val="single" w:color="4F81BD" w:sz="2" w:space="0"/>
              <w:right w:val="single" w:color="4F81BD" w:sz="2" w:space="0"/>
            </w:tcBorders>
          </w:tcPr>
          <w:p w14:paraId="0E23831D">
            <w:pPr>
              <w:pStyle w:val="39"/>
              <w:spacing w:before="193" w:line="237" w:lineRule="auto"/>
              <w:ind w:left="322"/>
              <w:rPr>
                <w:color w:val="auto"/>
                <w:sz w:val="21"/>
                <w:szCs w:val="21"/>
                <w:highlight w:val="none"/>
              </w:rPr>
            </w:pPr>
            <w:r>
              <w:rPr>
                <w:color w:val="auto"/>
                <w:spacing w:val="7"/>
                <w:sz w:val="21"/>
                <w:szCs w:val="21"/>
                <w:highlight w:val="none"/>
              </w:rPr>
              <w:t>20≤X＜300</w:t>
            </w:r>
          </w:p>
        </w:tc>
        <w:tc>
          <w:tcPr>
            <w:tcW w:w="1028" w:type="dxa"/>
            <w:tcBorders>
              <w:left w:val="single" w:color="4F81BD" w:sz="2" w:space="0"/>
              <w:right w:val="single" w:color="4F81BD" w:sz="2" w:space="0"/>
            </w:tcBorders>
          </w:tcPr>
          <w:p w14:paraId="7EB07790">
            <w:pPr>
              <w:pStyle w:val="39"/>
              <w:spacing w:before="193" w:line="241" w:lineRule="auto"/>
              <w:ind w:left="237"/>
              <w:rPr>
                <w:color w:val="auto"/>
                <w:sz w:val="21"/>
                <w:szCs w:val="21"/>
                <w:highlight w:val="none"/>
              </w:rPr>
            </w:pPr>
            <w:r>
              <w:rPr>
                <w:color w:val="auto"/>
                <w:spacing w:val="6"/>
                <w:sz w:val="21"/>
                <w:szCs w:val="21"/>
                <w:highlight w:val="none"/>
              </w:rPr>
              <w:t>X＜20</w:t>
            </w:r>
          </w:p>
        </w:tc>
      </w:tr>
      <w:tr w14:paraId="1E5349F9">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right w:val="single" w:color="4F81BD" w:sz="2" w:space="0"/>
            </w:tcBorders>
          </w:tcPr>
          <w:p w14:paraId="46609310">
            <w:pPr>
              <w:rPr>
                <w:color w:val="auto"/>
                <w:highlight w:val="none"/>
              </w:rPr>
            </w:pPr>
          </w:p>
        </w:tc>
        <w:tc>
          <w:tcPr>
            <w:tcW w:w="1492" w:type="dxa"/>
            <w:tcBorders>
              <w:left w:val="single" w:color="000000" w:sz="2" w:space="0"/>
            </w:tcBorders>
            <w:shd w:val="clear" w:color="auto" w:fill="B8CCE4"/>
          </w:tcPr>
          <w:p w14:paraId="1C6FCEF3">
            <w:pPr>
              <w:pStyle w:val="39"/>
              <w:spacing w:before="192"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08C2C32B">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54B3DCFD">
            <w:pPr>
              <w:pStyle w:val="39"/>
              <w:spacing w:before="192" w:line="239" w:lineRule="auto"/>
              <w:ind w:left="168"/>
              <w:rPr>
                <w:color w:val="auto"/>
                <w:sz w:val="21"/>
                <w:szCs w:val="21"/>
                <w:highlight w:val="none"/>
              </w:rPr>
            </w:pPr>
            <w:r>
              <w:rPr>
                <w:color w:val="auto"/>
                <w:spacing w:val="7"/>
                <w:sz w:val="21"/>
                <w:szCs w:val="21"/>
                <w:highlight w:val="none"/>
              </w:rPr>
              <w:t>Y≥30000</w:t>
            </w:r>
          </w:p>
        </w:tc>
        <w:tc>
          <w:tcPr>
            <w:tcW w:w="1961" w:type="dxa"/>
            <w:shd w:val="clear" w:color="auto" w:fill="B8CCE4"/>
          </w:tcPr>
          <w:p w14:paraId="02640B38">
            <w:pPr>
              <w:pStyle w:val="39"/>
              <w:spacing w:before="193" w:line="237" w:lineRule="auto"/>
              <w:ind w:left="195"/>
              <w:rPr>
                <w:color w:val="auto"/>
                <w:sz w:val="21"/>
                <w:szCs w:val="21"/>
                <w:highlight w:val="none"/>
              </w:rPr>
            </w:pPr>
            <w:r>
              <w:rPr>
                <w:color w:val="auto"/>
                <w:spacing w:val="7"/>
                <w:sz w:val="21"/>
                <w:szCs w:val="21"/>
                <w:highlight w:val="none"/>
              </w:rPr>
              <w:t>2000≤Y＜30000</w:t>
            </w:r>
          </w:p>
        </w:tc>
        <w:tc>
          <w:tcPr>
            <w:tcW w:w="1756" w:type="dxa"/>
            <w:shd w:val="clear" w:color="auto" w:fill="B8CCE4"/>
          </w:tcPr>
          <w:p w14:paraId="5D1ED9DC">
            <w:pPr>
              <w:pStyle w:val="39"/>
              <w:spacing w:before="193" w:line="237" w:lineRule="auto"/>
              <w:ind w:left="220"/>
              <w:rPr>
                <w:color w:val="auto"/>
                <w:sz w:val="21"/>
                <w:szCs w:val="21"/>
                <w:highlight w:val="none"/>
              </w:rPr>
            </w:pPr>
            <w:r>
              <w:rPr>
                <w:color w:val="auto"/>
                <w:spacing w:val="6"/>
                <w:sz w:val="21"/>
                <w:szCs w:val="21"/>
                <w:highlight w:val="none"/>
              </w:rPr>
              <w:t>100≤Y＜2000</w:t>
            </w:r>
          </w:p>
        </w:tc>
        <w:tc>
          <w:tcPr>
            <w:tcW w:w="1028" w:type="dxa"/>
            <w:shd w:val="clear" w:color="auto" w:fill="B8CCE4"/>
          </w:tcPr>
          <w:p w14:paraId="4A1DF26D">
            <w:pPr>
              <w:pStyle w:val="39"/>
              <w:spacing w:before="192" w:line="241" w:lineRule="auto"/>
              <w:ind w:left="176"/>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r w14:paraId="785A19EF">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2" w:hRule="atLeast"/>
          <w:jc w:val="center"/>
        </w:trPr>
        <w:tc>
          <w:tcPr>
            <w:tcW w:w="1151" w:type="dxa"/>
            <w:vMerge w:val="restart"/>
            <w:tcBorders>
              <w:bottom w:val="nil"/>
              <w:right w:val="single" w:color="4F81BD" w:sz="2" w:space="0"/>
            </w:tcBorders>
          </w:tcPr>
          <w:p w14:paraId="025139C2">
            <w:pPr>
              <w:spacing w:line="422" w:lineRule="auto"/>
              <w:rPr>
                <w:color w:val="auto"/>
                <w:highlight w:val="none"/>
              </w:rPr>
            </w:pPr>
          </w:p>
          <w:p w14:paraId="4C44FF43">
            <w:pPr>
              <w:pStyle w:val="39"/>
              <w:spacing w:before="68" w:line="221" w:lineRule="auto"/>
              <w:ind w:left="237"/>
              <w:rPr>
                <w:color w:val="auto"/>
                <w:sz w:val="21"/>
                <w:szCs w:val="21"/>
                <w:highlight w:val="none"/>
              </w:rPr>
            </w:pPr>
            <w:r>
              <w:rPr>
                <w:color w:val="auto"/>
                <w:spacing w:val="8"/>
                <w:sz w:val="21"/>
                <w:szCs w:val="21"/>
                <w:highlight w:val="none"/>
              </w:rPr>
              <w:t>住宿业</w:t>
            </w:r>
          </w:p>
        </w:tc>
        <w:tc>
          <w:tcPr>
            <w:tcW w:w="1492" w:type="dxa"/>
            <w:tcBorders>
              <w:left w:val="single" w:color="4F81BD" w:sz="2" w:space="0"/>
              <w:right w:val="single" w:color="4F81BD" w:sz="2" w:space="0"/>
            </w:tcBorders>
          </w:tcPr>
          <w:p w14:paraId="29A511A1">
            <w:pPr>
              <w:pStyle w:val="39"/>
              <w:spacing w:before="193"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4F215494">
            <w:pPr>
              <w:pStyle w:val="39"/>
              <w:spacing w:before="194"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6AFBDF48">
            <w:pPr>
              <w:pStyle w:val="39"/>
              <w:spacing w:before="193" w:line="239" w:lineRule="auto"/>
              <w:ind w:left="284"/>
              <w:rPr>
                <w:color w:val="auto"/>
                <w:sz w:val="21"/>
                <w:szCs w:val="21"/>
                <w:highlight w:val="none"/>
              </w:rPr>
            </w:pPr>
            <w:r>
              <w:rPr>
                <w:color w:val="auto"/>
                <w:spacing w:val="6"/>
                <w:sz w:val="21"/>
                <w:szCs w:val="21"/>
                <w:highlight w:val="none"/>
              </w:rPr>
              <w:t>X≥300</w:t>
            </w:r>
          </w:p>
        </w:tc>
        <w:tc>
          <w:tcPr>
            <w:tcW w:w="1961" w:type="dxa"/>
            <w:tcBorders>
              <w:left w:val="single" w:color="4F81BD" w:sz="2" w:space="0"/>
              <w:right w:val="single" w:color="4F81BD" w:sz="2" w:space="0"/>
            </w:tcBorders>
          </w:tcPr>
          <w:p w14:paraId="5E2B40FF">
            <w:pPr>
              <w:pStyle w:val="39"/>
              <w:spacing w:before="193" w:line="237" w:lineRule="auto"/>
              <w:ind w:left="379"/>
              <w:rPr>
                <w:color w:val="auto"/>
                <w:sz w:val="21"/>
                <w:szCs w:val="21"/>
                <w:highlight w:val="none"/>
              </w:rPr>
            </w:pPr>
            <w:r>
              <w:rPr>
                <w:color w:val="auto"/>
                <w:spacing w:val="6"/>
                <w:sz w:val="21"/>
                <w:szCs w:val="21"/>
                <w:highlight w:val="none"/>
              </w:rPr>
              <w:t>100≤X＜300</w:t>
            </w:r>
          </w:p>
        </w:tc>
        <w:tc>
          <w:tcPr>
            <w:tcW w:w="1756" w:type="dxa"/>
            <w:tcBorders>
              <w:left w:val="single" w:color="4F81BD" w:sz="2" w:space="0"/>
              <w:right w:val="single" w:color="4F81BD" w:sz="2" w:space="0"/>
            </w:tcBorders>
          </w:tcPr>
          <w:p w14:paraId="581803A1">
            <w:pPr>
              <w:pStyle w:val="39"/>
              <w:spacing w:before="193" w:line="237" w:lineRule="auto"/>
              <w:ind w:left="336"/>
              <w:rPr>
                <w:color w:val="auto"/>
                <w:sz w:val="21"/>
                <w:szCs w:val="21"/>
                <w:highlight w:val="none"/>
              </w:rPr>
            </w:pPr>
            <w:r>
              <w:rPr>
                <w:color w:val="auto"/>
                <w:spacing w:val="-2"/>
                <w:sz w:val="21"/>
                <w:szCs w:val="21"/>
                <w:highlight w:val="none"/>
              </w:rPr>
              <w:t>10≤X＜</w:t>
            </w:r>
            <w:r>
              <w:rPr>
                <w:color w:val="auto"/>
                <w:spacing w:val="-40"/>
                <w:sz w:val="21"/>
                <w:szCs w:val="21"/>
                <w:highlight w:val="none"/>
              </w:rPr>
              <w:t xml:space="preserve"> </w:t>
            </w:r>
            <w:r>
              <w:rPr>
                <w:color w:val="auto"/>
                <w:spacing w:val="-2"/>
                <w:sz w:val="21"/>
                <w:szCs w:val="21"/>
                <w:highlight w:val="none"/>
              </w:rPr>
              <w:t>100</w:t>
            </w:r>
          </w:p>
        </w:tc>
        <w:tc>
          <w:tcPr>
            <w:tcW w:w="1028" w:type="dxa"/>
            <w:tcBorders>
              <w:left w:val="single" w:color="4F81BD" w:sz="2" w:space="0"/>
              <w:right w:val="single" w:color="4F81BD" w:sz="2" w:space="0"/>
            </w:tcBorders>
          </w:tcPr>
          <w:p w14:paraId="443DE25F">
            <w:pPr>
              <w:pStyle w:val="39"/>
              <w:spacing w:before="193" w:line="241" w:lineRule="auto"/>
              <w:ind w:left="237"/>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r w14:paraId="7B5F80CB">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right w:val="single" w:color="4F81BD" w:sz="2" w:space="0"/>
            </w:tcBorders>
          </w:tcPr>
          <w:p w14:paraId="6D907569">
            <w:pPr>
              <w:rPr>
                <w:color w:val="auto"/>
                <w:highlight w:val="none"/>
              </w:rPr>
            </w:pPr>
          </w:p>
        </w:tc>
        <w:tc>
          <w:tcPr>
            <w:tcW w:w="1492" w:type="dxa"/>
            <w:tcBorders>
              <w:left w:val="single" w:color="000000" w:sz="2" w:space="0"/>
            </w:tcBorders>
            <w:shd w:val="clear" w:color="auto" w:fill="B8CCE4"/>
          </w:tcPr>
          <w:p w14:paraId="5A4F6579">
            <w:pPr>
              <w:pStyle w:val="39"/>
              <w:spacing w:before="193" w:line="221" w:lineRule="auto"/>
              <w:ind w:left="133"/>
              <w:rPr>
                <w:color w:val="auto"/>
                <w:sz w:val="21"/>
                <w:szCs w:val="21"/>
                <w:highlight w:val="none"/>
              </w:rPr>
            </w:pPr>
            <w:r>
              <w:rPr>
                <w:color w:val="auto"/>
                <w:spacing w:val="9"/>
                <w:sz w:val="21"/>
                <w:szCs w:val="21"/>
                <w:highlight w:val="none"/>
              </w:rPr>
              <w:t>营业收入(Y)</w:t>
            </w:r>
          </w:p>
        </w:tc>
        <w:tc>
          <w:tcPr>
            <w:tcW w:w="726" w:type="dxa"/>
            <w:shd w:val="clear" w:color="auto" w:fill="B8CCE4"/>
          </w:tcPr>
          <w:p w14:paraId="74DA56B1">
            <w:pPr>
              <w:pStyle w:val="39"/>
              <w:spacing w:before="194" w:line="221" w:lineRule="auto"/>
              <w:ind w:left="142"/>
              <w:rPr>
                <w:color w:val="auto"/>
                <w:sz w:val="21"/>
                <w:szCs w:val="21"/>
                <w:highlight w:val="none"/>
              </w:rPr>
            </w:pPr>
            <w:r>
              <w:rPr>
                <w:color w:val="auto"/>
                <w:spacing w:val="1"/>
                <w:sz w:val="21"/>
                <w:szCs w:val="21"/>
                <w:highlight w:val="none"/>
              </w:rPr>
              <w:t>万元</w:t>
            </w:r>
          </w:p>
        </w:tc>
        <w:tc>
          <w:tcPr>
            <w:tcW w:w="1244" w:type="dxa"/>
            <w:shd w:val="clear" w:color="auto" w:fill="B8CCE4"/>
          </w:tcPr>
          <w:p w14:paraId="54E4BDAE">
            <w:pPr>
              <w:pStyle w:val="39"/>
              <w:spacing w:before="193" w:line="239" w:lineRule="auto"/>
              <w:ind w:left="168"/>
              <w:rPr>
                <w:color w:val="auto"/>
                <w:sz w:val="21"/>
                <w:szCs w:val="21"/>
                <w:highlight w:val="none"/>
              </w:rPr>
            </w:pPr>
            <w:r>
              <w:rPr>
                <w:color w:val="auto"/>
                <w:spacing w:val="7"/>
                <w:sz w:val="21"/>
                <w:szCs w:val="21"/>
                <w:highlight w:val="none"/>
              </w:rPr>
              <w:t>Y≥10000</w:t>
            </w:r>
          </w:p>
        </w:tc>
        <w:tc>
          <w:tcPr>
            <w:tcW w:w="1961" w:type="dxa"/>
            <w:shd w:val="clear" w:color="auto" w:fill="B8CCE4"/>
          </w:tcPr>
          <w:p w14:paraId="3D7EB6C2">
            <w:pPr>
              <w:pStyle w:val="39"/>
              <w:spacing w:before="194" w:line="237" w:lineRule="auto"/>
              <w:ind w:left="195"/>
              <w:rPr>
                <w:color w:val="auto"/>
                <w:sz w:val="21"/>
                <w:szCs w:val="21"/>
                <w:highlight w:val="none"/>
              </w:rPr>
            </w:pPr>
            <w:r>
              <w:rPr>
                <w:color w:val="auto"/>
                <w:spacing w:val="2"/>
                <w:sz w:val="21"/>
                <w:szCs w:val="21"/>
                <w:highlight w:val="none"/>
              </w:rPr>
              <w:t>2000≤Y＜</w:t>
            </w:r>
            <w:r>
              <w:rPr>
                <w:color w:val="auto"/>
                <w:spacing w:val="-39"/>
                <w:sz w:val="21"/>
                <w:szCs w:val="21"/>
                <w:highlight w:val="none"/>
              </w:rPr>
              <w:t xml:space="preserve"> </w:t>
            </w:r>
            <w:r>
              <w:rPr>
                <w:color w:val="auto"/>
                <w:spacing w:val="2"/>
                <w:sz w:val="21"/>
                <w:szCs w:val="21"/>
                <w:highlight w:val="none"/>
              </w:rPr>
              <w:t>10000</w:t>
            </w:r>
          </w:p>
        </w:tc>
        <w:tc>
          <w:tcPr>
            <w:tcW w:w="1756" w:type="dxa"/>
            <w:shd w:val="clear" w:color="auto" w:fill="B8CCE4"/>
          </w:tcPr>
          <w:p w14:paraId="357F24E2">
            <w:pPr>
              <w:pStyle w:val="39"/>
              <w:spacing w:before="194" w:line="237" w:lineRule="auto"/>
              <w:ind w:left="220"/>
              <w:rPr>
                <w:color w:val="auto"/>
                <w:sz w:val="21"/>
                <w:szCs w:val="21"/>
                <w:highlight w:val="none"/>
              </w:rPr>
            </w:pPr>
            <w:r>
              <w:rPr>
                <w:color w:val="auto"/>
                <w:spacing w:val="6"/>
                <w:sz w:val="21"/>
                <w:szCs w:val="21"/>
                <w:highlight w:val="none"/>
              </w:rPr>
              <w:t>100≤Y＜2000</w:t>
            </w:r>
          </w:p>
        </w:tc>
        <w:tc>
          <w:tcPr>
            <w:tcW w:w="1028" w:type="dxa"/>
            <w:shd w:val="clear" w:color="auto" w:fill="B8CCE4"/>
          </w:tcPr>
          <w:p w14:paraId="3DD47AD2">
            <w:pPr>
              <w:pStyle w:val="39"/>
              <w:spacing w:before="193" w:line="241" w:lineRule="auto"/>
              <w:ind w:left="176"/>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r w14:paraId="5814BB9A">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restart"/>
            <w:tcBorders>
              <w:bottom w:val="nil"/>
              <w:right w:val="single" w:color="4F81BD" w:sz="2" w:space="0"/>
            </w:tcBorders>
          </w:tcPr>
          <w:p w14:paraId="04B51DA9">
            <w:pPr>
              <w:spacing w:line="424" w:lineRule="auto"/>
              <w:rPr>
                <w:color w:val="auto"/>
                <w:highlight w:val="none"/>
              </w:rPr>
            </w:pPr>
          </w:p>
          <w:p w14:paraId="6A9B4F18">
            <w:pPr>
              <w:pStyle w:val="39"/>
              <w:spacing w:before="69" w:line="221" w:lineRule="auto"/>
              <w:ind w:left="239"/>
              <w:rPr>
                <w:color w:val="auto"/>
                <w:sz w:val="21"/>
                <w:szCs w:val="21"/>
                <w:highlight w:val="none"/>
              </w:rPr>
            </w:pPr>
            <w:r>
              <w:rPr>
                <w:color w:val="auto"/>
                <w:spacing w:val="7"/>
                <w:sz w:val="21"/>
                <w:szCs w:val="21"/>
                <w:highlight w:val="none"/>
              </w:rPr>
              <w:t>餐饮业</w:t>
            </w:r>
          </w:p>
        </w:tc>
        <w:tc>
          <w:tcPr>
            <w:tcW w:w="1492" w:type="dxa"/>
            <w:tcBorders>
              <w:left w:val="single" w:color="4F81BD" w:sz="2" w:space="0"/>
              <w:right w:val="single" w:color="4F81BD" w:sz="2" w:space="0"/>
            </w:tcBorders>
          </w:tcPr>
          <w:p w14:paraId="028A8052">
            <w:pPr>
              <w:pStyle w:val="39"/>
              <w:spacing w:before="194" w:line="221" w:lineRule="auto"/>
              <w:ind w:left="12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6" w:type="dxa"/>
            <w:tcBorders>
              <w:left w:val="single" w:color="4F81BD" w:sz="2" w:space="0"/>
              <w:right w:val="single" w:color="4F81BD" w:sz="2" w:space="0"/>
            </w:tcBorders>
          </w:tcPr>
          <w:p w14:paraId="0AE6C1EE">
            <w:pPr>
              <w:pStyle w:val="39"/>
              <w:spacing w:before="194" w:line="223" w:lineRule="auto"/>
              <w:ind w:left="254"/>
              <w:rPr>
                <w:color w:val="auto"/>
                <w:sz w:val="21"/>
                <w:szCs w:val="21"/>
                <w:highlight w:val="none"/>
              </w:rPr>
            </w:pPr>
            <w:r>
              <w:rPr>
                <w:color w:val="auto"/>
                <w:sz w:val="21"/>
                <w:szCs w:val="21"/>
                <w:highlight w:val="none"/>
              </w:rPr>
              <w:t>人</w:t>
            </w:r>
          </w:p>
        </w:tc>
        <w:tc>
          <w:tcPr>
            <w:tcW w:w="1244" w:type="dxa"/>
            <w:tcBorders>
              <w:left w:val="single" w:color="4F81BD" w:sz="2" w:space="0"/>
              <w:right w:val="single" w:color="4F81BD" w:sz="2" w:space="0"/>
            </w:tcBorders>
          </w:tcPr>
          <w:p w14:paraId="59814490">
            <w:pPr>
              <w:pStyle w:val="39"/>
              <w:spacing w:before="193" w:line="239" w:lineRule="auto"/>
              <w:ind w:left="284"/>
              <w:rPr>
                <w:color w:val="auto"/>
                <w:sz w:val="21"/>
                <w:szCs w:val="21"/>
                <w:highlight w:val="none"/>
              </w:rPr>
            </w:pPr>
            <w:r>
              <w:rPr>
                <w:color w:val="auto"/>
                <w:spacing w:val="6"/>
                <w:sz w:val="21"/>
                <w:szCs w:val="21"/>
                <w:highlight w:val="none"/>
              </w:rPr>
              <w:t>X≥300</w:t>
            </w:r>
          </w:p>
        </w:tc>
        <w:tc>
          <w:tcPr>
            <w:tcW w:w="1961" w:type="dxa"/>
            <w:tcBorders>
              <w:left w:val="single" w:color="4F81BD" w:sz="2" w:space="0"/>
              <w:right w:val="single" w:color="4F81BD" w:sz="2" w:space="0"/>
            </w:tcBorders>
          </w:tcPr>
          <w:p w14:paraId="448F0182">
            <w:pPr>
              <w:pStyle w:val="39"/>
              <w:spacing w:before="193" w:line="237" w:lineRule="auto"/>
              <w:ind w:left="379"/>
              <w:rPr>
                <w:color w:val="auto"/>
                <w:sz w:val="21"/>
                <w:szCs w:val="21"/>
                <w:highlight w:val="none"/>
              </w:rPr>
            </w:pPr>
            <w:r>
              <w:rPr>
                <w:color w:val="auto"/>
                <w:spacing w:val="6"/>
                <w:sz w:val="21"/>
                <w:szCs w:val="21"/>
                <w:highlight w:val="none"/>
              </w:rPr>
              <w:t>100≤X＜300</w:t>
            </w:r>
          </w:p>
        </w:tc>
        <w:tc>
          <w:tcPr>
            <w:tcW w:w="1756" w:type="dxa"/>
            <w:tcBorders>
              <w:left w:val="single" w:color="4F81BD" w:sz="2" w:space="0"/>
              <w:right w:val="single" w:color="4F81BD" w:sz="2" w:space="0"/>
            </w:tcBorders>
          </w:tcPr>
          <w:p w14:paraId="2E23DD66">
            <w:pPr>
              <w:pStyle w:val="39"/>
              <w:spacing w:before="193" w:line="237" w:lineRule="auto"/>
              <w:ind w:left="336"/>
              <w:rPr>
                <w:color w:val="auto"/>
                <w:sz w:val="21"/>
                <w:szCs w:val="21"/>
                <w:highlight w:val="none"/>
              </w:rPr>
            </w:pPr>
            <w:r>
              <w:rPr>
                <w:color w:val="auto"/>
                <w:spacing w:val="-2"/>
                <w:sz w:val="21"/>
                <w:szCs w:val="21"/>
                <w:highlight w:val="none"/>
              </w:rPr>
              <w:t>10≤X＜</w:t>
            </w:r>
            <w:r>
              <w:rPr>
                <w:color w:val="auto"/>
                <w:spacing w:val="-40"/>
                <w:sz w:val="21"/>
                <w:szCs w:val="21"/>
                <w:highlight w:val="none"/>
              </w:rPr>
              <w:t xml:space="preserve"> </w:t>
            </w:r>
            <w:r>
              <w:rPr>
                <w:color w:val="auto"/>
                <w:spacing w:val="-2"/>
                <w:sz w:val="21"/>
                <w:szCs w:val="21"/>
                <w:highlight w:val="none"/>
              </w:rPr>
              <w:t>100</w:t>
            </w:r>
          </w:p>
        </w:tc>
        <w:tc>
          <w:tcPr>
            <w:tcW w:w="1028" w:type="dxa"/>
            <w:tcBorders>
              <w:left w:val="single" w:color="4F81BD" w:sz="2" w:space="0"/>
              <w:right w:val="single" w:color="4F81BD" w:sz="2" w:space="0"/>
            </w:tcBorders>
          </w:tcPr>
          <w:p w14:paraId="4533FC6F">
            <w:pPr>
              <w:pStyle w:val="39"/>
              <w:spacing w:before="193" w:line="241" w:lineRule="auto"/>
              <w:ind w:left="237"/>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r w14:paraId="6C5E0CFD">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51" w:type="dxa"/>
            <w:vMerge w:val="continue"/>
            <w:tcBorders>
              <w:top w:val="nil"/>
              <w:bottom w:val="single" w:color="000000" w:sz="2" w:space="0"/>
              <w:right w:val="single" w:color="4F81BD" w:sz="2" w:space="0"/>
            </w:tcBorders>
          </w:tcPr>
          <w:p w14:paraId="27FF355A">
            <w:pPr>
              <w:rPr>
                <w:color w:val="auto"/>
                <w:highlight w:val="none"/>
              </w:rPr>
            </w:pPr>
          </w:p>
        </w:tc>
        <w:tc>
          <w:tcPr>
            <w:tcW w:w="1492" w:type="dxa"/>
            <w:tcBorders>
              <w:left w:val="single" w:color="000000" w:sz="2" w:space="0"/>
              <w:bottom w:val="single" w:color="000000" w:sz="2" w:space="0"/>
            </w:tcBorders>
            <w:shd w:val="clear" w:color="auto" w:fill="B8CCE4"/>
          </w:tcPr>
          <w:p w14:paraId="45438A6D">
            <w:pPr>
              <w:pStyle w:val="39"/>
              <w:spacing w:before="193" w:line="221" w:lineRule="auto"/>
              <w:ind w:left="133"/>
              <w:rPr>
                <w:color w:val="auto"/>
                <w:sz w:val="21"/>
                <w:szCs w:val="21"/>
                <w:highlight w:val="none"/>
              </w:rPr>
            </w:pPr>
            <w:r>
              <w:rPr>
                <w:color w:val="auto"/>
                <w:spacing w:val="9"/>
                <w:sz w:val="21"/>
                <w:szCs w:val="21"/>
                <w:highlight w:val="none"/>
              </w:rPr>
              <w:t>营业收入(Y)</w:t>
            </w:r>
          </w:p>
        </w:tc>
        <w:tc>
          <w:tcPr>
            <w:tcW w:w="726" w:type="dxa"/>
            <w:tcBorders>
              <w:bottom w:val="single" w:color="000000" w:sz="2" w:space="0"/>
            </w:tcBorders>
            <w:shd w:val="clear" w:color="auto" w:fill="B8CCE4"/>
          </w:tcPr>
          <w:p w14:paraId="688AF620">
            <w:pPr>
              <w:pStyle w:val="39"/>
              <w:spacing w:before="193" w:line="221" w:lineRule="auto"/>
              <w:ind w:left="142"/>
              <w:rPr>
                <w:color w:val="auto"/>
                <w:sz w:val="21"/>
                <w:szCs w:val="21"/>
                <w:highlight w:val="none"/>
              </w:rPr>
            </w:pPr>
            <w:r>
              <w:rPr>
                <w:color w:val="auto"/>
                <w:spacing w:val="1"/>
                <w:sz w:val="21"/>
                <w:szCs w:val="21"/>
                <w:highlight w:val="none"/>
              </w:rPr>
              <w:t>万元</w:t>
            </w:r>
          </w:p>
        </w:tc>
        <w:tc>
          <w:tcPr>
            <w:tcW w:w="1244" w:type="dxa"/>
            <w:tcBorders>
              <w:bottom w:val="single" w:color="000000" w:sz="2" w:space="0"/>
            </w:tcBorders>
            <w:shd w:val="clear" w:color="auto" w:fill="B8CCE4"/>
          </w:tcPr>
          <w:p w14:paraId="144F2BC6">
            <w:pPr>
              <w:pStyle w:val="39"/>
              <w:spacing w:before="193" w:line="239" w:lineRule="auto"/>
              <w:ind w:left="168"/>
              <w:rPr>
                <w:color w:val="auto"/>
                <w:sz w:val="21"/>
                <w:szCs w:val="21"/>
                <w:highlight w:val="none"/>
              </w:rPr>
            </w:pPr>
            <w:r>
              <w:rPr>
                <w:color w:val="auto"/>
                <w:spacing w:val="7"/>
                <w:sz w:val="21"/>
                <w:szCs w:val="21"/>
                <w:highlight w:val="none"/>
              </w:rPr>
              <w:t>Y≥10000</w:t>
            </w:r>
          </w:p>
        </w:tc>
        <w:tc>
          <w:tcPr>
            <w:tcW w:w="1961" w:type="dxa"/>
            <w:tcBorders>
              <w:bottom w:val="single" w:color="000000" w:sz="2" w:space="0"/>
            </w:tcBorders>
            <w:shd w:val="clear" w:color="auto" w:fill="B8CCE4"/>
          </w:tcPr>
          <w:p w14:paraId="32D09DA8">
            <w:pPr>
              <w:pStyle w:val="39"/>
              <w:spacing w:before="193" w:line="237" w:lineRule="auto"/>
              <w:ind w:left="195"/>
              <w:rPr>
                <w:color w:val="auto"/>
                <w:sz w:val="21"/>
                <w:szCs w:val="21"/>
                <w:highlight w:val="none"/>
              </w:rPr>
            </w:pPr>
            <w:r>
              <w:rPr>
                <w:color w:val="auto"/>
                <w:spacing w:val="2"/>
                <w:sz w:val="21"/>
                <w:szCs w:val="21"/>
                <w:highlight w:val="none"/>
              </w:rPr>
              <w:t>2000≤Y＜</w:t>
            </w:r>
            <w:r>
              <w:rPr>
                <w:color w:val="auto"/>
                <w:spacing w:val="-39"/>
                <w:sz w:val="21"/>
                <w:szCs w:val="21"/>
                <w:highlight w:val="none"/>
              </w:rPr>
              <w:t xml:space="preserve"> </w:t>
            </w:r>
            <w:r>
              <w:rPr>
                <w:color w:val="auto"/>
                <w:spacing w:val="2"/>
                <w:sz w:val="21"/>
                <w:szCs w:val="21"/>
                <w:highlight w:val="none"/>
              </w:rPr>
              <w:t>10000</w:t>
            </w:r>
          </w:p>
        </w:tc>
        <w:tc>
          <w:tcPr>
            <w:tcW w:w="1756" w:type="dxa"/>
            <w:tcBorders>
              <w:bottom w:val="single" w:color="000000" w:sz="2" w:space="0"/>
            </w:tcBorders>
            <w:shd w:val="clear" w:color="auto" w:fill="B8CCE4"/>
          </w:tcPr>
          <w:p w14:paraId="3C9CCFEC">
            <w:pPr>
              <w:pStyle w:val="39"/>
              <w:spacing w:before="193" w:line="237" w:lineRule="auto"/>
              <w:ind w:left="220"/>
              <w:rPr>
                <w:color w:val="auto"/>
                <w:sz w:val="21"/>
                <w:szCs w:val="21"/>
                <w:highlight w:val="none"/>
              </w:rPr>
            </w:pPr>
            <w:r>
              <w:rPr>
                <w:color w:val="auto"/>
                <w:spacing w:val="6"/>
                <w:sz w:val="21"/>
                <w:szCs w:val="21"/>
                <w:highlight w:val="none"/>
              </w:rPr>
              <w:t>100≤Y＜2000</w:t>
            </w:r>
          </w:p>
        </w:tc>
        <w:tc>
          <w:tcPr>
            <w:tcW w:w="1028" w:type="dxa"/>
            <w:tcBorders>
              <w:bottom w:val="single" w:color="000000" w:sz="2" w:space="0"/>
            </w:tcBorders>
            <w:shd w:val="clear" w:color="auto" w:fill="B8CCE4"/>
          </w:tcPr>
          <w:p w14:paraId="0FC5D7B7">
            <w:pPr>
              <w:pStyle w:val="39"/>
              <w:spacing w:before="193" w:line="241" w:lineRule="auto"/>
              <w:ind w:left="176"/>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bl>
    <w:p w14:paraId="5BC35D13">
      <w:pPr>
        <w:spacing w:before="92"/>
        <w:rPr>
          <w:color w:val="auto"/>
          <w:highlight w:val="none"/>
        </w:rPr>
      </w:pPr>
    </w:p>
    <w:tbl>
      <w:tblPr>
        <w:tblStyle w:val="40"/>
        <w:tblW w:w="9358" w:type="dxa"/>
        <w:jc w:val="center"/>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Layout w:type="fixed"/>
        <w:tblCellMar>
          <w:top w:w="0" w:type="dxa"/>
          <w:left w:w="0" w:type="dxa"/>
          <w:bottom w:w="0" w:type="dxa"/>
          <w:right w:w="0" w:type="dxa"/>
        </w:tblCellMar>
      </w:tblPr>
      <w:tblGrid>
        <w:gridCol w:w="1141"/>
        <w:gridCol w:w="1480"/>
        <w:gridCol w:w="76"/>
        <w:gridCol w:w="720"/>
        <w:gridCol w:w="1234"/>
        <w:gridCol w:w="1946"/>
        <w:gridCol w:w="1741"/>
        <w:gridCol w:w="1020"/>
      </w:tblGrid>
      <w:tr w14:paraId="6975A779">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00" w:hRule="atLeast"/>
          <w:jc w:val="center"/>
        </w:trPr>
        <w:tc>
          <w:tcPr>
            <w:tcW w:w="1141" w:type="dxa"/>
            <w:vMerge w:val="restart"/>
            <w:tcBorders>
              <w:top w:val="single" w:color="000000" w:sz="2" w:space="0"/>
              <w:left w:val="single" w:color="000000" w:sz="2" w:space="0"/>
              <w:bottom w:val="nil"/>
              <w:right w:val="single" w:color="000000" w:sz="2" w:space="0"/>
            </w:tcBorders>
          </w:tcPr>
          <w:p w14:paraId="0F1F09BD">
            <w:pPr>
              <w:spacing w:line="270" w:lineRule="auto"/>
              <w:rPr>
                <w:color w:val="auto"/>
                <w:highlight w:val="none"/>
              </w:rPr>
            </w:pPr>
          </w:p>
          <w:p w14:paraId="75588276">
            <w:pPr>
              <w:pStyle w:val="39"/>
              <w:spacing w:before="68" w:line="282" w:lineRule="auto"/>
              <w:ind w:left="346" w:right="128" w:hanging="219"/>
              <w:rPr>
                <w:color w:val="auto"/>
                <w:sz w:val="21"/>
                <w:szCs w:val="21"/>
                <w:highlight w:val="none"/>
              </w:rPr>
            </w:pPr>
            <w:r>
              <w:rPr>
                <w:color w:val="auto"/>
                <w:spacing w:val="9"/>
                <w:sz w:val="21"/>
                <w:szCs w:val="21"/>
                <w:highlight w:val="none"/>
              </w:rPr>
              <w:t>信息传输</w:t>
            </w:r>
            <w:r>
              <w:rPr>
                <w:color w:val="auto"/>
                <w:spacing w:val="-4"/>
                <w:sz w:val="21"/>
                <w:szCs w:val="21"/>
                <w:highlight w:val="none"/>
              </w:rPr>
              <w:t>业</w:t>
            </w:r>
            <w:r>
              <w:rPr>
                <w:color w:val="auto"/>
                <w:spacing w:val="37"/>
                <w:sz w:val="21"/>
                <w:szCs w:val="21"/>
                <w:highlight w:val="none"/>
              </w:rPr>
              <w:t xml:space="preserve"> </w:t>
            </w:r>
            <w:r>
              <w:rPr>
                <w:color w:val="auto"/>
                <w:spacing w:val="-4"/>
                <w:sz w:val="21"/>
                <w:szCs w:val="21"/>
                <w:highlight w:val="none"/>
              </w:rPr>
              <w:t>*</w:t>
            </w:r>
          </w:p>
        </w:tc>
        <w:tc>
          <w:tcPr>
            <w:tcW w:w="1556" w:type="dxa"/>
            <w:gridSpan w:val="2"/>
            <w:tcBorders>
              <w:top w:val="single" w:color="000000" w:sz="2" w:space="0"/>
              <w:left w:val="single" w:color="000000" w:sz="2" w:space="0"/>
              <w:bottom w:val="single" w:color="000000" w:sz="2" w:space="0"/>
              <w:right w:val="single" w:color="000000" w:sz="2" w:space="0"/>
            </w:tcBorders>
          </w:tcPr>
          <w:p w14:paraId="3530B150">
            <w:pPr>
              <w:pStyle w:val="39"/>
              <w:spacing w:before="195" w:line="221" w:lineRule="auto"/>
              <w:ind w:left="138"/>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0" w:type="dxa"/>
            <w:tcBorders>
              <w:top w:val="single" w:color="000000" w:sz="2" w:space="0"/>
              <w:left w:val="single" w:color="000000" w:sz="2" w:space="0"/>
              <w:bottom w:val="single" w:color="000000" w:sz="2" w:space="0"/>
              <w:right w:val="single" w:color="000000" w:sz="2" w:space="0"/>
            </w:tcBorders>
          </w:tcPr>
          <w:p w14:paraId="52B24349">
            <w:pPr>
              <w:pStyle w:val="39"/>
              <w:spacing w:before="196" w:line="223" w:lineRule="auto"/>
              <w:ind w:left="200"/>
              <w:rPr>
                <w:color w:val="auto"/>
                <w:sz w:val="21"/>
                <w:szCs w:val="21"/>
                <w:highlight w:val="none"/>
              </w:rPr>
            </w:pPr>
            <w:r>
              <w:rPr>
                <w:color w:val="auto"/>
                <w:sz w:val="21"/>
                <w:szCs w:val="21"/>
                <w:highlight w:val="none"/>
              </w:rPr>
              <w:t>人</w:t>
            </w:r>
          </w:p>
        </w:tc>
        <w:tc>
          <w:tcPr>
            <w:tcW w:w="1234" w:type="dxa"/>
            <w:tcBorders>
              <w:top w:val="single" w:color="000000" w:sz="2" w:space="0"/>
              <w:left w:val="single" w:color="000000" w:sz="2" w:space="0"/>
              <w:bottom w:val="single" w:color="000000" w:sz="2" w:space="0"/>
              <w:right w:val="single" w:color="000000" w:sz="2" w:space="0"/>
            </w:tcBorders>
          </w:tcPr>
          <w:p w14:paraId="4D45DD0F">
            <w:pPr>
              <w:pStyle w:val="39"/>
              <w:spacing w:before="195" w:line="239" w:lineRule="auto"/>
              <w:ind w:left="179"/>
              <w:rPr>
                <w:color w:val="auto"/>
                <w:sz w:val="21"/>
                <w:szCs w:val="21"/>
                <w:highlight w:val="none"/>
              </w:rPr>
            </w:pPr>
            <w:r>
              <w:rPr>
                <w:color w:val="auto"/>
                <w:spacing w:val="6"/>
                <w:sz w:val="21"/>
                <w:szCs w:val="21"/>
                <w:highlight w:val="none"/>
              </w:rPr>
              <w:t>X≥2000</w:t>
            </w:r>
          </w:p>
        </w:tc>
        <w:tc>
          <w:tcPr>
            <w:tcW w:w="1946" w:type="dxa"/>
            <w:tcBorders>
              <w:top w:val="single" w:color="000000" w:sz="2" w:space="0"/>
              <w:left w:val="single" w:color="000000" w:sz="2" w:space="0"/>
              <w:bottom w:val="single" w:color="000000" w:sz="2" w:space="0"/>
              <w:right w:val="single" w:color="000000" w:sz="2" w:space="0"/>
            </w:tcBorders>
          </w:tcPr>
          <w:p w14:paraId="1D9B5125">
            <w:pPr>
              <w:pStyle w:val="39"/>
              <w:spacing w:before="195" w:line="237" w:lineRule="auto"/>
              <w:ind w:left="286"/>
              <w:rPr>
                <w:color w:val="auto"/>
                <w:sz w:val="21"/>
                <w:szCs w:val="21"/>
                <w:highlight w:val="none"/>
              </w:rPr>
            </w:pPr>
            <w:r>
              <w:rPr>
                <w:color w:val="auto"/>
                <w:spacing w:val="6"/>
                <w:sz w:val="21"/>
                <w:szCs w:val="21"/>
                <w:highlight w:val="none"/>
              </w:rPr>
              <w:t>100≤X＜2000</w:t>
            </w:r>
          </w:p>
        </w:tc>
        <w:tc>
          <w:tcPr>
            <w:tcW w:w="1741" w:type="dxa"/>
            <w:tcBorders>
              <w:top w:val="single" w:color="000000" w:sz="2" w:space="0"/>
              <w:left w:val="single" w:color="000000" w:sz="2" w:space="0"/>
              <w:bottom w:val="single" w:color="000000" w:sz="2" w:space="0"/>
              <w:right w:val="single" w:color="000000" w:sz="2" w:space="0"/>
            </w:tcBorders>
          </w:tcPr>
          <w:p w14:paraId="553FFEA1">
            <w:pPr>
              <w:pStyle w:val="39"/>
              <w:spacing w:before="195" w:line="237" w:lineRule="auto"/>
              <w:ind w:left="313"/>
              <w:rPr>
                <w:color w:val="auto"/>
                <w:sz w:val="21"/>
                <w:szCs w:val="21"/>
                <w:highlight w:val="none"/>
              </w:rPr>
            </w:pPr>
            <w:r>
              <w:rPr>
                <w:color w:val="auto"/>
                <w:spacing w:val="-2"/>
                <w:sz w:val="21"/>
                <w:szCs w:val="21"/>
                <w:highlight w:val="none"/>
              </w:rPr>
              <w:t>10≤X＜</w:t>
            </w:r>
            <w:r>
              <w:rPr>
                <w:color w:val="auto"/>
                <w:spacing w:val="-40"/>
                <w:sz w:val="21"/>
                <w:szCs w:val="21"/>
                <w:highlight w:val="none"/>
              </w:rPr>
              <w:t xml:space="preserve"> </w:t>
            </w:r>
            <w:r>
              <w:rPr>
                <w:color w:val="auto"/>
                <w:spacing w:val="-2"/>
                <w:sz w:val="21"/>
                <w:szCs w:val="21"/>
                <w:highlight w:val="none"/>
              </w:rPr>
              <w:t>100</w:t>
            </w:r>
          </w:p>
        </w:tc>
        <w:tc>
          <w:tcPr>
            <w:tcW w:w="1020" w:type="dxa"/>
            <w:tcBorders>
              <w:top w:val="single" w:color="000000" w:sz="2" w:space="0"/>
              <w:left w:val="single" w:color="000000" w:sz="2" w:space="0"/>
              <w:bottom w:val="single" w:color="000000" w:sz="2" w:space="0"/>
              <w:right w:val="single" w:color="000000" w:sz="2" w:space="0"/>
            </w:tcBorders>
          </w:tcPr>
          <w:p w14:paraId="35815A12">
            <w:pPr>
              <w:pStyle w:val="39"/>
              <w:spacing w:before="195" w:line="241" w:lineRule="auto"/>
              <w:ind w:left="229"/>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r w14:paraId="43C7AB95">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2" w:hRule="atLeast"/>
          <w:jc w:val="center"/>
        </w:trPr>
        <w:tc>
          <w:tcPr>
            <w:tcW w:w="1141" w:type="dxa"/>
            <w:vMerge w:val="continue"/>
            <w:tcBorders>
              <w:top w:val="nil"/>
              <w:left w:val="single" w:color="000000" w:sz="2" w:space="0"/>
              <w:bottom w:val="single" w:color="000000" w:sz="2" w:space="0"/>
              <w:right w:val="single" w:color="000000" w:sz="2" w:space="0"/>
            </w:tcBorders>
          </w:tcPr>
          <w:p w14:paraId="60787406">
            <w:pPr>
              <w:rPr>
                <w:color w:val="auto"/>
                <w:highlight w:val="none"/>
              </w:rPr>
            </w:pPr>
          </w:p>
        </w:tc>
        <w:tc>
          <w:tcPr>
            <w:tcW w:w="1556" w:type="dxa"/>
            <w:gridSpan w:val="2"/>
            <w:tcBorders>
              <w:top w:val="single" w:color="000000" w:sz="2" w:space="0"/>
              <w:left w:val="single" w:color="000000" w:sz="2" w:space="0"/>
              <w:bottom w:val="single" w:color="000000" w:sz="2" w:space="0"/>
              <w:right w:val="single" w:color="000000" w:sz="2" w:space="0"/>
            </w:tcBorders>
            <w:shd w:val="clear" w:color="auto" w:fill="B8CCE4"/>
          </w:tcPr>
          <w:p w14:paraId="6CB30DF8">
            <w:pPr>
              <w:pStyle w:val="39"/>
              <w:spacing w:before="187" w:line="221" w:lineRule="auto"/>
              <w:ind w:left="143"/>
              <w:rPr>
                <w:color w:val="auto"/>
                <w:sz w:val="21"/>
                <w:szCs w:val="21"/>
                <w:highlight w:val="none"/>
              </w:rPr>
            </w:pPr>
            <w:r>
              <w:rPr>
                <w:color w:val="auto"/>
                <w:spacing w:val="9"/>
                <w:sz w:val="21"/>
                <w:szCs w:val="21"/>
                <w:highlight w:val="none"/>
              </w:rPr>
              <w:t>营业收入(Y)</w:t>
            </w:r>
          </w:p>
        </w:tc>
        <w:tc>
          <w:tcPr>
            <w:tcW w:w="720" w:type="dxa"/>
            <w:tcBorders>
              <w:top w:val="single" w:color="000000" w:sz="2" w:space="0"/>
              <w:left w:val="single" w:color="000000" w:sz="2" w:space="0"/>
              <w:bottom w:val="single" w:color="000000" w:sz="2" w:space="0"/>
              <w:right w:val="single" w:color="000000" w:sz="2" w:space="0"/>
            </w:tcBorders>
            <w:shd w:val="clear" w:color="auto" w:fill="B8CCE4"/>
          </w:tcPr>
          <w:p w14:paraId="02BA34A1">
            <w:pPr>
              <w:pStyle w:val="39"/>
              <w:spacing w:before="188" w:line="221" w:lineRule="auto"/>
              <w:ind w:left="90"/>
              <w:rPr>
                <w:color w:val="auto"/>
                <w:sz w:val="21"/>
                <w:szCs w:val="21"/>
                <w:highlight w:val="none"/>
              </w:rPr>
            </w:pPr>
            <w:r>
              <w:rPr>
                <w:color w:val="auto"/>
                <w:spacing w:val="1"/>
                <w:sz w:val="21"/>
                <w:szCs w:val="21"/>
                <w:highlight w:val="none"/>
              </w:rPr>
              <w:t>万元</w:t>
            </w:r>
          </w:p>
        </w:tc>
        <w:tc>
          <w:tcPr>
            <w:tcW w:w="1234" w:type="dxa"/>
            <w:tcBorders>
              <w:top w:val="single" w:color="000000" w:sz="2" w:space="0"/>
              <w:left w:val="single" w:color="000000" w:sz="2" w:space="0"/>
              <w:bottom w:val="single" w:color="000000" w:sz="2" w:space="0"/>
              <w:right w:val="single" w:color="000000" w:sz="2" w:space="0"/>
            </w:tcBorders>
            <w:shd w:val="clear" w:color="auto" w:fill="B8CCE4"/>
          </w:tcPr>
          <w:p w14:paraId="75A58EA6">
            <w:pPr>
              <w:pStyle w:val="39"/>
              <w:spacing w:before="187" w:line="239" w:lineRule="auto"/>
              <w:ind w:left="65"/>
              <w:rPr>
                <w:color w:val="auto"/>
                <w:sz w:val="21"/>
                <w:szCs w:val="21"/>
                <w:highlight w:val="none"/>
              </w:rPr>
            </w:pPr>
            <w:r>
              <w:rPr>
                <w:color w:val="auto"/>
                <w:spacing w:val="7"/>
                <w:sz w:val="21"/>
                <w:szCs w:val="21"/>
                <w:highlight w:val="none"/>
              </w:rPr>
              <w:t>Y≥100000</w:t>
            </w:r>
          </w:p>
        </w:tc>
        <w:tc>
          <w:tcPr>
            <w:tcW w:w="1946" w:type="dxa"/>
            <w:tcBorders>
              <w:top w:val="single" w:color="000000" w:sz="2" w:space="0"/>
              <w:left w:val="single" w:color="000000" w:sz="2" w:space="0"/>
              <w:bottom w:val="single" w:color="000000" w:sz="2" w:space="0"/>
              <w:right w:val="single" w:color="000000" w:sz="2" w:space="0"/>
            </w:tcBorders>
            <w:shd w:val="clear" w:color="auto" w:fill="B8CCE4"/>
          </w:tcPr>
          <w:p w14:paraId="27EA49E1">
            <w:pPr>
              <w:pStyle w:val="39"/>
              <w:spacing w:before="188" w:line="237" w:lineRule="auto"/>
              <w:ind w:left="115"/>
              <w:rPr>
                <w:color w:val="auto"/>
                <w:sz w:val="21"/>
                <w:szCs w:val="21"/>
                <w:highlight w:val="none"/>
              </w:rPr>
            </w:pPr>
            <w:r>
              <w:rPr>
                <w:color w:val="auto"/>
                <w:spacing w:val="1"/>
                <w:sz w:val="21"/>
                <w:szCs w:val="21"/>
                <w:highlight w:val="none"/>
              </w:rPr>
              <w:t>1000≤Y＜</w:t>
            </w:r>
            <w:r>
              <w:rPr>
                <w:color w:val="auto"/>
                <w:spacing w:val="-33"/>
                <w:sz w:val="21"/>
                <w:szCs w:val="21"/>
                <w:highlight w:val="none"/>
              </w:rPr>
              <w:t xml:space="preserve"> </w:t>
            </w:r>
            <w:r>
              <w:rPr>
                <w:color w:val="auto"/>
                <w:spacing w:val="1"/>
                <w:sz w:val="21"/>
                <w:szCs w:val="21"/>
                <w:highlight w:val="none"/>
              </w:rPr>
              <w:t>100000</w:t>
            </w:r>
          </w:p>
        </w:tc>
        <w:tc>
          <w:tcPr>
            <w:tcW w:w="1741" w:type="dxa"/>
            <w:tcBorders>
              <w:top w:val="single" w:color="000000" w:sz="2" w:space="0"/>
              <w:left w:val="single" w:color="000000" w:sz="2" w:space="0"/>
              <w:bottom w:val="single" w:color="000000" w:sz="2" w:space="0"/>
              <w:right w:val="single" w:color="000000" w:sz="2" w:space="0"/>
            </w:tcBorders>
            <w:shd w:val="clear" w:color="auto" w:fill="B8CCE4"/>
          </w:tcPr>
          <w:p w14:paraId="5807061F">
            <w:pPr>
              <w:pStyle w:val="39"/>
              <w:spacing w:before="188" w:line="237" w:lineRule="auto"/>
              <w:ind w:left="200"/>
              <w:rPr>
                <w:color w:val="auto"/>
                <w:sz w:val="21"/>
                <w:szCs w:val="21"/>
                <w:highlight w:val="none"/>
              </w:rPr>
            </w:pPr>
            <w:r>
              <w:rPr>
                <w:color w:val="auto"/>
                <w:spacing w:val="-1"/>
                <w:sz w:val="21"/>
                <w:szCs w:val="21"/>
                <w:highlight w:val="none"/>
              </w:rPr>
              <w:t>100≤Y＜</w:t>
            </w:r>
            <w:r>
              <w:rPr>
                <w:color w:val="auto"/>
                <w:spacing w:val="-33"/>
                <w:sz w:val="21"/>
                <w:szCs w:val="21"/>
                <w:highlight w:val="none"/>
              </w:rPr>
              <w:t xml:space="preserve"> </w:t>
            </w:r>
            <w:r>
              <w:rPr>
                <w:color w:val="auto"/>
                <w:spacing w:val="-1"/>
                <w:sz w:val="21"/>
                <w:szCs w:val="21"/>
                <w:highlight w:val="none"/>
              </w:rPr>
              <w:t>1000</w:t>
            </w:r>
          </w:p>
        </w:tc>
        <w:tc>
          <w:tcPr>
            <w:tcW w:w="1020" w:type="dxa"/>
            <w:tcBorders>
              <w:top w:val="single" w:color="000000" w:sz="2" w:space="0"/>
              <w:left w:val="single" w:color="000000" w:sz="2" w:space="0"/>
              <w:bottom w:val="single" w:color="000000" w:sz="2" w:space="0"/>
              <w:right w:val="single" w:color="000000" w:sz="2" w:space="0"/>
            </w:tcBorders>
            <w:shd w:val="clear" w:color="auto" w:fill="B8CCE4"/>
          </w:tcPr>
          <w:p w14:paraId="5B733D66">
            <w:pPr>
              <w:pStyle w:val="39"/>
              <w:spacing w:before="187" w:line="241" w:lineRule="auto"/>
              <w:ind w:left="171"/>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r w14:paraId="467251BC">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4" w:hRule="atLeast"/>
          <w:jc w:val="center"/>
        </w:trPr>
        <w:tc>
          <w:tcPr>
            <w:tcW w:w="1141" w:type="dxa"/>
            <w:vMerge w:val="restart"/>
            <w:tcBorders>
              <w:top w:val="single" w:color="000000" w:sz="2" w:space="0"/>
              <w:left w:val="single" w:color="000000" w:sz="2" w:space="0"/>
              <w:bottom w:val="nil"/>
            </w:tcBorders>
          </w:tcPr>
          <w:p w14:paraId="640C7ADE">
            <w:pPr>
              <w:pStyle w:val="39"/>
              <w:spacing w:before="178" w:line="221" w:lineRule="auto"/>
              <w:ind w:left="132"/>
              <w:rPr>
                <w:color w:val="auto"/>
                <w:sz w:val="21"/>
                <w:szCs w:val="21"/>
                <w:highlight w:val="none"/>
              </w:rPr>
            </w:pPr>
            <w:r>
              <w:rPr>
                <w:color w:val="auto"/>
                <w:spacing w:val="-20"/>
                <w:w w:val="99"/>
                <w:sz w:val="21"/>
                <w:szCs w:val="21"/>
                <w:highlight w:val="none"/>
              </w:rPr>
              <w:t>软件和信息</w:t>
            </w:r>
          </w:p>
          <w:p w14:paraId="1DEBEA03">
            <w:pPr>
              <w:pStyle w:val="39"/>
              <w:spacing w:before="60" w:line="221" w:lineRule="auto"/>
              <w:ind w:left="198"/>
              <w:rPr>
                <w:color w:val="auto"/>
                <w:sz w:val="21"/>
                <w:szCs w:val="21"/>
                <w:highlight w:val="none"/>
              </w:rPr>
            </w:pPr>
            <w:r>
              <w:rPr>
                <w:color w:val="auto"/>
                <w:spacing w:val="-17"/>
                <w:sz w:val="21"/>
                <w:szCs w:val="21"/>
                <w:highlight w:val="none"/>
              </w:rPr>
              <w:t>技术服务</w:t>
            </w:r>
          </w:p>
          <w:p w14:paraId="4122E0D2">
            <w:pPr>
              <w:pStyle w:val="39"/>
              <w:spacing w:before="60" w:line="233" w:lineRule="auto"/>
              <w:ind w:left="465"/>
              <w:rPr>
                <w:color w:val="auto"/>
                <w:sz w:val="21"/>
                <w:szCs w:val="21"/>
                <w:highlight w:val="none"/>
              </w:rPr>
            </w:pPr>
            <w:r>
              <w:rPr>
                <w:color w:val="auto"/>
                <w:sz w:val="21"/>
                <w:szCs w:val="21"/>
                <w:highlight w:val="none"/>
              </w:rPr>
              <w:t>业</w:t>
            </w:r>
          </w:p>
        </w:tc>
        <w:tc>
          <w:tcPr>
            <w:tcW w:w="1556" w:type="dxa"/>
            <w:gridSpan w:val="2"/>
            <w:tcBorders>
              <w:top w:val="single" w:color="000000" w:sz="2" w:space="0"/>
              <w:left w:val="single" w:color="000000" w:sz="2" w:space="0"/>
              <w:bottom w:val="single" w:color="000000" w:sz="2" w:space="0"/>
              <w:right w:val="single" w:color="000000" w:sz="2" w:space="0"/>
            </w:tcBorders>
          </w:tcPr>
          <w:p w14:paraId="366D9236">
            <w:pPr>
              <w:pStyle w:val="39"/>
              <w:spacing w:before="191" w:line="221" w:lineRule="auto"/>
              <w:ind w:left="136"/>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20" w:type="dxa"/>
            <w:tcBorders>
              <w:top w:val="single" w:color="000000" w:sz="2" w:space="0"/>
              <w:left w:val="single" w:color="000000" w:sz="2" w:space="0"/>
              <w:bottom w:val="single" w:color="000000" w:sz="2" w:space="0"/>
              <w:right w:val="single" w:color="000000" w:sz="2" w:space="0"/>
            </w:tcBorders>
          </w:tcPr>
          <w:p w14:paraId="206FAD67">
            <w:pPr>
              <w:pStyle w:val="39"/>
              <w:spacing w:before="191" w:line="223" w:lineRule="auto"/>
              <w:ind w:left="200"/>
              <w:rPr>
                <w:color w:val="auto"/>
                <w:sz w:val="21"/>
                <w:szCs w:val="21"/>
                <w:highlight w:val="none"/>
              </w:rPr>
            </w:pPr>
            <w:r>
              <w:rPr>
                <w:color w:val="auto"/>
                <w:sz w:val="21"/>
                <w:szCs w:val="21"/>
                <w:highlight w:val="none"/>
              </w:rPr>
              <w:t>人</w:t>
            </w:r>
          </w:p>
        </w:tc>
        <w:tc>
          <w:tcPr>
            <w:tcW w:w="1234" w:type="dxa"/>
            <w:tcBorders>
              <w:top w:val="single" w:color="000000" w:sz="2" w:space="0"/>
              <w:left w:val="single" w:color="000000" w:sz="2" w:space="0"/>
              <w:bottom w:val="single" w:color="000000" w:sz="2" w:space="0"/>
              <w:right w:val="single" w:color="000000" w:sz="2" w:space="0"/>
            </w:tcBorders>
          </w:tcPr>
          <w:p w14:paraId="48E09B37">
            <w:pPr>
              <w:pStyle w:val="39"/>
              <w:spacing w:before="190" w:line="239" w:lineRule="auto"/>
              <w:ind w:left="236"/>
              <w:rPr>
                <w:color w:val="auto"/>
                <w:sz w:val="21"/>
                <w:szCs w:val="21"/>
                <w:highlight w:val="none"/>
              </w:rPr>
            </w:pPr>
            <w:r>
              <w:rPr>
                <w:color w:val="auto"/>
                <w:spacing w:val="6"/>
                <w:sz w:val="21"/>
                <w:szCs w:val="21"/>
                <w:highlight w:val="none"/>
              </w:rPr>
              <w:t>X≥300</w:t>
            </w:r>
          </w:p>
        </w:tc>
        <w:tc>
          <w:tcPr>
            <w:tcW w:w="1946" w:type="dxa"/>
            <w:tcBorders>
              <w:top w:val="single" w:color="000000" w:sz="2" w:space="0"/>
              <w:left w:val="single" w:color="000000" w:sz="2" w:space="0"/>
              <w:bottom w:val="single" w:color="000000" w:sz="2" w:space="0"/>
              <w:right w:val="single" w:color="000000" w:sz="2" w:space="0"/>
            </w:tcBorders>
          </w:tcPr>
          <w:p w14:paraId="2E8A4545">
            <w:pPr>
              <w:pStyle w:val="39"/>
              <w:spacing w:before="191" w:line="237" w:lineRule="auto"/>
              <w:ind w:left="341"/>
              <w:rPr>
                <w:color w:val="auto"/>
                <w:sz w:val="21"/>
                <w:szCs w:val="21"/>
                <w:highlight w:val="none"/>
              </w:rPr>
            </w:pPr>
            <w:r>
              <w:rPr>
                <w:color w:val="auto"/>
                <w:spacing w:val="6"/>
                <w:sz w:val="21"/>
                <w:szCs w:val="21"/>
                <w:highlight w:val="none"/>
              </w:rPr>
              <w:t>100≤X＜300</w:t>
            </w:r>
          </w:p>
        </w:tc>
        <w:tc>
          <w:tcPr>
            <w:tcW w:w="1741" w:type="dxa"/>
            <w:tcBorders>
              <w:top w:val="single" w:color="000000" w:sz="2" w:space="0"/>
              <w:left w:val="single" w:color="000000" w:sz="2" w:space="0"/>
              <w:bottom w:val="single" w:color="000000" w:sz="2" w:space="0"/>
              <w:right w:val="single" w:color="000000" w:sz="2" w:space="0"/>
            </w:tcBorders>
          </w:tcPr>
          <w:p w14:paraId="12259178">
            <w:pPr>
              <w:pStyle w:val="39"/>
              <w:spacing w:before="191" w:line="237" w:lineRule="auto"/>
              <w:ind w:left="313"/>
              <w:rPr>
                <w:color w:val="auto"/>
                <w:sz w:val="21"/>
                <w:szCs w:val="21"/>
                <w:highlight w:val="none"/>
              </w:rPr>
            </w:pPr>
            <w:r>
              <w:rPr>
                <w:color w:val="auto"/>
                <w:spacing w:val="-2"/>
                <w:sz w:val="21"/>
                <w:szCs w:val="21"/>
                <w:highlight w:val="none"/>
              </w:rPr>
              <w:t>10≤X＜</w:t>
            </w:r>
            <w:r>
              <w:rPr>
                <w:color w:val="auto"/>
                <w:spacing w:val="-40"/>
                <w:sz w:val="21"/>
                <w:szCs w:val="21"/>
                <w:highlight w:val="none"/>
              </w:rPr>
              <w:t xml:space="preserve"> </w:t>
            </w:r>
            <w:r>
              <w:rPr>
                <w:color w:val="auto"/>
                <w:spacing w:val="-2"/>
                <w:sz w:val="21"/>
                <w:szCs w:val="21"/>
                <w:highlight w:val="none"/>
              </w:rPr>
              <w:t>100</w:t>
            </w:r>
          </w:p>
        </w:tc>
        <w:tc>
          <w:tcPr>
            <w:tcW w:w="1020" w:type="dxa"/>
            <w:tcBorders>
              <w:top w:val="single" w:color="000000" w:sz="2" w:space="0"/>
              <w:left w:val="single" w:color="000000" w:sz="2" w:space="0"/>
              <w:bottom w:val="single" w:color="000000" w:sz="2" w:space="0"/>
              <w:right w:val="single" w:color="000000" w:sz="2" w:space="0"/>
            </w:tcBorders>
          </w:tcPr>
          <w:p w14:paraId="745979B7">
            <w:pPr>
              <w:pStyle w:val="39"/>
              <w:spacing w:before="190" w:line="241" w:lineRule="auto"/>
              <w:ind w:left="229"/>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r w14:paraId="63C41072">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86" w:hRule="atLeast"/>
          <w:jc w:val="center"/>
        </w:trPr>
        <w:tc>
          <w:tcPr>
            <w:tcW w:w="1141" w:type="dxa"/>
            <w:vMerge w:val="continue"/>
            <w:tcBorders>
              <w:top w:val="nil"/>
              <w:left w:val="single" w:color="000000" w:sz="2" w:space="0"/>
            </w:tcBorders>
          </w:tcPr>
          <w:p w14:paraId="16EB81A2">
            <w:pPr>
              <w:rPr>
                <w:color w:val="auto"/>
                <w:highlight w:val="none"/>
              </w:rPr>
            </w:pPr>
          </w:p>
        </w:tc>
        <w:tc>
          <w:tcPr>
            <w:tcW w:w="1480" w:type="dxa"/>
            <w:tcBorders>
              <w:top w:val="single" w:color="000000" w:sz="2" w:space="0"/>
            </w:tcBorders>
            <w:shd w:val="clear" w:color="auto" w:fill="B8CCE4"/>
          </w:tcPr>
          <w:p w14:paraId="5B6375FD">
            <w:pPr>
              <w:pStyle w:val="39"/>
              <w:spacing w:before="191" w:line="221" w:lineRule="auto"/>
              <w:ind w:left="140"/>
              <w:rPr>
                <w:color w:val="auto"/>
                <w:sz w:val="21"/>
                <w:szCs w:val="21"/>
                <w:highlight w:val="none"/>
              </w:rPr>
            </w:pPr>
            <w:r>
              <w:rPr>
                <w:color w:val="auto"/>
                <w:spacing w:val="9"/>
                <w:sz w:val="21"/>
                <w:szCs w:val="21"/>
                <w:highlight w:val="none"/>
              </w:rPr>
              <w:t>营业收入(Y)</w:t>
            </w:r>
          </w:p>
        </w:tc>
        <w:tc>
          <w:tcPr>
            <w:tcW w:w="76" w:type="dxa"/>
            <w:tcBorders>
              <w:top w:val="nil"/>
              <w:left w:val="nil"/>
              <w:bottom w:val="nil"/>
              <w:right w:val="nil"/>
            </w:tcBorders>
          </w:tcPr>
          <w:p w14:paraId="25F182ED">
            <w:pPr>
              <w:rPr>
                <w:color w:val="auto"/>
                <w:highlight w:val="none"/>
              </w:rPr>
            </w:pPr>
          </w:p>
        </w:tc>
        <w:tc>
          <w:tcPr>
            <w:tcW w:w="720" w:type="dxa"/>
            <w:tcBorders>
              <w:top w:val="single" w:color="000000" w:sz="2" w:space="0"/>
              <w:left w:val="nil"/>
            </w:tcBorders>
            <w:shd w:val="clear" w:color="auto" w:fill="B8CCE4"/>
          </w:tcPr>
          <w:p w14:paraId="1A26EB5D">
            <w:pPr>
              <w:pStyle w:val="39"/>
              <w:spacing w:before="192" w:line="221" w:lineRule="auto"/>
              <w:ind w:left="93"/>
              <w:rPr>
                <w:color w:val="auto"/>
                <w:sz w:val="21"/>
                <w:szCs w:val="21"/>
                <w:highlight w:val="none"/>
              </w:rPr>
            </w:pPr>
            <w:r>
              <w:rPr>
                <w:color w:val="auto"/>
                <w:spacing w:val="1"/>
                <w:sz w:val="21"/>
                <w:szCs w:val="21"/>
                <w:highlight w:val="none"/>
              </w:rPr>
              <w:t>万元</w:t>
            </w:r>
          </w:p>
        </w:tc>
        <w:tc>
          <w:tcPr>
            <w:tcW w:w="1234" w:type="dxa"/>
            <w:tcBorders>
              <w:top w:val="single" w:color="000000" w:sz="2" w:space="0"/>
            </w:tcBorders>
            <w:shd w:val="clear" w:color="auto" w:fill="B8CCE4"/>
          </w:tcPr>
          <w:p w14:paraId="25270D36">
            <w:pPr>
              <w:pStyle w:val="39"/>
              <w:spacing w:before="191" w:line="239" w:lineRule="auto"/>
              <w:ind w:left="120"/>
              <w:rPr>
                <w:color w:val="auto"/>
                <w:sz w:val="21"/>
                <w:szCs w:val="21"/>
                <w:highlight w:val="none"/>
              </w:rPr>
            </w:pPr>
            <w:r>
              <w:rPr>
                <w:color w:val="auto"/>
                <w:spacing w:val="7"/>
                <w:sz w:val="21"/>
                <w:szCs w:val="21"/>
                <w:highlight w:val="none"/>
              </w:rPr>
              <w:t>Y≥10000</w:t>
            </w:r>
          </w:p>
        </w:tc>
        <w:tc>
          <w:tcPr>
            <w:tcW w:w="1946" w:type="dxa"/>
            <w:tcBorders>
              <w:top w:val="single" w:color="000000" w:sz="2" w:space="0"/>
            </w:tcBorders>
            <w:shd w:val="clear" w:color="auto" w:fill="B8CCE4"/>
          </w:tcPr>
          <w:p w14:paraId="6C49D22F">
            <w:pPr>
              <w:pStyle w:val="39"/>
              <w:spacing w:before="192" w:line="237" w:lineRule="auto"/>
              <w:ind w:left="170"/>
              <w:rPr>
                <w:color w:val="auto"/>
                <w:sz w:val="21"/>
                <w:szCs w:val="21"/>
                <w:highlight w:val="none"/>
              </w:rPr>
            </w:pPr>
            <w:r>
              <w:rPr>
                <w:color w:val="auto"/>
                <w:spacing w:val="1"/>
                <w:sz w:val="21"/>
                <w:szCs w:val="21"/>
                <w:highlight w:val="none"/>
              </w:rPr>
              <w:t>1000≤Y＜</w:t>
            </w:r>
            <w:r>
              <w:rPr>
                <w:color w:val="auto"/>
                <w:spacing w:val="-40"/>
                <w:sz w:val="21"/>
                <w:szCs w:val="21"/>
                <w:highlight w:val="none"/>
              </w:rPr>
              <w:t xml:space="preserve"> </w:t>
            </w:r>
            <w:r>
              <w:rPr>
                <w:color w:val="auto"/>
                <w:spacing w:val="1"/>
                <w:sz w:val="21"/>
                <w:szCs w:val="21"/>
                <w:highlight w:val="none"/>
              </w:rPr>
              <w:t>10000</w:t>
            </w:r>
          </w:p>
        </w:tc>
        <w:tc>
          <w:tcPr>
            <w:tcW w:w="1741" w:type="dxa"/>
            <w:tcBorders>
              <w:top w:val="single" w:color="000000" w:sz="2" w:space="0"/>
            </w:tcBorders>
            <w:shd w:val="clear" w:color="auto" w:fill="B8CCE4"/>
          </w:tcPr>
          <w:p w14:paraId="05A3BE3F">
            <w:pPr>
              <w:pStyle w:val="39"/>
              <w:spacing w:before="192" w:line="237" w:lineRule="auto"/>
              <w:ind w:left="243"/>
              <w:rPr>
                <w:color w:val="auto"/>
                <w:sz w:val="21"/>
                <w:szCs w:val="21"/>
                <w:highlight w:val="none"/>
              </w:rPr>
            </w:pPr>
            <w:r>
              <w:rPr>
                <w:color w:val="auto"/>
                <w:sz w:val="21"/>
                <w:szCs w:val="21"/>
                <w:highlight w:val="none"/>
              </w:rPr>
              <w:t>50≤Y＜</w:t>
            </w:r>
            <w:r>
              <w:rPr>
                <w:color w:val="auto"/>
                <w:spacing w:val="-40"/>
                <w:sz w:val="21"/>
                <w:szCs w:val="21"/>
                <w:highlight w:val="none"/>
              </w:rPr>
              <w:t xml:space="preserve"> </w:t>
            </w:r>
            <w:r>
              <w:rPr>
                <w:color w:val="auto"/>
                <w:sz w:val="21"/>
                <w:szCs w:val="21"/>
                <w:highlight w:val="none"/>
              </w:rPr>
              <w:t>1000</w:t>
            </w:r>
          </w:p>
        </w:tc>
        <w:tc>
          <w:tcPr>
            <w:tcW w:w="1020" w:type="dxa"/>
            <w:tcBorders>
              <w:top w:val="single" w:color="000000" w:sz="2" w:space="0"/>
            </w:tcBorders>
            <w:shd w:val="clear" w:color="auto" w:fill="B8CCE4"/>
          </w:tcPr>
          <w:p w14:paraId="6D7893A6">
            <w:pPr>
              <w:pStyle w:val="39"/>
              <w:spacing w:before="191" w:line="241" w:lineRule="auto"/>
              <w:ind w:left="226"/>
              <w:rPr>
                <w:color w:val="auto"/>
                <w:sz w:val="21"/>
                <w:szCs w:val="21"/>
                <w:highlight w:val="none"/>
              </w:rPr>
            </w:pPr>
            <w:r>
              <w:rPr>
                <w:color w:val="auto"/>
                <w:spacing w:val="6"/>
                <w:sz w:val="21"/>
                <w:szCs w:val="21"/>
                <w:highlight w:val="none"/>
              </w:rPr>
              <w:t>Y＜50</w:t>
            </w:r>
          </w:p>
        </w:tc>
      </w:tr>
      <w:tr w14:paraId="18274511">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8" w:hRule="atLeast"/>
          <w:jc w:val="center"/>
        </w:trPr>
        <w:tc>
          <w:tcPr>
            <w:tcW w:w="1141" w:type="dxa"/>
            <w:vMerge w:val="restart"/>
            <w:tcBorders>
              <w:bottom w:val="nil"/>
            </w:tcBorders>
          </w:tcPr>
          <w:p w14:paraId="4FB07498">
            <w:pPr>
              <w:spacing w:line="274" w:lineRule="auto"/>
              <w:rPr>
                <w:color w:val="auto"/>
                <w:highlight w:val="none"/>
              </w:rPr>
            </w:pPr>
          </w:p>
          <w:p w14:paraId="53C28336">
            <w:pPr>
              <w:pStyle w:val="39"/>
              <w:spacing w:before="68" w:line="277" w:lineRule="auto"/>
              <w:ind w:left="241" w:right="125" w:hanging="115"/>
              <w:rPr>
                <w:color w:val="auto"/>
                <w:sz w:val="21"/>
                <w:szCs w:val="21"/>
                <w:highlight w:val="none"/>
              </w:rPr>
            </w:pPr>
            <w:r>
              <w:rPr>
                <w:color w:val="auto"/>
                <w:spacing w:val="9"/>
                <w:sz w:val="21"/>
                <w:szCs w:val="21"/>
                <w:highlight w:val="none"/>
              </w:rPr>
              <w:t>房地产开</w:t>
            </w:r>
            <w:r>
              <w:rPr>
                <w:color w:val="auto"/>
                <w:spacing w:val="6"/>
                <w:sz w:val="21"/>
                <w:szCs w:val="21"/>
                <w:highlight w:val="none"/>
              </w:rPr>
              <w:t>发经营</w:t>
            </w:r>
          </w:p>
        </w:tc>
        <w:tc>
          <w:tcPr>
            <w:tcW w:w="1480" w:type="dxa"/>
          </w:tcPr>
          <w:p w14:paraId="6F5D213A">
            <w:pPr>
              <w:pStyle w:val="39"/>
              <w:spacing w:before="198" w:line="221" w:lineRule="auto"/>
              <w:ind w:left="140"/>
              <w:rPr>
                <w:color w:val="auto"/>
                <w:sz w:val="21"/>
                <w:szCs w:val="21"/>
                <w:highlight w:val="none"/>
              </w:rPr>
            </w:pPr>
            <w:r>
              <w:rPr>
                <w:color w:val="auto"/>
                <w:spacing w:val="9"/>
                <w:sz w:val="21"/>
                <w:szCs w:val="21"/>
                <w:highlight w:val="none"/>
              </w:rPr>
              <w:t>营业收入(Y)</w:t>
            </w:r>
          </w:p>
        </w:tc>
        <w:tc>
          <w:tcPr>
            <w:tcW w:w="76" w:type="dxa"/>
            <w:tcBorders>
              <w:top w:val="nil"/>
              <w:left w:val="nil"/>
              <w:bottom w:val="nil"/>
              <w:right w:val="nil"/>
            </w:tcBorders>
          </w:tcPr>
          <w:p w14:paraId="0C1CA4A8">
            <w:pPr>
              <w:rPr>
                <w:color w:val="auto"/>
                <w:highlight w:val="none"/>
              </w:rPr>
            </w:pPr>
          </w:p>
        </w:tc>
        <w:tc>
          <w:tcPr>
            <w:tcW w:w="720" w:type="dxa"/>
            <w:tcBorders>
              <w:left w:val="nil"/>
            </w:tcBorders>
          </w:tcPr>
          <w:p w14:paraId="52943072">
            <w:pPr>
              <w:pStyle w:val="39"/>
              <w:spacing w:before="198" w:line="221" w:lineRule="auto"/>
              <w:ind w:left="93"/>
              <w:rPr>
                <w:color w:val="auto"/>
                <w:sz w:val="21"/>
                <w:szCs w:val="21"/>
                <w:highlight w:val="none"/>
              </w:rPr>
            </w:pPr>
            <w:r>
              <w:rPr>
                <w:color w:val="auto"/>
                <w:spacing w:val="1"/>
                <w:sz w:val="21"/>
                <w:szCs w:val="21"/>
                <w:highlight w:val="none"/>
              </w:rPr>
              <w:t>万元</w:t>
            </w:r>
          </w:p>
        </w:tc>
        <w:tc>
          <w:tcPr>
            <w:tcW w:w="1234" w:type="dxa"/>
          </w:tcPr>
          <w:p w14:paraId="5396A54C">
            <w:pPr>
              <w:pStyle w:val="39"/>
              <w:spacing w:before="198" w:line="239" w:lineRule="auto"/>
              <w:ind w:left="63"/>
              <w:rPr>
                <w:color w:val="auto"/>
                <w:sz w:val="21"/>
                <w:szCs w:val="21"/>
                <w:highlight w:val="none"/>
              </w:rPr>
            </w:pPr>
            <w:r>
              <w:rPr>
                <w:color w:val="auto"/>
                <w:spacing w:val="7"/>
                <w:sz w:val="21"/>
                <w:szCs w:val="21"/>
                <w:highlight w:val="none"/>
              </w:rPr>
              <w:t>Y≥200000</w:t>
            </w:r>
          </w:p>
        </w:tc>
        <w:tc>
          <w:tcPr>
            <w:tcW w:w="1946" w:type="dxa"/>
          </w:tcPr>
          <w:p w14:paraId="3F5681CA">
            <w:pPr>
              <w:pStyle w:val="39"/>
              <w:spacing w:before="198" w:line="237" w:lineRule="auto"/>
              <w:ind w:left="112"/>
              <w:rPr>
                <w:color w:val="auto"/>
                <w:sz w:val="21"/>
                <w:szCs w:val="21"/>
                <w:highlight w:val="none"/>
              </w:rPr>
            </w:pPr>
            <w:r>
              <w:rPr>
                <w:color w:val="auto"/>
                <w:spacing w:val="6"/>
                <w:sz w:val="21"/>
                <w:szCs w:val="21"/>
                <w:highlight w:val="none"/>
              </w:rPr>
              <w:t>1000≤Y＜200000</w:t>
            </w:r>
          </w:p>
        </w:tc>
        <w:tc>
          <w:tcPr>
            <w:tcW w:w="1741" w:type="dxa"/>
          </w:tcPr>
          <w:p w14:paraId="74A579B1">
            <w:pPr>
              <w:pStyle w:val="39"/>
              <w:spacing w:before="198" w:line="237" w:lineRule="auto"/>
              <w:ind w:left="197"/>
              <w:rPr>
                <w:color w:val="auto"/>
                <w:sz w:val="21"/>
                <w:szCs w:val="21"/>
                <w:highlight w:val="none"/>
              </w:rPr>
            </w:pPr>
            <w:r>
              <w:rPr>
                <w:color w:val="auto"/>
                <w:spacing w:val="-1"/>
                <w:sz w:val="21"/>
                <w:szCs w:val="21"/>
                <w:highlight w:val="none"/>
              </w:rPr>
              <w:t>100≤Y＜</w:t>
            </w:r>
            <w:r>
              <w:rPr>
                <w:color w:val="auto"/>
                <w:spacing w:val="-33"/>
                <w:sz w:val="21"/>
                <w:szCs w:val="21"/>
                <w:highlight w:val="none"/>
              </w:rPr>
              <w:t xml:space="preserve"> </w:t>
            </w:r>
            <w:r>
              <w:rPr>
                <w:color w:val="auto"/>
                <w:spacing w:val="-1"/>
                <w:sz w:val="21"/>
                <w:szCs w:val="21"/>
                <w:highlight w:val="none"/>
              </w:rPr>
              <w:t>1000</w:t>
            </w:r>
          </w:p>
        </w:tc>
        <w:tc>
          <w:tcPr>
            <w:tcW w:w="1020" w:type="dxa"/>
          </w:tcPr>
          <w:p w14:paraId="764A80C5">
            <w:pPr>
              <w:pStyle w:val="39"/>
              <w:spacing w:before="198" w:line="241" w:lineRule="auto"/>
              <w:ind w:left="168"/>
              <w:rPr>
                <w:color w:val="auto"/>
                <w:sz w:val="21"/>
                <w:szCs w:val="21"/>
                <w:highlight w:val="none"/>
              </w:rPr>
            </w:pPr>
            <w:r>
              <w:rPr>
                <w:color w:val="auto"/>
                <w:spacing w:val="-6"/>
                <w:sz w:val="21"/>
                <w:szCs w:val="21"/>
                <w:highlight w:val="none"/>
              </w:rPr>
              <w:t>Y＜</w:t>
            </w:r>
            <w:r>
              <w:rPr>
                <w:color w:val="auto"/>
                <w:spacing w:val="-39"/>
                <w:sz w:val="21"/>
                <w:szCs w:val="21"/>
                <w:highlight w:val="none"/>
              </w:rPr>
              <w:t xml:space="preserve"> </w:t>
            </w:r>
            <w:r>
              <w:rPr>
                <w:color w:val="auto"/>
                <w:spacing w:val="-6"/>
                <w:sz w:val="21"/>
                <w:szCs w:val="21"/>
                <w:highlight w:val="none"/>
              </w:rPr>
              <w:t>100</w:t>
            </w:r>
          </w:p>
        </w:tc>
      </w:tr>
      <w:tr w14:paraId="3C5A6685">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7" w:hRule="atLeast"/>
          <w:jc w:val="center"/>
        </w:trPr>
        <w:tc>
          <w:tcPr>
            <w:tcW w:w="1141" w:type="dxa"/>
            <w:vMerge w:val="continue"/>
            <w:tcBorders>
              <w:top w:val="nil"/>
            </w:tcBorders>
          </w:tcPr>
          <w:p w14:paraId="6B957067">
            <w:pPr>
              <w:rPr>
                <w:color w:val="auto"/>
                <w:highlight w:val="none"/>
              </w:rPr>
            </w:pPr>
          </w:p>
        </w:tc>
        <w:tc>
          <w:tcPr>
            <w:tcW w:w="1480" w:type="dxa"/>
            <w:shd w:val="clear" w:color="auto" w:fill="B8CCE4"/>
          </w:tcPr>
          <w:p w14:paraId="43FF8828">
            <w:pPr>
              <w:pStyle w:val="39"/>
              <w:spacing w:before="194" w:line="221" w:lineRule="auto"/>
              <w:ind w:left="143"/>
              <w:rPr>
                <w:color w:val="auto"/>
                <w:sz w:val="21"/>
                <w:szCs w:val="21"/>
                <w:highlight w:val="none"/>
              </w:rPr>
            </w:pPr>
            <w:r>
              <w:rPr>
                <w:color w:val="auto"/>
                <w:spacing w:val="8"/>
                <w:sz w:val="21"/>
                <w:szCs w:val="21"/>
                <w:highlight w:val="none"/>
              </w:rPr>
              <w:t>资产总额(Z)</w:t>
            </w:r>
          </w:p>
        </w:tc>
        <w:tc>
          <w:tcPr>
            <w:tcW w:w="76" w:type="dxa"/>
            <w:tcBorders>
              <w:top w:val="nil"/>
              <w:left w:val="nil"/>
              <w:bottom w:val="nil"/>
              <w:right w:val="nil"/>
            </w:tcBorders>
          </w:tcPr>
          <w:p w14:paraId="1D282BA3">
            <w:pPr>
              <w:rPr>
                <w:color w:val="auto"/>
                <w:highlight w:val="none"/>
              </w:rPr>
            </w:pPr>
          </w:p>
        </w:tc>
        <w:tc>
          <w:tcPr>
            <w:tcW w:w="720" w:type="dxa"/>
            <w:tcBorders>
              <w:left w:val="nil"/>
            </w:tcBorders>
            <w:shd w:val="clear" w:color="auto" w:fill="B8CCE4"/>
          </w:tcPr>
          <w:p w14:paraId="0EFBD8C0">
            <w:pPr>
              <w:pStyle w:val="39"/>
              <w:spacing w:before="195" w:line="221" w:lineRule="auto"/>
              <w:ind w:left="93"/>
              <w:rPr>
                <w:color w:val="auto"/>
                <w:sz w:val="21"/>
                <w:szCs w:val="21"/>
                <w:highlight w:val="none"/>
              </w:rPr>
            </w:pPr>
            <w:r>
              <w:rPr>
                <w:color w:val="auto"/>
                <w:spacing w:val="1"/>
                <w:sz w:val="21"/>
                <w:szCs w:val="21"/>
                <w:highlight w:val="none"/>
              </w:rPr>
              <w:t>万元</w:t>
            </w:r>
          </w:p>
        </w:tc>
        <w:tc>
          <w:tcPr>
            <w:tcW w:w="1234" w:type="dxa"/>
            <w:shd w:val="clear" w:color="auto" w:fill="B8CCE4"/>
          </w:tcPr>
          <w:p w14:paraId="30871D62">
            <w:pPr>
              <w:pStyle w:val="39"/>
              <w:spacing w:before="194" w:line="239" w:lineRule="auto"/>
              <w:ind w:left="123"/>
              <w:rPr>
                <w:color w:val="auto"/>
                <w:sz w:val="21"/>
                <w:szCs w:val="21"/>
                <w:highlight w:val="none"/>
              </w:rPr>
            </w:pPr>
            <w:r>
              <w:rPr>
                <w:color w:val="auto"/>
                <w:spacing w:val="6"/>
                <w:sz w:val="21"/>
                <w:szCs w:val="21"/>
                <w:highlight w:val="none"/>
              </w:rPr>
              <w:t>Z≥10000</w:t>
            </w:r>
          </w:p>
        </w:tc>
        <w:tc>
          <w:tcPr>
            <w:tcW w:w="1946" w:type="dxa"/>
            <w:shd w:val="clear" w:color="auto" w:fill="B8CCE4"/>
          </w:tcPr>
          <w:p w14:paraId="4BD3F4BA">
            <w:pPr>
              <w:pStyle w:val="39"/>
              <w:spacing w:before="195" w:line="237" w:lineRule="auto"/>
              <w:ind w:left="159"/>
              <w:rPr>
                <w:color w:val="auto"/>
                <w:sz w:val="21"/>
                <w:szCs w:val="21"/>
                <w:highlight w:val="none"/>
              </w:rPr>
            </w:pPr>
            <w:r>
              <w:rPr>
                <w:color w:val="auto"/>
                <w:spacing w:val="2"/>
                <w:sz w:val="21"/>
                <w:szCs w:val="21"/>
                <w:highlight w:val="none"/>
              </w:rPr>
              <w:t>5000≤Z＜</w:t>
            </w:r>
            <w:r>
              <w:rPr>
                <w:color w:val="auto"/>
                <w:spacing w:val="-41"/>
                <w:sz w:val="21"/>
                <w:szCs w:val="21"/>
                <w:highlight w:val="none"/>
              </w:rPr>
              <w:t xml:space="preserve"> </w:t>
            </w:r>
            <w:r>
              <w:rPr>
                <w:color w:val="auto"/>
                <w:spacing w:val="2"/>
                <w:sz w:val="21"/>
                <w:szCs w:val="21"/>
                <w:highlight w:val="none"/>
              </w:rPr>
              <w:t>10000</w:t>
            </w:r>
          </w:p>
        </w:tc>
        <w:tc>
          <w:tcPr>
            <w:tcW w:w="1741" w:type="dxa"/>
            <w:shd w:val="clear" w:color="auto" w:fill="B8CCE4"/>
          </w:tcPr>
          <w:p w14:paraId="0DED9B8C">
            <w:pPr>
              <w:pStyle w:val="39"/>
              <w:spacing w:before="195" w:line="237" w:lineRule="auto"/>
              <w:ind w:left="129"/>
              <w:rPr>
                <w:color w:val="auto"/>
                <w:sz w:val="21"/>
                <w:szCs w:val="21"/>
                <w:highlight w:val="none"/>
              </w:rPr>
            </w:pPr>
            <w:r>
              <w:rPr>
                <w:color w:val="auto"/>
                <w:spacing w:val="7"/>
                <w:sz w:val="21"/>
                <w:szCs w:val="21"/>
                <w:highlight w:val="none"/>
              </w:rPr>
              <w:t>2000≤Z＜5000</w:t>
            </w:r>
          </w:p>
        </w:tc>
        <w:tc>
          <w:tcPr>
            <w:tcW w:w="1020" w:type="dxa"/>
            <w:shd w:val="clear" w:color="auto" w:fill="B8CCE4"/>
          </w:tcPr>
          <w:p w14:paraId="72D3879B">
            <w:pPr>
              <w:pStyle w:val="39"/>
              <w:spacing w:before="195" w:line="241" w:lineRule="auto"/>
              <w:ind w:left="113"/>
              <w:rPr>
                <w:color w:val="auto"/>
                <w:sz w:val="21"/>
                <w:szCs w:val="21"/>
                <w:highlight w:val="none"/>
              </w:rPr>
            </w:pPr>
            <w:r>
              <w:rPr>
                <w:color w:val="auto"/>
                <w:spacing w:val="6"/>
                <w:sz w:val="21"/>
                <w:szCs w:val="21"/>
                <w:highlight w:val="none"/>
              </w:rPr>
              <w:t>Z＜2000</w:t>
            </w:r>
          </w:p>
        </w:tc>
      </w:tr>
      <w:tr w14:paraId="14DC1D55">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82" w:hRule="atLeast"/>
          <w:jc w:val="center"/>
        </w:trPr>
        <w:tc>
          <w:tcPr>
            <w:tcW w:w="1141" w:type="dxa"/>
            <w:vMerge w:val="restart"/>
            <w:tcBorders>
              <w:bottom w:val="nil"/>
            </w:tcBorders>
          </w:tcPr>
          <w:p w14:paraId="1ED2ECF1">
            <w:pPr>
              <w:spacing w:line="422" w:lineRule="auto"/>
              <w:rPr>
                <w:color w:val="auto"/>
                <w:highlight w:val="none"/>
              </w:rPr>
            </w:pPr>
          </w:p>
          <w:p w14:paraId="3D1E8D7E">
            <w:pPr>
              <w:pStyle w:val="39"/>
              <w:spacing w:before="68" w:line="221" w:lineRule="auto"/>
              <w:ind w:left="125"/>
              <w:rPr>
                <w:color w:val="auto"/>
                <w:sz w:val="21"/>
                <w:szCs w:val="21"/>
                <w:highlight w:val="none"/>
              </w:rPr>
            </w:pPr>
            <w:r>
              <w:rPr>
                <w:color w:val="auto"/>
                <w:spacing w:val="9"/>
                <w:sz w:val="21"/>
                <w:szCs w:val="21"/>
                <w:highlight w:val="none"/>
              </w:rPr>
              <w:t>物业管理</w:t>
            </w:r>
          </w:p>
        </w:tc>
        <w:tc>
          <w:tcPr>
            <w:tcW w:w="1480" w:type="dxa"/>
          </w:tcPr>
          <w:p w14:paraId="04EE9917">
            <w:pPr>
              <w:pStyle w:val="39"/>
              <w:spacing w:before="194" w:line="221" w:lineRule="auto"/>
              <w:ind w:left="136"/>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6" w:type="dxa"/>
            <w:tcBorders>
              <w:top w:val="nil"/>
              <w:left w:val="nil"/>
              <w:bottom w:val="nil"/>
              <w:right w:val="nil"/>
            </w:tcBorders>
          </w:tcPr>
          <w:p w14:paraId="39B16664">
            <w:pPr>
              <w:rPr>
                <w:color w:val="auto"/>
                <w:highlight w:val="none"/>
              </w:rPr>
            </w:pPr>
          </w:p>
        </w:tc>
        <w:tc>
          <w:tcPr>
            <w:tcW w:w="720" w:type="dxa"/>
            <w:tcBorders>
              <w:left w:val="nil"/>
            </w:tcBorders>
          </w:tcPr>
          <w:p w14:paraId="2DED04B3">
            <w:pPr>
              <w:pStyle w:val="39"/>
              <w:spacing w:before="194" w:line="223" w:lineRule="auto"/>
              <w:ind w:left="202"/>
              <w:rPr>
                <w:color w:val="auto"/>
                <w:sz w:val="21"/>
                <w:szCs w:val="21"/>
                <w:highlight w:val="none"/>
              </w:rPr>
            </w:pPr>
            <w:r>
              <w:rPr>
                <w:color w:val="auto"/>
                <w:sz w:val="21"/>
                <w:szCs w:val="21"/>
                <w:highlight w:val="none"/>
              </w:rPr>
              <w:t>人</w:t>
            </w:r>
          </w:p>
        </w:tc>
        <w:tc>
          <w:tcPr>
            <w:tcW w:w="1234" w:type="dxa"/>
          </w:tcPr>
          <w:p w14:paraId="7A421A64">
            <w:pPr>
              <w:pStyle w:val="39"/>
              <w:spacing w:before="193" w:line="239" w:lineRule="auto"/>
              <w:ind w:left="176"/>
              <w:rPr>
                <w:color w:val="auto"/>
                <w:sz w:val="21"/>
                <w:szCs w:val="21"/>
                <w:highlight w:val="none"/>
              </w:rPr>
            </w:pPr>
            <w:r>
              <w:rPr>
                <w:color w:val="auto"/>
                <w:spacing w:val="6"/>
                <w:sz w:val="21"/>
                <w:szCs w:val="21"/>
                <w:highlight w:val="none"/>
              </w:rPr>
              <w:t>X≥1000</w:t>
            </w:r>
          </w:p>
        </w:tc>
        <w:tc>
          <w:tcPr>
            <w:tcW w:w="1946" w:type="dxa"/>
          </w:tcPr>
          <w:p w14:paraId="76C6D3E2">
            <w:pPr>
              <w:pStyle w:val="39"/>
              <w:spacing w:before="193" w:line="237" w:lineRule="auto"/>
              <w:ind w:left="272"/>
              <w:rPr>
                <w:color w:val="auto"/>
                <w:sz w:val="21"/>
                <w:szCs w:val="21"/>
                <w:highlight w:val="none"/>
              </w:rPr>
            </w:pPr>
            <w:r>
              <w:rPr>
                <w:color w:val="auto"/>
                <w:spacing w:val="1"/>
                <w:sz w:val="21"/>
                <w:szCs w:val="21"/>
                <w:highlight w:val="none"/>
              </w:rPr>
              <w:t>300≤X＜</w:t>
            </w:r>
            <w:r>
              <w:rPr>
                <w:color w:val="auto"/>
                <w:spacing w:val="-42"/>
                <w:sz w:val="21"/>
                <w:szCs w:val="21"/>
                <w:highlight w:val="none"/>
              </w:rPr>
              <w:t xml:space="preserve"> </w:t>
            </w:r>
            <w:r>
              <w:rPr>
                <w:color w:val="auto"/>
                <w:spacing w:val="1"/>
                <w:sz w:val="21"/>
                <w:szCs w:val="21"/>
                <w:highlight w:val="none"/>
              </w:rPr>
              <w:t>1000</w:t>
            </w:r>
          </w:p>
        </w:tc>
        <w:tc>
          <w:tcPr>
            <w:tcW w:w="1741" w:type="dxa"/>
          </w:tcPr>
          <w:p w14:paraId="46B9E8AB">
            <w:pPr>
              <w:pStyle w:val="39"/>
              <w:spacing w:before="193" w:line="237" w:lineRule="auto"/>
              <w:ind w:left="255"/>
              <w:rPr>
                <w:color w:val="auto"/>
                <w:sz w:val="21"/>
                <w:szCs w:val="21"/>
                <w:highlight w:val="none"/>
              </w:rPr>
            </w:pPr>
            <w:r>
              <w:rPr>
                <w:color w:val="auto"/>
                <w:spacing w:val="6"/>
                <w:sz w:val="21"/>
                <w:szCs w:val="21"/>
                <w:highlight w:val="none"/>
              </w:rPr>
              <w:t>100≤X＜300</w:t>
            </w:r>
          </w:p>
        </w:tc>
        <w:tc>
          <w:tcPr>
            <w:tcW w:w="1020" w:type="dxa"/>
          </w:tcPr>
          <w:p w14:paraId="526A88FF">
            <w:pPr>
              <w:pStyle w:val="39"/>
              <w:spacing w:before="193" w:line="241" w:lineRule="auto"/>
              <w:ind w:left="169"/>
              <w:rPr>
                <w:color w:val="auto"/>
                <w:sz w:val="21"/>
                <w:szCs w:val="21"/>
                <w:highlight w:val="none"/>
              </w:rPr>
            </w:pPr>
            <w:r>
              <w:rPr>
                <w:color w:val="auto"/>
                <w:spacing w:val="-6"/>
                <w:sz w:val="21"/>
                <w:szCs w:val="21"/>
                <w:highlight w:val="none"/>
              </w:rPr>
              <w:t>X＜</w:t>
            </w:r>
            <w:r>
              <w:rPr>
                <w:color w:val="auto"/>
                <w:spacing w:val="-40"/>
                <w:sz w:val="21"/>
                <w:szCs w:val="21"/>
                <w:highlight w:val="none"/>
              </w:rPr>
              <w:t xml:space="preserve"> </w:t>
            </w:r>
            <w:r>
              <w:rPr>
                <w:color w:val="auto"/>
                <w:spacing w:val="-6"/>
                <w:sz w:val="21"/>
                <w:szCs w:val="21"/>
                <w:highlight w:val="none"/>
              </w:rPr>
              <w:t>100</w:t>
            </w:r>
          </w:p>
        </w:tc>
      </w:tr>
      <w:tr w14:paraId="4D582577">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9" w:hRule="atLeast"/>
          <w:jc w:val="center"/>
        </w:trPr>
        <w:tc>
          <w:tcPr>
            <w:tcW w:w="1141" w:type="dxa"/>
            <w:vMerge w:val="continue"/>
            <w:tcBorders>
              <w:top w:val="nil"/>
            </w:tcBorders>
          </w:tcPr>
          <w:p w14:paraId="3CF6C5A1">
            <w:pPr>
              <w:rPr>
                <w:color w:val="auto"/>
                <w:highlight w:val="none"/>
              </w:rPr>
            </w:pPr>
          </w:p>
        </w:tc>
        <w:tc>
          <w:tcPr>
            <w:tcW w:w="1480" w:type="dxa"/>
            <w:shd w:val="clear" w:color="auto" w:fill="B8CCE4"/>
          </w:tcPr>
          <w:p w14:paraId="0A7F8F7B">
            <w:pPr>
              <w:pStyle w:val="39"/>
              <w:spacing w:before="203" w:line="221" w:lineRule="auto"/>
              <w:ind w:left="140"/>
              <w:rPr>
                <w:color w:val="auto"/>
                <w:sz w:val="21"/>
                <w:szCs w:val="21"/>
                <w:highlight w:val="none"/>
              </w:rPr>
            </w:pPr>
            <w:r>
              <w:rPr>
                <w:color w:val="auto"/>
                <w:spacing w:val="9"/>
                <w:sz w:val="21"/>
                <w:szCs w:val="21"/>
                <w:highlight w:val="none"/>
              </w:rPr>
              <w:t>营业收入(Y)</w:t>
            </w:r>
          </w:p>
        </w:tc>
        <w:tc>
          <w:tcPr>
            <w:tcW w:w="76" w:type="dxa"/>
            <w:tcBorders>
              <w:top w:val="nil"/>
              <w:left w:val="nil"/>
              <w:bottom w:val="nil"/>
              <w:right w:val="nil"/>
            </w:tcBorders>
          </w:tcPr>
          <w:p w14:paraId="00B65635">
            <w:pPr>
              <w:rPr>
                <w:color w:val="auto"/>
                <w:highlight w:val="none"/>
              </w:rPr>
            </w:pPr>
          </w:p>
        </w:tc>
        <w:tc>
          <w:tcPr>
            <w:tcW w:w="720" w:type="dxa"/>
            <w:tcBorders>
              <w:left w:val="nil"/>
            </w:tcBorders>
            <w:shd w:val="clear" w:color="auto" w:fill="B8CCE4"/>
          </w:tcPr>
          <w:p w14:paraId="2169DD9F">
            <w:pPr>
              <w:pStyle w:val="39"/>
              <w:spacing w:before="204" w:line="221" w:lineRule="auto"/>
              <w:ind w:left="93"/>
              <w:rPr>
                <w:color w:val="auto"/>
                <w:sz w:val="21"/>
                <w:szCs w:val="21"/>
                <w:highlight w:val="none"/>
              </w:rPr>
            </w:pPr>
            <w:r>
              <w:rPr>
                <w:color w:val="auto"/>
                <w:spacing w:val="1"/>
                <w:sz w:val="21"/>
                <w:szCs w:val="21"/>
                <w:highlight w:val="none"/>
              </w:rPr>
              <w:t>万元</w:t>
            </w:r>
          </w:p>
        </w:tc>
        <w:tc>
          <w:tcPr>
            <w:tcW w:w="1234" w:type="dxa"/>
            <w:shd w:val="clear" w:color="auto" w:fill="B8CCE4"/>
          </w:tcPr>
          <w:p w14:paraId="7CD5AFBA">
            <w:pPr>
              <w:pStyle w:val="39"/>
              <w:spacing w:before="203" w:line="239" w:lineRule="auto"/>
              <w:ind w:left="175"/>
              <w:rPr>
                <w:color w:val="auto"/>
                <w:sz w:val="21"/>
                <w:szCs w:val="21"/>
                <w:highlight w:val="none"/>
              </w:rPr>
            </w:pPr>
            <w:r>
              <w:rPr>
                <w:color w:val="auto"/>
                <w:spacing w:val="7"/>
                <w:sz w:val="21"/>
                <w:szCs w:val="21"/>
                <w:highlight w:val="none"/>
              </w:rPr>
              <w:t>Y≥5000</w:t>
            </w:r>
          </w:p>
        </w:tc>
        <w:tc>
          <w:tcPr>
            <w:tcW w:w="1946" w:type="dxa"/>
            <w:shd w:val="clear" w:color="auto" w:fill="B8CCE4"/>
          </w:tcPr>
          <w:p w14:paraId="1A408F30">
            <w:pPr>
              <w:pStyle w:val="39"/>
              <w:spacing w:before="204" w:line="237" w:lineRule="auto"/>
              <w:ind w:left="226"/>
              <w:rPr>
                <w:color w:val="auto"/>
                <w:sz w:val="21"/>
                <w:szCs w:val="21"/>
                <w:highlight w:val="none"/>
              </w:rPr>
            </w:pPr>
            <w:r>
              <w:rPr>
                <w:color w:val="auto"/>
                <w:spacing w:val="6"/>
                <w:sz w:val="21"/>
                <w:szCs w:val="21"/>
                <w:highlight w:val="none"/>
              </w:rPr>
              <w:t>1000≤Y＜5000</w:t>
            </w:r>
          </w:p>
        </w:tc>
        <w:tc>
          <w:tcPr>
            <w:tcW w:w="1741" w:type="dxa"/>
            <w:shd w:val="clear" w:color="auto" w:fill="B8CCE4"/>
          </w:tcPr>
          <w:p w14:paraId="13F060D1">
            <w:pPr>
              <w:pStyle w:val="39"/>
              <w:spacing w:before="204" w:line="237" w:lineRule="auto"/>
              <w:ind w:left="186"/>
              <w:rPr>
                <w:color w:val="auto"/>
                <w:sz w:val="21"/>
                <w:szCs w:val="21"/>
                <w:highlight w:val="none"/>
              </w:rPr>
            </w:pPr>
            <w:r>
              <w:rPr>
                <w:color w:val="auto"/>
                <w:spacing w:val="1"/>
                <w:sz w:val="21"/>
                <w:szCs w:val="21"/>
                <w:highlight w:val="none"/>
              </w:rPr>
              <w:t>500≤Y＜</w:t>
            </w:r>
            <w:r>
              <w:rPr>
                <w:color w:val="auto"/>
                <w:spacing w:val="-42"/>
                <w:sz w:val="21"/>
                <w:szCs w:val="21"/>
                <w:highlight w:val="none"/>
              </w:rPr>
              <w:t xml:space="preserve"> </w:t>
            </w:r>
            <w:r>
              <w:rPr>
                <w:color w:val="auto"/>
                <w:spacing w:val="1"/>
                <w:sz w:val="21"/>
                <w:szCs w:val="21"/>
                <w:highlight w:val="none"/>
              </w:rPr>
              <w:t>1000</w:t>
            </w:r>
          </w:p>
        </w:tc>
        <w:tc>
          <w:tcPr>
            <w:tcW w:w="1020" w:type="dxa"/>
            <w:shd w:val="clear" w:color="auto" w:fill="B8CCE4"/>
          </w:tcPr>
          <w:p w14:paraId="4FB51DC2">
            <w:pPr>
              <w:pStyle w:val="39"/>
              <w:spacing w:before="203" w:line="241" w:lineRule="auto"/>
              <w:ind w:left="168"/>
              <w:rPr>
                <w:color w:val="auto"/>
                <w:sz w:val="21"/>
                <w:szCs w:val="21"/>
                <w:highlight w:val="none"/>
              </w:rPr>
            </w:pPr>
            <w:r>
              <w:rPr>
                <w:color w:val="auto"/>
                <w:spacing w:val="6"/>
                <w:sz w:val="21"/>
                <w:szCs w:val="21"/>
                <w:highlight w:val="none"/>
              </w:rPr>
              <w:t>Y＜500</w:t>
            </w:r>
          </w:p>
        </w:tc>
      </w:tr>
      <w:tr w14:paraId="7E67E178">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8" w:hRule="atLeast"/>
          <w:jc w:val="center"/>
        </w:trPr>
        <w:tc>
          <w:tcPr>
            <w:tcW w:w="1141" w:type="dxa"/>
            <w:vMerge w:val="restart"/>
            <w:tcBorders>
              <w:bottom w:val="nil"/>
            </w:tcBorders>
          </w:tcPr>
          <w:p w14:paraId="7D8D1730">
            <w:pPr>
              <w:spacing w:line="277" w:lineRule="auto"/>
              <w:rPr>
                <w:color w:val="auto"/>
                <w:highlight w:val="none"/>
              </w:rPr>
            </w:pPr>
          </w:p>
          <w:p w14:paraId="6DE785A7">
            <w:pPr>
              <w:pStyle w:val="39"/>
              <w:spacing w:before="68" w:line="276" w:lineRule="auto"/>
              <w:ind w:left="127" w:right="125"/>
              <w:rPr>
                <w:color w:val="auto"/>
                <w:sz w:val="21"/>
                <w:szCs w:val="21"/>
                <w:highlight w:val="none"/>
              </w:rPr>
            </w:pPr>
            <w:r>
              <w:rPr>
                <w:color w:val="auto"/>
                <w:spacing w:val="9"/>
                <w:sz w:val="21"/>
                <w:szCs w:val="21"/>
                <w:highlight w:val="none"/>
              </w:rPr>
              <w:t>租赁和商务服务业</w:t>
            </w:r>
          </w:p>
        </w:tc>
        <w:tc>
          <w:tcPr>
            <w:tcW w:w="1480" w:type="dxa"/>
          </w:tcPr>
          <w:p w14:paraId="45463B61">
            <w:pPr>
              <w:pStyle w:val="39"/>
              <w:spacing w:before="200" w:line="221" w:lineRule="auto"/>
              <w:ind w:left="136"/>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6" w:type="dxa"/>
            <w:tcBorders>
              <w:top w:val="nil"/>
              <w:left w:val="nil"/>
              <w:bottom w:val="nil"/>
              <w:right w:val="nil"/>
            </w:tcBorders>
          </w:tcPr>
          <w:p w14:paraId="63FD9E2C">
            <w:pPr>
              <w:rPr>
                <w:color w:val="auto"/>
                <w:highlight w:val="none"/>
              </w:rPr>
            </w:pPr>
          </w:p>
        </w:tc>
        <w:tc>
          <w:tcPr>
            <w:tcW w:w="720" w:type="dxa"/>
            <w:tcBorders>
              <w:left w:val="nil"/>
            </w:tcBorders>
          </w:tcPr>
          <w:p w14:paraId="03C0EB1B">
            <w:pPr>
              <w:pStyle w:val="39"/>
              <w:spacing w:before="200" w:line="223" w:lineRule="auto"/>
              <w:ind w:left="202"/>
              <w:rPr>
                <w:color w:val="auto"/>
                <w:sz w:val="21"/>
                <w:szCs w:val="21"/>
                <w:highlight w:val="none"/>
              </w:rPr>
            </w:pPr>
            <w:r>
              <w:rPr>
                <w:color w:val="auto"/>
                <w:sz w:val="21"/>
                <w:szCs w:val="21"/>
                <w:highlight w:val="none"/>
              </w:rPr>
              <w:t>人</w:t>
            </w:r>
          </w:p>
        </w:tc>
        <w:tc>
          <w:tcPr>
            <w:tcW w:w="1234" w:type="dxa"/>
          </w:tcPr>
          <w:p w14:paraId="066902DF">
            <w:pPr>
              <w:pStyle w:val="39"/>
              <w:spacing w:before="199" w:line="239" w:lineRule="auto"/>
              <w:ind w:left="234"/>
              <w:rPr>
                <w:color w:val="auto"/>
                <w:sz w:val="21"/>
                <w:szCs w:val="21"/>
                <w:highlight w:val="none"/>
              </w:rPr>
            </w:pPr>
            <w:r>
              <w:rPr>
                <w:color w:val="auto"/>
                <w:spacing w:val="6"/>
                <w:sz w:val="21"/>
                <w:szCs w:val="21"/>
                <w:highlight w:val="none"/>
              </w:rPr>
              <w:t>X≥300</w:t>
            </w:r>
          </w:p>
        </w:tc>
        <w:tc>
          <w:tcPr>
            <w:tcW w:w="1946" w:type="dxa"/>
          </w:tcPr>
          <w:p w14:paraId="58A5C94A">
            <w:pPr>
              <w:pStyle w:val="39"/>
              <w:spacing w:before="200" w:line="237" w:lineRule="auto"/>
              <w:ind w:left="338"/>
              <w:rPr>
                <w:color w:val="auto"/>
                <w:sz w:val="21"/>
                <w:szCs w:val="21"/>
                <w:highlight w:val="none"/>
              </w:rPr>
            </w:pPr>
            <w:r>
              <w:rPr>
                <w:color w:val="auto"/>
                <w:spacing w:val="6"/>
                <w:sz w:val="21"/>
                <w:szCs w:val="21"/>
                <w:highlight w:val="none"/>
              </w:rPr>
              <w:t>100≤X＜300</w:t>
            </w:r>
          </w:p>
        </w:tc>
        <w:tc>
          <w:tcPr>
            <w:tcW w:w="1741" w:type="dxa"/>
          </w:tcPr>
          <w:p w14:paraId="0839CDAF">
            <w:pPr>
              <w:pStyle w:val="39"/>
              <w:spacing w:before="200" w:line="237" w:lineRule="auto"/>
              <w:ind w:left="310"/>
              <w:rPr>
                <w:color w:val="auto"/>
                <w:sz w:val="21"/>
                <w:szCs w:val="21"/>
                <w:highlight w:val="none"/>
              </w:rPr>
            </w:pPr>
            <w:r>
              <w:rPr>
                <w:color w:val="auto"/>
                <w:spacing w:val="-2"/>
                <w:sz w:val="21"/>
                <w:szCs w:val="21"/>
                <w:highlight w:val="none"/>
              </w:rPr>
              <w:t>10≤X＜</w:t>
            </w:r>
            <w:r>
              <w:rPr>
                <w:color w:val="auto"/>
                <w:spacing w:val="-40"/>
                <w:sz w:val="21"/>
                <w:szCs w:val="21"/>
                <w:highlight w:val="none"/>
              </w:rPr>
              <w:t xml:space="preserve"> </w:t>
            </w:r>
            <w:r>
              <w:rPr>
                <w:color w:val="auto"/>
                <w:spacing w:val="-2"/>
                <w:sz w:val="21"/>
                <w:szCs w:val="21"/>
                <w:highlight w:val="none"/>
              </w:rPr>
              <w:t>100</w:t>
            </w:r>
          </w:p>
        </w:tc>
        <w:tc>
          <w:tcPr>
            <w:tcW w:w="1020" w:type="dxa"/>
          </w:tcPr>
          <w:p w14:paraId="1711E541">
            <w:pPr>
              <w:pStyle w:val="39"/>
              <w:spacing w:before="199" w:line="241" w:lineRule="auto"/>
              <w:ind w:left="227"/>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r w14:paraId="1C86F12A">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595" w:hRule="atLeast"/>
          <w:jc w:val="center"/>
        </w:trPr>
        <w:tc>
          <w:tcPr>
            <w:tcW w:w="1141" w:type="dxa"/>
            <w:vMerge w:val="continue"/>
            <w:tcBorders>
              <w:top w:val="nil"/>
            </w:tcBorders>
          </w:tcPr>
          <w:p w14:paraId="2DB4561B">
            <w:pPr>
              <w:rPr>
                <w:color w:val="auto"/>
                <w:highlight w:val="none"/>
              </w:rPr>
            </w:pPr>
          </w:p>
        </w:tc>
        <w:tc>
          <w:tcPr>
            <w:tcW w:w="1480" w:type="dxa"/>
            <w:shd w:val="clear" w:color="auto" w:fill="B8CCE4"/>
          </w:tcPr>
          <w:p w14:paraId="5676D36A">
            <w:pPr>
              <w:pStyle w:val="39"/>
              <w:spacing w:before="196" w:line="221" w:lineRule="auto"/>
              <w:ind w:left="143"/>
              <w:rPr>
                <w:color w:val="auto"/>
                <w:sz w:val="21"/>
                <w:szCs w:val="21"/>
                <w:highlight w:val="none"/>
              </w:rPr>
            </w:pPr>
            <w:r>
              <w:rPr>
                <w:color w:val="auto"/>
                <w:spacing w:val="8"/>
                <w:sz w:val="21"/>
                <w:szCs w:val="21"/>
                <w:highlight w:val="none"/>
              </w:rPr>
              <w:t>资产总额(Z)</w:t>
            </w:r>
          </w:p>
        </w:tc>
        <w:tc>
          <w:tcPr>
            <w:tcW w:w="76" w:type="dxa"/>
            <w:tcBorders>
              <w:top w:val="nil"/>
              <w:left w:val="nil"/>
              <w:bottom w:val="nil"/>
              <w:right w:val="nil"/>
            </w:tcBorders>
          </w:tcPr>
          <w:p w14:paraId="4971EB4B">
            <w:pPr>
              <w:rPr>
                <w:color w:val="auto"/>
                <w:highlight w:val="none"/>
              </w:rPr>
            </w:pPr>
          </w:p>
        </w:tc>
        <w:tc>
          <w:tcPr>
            <w:tcW w:w="720" w:type="dxa"/>
            <w:tcBorders>
              <w:left w:val="nil"/>
            </w:tcBorders>
            <w:shd w:val="clear" w:color="auto" w:fill="B8CCE4"/>
          </w:tcPr>
          <w:p w14:paraId="628061E7">
            <w:pPr>
              <w:pStyle w:val="39"/>
              <w:spacing w:before="197" w:line="221" w:lineRule="auto"/>
              <w:ind w:left="93"/>
              <w:rPr>
                <w:color w:val="auto"/>
                <w:sz w:val="21"/>
                <w:szCs w:val="21"/>
                <w:highlight w:val="none"/>
              </w:rPr>
            </w:pPr>
            <w:r>
              <w:rPr>
                <w:color w:val="auto"/>
                <w:spacing w:val="1"/>
                <w:sz w:val="21"/>
                <w:szCs w:val="21"/>
                <w:highlight w:val="none"/>
              </w:rPr>
              <w:t>万元</w:t>
            </w:r>
          </w:p>
        </w:tc>
        <w:tc>
          <w:tcPr>
            <w:tcW w:w="1234" w:type="dxa"/>
            <w:shd w:val="clear" w:color="auto" w:fill="B8CCE4"/>
          </w:tcPr>
          <w:p w14:paraId="4BBC4D55">
            <w:pPr>
              <w:pStyle w:val="39"/>
              <w:spacing w:before="196" w:line="239" w:lineRule="auto"/>
              <w:ind w:left="65"/>
              <w:rPr>
                <w:color w:val="auto"/>
                <w:sz w:val="21"/>
                <w:szCs w:val="21"/>
                <w:highlight w:val="none"/>
              </w:rPr>
            </w:pPr>
            <w:r>
              <w:rPr>
                <w:color w:val="auto"/>
                <w:spacing w:val="6"/>
                <w:sz w:val="21"/>
                <w:szCs w:val="21"/>
                <w:highlight w:val="none"/>
              </w:rPr>
              <w:t>Z≥120000</w:t>
            </w:r>
          </w:p>
        </w:tc>
        <w:tc>
          <w:tcPr>
            <w:tcW w:w="1946" w:type="dxa"/>
            <w:shd w:val="clear" w:color="auto" w:fill="B8CCE4"/>
          </w:tcPr>
          <w:p w14:paraId="1210E078">
            <w:pPr>
              <w:pStyle w:val="39"/>
              <w:spacing w:before="196" w:line="237" w:lineRule="auto"/>
              <w:ind w:left="98"/>
              <w:rPr>
                <w:color w:val="auto"/>
                <w:sz w:val="21"/>
                <w:szCs w:val="21"/>
                <w:highlight w:val="none"/>
              </w:rPr>
            </w:pPr>
            <w:r>
              <w:rPr>
                <w:color w:val="auto"/>
                <w:spacing w:val="2"/>
                <w:sz w:val="21"/>
                <w:szCs w:val="21"/>
                <w:highlight w:val="none"/>
              </w:rPr>
              <w:t>8000≤Z＜</w:t>
            </w:r>
            <w:r>
              <w:rPr>
                <w:color w:val="auto"/>
                <w:spacing w:val="-31"/>
                <w:sz w:val="21"/>
                <w:szCs w:val="21"/>
                <w:highlight w:val="none"/>
              </w:rPr>
              <w:t xml:space="preserve"> </w:t>
            </w:r>
            <w:r>
              <w:rPr>
                <w:color w:val="auto"/>
                <w:spacing w:val="2"/>
                <w:sz w:val="21"/>
                <w:szCs w:val="21"/>
                <w:highlight w:val="none"/>
              </w:rPr>
              <w:t>120000</w:t>
            </w:r>
          </w:p>
        </w:tc>
        <w:tc>
          <w:tcPr>
            <w:tcW w:w="1741" w:type="dxa"/>
            <w:shd w:val="clear" w:color="auto" w:fill="B8CCE4"/>
          </w:tcPr>
          <w:p w14:paraId="614AA102">
            <w:pPr>
              <w:pStyle w:val="39"/>
              <w:spacing w:before="196" w:line="237" w:lineRule="auto"/>
              <w:ind w:left="197"/>
              <w:rPr>
                <w:color w:val="auto"/>
                <w:sz w:val="21"/>
                <w:szCs w:val="21"/>
                <w:highlight w:val="none"/>
              </w:rPr>
            </w:pPr>
            <w:r>
              <w:rPr>
                <w:color w:val="auto"/>
                <w:spacing w:val="6"/>
                <w:sz w:val="21"/>
                <w:szCs w:val="21"/>
                <w:highlight w:val="none"/>
              </w:rPr>
              <w:t>100≤Z＜8000</w:t>
            </w:r>
          </w:p>
        </w:tc>
        <w:tc>
          <w:tcPr>
            <w:tcW w:w="1020" w:type="dxa"/>
            <w:shd w:val="clear" w:color="auto" w:fill="B8CCE4"/>
          </w:tcPr>
          <w:p w14:paraId="7EA69DF8">
            <w:pPr>
              <w:pStyle w:val="39"/>
              <w:spacing w:before="196" w:line="241" w:lineRule="auto"/>
              <w:ind w:left="171"/>
              <w:rPr>
                <w:color w:val="auto"/>
                <w:sz w:val="21"/>
                <w:szCs w:val="21"/>
                <w:highlight w:val="none"/>
              </w:rPr>
            </w:pPr>
            <w:r>
              <w:rPr>
                <w:color w:val="auto"/>
                <w:spacing w:val="-6"/>
                <w:sz w:val="21"/>
                <w:szCs w:val="21"/>
                <w:highlight w:val="none"/>
              </w:rPr>
              <w:t>Z＜</w:t>
            </w:r>
            <w:r>
              <w:rPr>
                <w:color w:val="auto"/>
                <w:spacing w:val="-42"/>
                <w:sz w:val="21"/>
                <w:szCs w:val="21"/>
                <w:highlight w:val="none"/>
              </w:rPr>
              <w:t xml:space="preserve"> </w:t>
            </w:r>
            <w:r>
              <w:rPr>
                <w:color w:val="auto"/>
                <w:spacing w:val="-6"/>
                <w:sz w:val="21"/>
                <w:szCs w:val="21"/>
                <w:highlight w:val="none"/>
              </w:rPr>
              <w:t>100</w:t>
            </w:r>
          </w:p>
        </w:tc>
      </w:tr>
      <w:tr w14:paraId="32654341">
        <w:tblPrEx>
          <w:tblBorders>
            <w:top w:val="single" w:color="4F81BD" w:sz="4" w:space="0"/>
            <w:left w:val="single" w:color="4F81BD" w:sz="4" w:space="0"/>
            <w:bottom w:val="single" w:color="4F81BD" w:sz="4" w:space="0"/>
            <w:right w:val="single" w:color="4F81BD" w:sz="4" w:space="0"/>
            <w:insideH w:val="single" w:color="4F81BD" w:sz="4" w:space="0"/>
            <w:insideV w:val="single" w:color="4F81BD" w:sz="4" w:space="0"/>
          </w:tblBorders>
          <w:tblCellMar>
            <w:top w:w="0" w:type="dxa"/>
            <w:left w:w="0" w:type="dxa"/>
            <w:bottom w:w="0" w:type="dxa"/>
            <w:right w:w="0" w:type="dxa"/>
          </w:tblCellMar>
        </w:tblPrEx>
        <w:trPr>
          <w:trHeight w:val="677" w:hRule="atLeast"/>
          <w:jc w:val="center"/>
        </w:trPr>
        <w:tc>
          <w:tcPr>
            <w:tcW w:w="1141" w:type="dxa"/>
          </w:tcPr>
          <w:p w14:paraId="1CF2AC3E">
            <w:pPr>
              <w:pStyle w:val="39"/>
              <w:spacing w:before="79" w:line="221" w:lineRule="auto"/>
              <w:ind w:left="126"/>
              <w:rPr>
                <w:color w:val="auto"/>
                <w:sz w:val="21"/>
                <w:szCs w:val="21"/>
                <w:highlight w:val="none"/>
              </w:rPr>
            </w:pPr>
            <w:r>
              <w:rPr>
                <w:color w:val="auto"/>
                <w:spacing w:val="9"/>
                <w:sz w:val="21"/>
                <w:szCs w:val="21"/>
                <w:highlight w:val="none"/>
              </w:rPr>
              <w:t>其他未列</w:t>
            </w:r>
          </w:p>
          <w:p w14:paraId="4D1ACA3B">
            <w:pPr>
              <w:pStyle w:val="39"/>
              <w:spacing w:before="59" w:line="221" w:lineRule="auto"/>
              <w:ind w:left="200"/>
              <w:rPr>
                <w:color w:val="auto"/>
                <w:sz w:val="21"/>
                <w:szCs w:val="21"/>
                <w:highlight w:val="none"/>
              </w:rPr>
            </w:pPr>
            <w:r>
              <w:rPr>
                <w:color w:val="auto"/>
                <w:spacing w:val="4"/>
                <w:sz w:val="21"/>
                <w:szCs w:val="21"/>
                <w:highlight w:val="none"/>
              </w:rPr>
              <w:t>明行业*</w:t>
            </w:r>
          </w:p>
        </w:tc>
        <w:tc>
          <w:tcPr>
            <w:tcW w:w="1480" w:type="dxa"/>
          </w:tcPr>
          <w:p w14:paraId="362BC319">
            <w:pPr>
              <w:pStyle w:val="39"/>
              <w:spacing w:before="235" w:line="221" w:lineRule="auto"/>
              <w:ind w:left="136"/>
              <w:rPr>
                <w:color w:val="auto"/>
                <w:sz w:val="21"/>
                <w:szCs w:val="21"/>
                <w:highlight w:val="none"/>
              </w:rPr>
            </w:pPr>
            <w:r>
              <w:rPr>
                <w:color w:val="auto"/>
                <w:spacing w:val="2"/>
                <w:sz w:val="21"/>
                <w:szCs w:val="21"/>
                <w:highlight w:val="none"/>
              </w:rPr>
              <w:t>从业人员</w:t>
            </w:r>
            <w:r>
              <w:rPr>
                <w:color w:val="auto"/>
                <w:spacing w:val="-43"/>
                <w:sz w:val="21"/>
                <w:szCs w:val="21"/>
                <w:highlight w:val="none"/>
              </w:rPr>
              <w:t xml:space="preserve"> </w:t>
            </w:r>
            <w:r>
              <w:rPr>
                <w:color w:val="auto"/>
                <w:spacing w:val="2"/>
                <w:sz w:val="21"/>
                <w:szCs w:val="21"/>
                <w:highlight w:val="none"/>
              </w:rPr>
              <w:t>(X)</w:t>
            </w:r>
          </w:p>
        </w:tc>
        <w:tc>
          <w:tcPr>
            <w:tcW w:w="76" w:type="dxa"/>
            <w:tcBorders>
              <w:top w:val="nil"/>
              <w:left w:val="nil"/>
              <w:bottom w:val="nil"/>
              <w:right w:val="nil"/>
            </w:tcBorders>
          </w:tcPr>
          <w:p w14:paraId="13F146D8">
            <w:pPr>
              <w:rPr>
                <w:color w:val="auto"/>
                <w:highlight w:val="none"/>
              </w:rPr>
            </w:pPr>
          </w:p>
        </w:tc>
        <w:tc>
          <w:tcPr>
            <w:tcW w:w="720" w:type="dxa"/>
            <w:tcBorders>
              <w:left w:val="nil"/>
            </w:tcBorders>
          </w:tcPr>
          <w:p w14:paraId="49F800E3">
            <w:pPr>
              <w:pStyle w:val="39"/>
              <w:spacing w:before="235" w:line="223" w:lineRule="auto"/>
              <w:ind w:left="202"/>
              <w:rPr>
                <w:color w:val="auto"/>
                <w:sz w:val="21"/>
                <w:szCs w:val="21"/>
                <w:highlight w:val="none"/>
              </w:rPr>
            </w:pPr>
            <w:r>
              <w:rPr>
                <w:color w:val="auto"/>
                <w:sz w:val="21"/>
                <w:szCs w:val="21"/>
                <w:highlight w:val="none"/>
              </w:rPr>
              <w:t>人</w:t>
            </w:r>
          </w:p>
        </w:tc>
        <w:tc>
          <w:tcPr>
            <w:tcW w:w="1234" w:type="dxa"/>
          </w:tcPr>
          <w:p w14:paraId="1F83557D">
            <w:pPr>
              <w:pStyle w:val="39"/>
              <w:spacing w:before="234" w:line="239" w:lineRule="auto"/>
              <w:ind w:left="234"/>
              <w:rPr>
                <w:color w:val="auto"/>
                <w:sz w:val="21"/>
                <w:szCs w:val="21"/>
                <w:highlight w:val="none"/>
              </w:rPr>
            </w:pPr>
            <w:r>
              <w:rPr>
                <w:color w:val="auto"/>
                <w:spacing w:val="6"/>
                <w:sz w:val="21"/>
                <w:szCs w:val="21"/>
                <w:highlight w:val="none"/>
              </w:rPr>
              <w:t>X≥300</w:t>
            </w:r>
          </w:p>
        </w:tc>
        <w:tc>
          <w:tcPr>
            <w:tcW w:w="1946" w:type="dxa"/>
          </w:tcPr>
          <w:p w14:paraId="6DC57661">
            <w:pPr>
              <w:pStyle w:val="39"/>
              <w:spacing w:before="235" w:line="237" w:lineRule="auto"/>
              <w:ind w:left="338"/>
              <w:rPr>
                <w:color w:val="auto"/>
                <w:sz w:val="21"/>
                <w:szCs w:val="21"/>
                <w:highlight w:val="none"/>
              </w:rPr>
            </w:pPr>
            <w:r>
              <w:rPr>
                <w:color w:val="auto"/>
                <w:spacing w:val="6"/>
                <w:sz w:val="21"/>
                <w:szCs w:val="21"/>
                <w:highlight w:val="none"/>
              </w:rPr>
              <w:t>100≤X＜300</w:t>
            </w:r>
          </w:p>
        </w:tc>
        <w:tc>
          <w:tcPr>
            <w:tcW w:w="1741" w:type="dxa"/>
          </w:tcPr>
          <w:p w14:paraId="209FABB9">
            <w:pPr>
              <w:pStyle w:val="39"/>
              <w:spacing w:before="235" w:line="237" w:lineRule="auto"/>
              <w:ind w:left="310"/>
              <w:rPr>
                <w:color w:val="auto"/>
                <w:sz w:val="21"/>
                <w:szCs w:val="21"/>
                <w:highlight w:val="none"/>
              </w:rPr>
            </w:pPr>
            <w:r>
              <w:rPr>
                <w:color w:val="auto"/>
                <w:spacing w:val="-2"/>
                <w:sz w:val="21"/>
                <w:szCs w:val="21"/>
                <w:highlight w:val="none"/>
              </w:rPr>
              <w:t>10≤X＜</w:t>
            </w:r>
            <w:r>
              <w:rPr>
                <w:color w:val="auto"/>
                <w:spacing w:val="-40"/>
                <w:sz w:val="21"/>
                <w:szCs w:val="21"/>
                <w:highlight w:val="none"/>
              </w:rPr>
              <w:t xml:space="preserve"> </w:t>
            </w:r>
            <w:r>
              <w:rPr>
                <w:color w:val="auto"/>
                <w:spacing w:val="-2"/>
                <w:sz w:val="21"/>
                <w:szCs w:val="21"/>
                <w:highlight w:val="none"/>
              </w:rPr>
              <w:t>100</w:t>
            </w:r>
          </w:p>
        </w:tc>
        <w:tc>
          <w:tcPr>
            <w:tcW w:w="1020" w:type="dxa"/>
          </w:tcPr>
          <w:p w14:paraId="0A046DE7">
            <w:pPr>
              <w:pStyle w:val="39"/>
              <w:spacing w:before="234" w:line="241" w:lineRule="auto"/>
              <w:ind w:left="227"/>
              <w:rPr>
                <w:color w:val="auto"/>
                <w:sz w:val="21"/>
                <w:szCs w:val="21"/>
                <w:highlight w:val="none"/>
              </w:rPr>
            </w:pPr>
            <w:r>
              <w:rPr>
                <w:color w:val="auto"/>
                <w:spacing w:val="-8"/>
                <w:sz w:val="21"/>
                <w:szCs w:val="21"/>
                <w:highlight w:val="none"/>
              </w:rPr>
              <w:t>X＜</w:t>
            </w:r>
            <w:r>
              <w:rPr>
                <w:color w:val="auto"/>
                <w:spacing w:val="-41"/>
                <w:sz w:val="21"/>
                <w:szCs w:val="21"/>
                <w:highlight w:val="none"/>
              </w:rPr>
              <w:t xml:space="preserve"> </w:t>
            </w:r>
            <w:r>
              <w:rPr>
                <w:color w:val="auto"/>
                <w:spacing w:val="-8"/>
                <w:sz w:val="21"/>
                <w:szCs w:val="21"/>
                <w:highlight w:val="none"/>
              </w:rPr>
              <w:t>10</w:t>
            </w:r>
          </w:p>
        </w:tc>
      </w:tr>
    </w:tbl>
    <w:p w14:paraId="2382290E">
      <w:pPr>
        <w:spacing w:before="177" w:line="386" w:lineRule="auto"/>
        <w:ind w:left="290" w:right="271" w:firstLine="428"/>
        <w:rPr>
          <w:rFonts w:ascii="宋体" w:hAnsi="宋体" w:eastAsia="宋体" w:cs="宋体"/>
          <w:color w:val="auto"/>
          <w:sz w:val="22"/>
          <w:highlight w:val="none"/>
        </w:rPr>
      </w:pPr>
      <w:r>
        <w:rPr>
          <w:rFonts w:ascii="宋体" w:hAnsi="宋体" w:eastAsia="宋体" w:cs="宋体"/>
          <w:color w:val="auto"/>
          <w:spacing w:val="-1"/>
          <w:sz w:val="22"/>
          <w:highlight w:val="none"/>
        </w:rPr>
        <w:t>说明：1.大型、中型和小型企业须</w:t>
      </w:r>
      <w:r>
        <w:rPr>
          <w:rFonts w:ascii="宋体" w:hAnsi="宋体" w:eastAsia="宋体" w:cs="宋体"/>
          <w:b/>
          <w:bCs/>
          <w:color w:val="auto"/>
          <w:spacing w:val="-1"/>
          <w:sz w:val="22"/>
          <w:highlight w:val="none"/>
        </w:rPr>
        <w:t>同时满足所列指标的下限，否则下划一档</w:t>
      </w:r>
      <w:r>
        <w:rPr>
          <w:rFonts w:ascii="宋体" w:hAnsi="宋体" w:eastAsia="宋体" w:cs="宋体"/>
          <w:color w:val="auto"/>
          <w:spacing w:val="-1"/>
          <w:sz w:val="22"/>
          <w:highlight w:val="none"/>
        </w:rPr>
        <w:t>；微型企业</w:t>
      </w:r>
      <w:r>
        <w:rPr>
          <w:rFonts w:ascii="宋体" w:hAnsi="宋体" w:eastAsia="宋体" w:cs="宋体"/>
          <w:color w:val="auto"/>
          <w:spacing w:val="-3"/>
          <w:sz w:val="22"/>
          <w:highlight w:val="none"/>
        </w:rPr>
        <w:t>只须满足所列指标中的一项即可。</w:t>
      </w:r>
    </w:p>
    <w:p w14:paraId="732DA599">
      <w:pPr>
        <w:spacing w:before="4" w:line="365" w:lineRule="auto"/>
        <w:ind w:left="277" w:right="264" w:firstLine="441"/>
        <w:rPr>
          <w:rFonts w:ascii="宋体" w:hAnsi="宋体" w:eastAsia="宋体" w:cs="宋体"/>
          <w:color w:val="auto"/>
          <w:sz w:val="22"/>
          <w:highlight w:val="none"/>
        </w:rPr>
      </w:pPr>
      <w:r>
        <w:rPr>
          <w:rFonts w:ascii="宋体" w:hAnsi="宋体" w:eastAsia="宋体" w:cs="宋体"/>
          <w:color w:val="auto"/>
          <w:spacing w:val="1"/>
          <w:sz w:val="22"/>
          <w:highlight w:val="none"/>
        </w:rPr>
        <w:t>2.附表中各行业的范围以《国民经济行业分类》（</w:t>
      </w:r>
      <w:r>
        <w:rPr>
          <w:rFonts w:ascii="宋体" w:hAnsi="宋体" w:eastAsia="宋体" w:cs="宋体"/>
          <w:color w:val="auto"/>
          <w:sz w:val="22"/>
          <w:highlight w:val="none"/>
        </w:rPr>
        <w:t>GB</w:t>
      </w:r>
      <w:r>
        <w:rPr>
          <w:rFonts w:ascii="宋体" w:hAnsi="宋体" w:eastAsia="宋体" w:cs="宋体"/>
          <w:color w:val="auto"/>
          <w:spacing w:val="1"/>
          <w:sz w:val="22"/>
          <w:highlight w:val="none"/>
        </w:rPr>
        <w:t>/T47</w:t>
      </w:r>
      <w:r>
        <w:rPr>
          <w:rFonts w:ascii="宋体" w:hAnsi="宋体" w:eastAsia="宋体" w:cs="宋体"/>
          <w:color w:val="auto"/>
          <w:sz w:val="22"/>
          <w:highlight w:val="none"/>
        </w:rPr>
        <w:t>54-2017）为准。</w:t>
      </w:r>
      <w:r>
        <w:rPr>
          <w:rFonts w:ascii="宋体" w:hAnsi="宋体" w:eastAsia="宋体" w:cs="宋体"/>
          <w:b/>
          <w:bCs/>
          <w:color w:val="auto"/>
          <w:sz w:val="22"/>
          <w:highlight w:val="none"/>
        </w:rPr>
        <w:t>带*的项为行业组合类别</w:t>
      </w:r>
      <w:r>
        <w:rPr>
          <w:rFonts w:ascii="宋体" w:hAnsi="宋体" w:eastAsia="宋体" w:cs="宋体"/>
          <w:color w:val="auto"/>
          <w:sz w:val="22"/>
          <w:highlight w:val="none"/>
        </w:rPr>
        <w:t>，其中，</w:t>
      </w:r>
      <w:r>
        <w:rPr>
          <w:rFonts w:ascii="宋体" w:hAnsi="宋体" w:eastAsia="宋体" w:cs="宋体"/>
          <w:b/>
          <w:bCs/>
          <w:color w:val="auto"/>
          <w:sz w:val="22"/>
          <w:highlight w:val="none"/>
        </w:rPr>
        <w:t>工业</w:t>
      </w:r>
      <w:r>
        <w:rPr>
          <w:rFonts w:ascii="宋体" w:hAnsi="宋体" w:eastAsia="宋体" w:cs="宋体"/>
          <w:color w:val="auto"/>
          <w:sz w:val="22"/>
          <w:highlight w:val="none"/>
        </w:rPr>
        <w:t>包括采矿业，制造业，电力、热力、燃气及水生产和供应业；</w:t>
      </w:r>
      <w:r>
        <w:rPr>
          <w:rFonts w:ascii="宋体" w:hAnsi="宋体" w:eastAsia="宋体" w:cs="宋体"/>
          <w:b/>
          <w:bCs/>
          <w:color w:val="auto"/>
          <w:sz w:val="22"/>
          <w:highlight w:val="none"/>
        </w:rPr>
        <w:t>交</w:t>
      </w:r>
      <w:r>
        <w:rPr>
          <w:rFonts w:ascii="宋体" w:hAnsi="宋体" w:eastAsia="宋体" w:cs="宋体"/>
          <w:b/>
          <w:bCs/>
          <w:color w:val="auto"/>
          <w:spacing w:val="-5"/>
          <w:sz w:val="22"/>
          <w:highlight w:val="none"/>
        </w:rPr>
        <w:t>通运输业</w:t>
      </w:r>
      <w:r>
        <w:rPr>
          <w:rFonts w:ascii="宋体" w:hAnsi="宋体" w:eastAsia="宋体" w:cs="宋体"/>
          <w:color w:val="auto"/>
          <w:spacing w:val="-5"/>
          <w:sz w:val="22"/>
          <w:highlight w:val="none"/>
        </w:rPr>
        <w:t>包括道路运输业，水上运输业，航空运输业，管道运输业，多式联运和运输代理业、</w:t>
      </w:r>
      <w:r>
        <w:rPr>
          <w:rFonts w:ascii="宋体" w:hAnsi="宋体" w:eastAsia="宋体" w:cs="宋体"/>
          <w:color w:val="auto"/>
          <w:sz w:val="22"/>
          <w:highlight w:val="none"/>
        </w:rPr>
        <w:t>装卸搬运，不包括铁路运输业；</w:t>
      </w:r>
      <w:r>
        <w:rPr>
          <w:rFonts w:ascii="宋体" w:hAnsi="宋体" w:eastAsia="宋体" w:cs="宋体"/>
          <w:b/>
          <w:bCs/>
          <w:color w:val="auto"/>
          <w:sz w:val="22"/>
          <w:highlight w:val="none"/>
        </w:rPr>
        <w:t>仓储业</w:t>
      </w:r>
      <w:r>
        <w:rPr>
          <w:rFonts w:ascii="宋体" w:hAnsi="宋体" w:eastAsia="宋体" w:cs="宋体"/>
          <w:color w:val="auto"/>
          <w:sz w:val="22"/>
          <w:highlight w:val="none"/>
        </w:rPr>
        <w:t>包括通用仓储，低温仓储，危险品仓储，谷物、棉花</w:t>
      </w:r>
      <w:r>
        <w:rPr>
          <w:rFonts w:ascii="宋体" w:hAnsi="宋体" w:eastAsia="宋体" w:cs="宋体"/>
          <w:color w:val="auto"/>
          <w:spacing w:val="-5"/>
          <w:sz w:val="22"/>
          <w:highlight w:val="none"/>
        </w:rPr>
        <w:t>等农产品仓储，中药材仓储和其他仓储业；</w:t>
      </w:r>
      <w:r>
        <w:rPr>
          <w:rFonts w:ascii="宋体" w:hAnsi="宋体" w:eastAsia="宋体" w:cs="宋体"/>
          <w:b/>
          <w:bCs/>
          <w:color w:val="auto"/>
          <w:spacing w:val="-5"/>
          <w:sz w:val="22"/>
          <w:highlight w:val="none"/>
        </w:rPr>
        <w:t>信息传输业</w:t>
      </w:r>
      <w:r>
        <w:rPr>
          <w:rFonts w:ascii="宋体" w:hAnsi="宋体" w:eastAsia="宋体" w:cs="宋体"/>
          <w:color w:val="auto"/>
          <w:spacing w:val="-5"/>
          <w:sz w:val="22"/>
          <w:highlight w:val="none"/>
        </w:rPr>
        <w:t>包括电信、广播电视和卫星传输服务，</w:t>
      </w:r>
      <w:r>
        <w:rPr>
          <w:rFonts w:ascii="宋体" w:hAnsi="宋体" w:eastAsia="宋体" w:cs="宋体"/>
          <w:color w:val="auto"/>
          <w:sz w:val="22"/>
          <w:highlight w:val="none"/>
        </w:rPr>
        <w:t>互联网和相关服务；</w:t>
      </w:r>
      <w:r>
        <w:rPr>
          <w:rFonts w:ascii="宋体" w:hAnsi="宋体" w:eastAsia="宋体" w:cs="宋体"/>
          <w:b/>
          <w:bCs/>
          <w:color w:val="auto"/>
          <w:sz w:val="22"/>
          <w:highlight w:val="none"/>
        </w:rPr>
        <w:t>其他未列明行业</w:t>
      </w:r>
      <w:r>
        <w:rPr>
          <w:rFonts w:ascii="宋体" w:hAnsi="宋体" w:eastAsia="宋体" w:cs="宋体"/>
          <w:color w:val="auto"/>
          <w:sz w:val="22"/>
          <w:highlight w:val="none"/>
        </w:rPr>
        <w:t>包括科学研究和技术服务业，水利、环境和公共设施管</w:t>
      </w:r>
      <w:r>
        <w:rPr>
          <w:rFonts w:ascii="宋体" w:hAnsi="宋体" w:eastAsia="宋体" w:cs="宋体"/>
          <w:color w:val="auto"/>
          <w:spacing w:val="1"/>
          <w:sz w:val="22"/>
          <w:highlight w:val="none"/>
        </w:rPr>
        <w:t>理业，居民服务、修理和其他服务业，社会工作，</w:t>
      </w:r>
      <w:r>
        <w:rPr>
          <w:rFonts w:ascii="宋体" w:hAnsi="宋体" w:eastAsia="宋体" w:cs="宋体"/>
          <w:color w:val="auto"/>
          <w:sz w:val="22"/>
          <w:highlight w:val="none"/>
        </w:rPr>
        <w:t>文化、体育和娱乐业，以及房地产中介服</w:t>
      </w:r>
      <w:r>
        <w:rPr>
          <w:rFonts w:ascii="宋体" w:hAnsi="宋体" w:eastAsia="宋体" w:cs="宋体"/>
          <w:color w:val="auto"/>
          <w:spacing w:val="-1"/>
          <w:sz w:val="22"/>
          <w:highlight w:val="none"/>
        </w:rPr>
        <w:t>务，其他房地产业等，不包括自有房地产经营活动。</w:t>
      </w:r>
    </w:p>
    <w:p w14:paraId="68CB5339">
      <w:pPr>
        <w:spacing w:before="198" w:line="221" w:lineRule="auto"/>
        <w:ind w:left="720"/>
        <w:rPr>
          <w:rFonts w:ascii="宋体" w:hAnsi="宋体" w:eastAsia="宋体" w:cs="宋体"/>
          <w:color w:val="auto"/>
          <w:sz w:val="22"/>
          <w:highlight w:val="none"/>
        </w:rPr>
      </w:pPr>
      <w:r>
        <w:rPr>
          <w:rFonts w:ascii="宋体" w:hAnsi="宋体" w:eastAsia="宋体" w:cs="宋体"/>
          <w:color w:val="auto"/>
          <w:spacing w:val="-2"/>
          <w:sz w:val="22"/>
          <w:highlight w:val="none"/>
        </w:rPr>
        <w:t>3.企业划分指标以现行统计制度为准。</w:t>
      </w:r>
    </w:p>
    <w:p w14:paraId="30FBA9BE">
      <w:pPr>
        <w:spacing w:before="196" w:line="303" w:lineRule="auto"/>
        <w:ind w:left="286" w:right="279" w:firstLine="435"/>
        <w:rPr>
          <w:rFonts w:ascii="宋体" w:hAnsi="宋体" w:eastAsia="宋体" w:cs="宋体"/>
          <w:color w:val="auto"/>
          <w:sz w:val="22"/>
          <w:highlight w:val="none"/>
        </w:rPr>
      </w:pPr>
      <w:r>
        <w:rPr>
          <w:rFonts w:ascii="宋体" w:hAnsi="宋体" w:eastAsia="宋体" w:cs="宋体"/>
          <w:color w:val="auto"/>
          <w:spacing w:val="-3"/>
          <w:sz w:val="22"/>
          <w:highlight w:val="none"/>
        </w:rPr>
        <w:t>（1）从业人员，是指期末从业人员数，没有期末从业人员数的，采用全年平均人员数代</w:t>
      </w:r>
      <w:r>
        <w:rPr>
          <w:rFonts w:ascii="宋体" w:hAnsi="宋体" w:eastAsia="宋体" w:cs="宋体"/>
          <w:color w:val="auto"/>
          <w:spacing w:val="-13"/>
          <w:sz w:val="22"/>
          <w:highlight w:val="none"/>
        </w:rPr>
        <w:t>替。</w:t>
      </w:r>
    </w:p>
    <w:p w14:paraId="39BAB27C">
      <w:pPr>
        <w:spacing w:before="198" w:line="302" w:lineRule="auto"/>
        <w:ind w:left="277" w:right="267" w:firstLine="445"/>
        <w:rPr>
          <w:rFonts w:ascii="宋体" w:hAnsi="宋体" w:eastAsia="宋体" w:cs="宋体"/>
          <w:color w:val="auto"/>
          <w:sz w:val="22"/>
          <w:highlight w:val="none"/>
        </w:rPr>
      </w:pPr>
      <w:r>
        <w:rPr>
          <w:rFonts w:ascii="宋体" w:hAnsi="宋体" w:eastAsia="宋体" w:cs="宋体"/>
          <w:color w:val="auto"/>
          <w:spacing w:val="-2"/>
          <w:sz w:val="22"/>
          <w:highlight w:val="none"/>
        </w:rPr>
        <w:t>（2）营业收入，工业、建筑业、限额以上批发和零</w:t>
      </w:r>
      <w:r>
        <w:rPr>
          <w:rFonts w:ascii="宋体" w:hAnsi="宋体" w:eastAsia="宋体" w:cs="宋体"/>
          <w:color w:val="auto"/>
          <w:spacing w:val="-3"/>
          <w:sz w:val="22"/>
          <w:highlight w:val="none"/>
        </w:rPr>
        <w:t>售业、限额以上住宿和餐饮业以及其</w:t>
      </w:r>
      <w:r>
        <w:rPr>
          <w:rFonts w:ascii="宋体" w:hAnsi="宋体" w:eastAsia="宋体" w:cs="宋体"/>
          <w:color w:val="auto"/>
          <w:spacing w:val="1"/>
          <w:sz w:val="22"/>
          <w:highlight w:val="none"/>
        </w:rPr>
        <w:t>他设置主营业务收入指标的行业，采用主营业务收</w:t>
      </w:r>
      <w:r>
        <w:rPr>
          <w:rFonts w:ascii="宋体" w:hAnsi="宋体" w:eastAsia="宋体" w:cs="宋体"/>
          <w:color w:val="auto"/>
          <w:sz w:val="22"/>
          <w:highlight w:val="none"/>
        </w:rPr>
        <w:t>入；限额以下批发与零售业企业采用商品</w:t>
      </w:r>
      <w:r>
        <w:rPr>
          <w:rFonts w:ascii="宋体" w:hAnsi="宋体" w:eastAsia="宋体" w:cs="宋体"/>
          <w:color w:val="auto"/>
          <w:spacing w:val="1"/>
          <w:sz w:val="22"/>
          <w:highlight w:val="none"/>
        </w:rPr>
        <w:t>销售额代替；限额以下住宿与餐饮业企业采用营</w:t>
      </w:r>
      <w:r>
        <w:rPr>
          <w:rFonts w:ascii="宋体" w:hAnsi="宋体" w:eastAsia="宋体" w:cs="宋体"/>
          <w:color w:val="auto"/>
          <w:sz w:val="22"/>
          <w:highlight w:val="none"/>
        </w:rPr>
        <w:t>业额代替；农、林、牧、渔业企业采用营业</w:t>
      </w:r>
      <w:r>
        <w:rPr>
          <w:rFonts w:ascii="宋体" w:hAnsi="宋体" w:eastAsia="宋体" w:cs="宋体"/>
          <w:color w:val="auto"/>
          <w:spacing w:val="-1"/>
          <w:sz w:val="22"/>
          <w:highlight w:val="none"/>
        </w:rPr>
        <w:t>总收入代替；其他未设置主营业务收入的行业，采用营业收入指标。</w:t>
      </w:r>
    </w:p>
    <w:p w14:paraId="6A891932">
      <w:pPr>
        <w:spacing w:before="198" w:line="302" w:lineRule="auto"/>
        <w:ind w:left="277" w:right="267" w:firstLine="445"/>
        <w:rPr>
          <w:rFonts w:ascii="宋体" w:hAnsi="宋体" w:eastAsia="宋体" w:cs="宋体"/>
          <w:color w:val="auto"/>
          <w:sz w:val="22"/>
          <w:highlight w:val="none"/>
        </w:rPr>
      </w:pPr>
      <w:r>
        <w:rPr>
          <w:rFonts w:ascii="宋体" w:hAnsi="宋体" w:eastAsia="宋体" w:cs="宋体"/>
          <w:color w:val="auto"/>
          <w:spacing w:val="-2"/>
          <w:sz w:val="22"/>
          <w:highlight w:val="none"/>
        </w:rPr>
        <w:t>（3）资产总额，采用资产总计代替。</w:t>
      </w:r>
    </w:p>
    <w:p w14:paraId="0007AB2E">
      <w:pPr>
        <w:pStyle w:val="17"/>
        <w:widowControl/>
        <w:spacing w:before="24" w:after="24" w:line="560" w:lineRule="atLeast"/>
        <w:ind w:firstLine="420"/>
        <w:textAlignment w:val="baseline"/>
        <w:rPr>
          <w:color w:val="auto"/>
          <w:highlight w:val="none"/>
        </w:rPr>
      </w:pPr>
      <w:r>
        <w:rPr>
          <w:rFonts w:ascii="宋体" w:hAnsi="宋体" w:eastAsia="宋体" w:cs="宋体"/>
          <w:color w:val="auto"/>
          <w:spacing w:val="-2"/>
          <w:sz w:val="22"/>
          <w:highlight w:val="none"/>
        </w:rPr>
        <w:br w:type="page"/>
      </w:r>
      <w:bookmarkEnd w:id="151"/>
    </w:p>
    <w:p w14:paraId="2284C001">
      <w:pPr>
        <w:rPr>
          <w:rFonts w:hint="eastAsia" w:ascii="宋体" w:hAnsi="宋体" w:eastAsia="黑体" w:cs="宋体"/>
          <w:b/>
          <w:color w:val="auto"/>
          <w:sz w:val="24"/>
          <w:szCs w:val="24"/>
          <w:highlight w:val="none"/>
          <w:lang w:val="en-US" w:eastAsia="zh-CN"/>
        </w:rPr>
      </w:pPr>
      <w:r>
        <w:rPr>
          <w:rFonts w:ascii="黑体" w:hAnsi="黑体" w:eastAsia="黑体" w:cs="黑体"/>
          <w:color w:val="auto"/>
          <w:spacing w:val="-9"/>
          <w:sz w:val="28"/>
          <w:szCs w:val="28"/>
          <w:highlight w:val="none"/>
        </w:rPr>
        <w:t>附件</w:t>
      </w:r>
      <w:r>
        <w:rPr>
          <w:rFonts w:ascii="黑体" w:hAnsi="黑体" w:eastAsia="黑体" w:cs="黑体"/>
          <w:color w:val="auto"/>
          <w:spacing w:val="-45"/>
          <w:sz w:val="28"/>
          <w:szCs w:val="28"/>
          <w:highlight w:val="none"/>
        </w:rPr>
        <w:t xml:space="preserve"> </w:t>
      </w:r>
      <w:r>
        <w:rPr>
          <w:rFonts w:hint="eastAsia" w:ascii="黑体" w:hAnsi="黑体" w:eastAsia="黑体" w:cs="黑体"/>
          <w:color w:val="auto"/>
          <w:spacing w:val="-9"/>
          <w:sz w:val="28"/>
          <w:szCs w:val="28"/>
          <w:highlight w:val="none"/>
          <w:lang w:val="en-US" w:eastAsia="zh-CN"/>
        </w:rPr>
        <w:t>2</w:t>
      </w:r>
    </w:p>
    <w:p w14:paraId="333230C0">
      <w:pPr>
        <w:spacing w:line="48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质疑函范本</w:t>
      </w:r>
    </w:p>
    <w:p w14:paraId="62AEDFC5">
      <w:pPr>
        <w:spacing w:line="480" w:lineRule="exact"/>
        <w:ind w:firstLine="480" w:firstLineChars="200"/>
        <w:outlineLvl w:val="3"/>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一、质疑供应商基本信息</w:t>
      </w:r>
    </w:p>
    <w:p w14:paraId="28D85724">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质疑供应商：                                        </w:t>
      </w:r>
    </w:p>
    <w:p w14:paraId="50B432F7">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地址：                          邮编：                                 </w:t>
      </w:r>
    </w:p>
    <w:p w14:paraId="5F216E60">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联系人：                      联系电话：                              </w:t>
      </w:r>
    </w:p>
    <w:p w14:paraId="4A8EE0AD">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授权代表：                                          </w:t>
      </w:r>
    </w:p>
    <w:p w14:paraId="46668632">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联系电话：                                            </w:t>
      </w:r>
    </w:p>
    <w:p w14:paraId="7D958A2B">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地址：                         </w:t>
      </w:r>
      <w:r>
        <w:rPr>
          <w:rFonts w:hint="eastAsia" w:ascii="宋体" w:hAnsi="宋体" w:eastAsia="宋体" w:cs="宋体"/>
          <w:color w:val="auto"/>
          <w:kern w:val="0"/>
          <w:sz w:val="24"/>
          <w:szCs w:val="24"/>
          <w:highlight w:val="none"/>
          <w:lang w:val="en-US" w:eastAsia="zh-CN"/>
        </w:rPr>
        <w:t>邮箱</w:t>
      </w:r>
      <w:r>
        <w:rPr>
          <w:rFonts w:hint="eastAsia" w:ascii="宋体" w:hAnsi="宋体" w:eastAsia="宋体" w:cs="宋体"/>
          <w:color w:val="auto"/>
          <w:kern w:val="0"/>
          <w:sz w:val="24"/>
          <w:szCs w:val="24"/>
          <w:highlight w:val="none"/>
        </w:rPr>
        <w:t xml:space="preserve">：                                       </w:t>
      </w:r>
    </w:p>
    <w:p w14:paraId="0E37DEA8">
      <w:pPr>
        <w:spacing w:line="480" w:lineRule="exact"/>
        <w:ind w:firstLine="480" w:firstLineChars="200"/>
        <w:outlineLvl w:val="3"/>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二、质疑项目基本情况</w:t>
      </w:r>
    </w:p>
    <w:p w14:paraId="0303CBAF">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质疑项目的名称：                                      </w:t>
      </w:r>
    </w:p>
    <w:p w14:paraId="0A380E36">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质疑项目的编号：               包号：                 </w:t>
      </w:r>
    </w:p>
    <w:p w14:paraId="2B4AE490">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招标人名称：                                         </w:t>
      </w:r>
    </w:p>
    <w:p w14:paraId="21BE7271">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招标文件获取日期：                                           </w:t>
      </w:r>
    </w:p>
    <w:p w14:paraId="28282CD4">
      <w:pPr>
        <w:spacing w:line="480" w:lineRule="exact"/>
        <w:ind w:firstLine="480" w:firstLineChars="200"/>
        <w:outlineLvl w:val="3"/>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三、质疑事项具体内容</w:t>
      </w:r>
    </w:p>
    <w:p w14:paraId="27AA4C6E">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质疑事项1：                                         </w:t>
      </w:r>
    </w:p>
    <w:p w14:paraId="3E4140DF">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事实依据：                                          </w:t>
      </w:r>
    </w:p>
    <w:p w14:paraId="7AA4C01E">
      <w:pPr>
        <w:spacing w:line="480" w:lineRule="exact"/>
        <w:ind w:firstLine="480" w:firstLineChars="200"/>
        <w:rPr>
          <w:rFonts w:ascii="宋体" w:hAnsi="宋体" w:eastAsia="宋体" w:cs="宋体"/>
          <w:color w:val="auto"/>
          <w:kern w:val="0"/>
          <w:sz w:val="24"/>
          <w:szCs w:val="24"/>
          <w:highlight w:val="none"/>
        </w:rPr>
      </w:pPr>
    </w:p>
    <w:p w14:paraId="26F81DC9">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法律依据：                                          </w:t>
      </w:r>
    </w:p>
    <w:p w14:paraId="518524AA">
      <w:pPr>
        <w:spacing w:line="480" w:lineRule="exact"/>
        <w:ind w:firstLine="480" w:firstLineChars="200"/>
        <w:rPr>
          <w:rFonts w:ascii="宋体" w:hAnsi="宋体" w:eastAsia="宋体" w:cs="宋体"/>
          <w:color w:val="auto"/>
          <w:kern w:val="0"/>
          <w:sz w:val="24"/>
          <w:szCs w:val="24"/>
          <w:highlight w:val="none"/>
        </w:rPr>
      </w:pPr>
    </w:p>
    <w:p w14:paraId="477BB21A">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质疑事项2</w:t>
      </w:r>
    </w:p>
    <w:p w14:paraId="1DD056DA">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p w14:paraId="311400A3">
      <w:pPr>
        <w:spacing w:line="480" w:lineRule="exact"/>
        <w:ind w:firstLine="480" w:firstLineChars="200"/>
        <w:outlineLvl w:val="3"/>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四、与质疑事项相关的质疑请求</w:t>
      </w:r>
    </w:p>
    <w:p w14:paraId="26C2E74D">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请求：                                               </w:t>
      </w:r>
    </w:p>
    <w:p w14:paraId="190C0419">
      <w:pPr>
        <w:spacing w:line="48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签字(签章)：                   公章：                      </w:t>
      </w:r>
    </w:p>
    <w:p w14:paraId="3E02A077">
      <w:pPr>
        <w:autoSpaceDE w:val="0"/>
        <w:autoSpaceDN w:val="0"/>
        <w:spacing w:before="90" w:line="312" w:lineRule="auto"/>
        <w:ind w:right="95"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51E39C30">
      <w:pPr>
        <w:rPr>
          <w:rFonts w:ascii="宋体" w:hAnsi="宋体" w:eastAsia="宋体" w:cs="宋体"/>
          <w:color w:val="auto"/>
          <w:kern w:val="0"/>
          <w:sz w:val="24"/>
          <w:szCs w:val="24"/>
          <w:highlight w:val="none"/>
        </w:rPr>
      </w:pPr>
      <w:r>
        <w:rPr>
          <w:rFonts w:hint="eastAsia" w:ascii="宋体" w:hAnsi="宋体" w:eastAsia="宋体" w:cs="Times New Roman"/>
          <w:color w:val="auto"/>
          <w:sz w:val="24"/>
          <w:szCs w:val="24"/>
          <w:highlight w:val="none"/>
        </w:rPr>
        <w:br w:type="page"/>
      </w:r>
    </w:p>
    <w:p w14:paraId="222535F3">
      <w:pPr>
        <w:spacing w:before="312" w:beforeLines="100" w:line="360" w:lineRule="auto"/>
        <w:jc w:val="center"/>
        <w:outlineLvl w:val="0"/>
        <w:rPr>
          <w:rFonts w:hint="eastAsia" w:ascii="宋体" w:hAnsi="宋体" w:cs="宋体"/>
          <w:b/>
          <w:bCs/>
          <w:color w:val="auto"/>
          <w:sz w:val="36"/>
          <w:szCs w:val="36"/>
          <w:highlight w:val="none"/>
          <w:lang w:bidi="ar"/>
        </w:rPr>
      </w:pPr>
      <w:bookmarkStart w:id="153" w:name="_Toc14135"/>
      <w:bookmarkStart w:id="154" w:name="_Toc32545"/>
      <w:r>
        <w:rPr>
          <w:rFonts w:hint="eastAsia" w:ascii="宋体" w:hAnsi="宋体" w:cs="宋体"/>
          <w:b/>
          <w:bCs/>
          <w:color w:val="auto"/>
          <w:sz w:val="36"/>
          <w:szCs w:val="36"/>
          <w:highlight w:val="none"/>
          <w:lang w:bidi="ar"/>
        </w:rPr>
        <w:t>第三章  评标办法</w:t>
      </w:r>
      <w:bookmarkEnd w:id="29"/>
      <w:bookmarkEnd w:id="30"/>
      <w:bookmarkEnd w:id="31"/>
      <w:bookmarkEnd w:id="32"/>
      <w:bookmarkEnd w:id="33"/>
      <w:bookmarkEnd w:id="153"/>
      <w:bookmarkEnd w:id="154"/>
    </w:p>
    <w:p w14:paraId="12C86E5C">
      <w:pPr>
        <w:widowControl/>
        <w:spacing w:line="400" w:lineRule="exact"/>
        <w:ind w:firstLine="420"/>
        <w:rPr>
          <w:rFonts w:ascii="宋体" w:hAnsi="宋体" w:cs="Calibri"/>
          <w:color w:val="auto"/>
          <w:sz w:val="24"/>
          <w:highlight w:val="none"/>
        </w:rPr>
      </w:pPr>
      <w:bookmarkStart w:id="155" w:name="_Toc179632618"/>
      <w:bookmarkEnd w:id="155"/>
      <w:bookmarkStart w:id="156" w:name="_Toc152045600"/>
      <w:bookmarkEnd w:id="156"/>
      <w:bookmarkStart w:id="157" w:name="_Toc466566794"/>
      <w:bookmarkEnd w:id="157"/>
      <w:bookmarkStart w:id="158" w:name="_Toc466566705"/>
      <w:bookmarkEnd w:id="158"/>
      <w:bookmarkStart w:id="159" w:name="_Toc375053347"/>
      <w:bookmarkEnd w:id="159"/>
      <w:bookmarkStart w:id="160" w:name="_Toc144974567"/>
      <w:bookmarkEnd w:id="160"/>
      <w:bookmarkStart w:id="161" w:name="OLE_LINK1"/>
      <w:r>
        <w:rPr>
          <w:rFonts w:hint="eastAsia" w:ascii="宋体" w:hAnsi="宋体" w:cs="Calibri"/>
          <w:color w:val="auto"/>
          <w:kern w:val="0"/>
          <w:sz w:val="24"/>
          <w:highlight w:val="none"/>
        </w:rPr>
        <w:t>本次项目的评审分为初步审查和详细审查。详细审查采用综合评分法，总分为100分。</w:t>
      </w:r>
      <w:bookmarkEnd w:id="161"/>
      <w:r>
        <w:rPr>
          <w:rFonts w:hint="eastAsia" w:ascii="宋体" w:hAnsi="宋体" w:cs="Calibri"/>
          <w:color w:val="auto"/>
          <w:kern w:val="0"/>
          <w:sz w:val="24"/>
          <w:highlight w:val="none"/>
        </w:rPr>
        <w:t>评审因素如下：</w:t>
      </w:r>
    </w:p>
    <w:p w14:paraId="60487963">
      <w:pPr>
        <w:widowControl/>
        <w:spacing w:line="400" w:lineRule="exact"/>
        <w:rPr>
          <w:rFonts w:ascii="宋体" w:hAnsi="宋体" w:cs="Calibri"/>
          <w:b/>
          <w:bCs/>
          <w:color w:val="auto"/>
          <w:sz w:val="24"/>
          <w:highlight w:val="none"/>
        </w:rPr>
      </w:pPr>
      <w:r>
        <w:rPr>
          <w:rFonts w:hint="eastAsia" w:ascii="宋体" w:hAnsi="宋体" w:cs="Calibri"/>
          <w:b/>
          <w:bCs/>
          <w:color w:val="auto"/>
          <w:kern w:val="0"/>
          <w:sz w:val="24"/>
          <w:highlight w:val="none"/>
        </w:rPr>
        <w:t>一、初步审查</w:t>
      </w:r>
    </w:p>
    <w:tbl>
      <w:tblPr>
        <w:tblStyle w:val="20"/>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987"/>
        <w:gridCol w:w="2771"/>
        <w:gridCol w:w="5178"/>
      </w:tblGrid>
      <w:tr w14:paraId="0FCA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3" w:type="dxa"/>
            <w:gridSpan w:val="2"/>
            <w:tcBorders>
              <w:top w:val="single" w:color="auto" w:sz="4" w:space="0"/>
              <w:left w:val="single" w:color="auto" w:sz="4" w:space="0"/>
              <w:bottom w:val="single" w:color="auto" w:sz="4" w:space="0"/>
              <w:right w:val="single" w:color="auto" w:sz="4" w:space="0"/>
            </w:tcBorders>
            <w:vAlign w:val="center"/>
          </w:tcPr>
          <w:p w14:paraId="0600EB36">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条款号</w:t>
            </w:r>
          </w:p>
        </w:tc>
        <w:tc>
          <w:tcPr>
            <w:tcW w:w="2771" w:type="dxa"/>
            <w:tcBorders>
              <w:top w:val="single" w:color="auto" w:sz="4" w:space="0"/>
              <w:left w:val="nil"/>
              <w:bottom w:val="single" w:color="auto" w:sz="4" w:space="0"/>
              <w:right w:val="single" w:color="auto" w:sz="4" w:space="0"/>
            </w:tcBorders>
            <w:vAlign w:val="center"/>
          </w:tcPr>
          <w:p w14:paraId="47B867A1">
            <w:pPr>
              <w:spacing w:line="360" w:lineRule="auto"/>
              <w:ind w:firstLine="60" w:firstLineChars="25"/>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评审因素</w:t>
            </w:r>
          </w:p>
        </w:tc>
        <w:tc>
          <w:tcPr>
            <w:tcW w:w="5178" w:type="dxa"/>
            <w:tcBorders>
              <w:top w:val="single" w:color="auto" w:sz="4" w:space="0"/>
              <w:left w:val="nil"/>
              <w:bottom w:val="single" w:color="auto" w:sz="4" w:space="0"/>
              <w:right w:val="single" w:color="auto" w:sz="4" w:space="0"/>
            </w:tcBorders>
            <w:vAlign w:val="center"/>
          </w:tcPr>
          <w:p w14:paraId="13E69727">
            <w:pPr>
              <w:spacing w:line="360" w:lineRule="auto"/>
              <w:ind w:firstLine="1920" w:firstLineChars="800"/>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评审标准</w:t>
            </w:r>
          </w:p>
        </w:tc>
      </w:tr>
      <w:tr w14:paraId="53F0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526" w:type="dxa"/>
            <w:vMerge w:val="restart"/>
            <w:tcBorders>
              <w:left w:val="single" w:color="auto" w:sz="4" w:space="0"/>
              <w:right w:val="single" w:color="auto" w:sz="4" w:space="0"/>
            </w:tcBorders>
            <w:vAlign w:val="center"/>
          </w:tcPr>
          <w:p w14:paraId="3CEB1189">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初步评审</w:t>
            </w:r>
          </w:p>
        </w:tc>
        <w:tc>
          <w:tcPr>
            <w:tcW w:w="987" w:type="dxa"/>
            <w:vMerge w:val="restart"/>
            <w:tcBorders>
              <w:top w:val="nil"/>
              <w:left w:val="nil"/>
              <w:right w:val="single" w:color="auto" w:sz="4" w:space="0"/>
            </w:tcBorders>
            <w:vAlign w:val="center"/>
          </w:tcPr>
          <w:p w14:paraId="74A12730">
            <w:pPr>
              <w:spacing w:line="360" w:lineRule="auto"/>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资格</w:t>
            </w:r>
          </w:p>
          <w:p w14:paraId="58DF43B6">
            <w:pPr>
              <w:spacing w:line="360" w:lineRule="auto"/>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评审</w:t>
            </w:r>
          </w:p>
          <w:p w14:paraId="6BFB81DE">
            <w:pPr>
              <w:spacing w:line="360" w:lineRule="auto"/>
              <w:rPr>
                <w:rFonts w:ascii="宋体" w:hAnsi="宋体" w:eastAsia="宋体" w:cs="Times New Roman"/>
                <w:color w:val="auto"/>
                <w:sz w:val="24"/>
                <w:szCs w:val="21"/>
                <w:highlight w:val="none"/>
              </w:rPr>
            </w:pPr>
            <w:r>
              <w:rPr>
                <w:rFonts w:hint="eastAsia" w:ascii="宋体" w:hAnsi="宋体" w:eastAsia="宋体" w:cs="Times New Roman"/>
                <w:color w:val="auto"/>
                <w:sz w:val="24"/>
                <w:szCs w:val="21"/>
                <w:highlight w:val="none"/>
              </w:rPr>
              <w:t>标准</w:t>
            </w:r>
          </w:p>
        </w:tc>
        <w:tc>
          <w:tcPr>
            <w:tcW w:w="2771" w:type="dxa"/>
            <w:tcBorders>
              <w:top w:val="single" w:color="auto" w:sz="4" w:space="0"/>
              <w:left w:val="nil"/>
              <w:bottom w:val="single" w:color="auto" w:sz="4" w:space="0"/>
              <w:right w:val="single" w:color="auto" w:sz="4" w:space="0"/>
            </w:tcBorders>
            <w:vAlign w:val="center"/>
          </w:tcPr>
          <w:p w14:paraId="4E9708AF">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Times New Roman"/>
                <w:color w:val="auto"/>
                <w:sz w:val="24"/>
                <w:szCs w:val="21"/>
                <w:highlight w:val="none"/>
              </w:rPr>
              <w:t>中小企业声明函</w:t>
            </w:r>
          </w:p>
        </w:tc>
        <w:tc>
          <w:tcPr>
            <w:tcW w:w="5178" w:type="dxa"/>
            <w:tcBorders>
              <w:top w:val="single" w:color="auto" w:sz="4" w:space="0"/>
              <w:left w:val="nil"/>
              <w:bottom w:val="single" w:color="auto" w:sz="4" w:space="0"/>
              <w:right w:val="single" w:color="auto" w:sz="4" w:space="0"/>
            </w:tcBorders>
            <w:vAlign w:val="center"/>
          </w:tcPr>
          <w:p w14:paraId="1737DD35">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4478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26" w:type="dxa"/>
            <w:vMerge w:val="continue"/>
            <w:tcBorders>
              <w:left w:val="single" w:color="auto" w:sz="4" w:space="0"/>
              <w:right w:val="single" w:color="auto" w:sz="4" w:space="0"/>
            </w:tcBorders>
            <w:vAlign w:val="center"/>
          </w:tcPr>
          <w:p w14:paraId="03E04BA0">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713E7564">
            <w:pPr>
              <w:spacing w:line="360" w:lineRule="auto"/>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6CC05BFC">
            <w:pPr>
              <w:spacing w:line="380" w:lineRule="exact"/>
              <w:jc w:val="left"/>
              <w:rPr>
                <w:rFonts w:ascii="宋体" w:hAnsi="宋体" w:eastAsia="宋体" w:cs="Times New Roman"/>
                <w:color w:val="auto"/>
                <w:sz w:val="24"/>
                <w:szCs w:val="21"/>
                <w:highlight w:val="none"/>
              </w:rPr>
            </w:pPr>
            <w:r>
              <w:rPr>
                <w:rFonts w:hint="eastAsia" w:ascii="宋体" w:hAnsi="宋体" w:eastAsia="宋体" w:cs="Times New Roman"/>
                <w:color w:val="auto"/>
                <w:sz w:val="24"/>
                <w:szCs w:val="21"/>
                <w:highlight w:val="none"/>
              </w:rPr>
              <w:t>营业执照</w:t>
            </w:r>
          </w:p>
        </w:tc>
        <w:tc>
          <w:tcPr>
            <w:tcW w:w="5178" w:type="dxa"/>
            <w:tcBorders>
              <w:top w:val="single" w:color="auto" w:sz="4" w:space="0"/>
              <w:left w:val="nil"/>
              <w:bottom w:val="single" w:color="auto" w:sz="4" w:space="0"/>
              <w:right w:val="single" w:color="auto" w:sz="4" w:space="0"/>
            </w:tcBorders>
            <w:vAlign w:val="center"/>
          </w:tcPr>
          <w:p w14:paraId="570E6383">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21B6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26" w:type="dxa"/>
            <w:vMerge w:val="continue"/>
            <w:tcBorders>
              <w:left w:val="single" w:color="auto" w:sz="4" w:space="0"/>
              <w:right w:val="single" w:color="auto" w:sz="4" w:space="0"/>
            </w:tcBorders>
            <w:vAlign w:val="center"/>
          </w:tcPr>
          <w:p w14:paraId="3AAA6795">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280635EA">
            <w:pPr>
              <w:spacing w:line="360" w:lineRule="auto"/>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31B8E5B7">
            <w:pPr>
              <w:spacing w:line="380" w:lineRule="exact"/>
              <w:jc w:val="left"/>
              <w:rPr>
                <w:rFonts w:ascii="宋体" w:hAnsi="宋体" w:eastAsia="宋体" w:cs="Times New Roman"/>
                <w:color w:val="auto"/>
                <w:sz w:val="24"/>
                <w:szCs w:val="21"/>
                <w:highlight w:val="none"/>
              </w:rPr>
            </w:pPr>
            <w:r>
              <w:rPr>
                <w:rFonts w:hint="eastAsia" w:ascii="宋体" w:hAnsi="宋体" w:eastAsia="宋体" w:cs="Times New Roman"/>
                <w:color w:val="auto"/>
                <w:sz w:val="24"/>
                <w:szCs w:val="21"/>
                <w:highlight w:val="none"/>
              </w:rPr>
              <w:t>提供供应商企业、法定代表人无行贿犯罪记录</w:t>
            </w:r>
          </w:p>
        </w:tc>
        <w:tc>
          <w:tcPr>
            <w:tcW w:w="5178" w:type="dxa"/>
            <w:tcBorders>
              <w:top w:val="single" w:color="auto" w:sz="4" w:space="0"/>
              <w:left w:val="nil"/>
              <w:bottom w:val="single" w:color="auto" w:sz="4" w:space="0"/>
              <w:right w:val="single" w:color="auto" w:sz="4" w:space="0"/>
            </w:tcBorders>
            <w:vAlign w:val="center"/>
          </w:tcPr>
          <w:p w14:paraId="370BFA55">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5851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26" w:type="dxa"/>
            <w:vMerge w:val="continue"/>
            <w:tcBorders>
              <w:left w:val="single" w:color="auto" w:sz="4" w:space="0"/>
              <w:right w:val="single" w:color="auto" w:sz="4" w:space="0"/>
            </w:tcBorders>
            <w:vAlign w:val="center"/>
          </w:tcPr>
          <w:p w14:paraId="300AB259">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55D36CF5">
            <w:pPr>
              <w:widowControl/>
              <w:jc w:val="left"/>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71A771EC">
            <w:pPr>
              <w:spacing w:line="266" w:lineRule="auto"/>
              <w:rPr>
                <w:rFonts w:ascii="宋体" w:hAnsi="宋体" w:eastAsia="宋体" w:cs="Courier New"/>
                <w:color w:val="auto"/>
                <w:sz w:val="24"/>
                <w:szCs w:val="21"/>
                <w:highlight w:val="none"/>
              </w:rPr>
            </w:pPr>
            <w:r>
              <w:rPr>
                <w:rFonts w:hint="eastAsia" w:asciiTheme="minorEastAsia" w:hAnsiTheme="minorEastAsia" w:cstheme="minorEastAsia"/>
                <w:color w:val="auto"/>
                <w:sz w:val="24"/>
                <w:szCs w:val="24"/>
                <w:highlight w:val="none"/>
              </w:rPr>
              <w:t>无商业贿赂及无不正当竞争行为的承诺书</w:t>
            </w:r>
          </w:p>
        </w:tc>
        <w:tc>
          <w:tcPr>
            <w:tcW w:w="5178" w:type="dxa"/>
            <w:tcBorders>
              <w:top w:val="single" w:color="auto" w:sz="4" w:space="0"/>
              <w:left w:val="nil"/>
              <w:bottom w:val="single" w:color="auto" w:sz="4" w:space="0"/>
              <w:right w:val="single" w:color="auto" w:sz="4" w:space="0"/>
            </w:tcBorders>
            <w:vAlign w:val="center"/>
          </w:tcPr>
          <w:p w14:paraId="305EF94B">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713A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526" w:type="dxa"/>
            <w:vMerge w:val="continue"/>
            <w:tcBorders>
              <w:left w:val="single" w:color="auto" w:sz="4" w:space="0"/>
              <w:right w:val="single" w:color="auto" w:sz="4" w:space="0"/>
            </w:tcBorders>
            <w:vAlign w:val="center"/>
          </w:tcPr>
          <w:p w14:paraId="7AFDFC87">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70753D91">
            <w:pPr>
              <w:widowControl/>
              <w:jc w:val="left"/>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7EEE464D">
            <w:pPr>
              <w:spacing w:line="266" w:lineRule="auto"/>
              <w:rPr>
                <w:rFonts w:ascii="宋体" w:hAnsi="宋体" w:cs="宋体"/>
                <w:color w:val="auto"/>
                <w:sz w:val="24"/>
                <w:highlight w:val="none"/>
              </w:rPr>
            </w:pPr>
            <w:r>
              <w:rPr>
                <w:rFonts w:hint="eastAsia" w:ascii="宋体" w:hAnsi="宋体" w:cs="宋体"/>
                <w:color w:val="auto"/>
                <w:sz w:val="24"/>
                <w:highlight w:val="none"/>
              </w:rPr>
              <w:t>具有履行合同所必需的设备和专业技术能力</w:t>
            </w:r>
          </w:p>
        </w:tc>
        <w:tc>
          <w:tcPr>
            <w:tcW w:w="5178" w:type="dxa"/>
            <w:tcBorders>
              <w:top w:val="single" w:color="auto" w:sz="4" w:space="0"/>
              <w:left w:val="nil"/>
              <w:bottom w:val="single" w:color="auto" w:sz="4" w:space="0"/>
              <w:right w:val="single" w:color="auto" w:sz="4" w:space="0"/>
            </w:tcBorders>
            <w:vAlign w:val="center"/>
          </w:tcPr>
          <w:p w14:paraId="00DE9DD5">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7F7E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526" w:type="dxa"/>
            <w:vMerge w:val="continue"/>
            <w:tcBorders>
              <w:left w:val="single" w:color="auto" w:sz="4" w:space="0"/>
              <w:right w:val="single" w:color="auto" w:sz="4" w:space="0"/>
            </w:tcBorders>
            <w:vAlign w:val="center"/>
          </w:tcPr>
          <w:p w14:paraId="539D8A73">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258829AA">
            <w:pPr>
              <w:widowControl/>
              <w:jc w:val="left"/>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5BDE37F7">
            <w:pPr>
              <w:spacing w:line="266" w:lineRule="auto"/>
              <w:rPr>
                <w:rFonts w:ascii="宋体" w:hAnsi="宋体" w:eastAsia="宋体" w:cs="Courier New"/>
                <w:color w:val="auto"/>
                <w:sz w:val="24"/>
                <w:szCs w:val="21"/>
                <w:highlight w:val="none"/>
              </w:rPr>
            </w:pPr>
            <w:r>
              <w:rPr>
                <w:rFonts w:hint="eastAsia" w:asciiTheme="minorEastAsia" w:hAnsiTheme="minorEastAsia" w:cstheme="minorEastAsia"/>
                <w:color w:val="auto"/>
                <w:sz w:val="24"/>
                <w:szCs w:val="24"/>
                <w:highlight w:val="none"/>
              </w:rPr>
              <w:t>“中国执行信息公开网”</w:t>
            </w:r>
            <w:r>
              <w:rPr>
                <w:rFonts w:hint="eastAsia" w:ascii="宋体" w:hAnsi="宋体" w:eastAsia="宋体" w:cs="Courier New"/>
                <w:color w:val="auto"/>
                <w:sz w:val="24"/>
                <w:szCs w:val="21"/>
                <w:highlight w:val="none"/>
              </w:rPr>
              <w:t>“信用中国”、“中国政府采购网”查询结果</w:t>
            </w:r>
          </w:p>
        </w:tc>
        <w:tc>
          <w:tcPr>
            <w:tcW w:w="5178" w:type="dxa"/>
            <w:tcBorders>
              <w:top w:val="single" w:color="auto" w:sz="4" w:space="0"/>
              <w:left w:val="nil"/>
              <w:bottom w:val="single" w:color="auto" w:sz="4" w:space="0"/>
              <w:right w:val="single" w:color="auto" w:sz="4" w:space="0"/>
            </w:tcBorders>
            <w:vAlign w:val="center"/>
          </w:tcPr>
          <w:p w14:paraId="33191E62">
            <w:pPr>
              <w:adjustRightInd w:val="0"/>
              <w:spacing w:line="360" w:lineRule="auto"/>
              <w:jc w:val="left"/>
              <w:textAlignment w:val="baseline"/>
              <w:rPr>
                <w:rFonts w:ascii="宋体" w:hAnsi="宋体" w:eastAsia="宋体" w:cs="宋体"/>
                <w:color w:val="auto"/>
                <w:sz w:val="24"/>
                <w:szCs w:val="21"/>
                <w:highlight w:val="none"/>
                <w:lang w:val="zh-CN"/>
              </w:rPr>
            </w:pPr>
            <w:r>
              <w:rPr>
                <w:rFonts w:hint="eastAsia" w:ascii="宋体" w:hAnsi="宋体" w:eastAsia="宋体" w:cs="宋体"/>
                <w:color w:val="auto"/>
                <w:sz w:val="24"/>
                <w:szCs w:val="21"/>
                <w:highlight w:val="none"/>
              </w:rPr>
              <w:t>详见第二章“供应商须知前附表”的规定</w:t>
            </w:r>
          </w:p>
        </w:tc>
      </w:tr>
      <w:tr w14:paraId="007C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526" w:type="dxa"/>
            <w:vMerge w:val="continue"/>
            <w:tcBorders>
              <w:left w:val="single" w:color="auto" w:sz="4" w:space="0"/>
              <w:right w:val="single" w:color="auto" w:sz="4" w:space="0"/>
            </w:tcBorders>
            <w:vAlign w:val="center"/>
          </w:tcPr>
          <w:p w14:paraId="20AFF712">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45223979">
            <w:pPr>
              <w:widowControl/>
              <w:jc w:val="left"/>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5DBB7D98">
            <w:pPr>
              <w:spacing w:line="266" w:lineRule="auto"/>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“国家企业信用信息公示系统”查询结果</w:t>
            </w:r>
          </w:p>
        </w:tc>
        <w:tc>
          <w:tcPr>
            <w:tcW w:w="5178" w:type="dxa"/>
            <w:tcBorders>
              <w:top w:val="single" w:color="auto" w:sz="4" w:space="0"/>
              <w:left w:val="nil"/>
              <w:bottom w:val="single" w:color="auto" w:sz="4" w:space="0"/>
              <w:right w:val="single" w:color="auto" w:sz="4" w:space="0"/>
            </w:tcBorders>
            <w:vAlign w:val="center"/>
          </w:tcPr>
          <w:p w14:paraId="15D2E8E8">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0AF9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526" w:type="dxa"/>
            <w:vMerge w:val="continue"/>
            <w:tcBorders>
              <w:left w:val="single" w:color="auto" w:sz="4" w:space="0"/>
              <w:right w:val="single" w:color="auto" w:sz="4" w:space="0"/>
            </w:tcBorders>
            <w:vAlign w:val="center"/>
          </w:tcPr>
          <w:p w14:paraId="4AA09FE6">
            <w:pPr>
              <w:spacing w:line="360" w:lineRule="auto"/>
              <w:jc w:val="center"/>
              <w:rPr>
                <w:rFonts w:ascii="宋体" w:hAnsi="宋体" w:eastAsia="宋体" w:cs="Courier New"/>
                <w:color w:val="auto"/>
                <w:sz w:val="24"/>
                <w:szCs w:val="21"/>
                <w:highlight w:val="none"/>
              </w:rPr>
            </w:pPr>
          </w:p>
        </w:tc>
        <w:tc>
          <w:tcPr>
            <w:tcW w:w="987" w:type="dxa"/>
            <w:vMerge w:val="continue"/>
            <w:tcBorders>
              <w:left w:val="nil"/>
              <w:bottom w:val="single" w:color="auto" w:sz="4" w:space="0"/>
              <w:right w:val="single" w:color="auto" w:sz="4" w:space="0"/>
            </w:tcBorders>
            <w:vAlign w:val="center"/>
          </w:tcPr>
          <w:p w14:paraId="64B4C215">
            <w:pPr>
              <w:widowControl/>
              <w:jc w:val="left"/>
              <w:rPr>
                <w:rFonts w:ascii="宋体" w:hAnsi="宋体" w:eastAsia="宋体" w:cs="Times New Roman"/>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417FB30D">
            <w:pPr>
              <w:spacing w:line="266" w:lineRule="auto"/>
              <w:rPr>
                <w:rFonts w:ascii="宋体" w:hAnsi="宋体" w:eastAsia="宋体" w:cs="Courier New"/>
                <w:color w:val="auto"/>
                <w:sz w:val="24"/>
                <w:szCs w:val="21"/>
                <w:highlight w:val="none"/>
              </w:rPr>
            </w:pPr>
            <w:r>
              <w:rPr>
                <w:rFonts w:hint="eastAsia" w:ascii="宋体" w:hAnsi="宋体" w:eastAsia="宋体" w:cs="宋体"/>
                <w:color w:val="auto"/>
                <w:spacing w:val="-1"/>
                <w:sz w:val="24"/>
                <w:szCs w:val="24"/>
                <w:highlight w:val="none"/>
              </w:rPr>
              <w:t>本项目不接受联合体投标</w:t>
            </w:r>
          </w:p>
        </w:tc>
        <w:tc>
          <w:tcPr>
            <w:tcW w:w="5178" w:type="dxa"/>
            <w:tcBorders>
              <w:top w:val="single" w:color="auto" w:sz="4" w:space="0"/>
              <w:left w:val="nil"/>
              <w:bottom w:val="single" w:color="auto" w:sz="4" w:space="0"/>
              <w:right w:val="single" w:color="auto" w:sz="4" w:space="0"/>
            </w:tcBorders>
            <w:vAlign w:val="center"/>
          </w:tcPr>
          <w:p w14:paraId="6425365C">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4F21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526" w:type="dxa"/>
            <w:vMerge w:val="continue"/>
            <w:tcBorders>
              <w:left w:val="single" w:color="auto" w:sz="4" w:space="0"/>
              <w:right w:val="single" w:color="auto" w:sz="4" w:space="0"/>
            </w:tcBorders>
            <w:vAlign w:val="center"/>
          </w:tcPr>
          <w:p w14:paraId="374BF090">
            <w:pPr>
              <w:spacing w:line="360" w:lineRule="auto"/>
              <w:jc w:val="center"/>
              <w:rPr>
                <w:rFonts w:ascii="宋体" w:hAnsi="宋体" w:eastAsia="宋体" w:cs="Courier New"/>
                <w:color w:val="auto"/>
                <w:sz w:val="24"/>
                <w:szCs w:val="21"/>
                <w:highlight w:val="none"/>
              </w:rPr>
            </w:pPr>
          </w:p>
        </w:tc>
        <w:tc>
          <w:tcPr>
            <w:tcW w:w="987" w:type="dxa"/>
            <w:vMerge w:val="restart"/>
            <w:tcBorders>
              <w:left w:val="nil"/>
              <w:right w:val="single" w:color="auto" w:sz="4" w:space="0"/>
            </w:tcBorders>
            <w:vAlign w:val="center"/>
          </w:tcPr>
          <w:p w14:paraId="1FC2B6DE">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符</w:t>
            </w:r>
          </w:p>
          <w:p w14:paraId="1AC0474C">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合</w:t>
            </w:r>
          </w:p>
          <w:p w14:paraId="093117C7">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性</w:t>
            </w:r>
          </w:p>
          <w:p w14:paraId="24909E79">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评</w:t>
            </w:r>
          </w:p>
          <w:p w14:paraId="4969D20D">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审</w:t>
            </w:r>
          </w:p>
          <w:p w14:paraId="53C06724">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标</w:t>
            </w:r>
          </w:p>
          <w:p w14:paraId="7605FB61">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准</w:t>
            </w:r>
          </w:p>
        </w:tc>
        <w:tc>
          <w:tcPr>
            <w:tcW w:w="2771" w:type="dxa"/>
            <w:tcBorders>
              <w:top w:val="single" w:color="auto" w:sz="4" w:space="0"/>
              <w:left w:val="nil"/>
              <w:bottom w:val="single" w:color="auto" w:sz="4" w:space="0"/>
              <w:right w:val="single" w:color="auto" w:sz="4" w:space="0"/>
            </w:tcBorders>
            <w:vAlign w:val="center"/>
          </w:tcPr>
          <w:p w14:paraId="56BCFC91">
            <w:pPr>
              <w:spacing w:line="266" w:lineRule="auto"/>
              <w:jc w:val="center"/>
              <w:rPr>
                <w:rFonts w:ascii="宋体" w:hAnsi="宋体" w:eastAsia="宋体" w:cs="宋体"/>
                <w:color w:val="auto"/>
                <w:spacing w:val="-1"/>
                <w:sz w:val="24"/>
                <w:szCs w:val="24"/>
                <w:highlight w:val="none"/>
              </w:rPr>
            </w:pPr>
            <w:r>
              <w:rPr>
                <w:rFonts w:hint="eastAsia" w:ascii="宋体" w:hAnsi="宋体" w:eastAsia="宋体" w:cs="Courier New"/>
                <w:color w:val="auto"/>
                <w:sz w:val="24"/>
                <w:szCs w:val="21"/>
                <w:highlight w:val="none"/>
              </w:rPr>
              <w:t>供应商名称</w:t>
            </w:r>
          </w:p>
        </w:tc>
        <w:tc>
          <w:tcPr>
            <w:tcW w:w="5178" w:type="dxa"/>
            <w:tcBorders>
              <w:top w:val="single" w:color="auto" w:sz="4" w:space="0"/>
              <w:left w:val="nil"/>
              <w:bottom w:val="single" w:color="auto" w:sz="4" w:space="0"/>
              <w:right w:val="single" w:color="auto" w:sz="4" w:space="0"/>
            </w:tcBorders>
            <w:vAlign w:val="center"/>
          </w:tcPr>
          <w:p w14:paraId="267F462F">
            <w:pPr>
              <w:spacing w:line="266" w:lineRule="auto"/>
              <w:rPr>
                <w:rFonts w:ascii="宋体" w:hAnsi="宋体" w:eastAsia="宋体" w:cs="宋体"/>
                <w:color w:val="auto"/>
                <w:sz w:val="24"/>
                <w:szCs w:val="21"/>
                <w:highlight w:val="none"/>
              </w:rPr>
            </w:pPr>
            <w:r>
              <w:rPr>
                <w:rFonts w:hint="eastAsia" w:ascii="宋体" w:hAnsi="宋体" w:eastAsia="宋体" w:cs="Courier New"/>
                <w:color w:val="auto"/>
                <w:sz w:val="24"/>
                <w:szCs w:val="21"/>
                <w:highlight w:val="none"/>
              </w:rPr>
              <w:t>与营业执照一致</w:t>
            </w:r>
          </w:p>
        </w:tc>
      </w:tr>
      <w:tr w14:paraId="4E69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526" w:type="dxa"/>
            <w:vMerge w:val="continue"/>
            <w:tcBorders>
              <w:left w:val="single" w:color="auto" w:sz="4" w:space="0"/>
              <w:right w:val="single" w:color="auto" w:sz="4" w:space="0"/>
            </w:tcBorders>
            <w:vAlign w:val="center"/>
          </w:tcPr>
          <w:p w14:paraId="211E33FB">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285F9DB0">
            <w:pPr>
              <w:spacing w:line="360" w:lineRule="auto"/>
              <w:jc w:val="center"/>
              <w:rPr>
                <w:rFonts w:ascii="宋体" w:hAnsi="宋体" w:eastAsia="宋体" w:cs="Courier New"/>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4FD47BA0">
            <w:pPr>
              <w:spacing w:line="266" w:lineRule="auto"/>
              <w:jc w:val="center"/>
              <w:rPr>
                <w:rFonts w:ascii="宋体" w:hAnsi="宋体" w:eastAsia="宋体" w:cs="宋体"/>
                <w:color w:val="auto"/>
                <w:sz w:val="24"/>
                <w:szCs w:val="21"/>
                <w:highlight w:val="none"/>
              </w:rPr>
            </w:pPr>
            <w:r>
              <w:rPr>
                <w:rFonts w:hint="eastAsia" w:ascii="宋体" w:hAnsi="宋体" w:eastAsia="宋体" w:cs="Courier New"/>
                <w:color w:val="auto"/>
                <w:sz w:val="24"/>
                <w:szCs w:val="21"/>
                <w:highlight w:val="none"/>
              </w:rPr>
              <w:t>报价唯一</w:t>
            </w:r>
          </w:p>
        </w:tc>
        <w:tc>
          <w:tcPr>
            <w:tcW w:w="5178" w:type="dxa"/>
            <w:tcBorders>
              <w:top w:val="single" w:color="auto" w:sz="4" w:space="0"/>
              <w:left w:val="nil"/>
              <w:bottom w:val="single" w:color="auto" w:sz="4" w:space="0"/>
              <w:right w:val="single" w:color="auto" w:sz="4" w:space="0"/>
            </w:tcBorders>
            <w:vAlign w:val="center"/>
          </w:tcPr>
          <w:p w14:paraId="69BFF65B">
            <w:pPr>
              <w:spacing w:line="266" w:lineRule="auto"/>
              <w:rPr>
                <w:rFonts w:ascii="宋体" w:hAnsi="宋体" w:eastAsia="宋体" w:cs="宋体"/>
                <w:color w:val="auto"/>
                <w:sz w:val="24"/>
                <w:szCs w:val="21"/>
                <w:highlight w:val="none"/>
              </w:rPr>
            </w:pPr>
            <w:r>
              <w:rPr>
                <w:rFonts w:hint="eastAsia" w:ascii="宋体" w:hAnsi="宋体" w:eastAsia="宋体" w:cs="Courier New"/>
                <w:color w:val="auto"/>
                <w:sz w:val="24"/>
                <w:szCs w:val="21"/>
                <w:highlight w:val="none"/>
              </w:rPr>
              <w:t>只能有一个有效报价，且不超过控制价</w:t>
            </w:r>
          </w:p>
        </w:tc>
      </w:tr>
      <w:tr w14:paraId="4A52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26" w:type="dxa"/>
            <w:vMerge w:val="continue"/>
            <w:tcBorders>
              <w:left w:val="single" w:color="auto" w:sz="4" w:space="0"/>
              <w:right w:val="single" w:color="auto" w:sz="4" w:space="0"/>
            </w:tcBorders>
            <w:vAlign w:val="center"/>
          </w:tcPr>
          <w:p w14:paraId="0794B28E">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6B04E4BB">
            <w:pPr>
              <w:spacing w:line="360" w:lineRule="auto"/>
              <w:jc w:val="center"/>
              <w:rPr>
                <w:rFonts w:ascii="宋体" w:hAnsi="宋体" w:eastAsia="宋体" w:cs="Courier New"/>
                <w:color w:val="auto"/>
                <w:sz w:val="24"/>
                <w:szCs w:val="21"/>
                <w:highlight w:val="none"/>
              </w:rPr>
            </w:pPr>
          </w:p>
        </w:tc>
        <w:tc>
          <w:tcPr>
            <w:tcW w:w="2771" w:type="dxa"/>
            <w:tcBorders>
              <w:top w:val="single" w:color="auto" w:sz="4" w:space="0"/>
              <w:left w:val="nil"/>
              <w:bottom w:val="single" w:color="auto" w:sz="4" w:space="0"/>
              <w:right w:val="single" w:color="auto" w:sz="4" w:space="0"/>
            </w:tcBorders>
          </w:tcPr>
          <w:p w14:paraId="4CE6E292">
            <w:pPr>
              <w:pStyle w:val="39"/>
              <w:spacing w:before="128" w:line="221" w:lineRule="auto"/>
              <w:ind w:left="395"/>
              <w:rPr>
                <w:color w:val="auto"/>
                <w:szCs w:val="21"/>
                <w:highlight w:val="none"/>
              </w:rPr>
            </w:pPr>
            <w:r>
              <w:rPr>
                <w:rFonts w:hint="eastAsia"/>
                <w:color w:val="auto"/>
                <w:spacing w:val="-2"/>
                <w:highlight w:val="none"/>
              </w:rPr>
              <w:t>响应文件格式</w:t>
            </w:r>
          </w:p>
        </w:tc>
        <w:tc>
          <w:tcPr>
            <w:tcW w:w="5178" w:type="dxa"/>
            <w:tcBorders>
              <w:top w:val="single" w:color="auto" w:sz="4" w:space="0"/>
              <w:left w:val="nil"/>
              <w:bottom w:val="single" w:color="auto" w:sz="4" w:space="0"/>
              <w:right w:val="single" w:color="auto" w:sz="4" w:space="0"/>
            </w:tcBorders>
          </w:tcPr>
          <w:p w14:paraId="6F9C55C0">
            <w:pPr>
              <w:pStyle w:val="39"/>
              <w:spacing w:before="128" w:line="220" w:lineRule="auto"/>
              <w:ind w:left="115"/>
              <w:rPr>
                <w:color w:val="auto"/>
                <w:szCs w:val="21"/>
                <w:highlight w:val="none"/>
              </w:rPr>
            </w:pPr>
            <w:r>
              <w:rPr>
                <w:rFonts w:hint="eastAsia"/>
                <w:color w:val="auto"/>
                <w:highlight w:val="none"/>
              </w:rPr>
              <w:t>符合“响应文件格式”的要求</w:t>
            </w:r>
          </w:p>
        </w:tc>
      </w:tr>
      <w:tr w14:paraId="5886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26" w:type="dxa"/>
            <w:vMerge w:val="continue"/>
            <w:tcBorders>
              <w:left w:val="single" w:color="auto" w:sz="4" w:space="0"/>
              <w:right w:val="single" w:color="auto" w:sz="4" w:space="0"/>
            </w:tcBorders>
            <w:vAlign w:val="center"/>
          </w:tcPr>
          <w:p w14:paraId="3D1CF616">
            <w:pPr>
              <w:spacing w:line="360" w:lineRule="auto"/>
              <w:jc w:val="center"/>
              <w:rPr>
                <w:rFonts w:ascii="宋体" w:hAnsi="宋体" w:eastAsia="宋体" w:cs="Courier New"/>
                <w:color w:val="auto"/>
                <w:sz w:val="24"/>
                <w:szCs w:val="21"/>
                <w:highlight w:val="none"/>
              </w:rPr>
            </w:pPr>
          </w:p>
        </w:tc>
        <w:tc>
          <w:tcPr>
            <w:tcW w:w="987" w:type="dxa"/>
            <w:vMerge w:val="restart"/>
            <w:tcBorders>
              <w:left w:val="nil"/>
              <w:right w:val="single" w:color="auto" w:sz="4" w:space="0"/>
            </w:tcBorders>
            <w:vAlign w:val="center"/>
          </w:tcPr>
          <w:p w14:paraId="5190C79F">
            <w:pPr>
              <w:spacing w:line="360" w:lineRule="auto"/>
              <w:jc w:val="center"/>
              <w:rPr>
                <w:rFonts w:hint="eastAsia" w:ascii="宋体" w:hAnsi="宋体" w:eastAsia="宋体" w:cs="Courier New"/>
                <w:color w:val="auto"/>
                <w:sz w:val="24"/>
                <w:szCs w:val="21"/>
                <w:highlight w:val="none"/>
                <w:lang w:val="en-US" w:eastAsia="zh-CN"/>
              </w:rPr>
            </w:pPr>
            <w:r>
              <w:rPr>
                <w:rFonts w:hint="eastAsia" w:ascii="宋体" w:hAnsi="宋体" w:eastAsia="宋体" w:cs="Courier New"/>
                <w:color w:val="auto"/>
                <w:sz w:val="24"/>
                <w:szCs w:val="21"/>
                <w:highlight w:val="none"/>
                <w:lang w:val="en-US" w:eastAsia="zh-CN"/>
              </w:rPr>
              <w:t>实</w:t>
            </w:r>
          </w:p>
          <w:p w14:paraId="55A0235E">
            <w:pPr>
              <w:spacing w:line="360" w:lineRule="auto"/>
              <w:jc w:val="center"/>
              <w:rPr>
                <w:rFonts w:hint="eastAsia" w:ascii="宋体" w:hAnsi="宋体" w:eastAsia="宋体" w:cs="Courier New"/>
                <w:color w:val="auto"/>
                <w:sz w:val="24"/>
                <w:szCs w:val="21"/>
                <w:highlight w:val="none"/>
                <w:lang w:eastAsia="zh-CN"/>
              </w:rPr>
            </w:pPr>
            <w:r>
              <w:rPr>
                <w:rFonts w:hint="eastAsia" w:ascii="宋体" w:hAnsi="宋体" w:eastAsia="宋体" w:cs="Courier New"/>
                <w:color w:val="auto"/>
                <w:sz w:val="24"/>
                <w:szCs w:val="21"/>
                <w:highlight w:val="none"/>
                <w:lang w:val="en-US" w:eastAsia="zh-CN"/>
              </w:rPr>
              <w:t>质</w:t>
            </w:r>
          </w:p>
          <w:p w14:paraId="2C81BC9D">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性</w:t>
            </w:r>
          </w:p>
          <w:p w14:paraId="73843F6B">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评</w:t>
            </w:r>
          </w:p>
          <w:p w14:paraId="7375681A">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审</w:t>
            </w:r>
          </w:p>
          <w:p w14:paraId="418B7DB3">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标</w:t>
            </w:r>
          </w:p>
          <w:p w14:paraId="724B1CBE">
            <w:pPr>
              <w:spacing w:line="360" w:lineRule="auto"/>
              <w:jc w:val="center"/>
              <w:rPr>
                <w:rFonts w:ascii="宋体" w:hAnsi="宋体" w:eastAsia="宋体" w:cs="Courier New"/>
                <w:color w:val="auto"/>
                <w:sz w:val="24"/>
                <w:szCs w:val="21"/>
                <w:highlight w:val="none"/>
              </w:rPr>
            </w:pPr>
            <w:r>
              <w:rPr>
                <w:rFonts w:hint="eastAsia" w:ascii="宋体" w:hAnsi="宋体" w:eastAsia="宋体" w:cs="Courier New"/>
                <w:color w:val="auto"/>
                <w:sz w:val="24"/>
                <w:szCs w:val="21"/>
                <w:highlight w:val="none"/>
              </w:rPr>
              <w:t>准</w:t>
            </w:r>
          </w:p>
        </w:tc>
        <w:tc>
          <w:tcPr>
            <w:tcW w:w="2771" w:type="dxa"/>
            <w:tcBorders>
              <w:top w:val="single" w:color="auto" w:sz="4" w:space="0"/>
              <w:left w:val="nil"/>
              <w:bottom w:val="single" w:color="auto" w:sz="4" w:space="0"/>
              <w:right w:val="single" w:color="auto" w:sz="4" w:space="0"/>
            </w:tcBorders>
            <w:vAlign w:val="center"/>
          </w:tcPr>
          <w:p w14:paraId="294D522C">
            <w:pPr>
              <w:adjustRightInd w:val="0"/>
              <w:spacing w:line="360" w:lineRule="auto"/>
              <w:jc w:val="center"/>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交货期</w:t>
            </w:r>
          </w:p>
        </w:tc>
        <w:tc>
          <w:tcPr>
            <w:tcW w:w="5178" w:type="dxa"/>
            <w:tcBorders>
              <w:top w:val="single" w:color="auto" w:sz="4" w:space="0"/>
              <w:left w:val="nil"/>
              <w:bottom w:val="single" w:color="auto" w:sz="4" w:space="0"/>
              <w:right w:val="single" w:color="auto" w:sz="4" w:space="0"/>
            </w:tcBorders>
            <w:vAlign w:val="center"/>
          </w:tcPr>
          <w:p w14:paraId="63CDFC1C">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详见第二章“供应商须知前附表”的规定</w:t>
            </w:r>
          </w:p>
        </w:tc>
      </w:tr>
      <w:tr w14:paraId="62E4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26" w:type="dxa"/>
            <w:vMerge w:val="continue"/>
            <w:tcBorders>
              <w:left w:val="single" w:color="auto" w:sz="4" w:space="0"/>
              <w:right w:val="single" w:color="auto" w:sz="4" w:space="0"/>
            </w:tcBorders>
            <w:vAlign w:val="center"/>
          </w:tcPr>
          <w:p w14:paraId="72F94D36">
            <w:pPr>
              <w:spacing w:line="360" w:lineRule="auto"/>
              <w:jc w:val="center"/>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383D2C3E">
            <w:pPr>
              <w:spacing w:line="360" w:lineRule="auto"/>
              <w:jc w:val="center"/>
              <w:rPr>
                <w:rFonts w:ascii="宋体" w:hAnsi="宋体" w:eastAsia="宋体" w:cs="Courier New"/>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5ED2A16E">
            <w:pPr>
              <w:adjustRightInd w:val="0"/>
              <w:spacing w:line="360" w:lineRule="auto"/>
              <w:jc w:val="center"/>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交货地点</w:t>
            </w:r>
          </w:p>
        </w:tc>
        <w:tc>
          <w:tcPr>
            <w:tcW w:w="5178" w:type="dxa"/>
            <w:tcBorders>
              <w:top w:val="single" w:color="auto" w:sz="4" w:space="0"/>
              <w:left w:val="nil"/>
              <w:bottom w:val="single" w:color="auto" w:sz="4" w:space="0"/>
              <w:right w:val="single" w:color="auto" w:sz="4" w:space="0"/>
            </w:tcBorders>
            <w:vAlign w:val="center"/>
          </w:tcPr>
          <w:p w14:paraId="146FC164">
            <w:pPr>
              <w:adjustRightInd w:val="0"/>
              <w:spacing w:line="360" w:lineRule="auto"/>
              <w:jc w:val="left"/>
              <w:textAlignment w:val="baseline"/>
              <w:rPr>
                <w:rFonts w:ascii="宋体" w:hAnsi="宋体" w:eastAsia="宋体" w:cs="宋体"/>
                <w:color w:val="auto"/>
                <w:sz w:val="24"/>
                <w:szCs w:val="21"/>
                <w:highlight w:val="none"/>
                <w:lang w:val="zh-CN"/>
              </w:rPr>
            </w:pPr>
            <w:r>
              <w:rPr>
                <w:rFonts w:hint="eastAsia" w:ascii="宋体" w:hAnsi="宋体" w:eastAsia="宋体" w:cs="宋体"/>
                <w:color w:val="auto"/>
                <w:sz w:val="24"/>
                <w:szCs w:val="21"/>
                <w:highlight w:val="none"/>
              </w:rPr>
              <w:t>详见第二章“供应商须知前附表”的规定</w:t>
            </w:r>
          </w:p>
        </w:tc>
      </w:tr>
      <w:tr w14:paraId="0059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526" w:type="dxa"/>
            <w:vMerge w:val="continue"/>
            <w:tcBorders>
              <w:left w:val="single" w:color="auto" w:sz="4" w:space="0"/>
              <w:right w:val="single" w:color="auto" w:sz="4" w:space="0"/>
            </w:tcBorders>
            <w:vAlign w:val="center"/>
          </w:tcPr>
          <w:p w14:paraId="7B28AA95">
            <w:pPr>
              <w:widowControl/>
              <w:jc w:val="left"/>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6A15AF07">
            <w:pPr>
              <w:widowControl/>
              <w:jc w:val="left"/>
              <w:rPr>
                <w:rFonts w:ascii="宋体" w:hAnsi="宋体" w:eastAsia="宋体" w:cs="Courier New"/>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69F76DA8">
            <w:pPr>
              <w:adjustRightInd w:val="0"/>
              <w:spacing w:line="360" w:lineRule="auto"/>
              <w:jc w:val="center"/>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质量要求</w:t>
            </w:r>
          </w:p>
        </w:tc>
        <w:tc>
          <w:tcPr>
            <w:tcW w:w="5178" w:type="dxa"/>
            <w:tcBorders>
              <w:top w:val="single" w:color="auto" w:sz="4" w:space="0"/>
              <w:left w:val="nil"/>
              <w:bottom w:val="single" w:color="auto" w:sz="4" w:space="0"/>
              <w:right w:val="single" w:color="auto" w:sz="4" w:space="0"/>
            </w:tcBorders>
            <w:vAlign w:val="center"/>
          </w:tcPr>
          <w:p w14:paraId="447E47B1">
            <w:pPr>
              <w:adjustRightInd w:val="0"/>
              <w:spacing w:line="360" w:lineRule="auto"/>
              <w:jc w:val="left"/>
              <w:textAlignment w:val="baseline"/>
              <w:rPr>
                <w:rFonts w:ascii="宋体" w:hAnsi="宋体" w:eastAsia="宋体" w:cs="宋体"/>
                <w:color w:val="auto"/>
                <w:sz w:val="24"/>
                <w:szCs w:val="21"/>
                <w:highlight w:val="none"/>
                <w:lang w:val="zh-CN"/>
              </w:rPr>
            </w:pPr>
            <w:r>
              <w:rPr>
                <w:rFonts w:hint="eastAsia" w:ascii="宋体" w:hAnsi="宋体" w:eastAsia="宋体" w:cs="宋体"/>
                <w:color w:val="auto"/>
                <w:sz w:val="24"/>
                <w:szCs w:val="21"/>
                <w:highlight w:val="none"/>
              </w:rPr>
              <w:t>详见第二章“供应商须知前附表”的规定</w:t>
            </w:r>
          </w:p>
        </w:tc>
      </w:tr>
      <w:tr w14:paraId="7408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526" w:type="dxa"/>
            <w:vMerge w:val="continue"/>
            <w:tcBorders>
              <w:left w:val="single" w:color="auto" w:sz="4" w:space="0"/>
              <w:right w:val="single" w:color="auto" w:sz="4" w:space="0"/>
            </w:tcBorders>
            <w:vAlign w:val="center"/>
          </w:tcPr>
          <w:p w14:paraId="4CEF9CBA">
            <w:pPr>
              <w:widowControl/>
              <w:jc w:val="left"/>
              <w:rPr>
                <w:rFonts w:ascii="宋体" w:hAnsi="宋体" w:eastAsia="宋体" w:cs="Courier New"/>
                <w:color w:val="auto"/>
                <w:sz w:val="24"/>
                <w:szCs w:val="21"/>
                <w:highlight w:val="none"/>
              </w:rPr>
            </w:pPr>
          </w:p>
        </w:tc>
        <w:tc>
          <w:tcPr>
            <w:tcW w:w="987" w:type="dxa"/>
            <w:vMerge w:val="continue"/>
            <w:tcBorders>
              <w:left w:val="nil"/>
              <w:right w:val="single" w:color="auto" w:sz="4" w:space="0"/>
            </w:tcBorders>
            <w:vAlign w:val="center"/>
          </w:tcPr>
          <w:p w14:paraId="2574935B">
            <w:pPr>
              <w:widowControl/>
              <w:jc w:val="left"/>
              <w:rPr>
                <w:rFonts w:ascii="宋体" w:hAnsi="宋体" w:eastAsia="宋体" w:cs="Courier New"/>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1BCF9757">
            <w:pPr>
              <w:adjustRightInd w:val="0"/>
              <w:spacing w:line="360" w:lineRule="auto"/>
              <w:jc w:val="center"/>
              <w:textAlignment w:val="baseline"/>
              <w:rPr>
                <w:rFonts w:ascii="宋体" w:hAnsi="宋体" w:eastAsia="宋体" w:cs="宋体"/>
                <w:color w:val="auto"/>
                <w:sz w:val="24"/>
                <w:szCs w:val="21"/>
                <w:highlight w:val="none"/>
              </w:rPr>
            </w:pPr>
            <w:r>
              <w:rPr>
                <w:rFonts w:hint="eastAsia" w:asciiTheme="minorEastAsia" w:hAnsiTheme="minorEastAsia" w:cstheme="minorEastAsia"/>
                <w:color w:val="auto"/>
                <w:sz w:val="24"/>
                <w:szCs w:val="24"/>
                <w:highlight w:val="none"/>
              </w:rPr>
              <w:t>质保期</w:t>
            </w:r>
          </w:p>
        </w:tc>
        <w:tc>
          <w:tcPr>
            <w:tcW w:w="5178" w:type="dxa"/>
            <w:tcBorders>
              <w:top w:val="single" w:color="auto" w:sz="4" w:space="0"/>
              <w:left w:val="nil"/>
              <w:bottom w:val="single" w:color="auto" w:sz="4" w:space="0"/>
              <w:right w:val="single" w:color="auto" w:sz="4" w:space="0"/>
            </w:tcBorders>
            <w:vAlign w:val="center"/>
          </w:tcPr>
          <w:p w14:paraId="15E23ADE">
            <w:pPr>
              <w:adjustRightInd w:val="0"/>
              <w:spacing w:line="360" w:lineRule="auto"/>
              <w:jc w:val="left"/>
              <w:textAlignment w:val="baseline"/>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一年</w:t>
            </w:r>
          </w:p>
        </w:tc>
      </w:tr>
      <w:tr w14:paraId="4592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526" w:type="dxa"/>
            <w:vMerge w:val="continue"/>
            <w:tcBorders>
              <w:left w:val="single" w:color="auto" w:sz="4" w:space="0"/>
              <w:right w:val="single" w:color="auto" w:sz="4" w:space="0"/>
            </w:tcBorders>
            <w:vAlign w:val="center"/>
          </w:tcPr>
          <w:p w14:paraId="37EC7D28">
            <w:pPr>
              <w:widowControl/>
              <w:jc w:val="left"/>
              <w:rPr>
                <w:rFonts w:ascii="宋体" w:hAnsi="宋体" w:eastAsia="宋体" w:cs="Courier New"/>
                <w:color w:val="auto"/>
                <w:sz w:val="24"/>
                <w:szCs w:val="21"/>
                <w:highlight w:val="none"/>
              </w:rPr>
            </w:pPr>
          </w:p>
        </w:tc>
        <w:tc>
          <w:tcPr>
            <w:tcW w:w="987" w:type="dxa"/>
            <w:vMerge w:val="continue"/>
            <w:tcBorders>
              <w:left w:val="nil"/>
              <w:bottom w:val="single" w:color="auto" w:sz="4" w:space="0"/>
              <w:right w:val="single" w:color="auto" w:sz="4" w:space="0"/>
            </w:tcBorders>
            <w:vAlign w:val="center"/>
          </w:tcPr>
          <w:p w14:paraId="28F5D9CD">
            <w:pPr>
              <w:widowControl/>
              <w:jc w:val="left"/>
              <w:rPr>
                <w:rFonts w:ascii="宋体" w:hAnsi="宋体" w:eastAsia="宋体" w:cs="Courier New"/>
                <w:color w:val="auto"/>
                <w:sz w:val="24"/>
                <w:szCs w:val="21"/>
                <w:highlight w:val="none"/>
              </w:rPr>
            </w:pPr>
          </w:p>
        </w:tc>
        <w:tc>
          <w:tcPr>
            <w:tcW w:w="2771" w:type="dxa"/>
            <w:tcBorders>
              <w:top w:val="single" w:color="auto" w:sz="4" w:space="0"/>
              <w:left w:val="nil"/>
              <w:bottom w:val="single" w:color="auto" w:sz="4" w:space="0"/>
              <w:right w:val="single" w:color="auto" w:sz="4" w:space="0"/>
            </w:tcBorders>
            <w:vAlign w:val="center"/>
          </w:tcPr>
          <w:p w14:paraId="73597AA0">
            <w:pPr>
              <w:spacing w:line="360" w:lineRule="auto"/>
              <w:jc w:val="center"/>
              <w:rPr>
                <w:rFonts w:asciiTheme="minorEastAsia" w:hAnsiTheme="minorEastAsia" w:cstheme="minorEastAsia"/>
                <w:color w:val="auto"/>
                <w:sz w:val="24"/>
                <w:szCs w:val="24"/>
                <w:highlight w:val="none"/>
              </w:rPr>
            </w:pPr>
            <w:r>
              <w:rPr>
                <w:rFonts w:hint="eastAsia" w:ascii="宋体" w:hAnsi="宋体"/>
                <w:color w:val="auto"/>
                <w:sz w:val="24"/>
                <w:highlight w:val="none"/>
              </w:rPr>
              <w:t>磋商有效期</w:t>
            </w:r>
          </w:p>
        </w:tc>
        <w:tc>
          <w:tcPr>
            <w:tcW w:w="5178" w:type="dxa"/>
            <w:tcBorders>
              <w:top w:val="single" w:color="auto" w:sz="4" w:space="0"/>
              <w:left w:val="nil"/>
              <w:bottom w:val="single" w:color="auto" w:sz="4" w:space="0"/>
              <w:right w:val="single" w:color="auto" w:sz="4" w:space="0"/>
            </w:tcBorders>
            <w:vAlign w:val="center"/>
          </w:tcPr>
          <w:p w14:paraId="4221A46C">
            <w:pPr>
              <w:spacing w:line="360" w:lineRule="auto"/>
              <w:rPr>
                <w:rFonts w:ascii="宋体" w:hAnsi="宋体" w:eastAsia="宋体" w:cs="宋体"/>
                <w:color w:val="auto"/>
                <w:sz w:val="24"/>
                <w:szCs w:val="21"/>
                <w:highlight w:val="none"/>
              </w:rPr>
            </w:pPr>
            <w:r>
              <w:rPr>
                <w:rFonts w:hint="eastAsia" w:ascii="宋体" w:hAnsi="宋体"/>
                <w:color w:val="auto"/>
                <w:sz w:val="24"/>
                <w:highlight w:val="none"/>
              </w:rPr>
              <w:t>符合磋商文件规定</w:t>
            </w:r>
          </w:p>
        </w:tc>
      </w:tr>
    </w:tbl>
    <w:p w14:paraId="784CCC35">
      <w:pPr>
        <w:widowControl/>
        <w:jc w:val="left"/>
        <w:rPr>
          <w:rFonts w:ascii="宋体" w:hAnsi="宋体" w:cs="Calibri"/>
          <w:b/>
          <w:bCs/>
          <w:color w:val="auto"/>
          <w:kern w:val="0"/>
          <w:sz w:val="24"/>
          <w:highlight w:val="none"/>
        </w:rPr>
      </w:pPr>
    </w:p>
    <w:p w14:paraId="5530A27F">
      <w:pPr>
        <w:widowControl/>
        <w:spacing w:line="400" w:lineRule="exact"/>
        <w:jc w:val="left"/>
        <w:rPr>
          <w:rFonts w:ascii="宋体" w:hAnsi="宋体" w:cs="Calibri"/>
          <w:b/>
          <w:bCs/>
          <w:color w:val="auto"/>
          <w:sz w:val="24"/>
          <w:highlight w:val="none"/>
        </w:rPr>
      </w:pPr>
      <w:r>
        <w:rPr>
          <w:rFonts w:hint="eastAsia" w:ascii="宋体" w:hAnsi="宋体" w:cs="Calibri"/>
          <w:b/>
          <w:bCs/>
          <w:color w:val="auto"/>
          <w:kern w:val="0"/>
          <w:sz w:val="24"/>
          <w:highlight w:val="none"/>
        </w:rPr>
        <w:t>二、详细审查：</w:t>
      </w:r>
    </w:p>
    <w:p w14:paraId="4551CFEE">
      <w:pPr>
        <w:widowControl/>
        <w:jc w:val="center"/>
        <w:rPr>
          <w:rFonts w:ascii="宋体" w:hAnsi="宋体" w:eastAsia="宋体" w:cs="宋体"/>
          <w:color w:val="auto"/>
          <w:sz w:val="24"/>
          <w:szCs w:val="32"/>
          <w:highlight w:val="none"/>
        </w:rPr>
      </w:pPr>
      <w:bookmarkStart w:id="162" w:name="_Toc528078063"/>
      <w:bookmarkEnd w:id="162"/>
      <w:bookmarkStart w:id="163" w:name="_Toc512514899"/>
      <w:bookmarkEnd w:id="163"/>
      <w:bookmarkStart w:id="164" w:name="_Toc517179004"/>
      <w:bookmarkEnd w:id="164"/>
      <w:bookmarkStart w:id="165" w:name="_Toc16770583"/>
      <w:bookmarkEnd w:id="165"/>
      <w:bookmarkStart w:id="166" w:name="_Toc43302814"/>
      <w:bookmarkStart w:id="167" w:name="_Toc13219"/>
      <w:r>
        <w:rPr>
          <w:rFonts w:hint="eastAsia" w:ascii="宋体" w:hAnsi="宋体" w:eastAsia="宋体" w:cs="宋体"/>
          <w:color w:val="auto"/>
          <w:sz w:val="24"/>
          <w:szCs w:val="32"/>
          <w:highlight w:val="none"/>
        </w:rPr>
        <w:t>评分标准</w:t>
      </w:r>
      <w:bookmarkEnd w:id="166"/>
      <w:bookmarkEnd w:id="167"/>
    </w:p>
    <w:p w14:paraId="357B19AC">
      <w:pPr>
        <w:widowControl/>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分值构成(总分100分) 报价分：30分；技术分：</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0分；商务分：</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p w14:paraId="0928F34C">
      <w:pPr>
        <w:widowControl/>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综合得分按公式计算：综合得分=报价得分＋技术得分＋商务得分；</w:t>
      </w:r>
    </w:p>
    <w:p w14:paraId="3BD65F8B">
      <w:pPr>
        <w:widowControl/>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供应商综合得分按下列公式计算（计算分值均保留两位小数）；</w:t>
      </w:r>
    </w:p>
    <w:tbl>
      <w:tblPr>
        <w:tblStyle w:val="20"/>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232"/>
        <w:gridCol w:w="749"/>
        <w:gridCol w:w="6426"/>
      </w:tblGrid>
      <w:tr w14:paraId="18A9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auto" w:sz="4" w:space="0"/>
              <w:left w:val="single" w:color="auto" w:sz="4" w:space="0"/>
              <w:bottom w:val="single" w:color="auto" w:sz="4" w:space="0"/>
              <w:right w:val="single" w:color="auto" w:sz="4" w:space="0"/>
            </w:tcBorders>
          </w:tcPr>
          <w:p w14:paraId="62D4CB88">
            <w:pPr>
              <w:widowControl/>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评分项</w:t>
            </w:r>
          </w:p>
        </w:tc>
        <w:tc>
          <w:tcPr>
            <w:tcW w:w="1232" w:type="dxa"/>
            <w:tcBorders>
              <w:top w:val="single" w:color="auto" w:sz="4" w:space="0"/>
              <w:left w:val="nil"/>
              <w:bottom w:val="single" w:color="auto" w:sz="4" w:space="0"/>
              <w:right w:val="single" w:color="auto" w:sz="4" w:space="0"/>
            </w:tcBorders>
          </w:tcPr>
          <w:p w14:paraId="259507FF">
            <w:pPr>
              <w:widowControl/>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评审内容</w:t>
            </w:r>
          </w:p>
        </w:tc>
        <w:tc>
          <w:tcPr>
            <w:tcW w:w="749" w:type="dxa"/>
            <w:tcBorders>
              <w:top w:val="single" w:color="auto" w:sz="4" w:space="0"/>
              <w:left w:val="nil"/>
              <w:bottom w:val="single" w:color="auto" w:sz="4" w:space="0"/>
              <w:right w:val="single" w:color="auto" w:sz="4" w:space="0"/>
            </w:tcBorders>
          </w:tcPr>
          <w:p w14:paraId="4CF9989A">
            <w:pPr>
              <w:widowControl/>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6426" w:type="dxa"/>
            <w:tcBorders>
              <w:top w:val="single" w:color="auto" w:sz="4" w:space="0"/>
              <w:left w:val="nil"/>
              <w:bottom w:val="single" w:color="auto" w:sz="4" w:space="0"/>
              <w:right w:val="single" w:color="auto" w:sz="4" w:space="0"/>
            </w:tcBorders>
          </w:tcPr>
          <w:p w14:paraId="53390873">
            <w:pPr>
              <w:widowControl/>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评分准则</w:t>
            </w:r>
          </w:p>
        </w:tc>
      </w:tr>
      <w:tr w14:paraId="3700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14:paraId="10B550BB">
            <w:pPr>
              <w:widowControl/>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p w14:paraId="52C34EBA">
            <w:pPr>
              <w:widowControl/>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（30分）</w:t>
            </w:r>
          </w:p>
        </w:tc>
        <w:tc>
          <w:tcPr>
            <w:tcW w:w="1981" w:type="dxa"/>
            <w:gridSpan w:val="2"/>
            <w:tcBorders>
              <w:top w:val="single" w:color="auto" w:sz="4" w:space="0"/>
              <w:left w:val="nil"/>
              <w:bottom w:val="single" w:color="auto" w:sz="4" w:space="0"/>
              <w:right w:val="single" w:color="auto" w:sz="4" w:space="0"/>
            </w:tcBorders>
            <w:vAlign w:val="center"/>
          </w:tcPr>
          <w:p w14:paraId="340170A0">
            <w:pPr>
              <w:widowControl/>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投标报价（30分）</w:t>
            </w:r>
          </w:p>
        </w:tc>
        <w:tc>
          <w:tcPr>
            <w:tcW w:w="6426" w:type="dxa"/>
            <w:tcBorders>
              <w:top w:val="single" w:color="auto" w:sz="4" w:space="0"/>
              <w:left w:val="nil"/>
              <w:bottom w:val="single" w:color="auto" w:sz="4" w:space="0"/>
              <w:right w:val="single" w:color="auto" w:sz="4" w:space="0"/>
            </w:tcBorders>
          </w:tcPr>
          <w:p w14:paraId="567713A3">
            <w:pPr>
              <w:widowControl/>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按照《财政部关于加强政府采购货物和服务项目价格评审管理的通知》（财库【2007】2 号）规定，综合评分法中的价格分用低价优先法计算，即满足招标文件要求且投标价格最低的投标报价为评标基准价，其价格分为满分 30 分。</w:t>
            </w:r>
          </w:p>
          <w:p w14:paraId="333B8FCD">
            <w:pPr>
              <w:widowControl/>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投标报价得分=(评标基准价/投标报价)×30</w:t>
            </w:r>
          </w:p>
          <w:p w14:paraId="74959168">
            <w:pPr>
              <w:widowControl/>
              <w:spacing w:line="360" w:lineRule="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备注：</w:t>
            </w: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rPr>
              <w:t>本项目</w:t>
            </w:r>
            <w:r>
              <w:rPr>
                <w:rFonts w:hint="eastAsia" w:ascii="宋体" w:hAnsi="宋体" w:eastAsia="宋体" w:cs="宋体"/>
                <w:color w:val="auto"/>
                <w:sz w:val="24"/>
                <w:szCs w:val="24"/>
                <w:highlight w:val="none"/>
                <w:lang w:val="en-US" w:eastAsia="zh-CN"/>
              </w:rPr>
              <w:t>专门面向中小企业,不再进行价格扣除。</w:t>
            </w:r>
          </w:p>
          <w:p w14:paraId="0E74774C">
            <w:pPr>
              <w:widowControl/>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供应商不能提供书面说明、证明材料，或者提供的书面说明、证明材料不能证明其报价合理性的，评审委员会应当将其作为无效投标（响应）处理。</w:t>
            </w:r>
          </w:p>
        </w:tc>
      </w:tr>
      <w:tr w14:paraId="35E9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jc w:val="center"/>
        </w:trPr>
        <w:tc>
          <w:tcPr>
            <w:tcW w:w="1300" w:type="dxa"/>
            <w:vMerge w:val="restart"/>
            <w:tcBorders>
              <w:top w:val="nil"/>
              <w:left w:val="single" w:color="auto" w:sz="4" w:space="0"/>
              <w:right w:val="single" w:color="auto" w:sz="4" w:space="0"/>
            </w:tcBorders>
            <w:vAlign w:val="center"/>
          </w:tcPr>
          <w:p w14:paraId="39E89EF9">
            <w:pPr>
              <w:widowControl/>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技术标</w:t>
            </w:r>
          </w:p>
          <w:p w14:paraId="69F23BA3">
            <w:pPr>
              <w:widowControl/>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0分）</w:t>
            </w:r>
          </w:p>
        </w:tc>
        <w:tc>
          <w:tcPr>
            <w:tcW w:w="1981" w:type="dxa"/>
            <w:gridSpan w:val="2"/>
            <w:tcBorders>
              <w:top w:val="single" w:color="auto" w:sz="4" w:space="0"/>
              <w:left w:val="nil"/>
              <w:bottom w:val="single" w:color="auto" w:sz="4" w:space="0"/>
              <w:right w:val="single" w:color="auto" w:sz="4" w:space="0"/>
            </w:tcBorders>
            <w:vAlign w:val="center"/>
          </w:tcPr>
          <w:p w14:paraId="3C6E1666">
            <w:pPr>
              <w:adjustRightInd w:val="0"/>
              <w:spacing w:line="400" w:lineRule="exact"/>
              <w:jc w:val="center"/>
              <w:textAlignment w:val="baseline"/>
              <w:rPr>
                <w:rFonts w:ascii="宋体" w:hAnsi="宋体" w:cs="宋体"/>
                <w:color w:val="auto"/>
                <w:sz w:val="24"/>
                <w:szCs w:val="24"/>
                <w:highlight w:val="none"/>
              </w:rPr>
            </w:pPr>
            <w:r>
              <w:rPr>
                <w:rFonts w:hint="eastAsia" w:ascii="宋体" w:hAnsi="宋体" w:cs="宋体"/>
                <w:color w:val="auto"/>
                <w:sz w:val="24"/>
                <w:szCs w:val="24"/>
                <w:highlight w:val="none"/>
              </w:rPr>
              <w:t>技术参数</w:t>
            </w:r>
          </w:p>
          <w:p w14:paraId="53B07A65">
            <w:pPr>
              <w:adjustRightInd w:val="0"/>
              <w:spacing w:line="400" w:lineRule="exact"/>
              <w:jc w:val="center"/>
              <w:textAlignment w:val="baseline"/>
              <w:rPr>
                <w:rFonts w:ascii="宋体" w:hAnsi="宋体" w:eastAsia="宋体" w:cs="宋体"/>
                <w:color w:val="auto"/>
                <w:kern w:val="0"/>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52DE4038">
            <w:pPr>
              <w:spacing w:line="360" w:lineRule="auto"/>
              <w:rPr>
                <w:rFonts w:ascii="宋体" w:hAnsi="宋体" w:eastAsia="宋体" w:cs="宋体"/>
                <w:color w:val="auto"/>
                <w:kern w:val="0"/>
                <w:sz w:val="24"/>
                <w:szCs w:val="24"/>
                <w:highlight w:val="none"/>
              </w:rPr>
            </w:pPr>
            <w:r>
              <w:rPr>
                <w:rFonts w:hint="eastAsia" w:ascii="宋体" w:hAnsi="宋体"/>
                <w:color w:val="auto"/>
                <w:sz w:val="24"/>
                <w:szCs w:val="24"/>
                <w:highlight w:val="none"/>
              </w:rPr>
              <w:t>投标产品技术性能指标完全满足磋商文件技术要求的得2</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分；技术参数及需求中技术指标，不满足（负偏离）在2</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分的基础上扣2分，扣完为止。</w:t>
            </w:r>
          </w:p>
        </w:tc>
      </w:tr>
      <w:tr w14:paraId="2770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1300" w:type="dxa"/>
            <w:vMerge w:val="continue"/>
            <w:tcBorders>
              <w:left w:val="single" w:color="auto" w:sz="4" w:space="0"/>
              <w:right w:val="single" w:color="auto" w:sz="4" w:space="0"/>
            </w:tcBorders>
            <w:vAlign w:val="center"/>
          </w:tcPr>
          <w:p w14:paraId="12DD362B">
            <w:pPr>
              <w:widowControl/>
              <w:spacing w:line="360" w:lineRule="auto"/>
              <w:jc w:val="center"/>
              <w:rPr>
                <w:rFonts w:ascii="宋体" w:hAnsi="宋体" w:eastAsia="宋体" w:cs="宋体"/>
                <w:color w:val="auto"/>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076EDBE8">
            <w:pPr>
              <w:wordWrap w:val="0"/>
              <w:spacing w:line="360" w:lineRule="exact"/>
              <w:jc w:val="center"/>
              <w:rPr>
                <w:rFonts w:ascii="宋体" w:hAnsi="宋体"/>
                <w:color w:val="auto"/>
                <w:kern w:val="0"/>
                <w:sz w:val="24"/>
                <w:szCs w:val="24"/>
                <w:highlight w:val="none"/>
              </w:rPr>
            </w:pPr>
            <w:r>
              <w:rPr>
                <w:rFonts w:hint="eastAsia" w:ascii="宋体" w:hAnsi="宋体"/>
                <w:color w:val="auto"/>
                <w:kern w:val="0"/>
                <w:sz w:val="24"/>
                <w:szCs w:val="24"/>
                <w:highlight w:val="none"/>
              </w:rPr>
              <w:t>供货、运输方案</w:t>
            </w:r>
          </w:p>
          <w:p w14:paraId="1A1FA783">
            <w:pPr>
              <w:adjustRightInd w:val="0"/>
              <w:spacing w:line="400" w:lineRule="exact"/>
              <w:jc w:val="center"/>
              <w:textAlignment w:val="baseline"/>
              <w:rPr>
                <w:rFonts w:ascii="宋体" w:hAnsi="宋体" w:eastAsia="宋体" w:cs="宋体"/>
                <w:color w:val="auto"/>
                <w:kern w:val="0"/>
                <w:sz w:val="24"/>
                <w:szCs w:val="24"/>
                <w:highlight w:val="none"/>
              </w:rPr>
            </w:pP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5</w:t>
            </w:r>
            <w:r>
              <w:rPr>
                <w:rFonts w:hint="eastAsia" w:ascii="宋体" w:hAnsi="宋体"/>
                <w:color w:val="auto"/>
                <w:kern w:val="0"/>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571E2BFC">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根据供应商提供的供货、运输方案进行评审：</w:t>
            </w:r>
          </w:p>
          <w:p w14:paraId="31EB2969">
            <w:pPr>
              <w:spacing w:line="360" w:lineRule="auto"/>
              <w:rPr>
                <w:rFonts w:ascii="宋体" w:hAnsi="宋体"/>
                <w:color w:val="auto"/>
                <w:sz w:val="24"/>
                <w:szCs w:val="24"/>
                <w:highlight w:val="none"/>
              </w:rPr>
            </w:pPr>
            <w:r>
              <w:rPr>
                <w:rFonts w:hint="eastAsia" w:ascii="宋体" w:hAnsi="宋体" w:eastAsia="宋体" w:cs="宋体"/>
                <w:color w:val="auto"/>
                <w:sz w:val="24"/>
                <w:szCs w:val="24"/>
                <w:highlight w:val="none"/>
              </w:rPr>
              <w:t>第一档：</w:t>
            </w:r>
            <w:r>
              <w:rPr>
                <w:rFonts w:hint="eastAsia" w:ascii="宋体" w:hAnsi="宋体"/>
                <w:color w:val="auto"/>
                <w:sz w:val="24"/>
                <w:szCs w:val="24"/>
                <w:highlight w:val="none"/>
              </w:rPr>
              <w:t>供货、运输方案科学合理、全面、措施有保障的，得</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分；</w:t>
            </w:r>
          </w:p>
          <w:p w14:paraId="42429F81">
            <w:pPr>
              <w:spacing w:line="360" w:lineRule="auto"/>
              <w:rPr>
                <w:rFonts w:ascii="宋体" w:hAnsi="宋体"/>
                <w:color w:val="auto"/>
                <w:sz w:val="24"/>
                <w:szCs w:val="24"/>
                <w:highlight w:val="none"/>
              </w:rPr>
            </w:pPr>
            <w:r>
              <w:rPr>
                <w:rFonts w:hint="eastAsia" w:ascii="宋体" w:hAnsi="宋体" w:eastAsia="宋体" w:cs="宋体"/>
                <w:color w:val="auto"/>
                <w:sz w:val="24"/>
                <w:szCs w:val="24"/>
                <w:highlight w:val="none"/>
              </w:rPr>
              <w:t>第二档：</w:t>
            </w:r>
            <w:r>
              <w:rPr>
                <w:rFonts w:hint="eastAsia" w:ascii="宋体" w:hAnsi="宋体"/>
                <w:color w:val="auto"/>
                <w:sz w:val="24"/>
                <w:szCs w:val="24"/>
                <w:highlight w:val="none"/>
              </w:rPr>
              <w:t>不全面、不详尽或者个别方面不满足采购需求的，得</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分；</w:t>
            </w:r>
          </w:p>
          <w:p w14:paraId="41465724">
            <w:pPr>
              <w:spacing w:line="360" w:lineRule="auto"/>
              <w:rPr>
                <w:rFonts w:ascii="宋体" w:hAnsi="宋体"/>
                <w:color w:val="auto"/>
                <w:sz w:val="24"/>
                <w:szCs w:val="24"/>
                <w:highlight w:val="none"/>
              </w:rPr>
            </w:pPr>
            <w:r>
              <w:rPr>
                <w:rFonts w:hint="eastAsia" w:ascii="宋体" w:hAnsi="宋体" w:eastAsia="宋体" w:cs="宋体"/>
                <w:color w:val="auto"/>
                <w:sz w:val="24"/>
                <w:szCs w:val="24"/>
                <w:highlight w:val="none"/>
              </w:rPr>
              <w:t>第三档：</w:t>
            </w:r>
            <w:r>
              <w:rPr>
                <w:rFonts w:hint="eastAsia" w:ascii="宋体" w:hAnsi="宋体"/>
                <w:color w:val="auto"/>
                <w:sz w:val="24"/>
                <w:szCs w:val="24"/>
                <w:highlight w:val="none"/>
              </w:rPr>
              <w:t>不能满足采购需求的，得</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分。</w:t>
            </w:r>
          </w:p>
          <w:p w14:paraId="46EA7558">
            <w:pPr>
              <w:spacing w:line="360" w:lineRule="auto"/>
              <w:rPr>
                <w:rFonts w:ascii="宋体" w:hAnsi="宋体" w:eastAsia="宋体" w:cs="宋体"/>
                <w:color w:val="auto"/>
                <w:sz w:val="24"/>
                <w:szCs w:val="24"/>
                <w:highlight w:val="none"/>
              </w:rPr>
            </w:pPr>
            <w:r>
              <w:rPr>
                <w:rFonts w:hint="eastAsia" w:ascii="宋体" w:hAnsi="宋体" w:eastAsia="宋体"/>
                <w:color w:val="auto"/>
                <w:sz w:val="24"/>
                <w:szCs w:val="24"/>
                <w:highlight w:val="none"/>
              </w:rPr>
              <w:t>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r w14:paraId="6EA7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3" w:hRule="atLeast"/>
          <w:jc w:val="center"/>
        </w:trPr>
        <w:tc>
          <w:tcPr>
            <w:tcW w:w="1300" w:type="dxa"/>
            <w:vMerge w:val="continue"/>
            <w:tcBorders>
              <w:left w:val="single" w:color="auto" w:sz="4" w:space="0"/>
              <w:right w:val="single" w:color="auto" w:sz="4" w:space="0"/>
            </w:tcBorders>
            <w:vAlign w:val="center"/>
          </w:tcPr>
          <w:p w14:paraId="18147CAA">
            <w:pPr>
              <w:widowControl/>
              <w:spacing w:line="360" w:lineRule="auto"/>
              <w:jc w:val="center"/>
              <w:rPr>
                <w:rFonts w:ascii="宋体" w:hAnsi="宋体" w:eastAsia="宋体" w:cs="宋体"/>
                <w:color w:val="auto"/>
                <w:sz w:val="24"/>
                <w:szCs w:val="24"/>
                <w:highlight w:val="none"/>
              </w:rPr>
            </w:pPr>
          </w:p>
        </w:tc>
        <w:tc>
          <w:tcPr>
            <w:tcW w:w="1981" w:type="dxa"/>
            <w:gridSpan w:val="2"/>
            <w:tcBorders>
              <w:top w:val="single" w:color="auto" w:sz="4" w:space="0"/>
              <w:left w:val="nil"/>
              <w:right w:val="single" w:color="auto" w:sz="4" w:space="0"/>
            </w:tcBorders>
            <w:vAlign w:val="center"/>
          </w:tcPr>
          <w:p w14:paraId="6F25B3FD">
            <w:pPr>
              <w:adjustRightInd w:val="0"/>
              <w:spacing w:line="400" w:lineRule="exact"/>
              <w:jc w:val="center"/>
              <w:textAlignment w:val="baseline"/>
              <w:rPr>
                <w:rFonts w:ascii="宋体" w:hAnsi="宋体" w:cs="宋体"/>
                <w:color w:val="auto"/>
                <w:sz w:val="24"/>
                <w:szCs w:val="24"/>
                <w:highlight w:val="none"/>
              </w:rPr>
            </w:pPr>
            <w:r>
              <w:rPr>
                <w:rFonts w:hint="eastAsia" w:ascii="宋体" w:hAnsi="宋体" w:cs="宋体"/>
                <w:color w:val="auto"/>
                <w:sz w:val="24"/>
                <w:szCs w:val="24"/>
                <w:highlight w:val="none"/>
              </w:rPr>
              <w:t>培训方案</w:t>
            </w:r>
          </w:p>
          <w:p w14:paraId="26CF7948">
            <w:pPr>
              <w:adjustRightInd w:val="0"/>
              <w:spacing w:line="400" w:lineRule="exact"/>
              <w:jc w:val="center"/>
              <w:textAlignment w:val="baseline"/>
              <w:rPr>
                <w:rFonts w:ascii="宋体" w:hAnsi="宋体" w:eastAsia="宋体" w:cs="宋体"/>
                <w:color w:val="auto"/>
                <w:kern w:val="0"/>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2FA299FE">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根据供应商提供的培训方案进行评审：</w:t>
            </w:r>
          </w:p>
          <w:p w14:paraId="6321853B">
            <w:pPr>
              <w:spacing w:line="360" w:lineRule="auto"/>
              <w:rPr>
                <w:rFonts w:ascii="宋体" w:hAnsi="宋体" w:eastAsia="宋体"/>
                <w:color w:val="auto"/>
                <w:sz w:val="24"/>
                <w:szCs w:val="24"/>
                <w:highlight w:val="none"/>
              </w:rPr>
            </w:pPr>
            <w:r>
              <w:rPr>
                <w:rFonts w:hint="eastAsia" w:ascii="宋体" w:hAnsi="宋体" w:eastAsia="宋体" w:cs="宋体"/>
                <w:color w:val="auto"/>
                <w:sz w:val="24"/>
                <w:szCs w:val="24"/>
                <w:highlight w:val="none"/>
              </w:rPr>
              <w:t>第一档：</w:t>
            </w:r>
            <w:r>
              <w:rPr>
                <w:rFonts w:hint="eastAsia" w:ascii="宋体" w:hAnsi="宋体" w:eastAsia="宋体"/>
                <w:color w:val="auto"/>
                <w:sz w:val="24"/>
                <w:szCs w:val="24"/>
                <w:highlight w:val="none"/>
              </w:rPr>
              <w:t>供应商提供对技术人员进行技术培训使其能独立操作、排除简单故障等培训方案，根据各供应商的人员培训计划、培训内容、培训方式、培训时间等情况进行打分，内容齐全、合理、可实施性满足需求的得</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rPr>
              <w:t>分；</w:t>
            </w:r>
          </w:p>
          <w:p w14:paraId="0B82BD6D">
            <w:pPr>
              <w:spacing w:line="360" w:lineRule="auto"/>
              <w:rPr>
                <w:rFonts w:ascii="宋体" w:hAnsi="宋体" w:eastAsia="宋体"/>
                <w:color w:val="auto"/>
                <w:sz w:val="24"/>
                <w:szCs w:val="24"/>
                <w:highlight w:val="none"/>
              </w:rPr>
            </w:pPr>
            <w:r>
              <w:rPr>
                <w:rFonts w:hint="eastAsia" w:ascii="宋体" w:hAnsi="宋体" w:eastAsia="宋体" w:cs="宋体"/>
                <w:color w:val="auto"/>
                <w:sz w:val="24"/>
                <w:szCs w:val="24"/>
                <w:highlight w:val="none"/>
              </w:rPr>
              <w:t>第二档：</w:t>
            </w:r>
            <w:r>
              <w:rPr>
                <w:rFonts w:hint="eastAsia" w:ascii="宋体" w:hAnsi="宋体" w:eastAsia="宋体"/>
                <w:color w:val="auto"/>
                <w:sz w:val="24"/>
                <w:szCs w:val="24"/>
                <w:highlight w:val="none"/>
              </w:rPr>
              <w:t>内容基本齐全、合理、可实施性基本满足得</w:t>
            </w:r>
            <w:r>
              <w:rPr>
                <w:rFonts w:hint="eastAsia" w:ascii="宋体" w:hAnsi="宋体" w:eastAsia="宋体"/>
                <w:color w:val="auto"/>
                <w:sz w:val="24"/>
                <w:szCs w:val="24"/>
                <w:highlight w:val="none"/>
                <w:lang w:val="en-US" w:eastAsia="zh-CN"/>
              </w:rPr>
              <w:t>3</w:t>
            </w:r>
            <w:r>
              <w:rPr>
                <w:rFonts w:hint="eastAsia" w:ascii="宋体" w:hAnsi="宋体" w:eastAsia="宋体"/>
                <w:color w:val="auto"/>
                <w:sz w:val="24"/>
                <w:szCs w:val="24"/>
                <w:highlight w:val="none"/>
              </w:rPr>
              <w:t>分；</w:t>
            </w:r>
          </w:p>
          <w:p w14:paraId="434EE097">
            <w:pPr>
              <w:spacing w:line="360" w:lineRule="auto"/>
              <w:rPr>
                <w:rFonts w:ascii="宋体" w:hAnsi="宋体" w:eastAsia="宋体"/>
                <w:color w:val="auto"/>
                <w:sz w:val="24"/>
                <w:szCs w:val="24"/>
                <w:highlight w:val="none"/>
              </w:rPr>
            </w:pPr>
            <w:r>
              <w:rPr>
                <w:rFonts w:hint="eastAsia" w:ascii="宋体" w:hAnsi="宋体" w:eastAsia="宋体" w:cs="宋体"/>
                <w:color w:val="auto"/>
                <w:sz w:val="24"/>
                <w:szCs w:val="24"/>
                <w:highlight w:val="none"/>
              </w:rPr>
              <w:t>第三档：</w:t>
            </w:r>
            <w:r>
              <w:rPr>
                <w:rFonts w:hint="eastAsia" w:ascii="宋体" w:hAnsi="宋体" w:eastAsia="宋体"/>
                <w:color w:val="auto"/>
                <w:sz w:val="24"/>
                <w:szCs w:val="24"/>
                <w:highlight w:val="none"/>
              </w:rPr>
              <w:t>内容笼统、一般、可实施性欠完备的得1分；</w:t>
            </w:r>
          </w:p>
          <w:p w14:paraId="24C5A884">
            <w:pPr>
              <w:spacing w:line="360" w:lineRule="auto"/>
              <w:rPr>
                <w:rFonts w:ascii="宋体" w:hAnsi="宋体" w:eastAsia="宋体" w:cs="宋体"/>
                <w:color w:val="auto"/>
                <w:sz w:val="24"/>
                <w:szCs w:val="24"/>
                <w:highlight w:val="none"/>
              </w:rPr>
            </w:pPr>
            <w:r>
              <w:rPr>
                <w:rFonts w:hint="eastAsia" w:ascii="宋体" w:hAnsi="宋体" w:eastAsia="宋体"/>
                <w:color w:val="auto"/>
                <w:sz w:val="24"/>
                <w:szCs w:val="24"/>
                <w:highlight w:val="none"/>
              </w:rPr>
              <w:t>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r w14:paraId="52CD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300" w:type="dxa"/>
            <w:vMerge w:val="continue"/>
            <w:tcBorders>
              <w:left w:val="single" w:color="auto" w:sz="4" w:space="0"/>
              <w:right w:val="single" w:color="auto" w:sz="4" w:space="0"/>
            </w:tcBorders>
            <w:vAlign w:val="center"/>
          </w:tcPr>
          <w:p w14:paraId="3FEF0A35">
            <w:pPr>
              <w:widowControl/>
              <w:spacing w:line="360" w:lineRule="auto"/>
              <w:jc w:val="center"/>
              <w:rPr>
                <w:rFonts w:ascii="宋体" w:hAnsi="宋体" w:eastAsia="宋体" w:cs="宋体"/>
                <w:color w:val="auto"/>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48BDB1D2">
            <w:pPr>
              <w:spacing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安全和质量保证体系及措施</w:t>
            </w:r>
          </w:p>
          <w:p w14:paraId="5F9D5854">
            <w:pPr>
              <w:adjustRightInd w:val="0"/>
              <w:spacing w:line="400" w:lineRule="exact"/>
              <w:jc w:val="center"/>
              <w:textAlignment w:val="baseline"/>
              <w:rPr>
                <w:rFonts w:ascii="宋体" w:hAnsi="宋体" w:cs="宋体"/>
                <w:color w:val="auto"/>
                <w:sz w:val="24"/>
                <w:szCs w:val="24"/>
                <w:highlight w:val="none"/>
              </w:rPr>
            </w:pP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39F6EE4B">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根据供应商提供的安全和质量保证体系及措施进行评审：  </w:t>
            </w:r>
            <w:r>
              <w:rPr>
                <w:rFonts w:hint="eastAsia" w:ascii="宋体" w:hAnsi="宋体" w:eastAsia="宋体" w:cs="宋体"/>
                <w:color w:val="auto"/>
                <w:sz w:val="24"/>
                <w:szCs w:val="24"/>
                <w:highlight w:val="none"/>
              </w:rPr>
              <w:t>第一档：</w:t>
            </w:r>
            <w:r>
              <w:rPr>
                <w:rFonts w:hint="eastAsia" w:ascii="宋体" w:hAnsi="宋体" w:eastAsia="宋体"/>
                <w:color w:val="auto"/>
                <w:sz w:val="24"/>
                <w:szCs w:val="24"/>
                <w:highlight w:val="none"/>
              </w:rPr>
              <w:t>有具体详细、可行的安全和质量保障体系及措施，得</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rPr>
              <w:t>分；</w:t>
            </w:r>
          </w:p>
          <w:p w14:paraId="118C9654">
            <w:pPr>
              <w:spacing w:line="360" w:lineRule="auto"/>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rPr>
              <w:t>第二档：</w:t>
            </w:r>
            <w:r>
              <w:rPr>
                <w:rFonts w:hint="eastAsia" w:ascii="宋体" w:hAnsi="宋体" w:eastAsia="宋体"/>
                <w:color w:val="auto"/>
                <w:sz w:val="24"/>
                <w:szCs w:val="24"/>
                <w:highlight w:val="none"/>
              </w:rPr>
              <w:t>有较详细的安全和质量保障体系，措施完整但不够具体完善，得</w:t>
            </w:r>
            <w:r>
              <w:rPr>
                <w:rFonts w:hint="eastAsia" w:ascii="宋体" w:hAnsi="宋体" w:eastAsia="宋体"/>
                <w:color w:val="auto"/>
                <w:sz w:val="24"/>
                <w:szCs w:val="24"/>
                <w:highlight w:val="none"/>
                <w:lang w:val="en-US" w:eastAsia="zh-CN"/>
              </w:rPr>
              <w:t>3</w:t>
            </w:r>
            <w:r>
              <w:rPr>
                <w:rFonts w:hint="eastAsia" w:ascii="宋体" w:hAnsi="宋体" w:eastAsia="宋体"/>
                <w:color w:val="auto"/>
                <w:sz w:val="24"/>
                <w:szCs w:val="24"/>
                <w:highlight w:val="none"/>
              </w:rPr>
              <w:t>分；</w:t>
            </w:r>
          </w:p>
          <w:p w14:paraId="3F1DDFE4">
            <w:pPr>
              <w:spacing w:line="360" w:lineRule="auto"/>
              <w:rPr>
                <w:rFonts w:ascii="宋体" w:hAnsi="宋体" w:eastAsia="宋体"/>
                <w:color w:val="auto"/>
                <w:sz w:val="24"/>
                <w:szCs w:val="24"/>
                <w:highlight w:val="none"/>
              </w:rPr>
            </w:pPr>
            <w:r>
              <w:rPr>
                <w:rFonts w:hint="eastAsia" w:ascii="宋体" w:hAnsi="宋体" w:eastAsia="宋体" w:cs="宋体"/>
                <w:color w:val="auto"/>
                <w:sz w:val="24"/>
                <w:szCs w:val="24"/>
                <w:highlight w:val="none"/>
              </w:rPr>
              <w:t>第三档：</w:t>
            </w:r>
            <w:r>
              <w:rPr>
                <w:rFonts w:hint="eastAsia" w:ascii="宋体" w:hAnsi="宋体" w:eastAsia="宋体"/>
                <w:color w:val="auto"/>
                <w:sz w:val="24"/>
                <w:szCs w:val="24"/>
                <w:highlight w:val="none"/>
              </w:rPr>
              <w:t>有安全和质量保障体系，保障措施一般，得</w:t>
            </w:r>
            <w:r>
              <w:rPr>
                <w:rFonts w:hint="eastAsia" w:ascii="宋体" w:hAnsi="宋体" w:eastAsia="宋体"/>
                <w:color w:val="auto"/>
                <w:sz w:val="24"/>
                <w:szCs w:val="24"/>
                <w:highlight w:val="none"/>
                <w:lang w:val="en-US" w:eastAsia="zh-CN"/>
              </w:rPr>
              <w:t>1</w:t>
            </w:r>
            <w:r>
              <w:rPr>
                <w:rFonts w:hint="eastAsia" w:ascii="宋体" w:hAnsi="宋体" w:eastAsia="宋体"/>
                <w:color w:val="auto"/>
                <w:sz w:val="24"/>
                <w:szCs w:val="24"/>
                <w:highlight w:val="none"/>
              </w:rPr>
              <w:t>分；未提供或者不符合项目需求的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r w14:paraId="578B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300" w:type="dxa"/>
            <w:vMerge w:val="continue"/>
            <w:tcBorders>
              <w:left w:val="single" w:color="auto" w:sz="4" w:space="0"/>
              <w:right w:val="single" w:color="auto" w:sz="4" w:space="0"/>
            </w:tcBorders>
            <w:vAlign w:val="center"/>
          </w:tcPr>
          <w:p w14:paraId="51211E85">
            <w:pPr>
              <w:widowControl/>
              <w:spacing w:line="360" w:lineRule="auto"/>
              <w:jc w:val="center"/>
              <w:rPr>
                <w:rFonts w:ascii="宋体" w:hAnsi="宋体" w:eastAsia="宋体" w:cs="宋体"/>
                <w:color w:val="auto"/>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2F0B850F">
            <w:pPr>
              <w:adjustRightInd w:val="0"/>
              <w:spacing w:line="400" w:lineRule="exact"/>
              <w:jc w:val="center"/>
              <w:textAlignment w:val="baseline"/>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rPr>
              <w:t>供货进度保证措施</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1A2FEF12">
            <w:pPr>
              <w:autoSpaceDE w:val="0"/>
              <w:autoSpaceDN w:val="0"/>
              <w:spacing w:before="50" w:line="360" w:lineRule="auto"/>
              <w:ind w:right="97"/>
              <w:rPr>
                <w:rFonts w:hint="eastAsia" w:ascii="宋体" w:hAnsi="宋体" w:eastAsia="宋体" w:cs="宋体"/>
                <w:color w:val="auto"/>
                <w:sz w:val="24"/>
                <w:szCs w:val="24"/>
                <w:highlight w:val="none"/>
              </w:rPr>
            </w:pPr>
            <w:r>
              <w:rPr>
                <w:rFonts w:hint="eastAsia" w:ascii="宋体" w:hAnsi="宋体" w:eastAsia="宋体"/>
                <w:color w:val="auto"/>
                <w:sz w:val="24"/>
                <w:szCs w:val="24"/>
                <w:highlight w:val="none"/>
              </w:rPr>
              <w:t>根据供应商提供的</w:t>
            </w:r>
            <w:r>
              <w:rPr>
                <w:rFonts w:hint="eastAsia" w:ascii="宋体" w:hAnsi="宋体" w:eastAsia="宋体" w:cs="宋体"/>
                <w:color w:val="auto"/>
                <w:sz w:val="24"/>
                <w:szCs w:val="24"/>
                <w:highlight w:val="none"/>
              </w:rPr>
              <w:t>供货进度保证措施</w:t>
            </w:r>
            <w:r>
              <w:rPr>
                <w:rFonts w:hint="eastAsia" w:ascii="宋体" w:hAnsi="宋体" w:eastAsia="宋体"/>
                <w:color w:val="auto"/>
                <w:sz w:val="24"/>
                <w:szCs w:val="24"/>
                <w:highlight w:val="none"/>
              </w:rPr>
              <w:t>进行评审：</w:t>
            </w:r>
            <w:r>
              <w:rPr>
                <w:rFonts w:hint="eastAsia" w:ascii="宋体" w:hAnsi="宋体" w:eastAsia="宋体" w:cs="宋体"/>
                <w:color w:val="auto"/>
                <w:sz w:val="24"/>
                <w:szCs w:val="24"/>
                <w:highlight w:val="none"/>
              </w:rPr>
              <w:t>供货进度第一档：保证措施内容详实，科学、合理、安全，考虑周全措施到位，针对性强，得5分；</w:t>
            </w:r>
          </w:p>
          <w:p w14:paraId="3BF35796">
            <w:pPr>
              <w:autoSpaceDE w:val="0"/>
              <w:autoSpaceDN w:val="0"/>
              <w:spacing w:before="50" w:line="360" w:lineRule="auto"/>
              <w:ind w:right="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第二档：供货进度保证措施内容完整，基本科学、合理、安全，基本考虑周全措施到位，针对性较强得3分；</w:t>
            </w:r>
          </w:p>
          <w:p w14:paraId="0173EB5D">
            <w:pPr>
              <w:autoSpaceDE w:val="0"/>
              <w:autoSpaceDN w:val="0"/>
              <w:spacing w:before="50" w:line="360" w:lineRule="auto"/>
              <w:ind w:right="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第三档：供货进度保证措施内容完整，考虑不周，措施不够到位，针对性不强，得1分；</w:t>
            </w:r>
          </w:p>
          <w:p w14:paraId="2FC94E75">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r w14:paraId="39B2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300" w:type="dxa"/>
            <w:vMerge w:val="continue"/>
            <w:tcBorders>
              <w:left w:val="single" w:color="auto" w:sz="4" w:space="0"/>
              <w:right w:val="single" w:color="auto" w:sz="4" w:space="0"/>
            </w:tcBorders>
            <w:vAlign w:val="center"/>
          </w:tcPr>
          <w:p w14:paraId="694EBA36">
            <w:pPr>
              <w:widowControl/>
              <w:spacing w:line="360" w:lineRule="auto"/>
              <w:jc w:val="center"/>
              <w:rPr>
                <w:rFonts w:ascii="宋体" w:hAnsi="宋体" w:eastAsia="宋体" w:cs="宋体"/>
                <w:color w:val="auto"/>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19D03CB4">
            <w:pPr>
              <w:adjustRightInd w:val="0"/>
              <w:spacing w:line="400" w:lineRule="exact"/>
              <w:jc w:val="center"/>
              <w:textAlignment w:val="baseline"/>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rPr>
              <w:t>应急保障方案（</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146E80A0">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投标供应商或生产厂家根据本项目特点提供应急保障方案，方案内容及措施 (至少应包含但不限于：应急保障方案的可操作性、应急救援保障服务能力、 完整的应急救援体系、完善的风险保障措施等) 进行分档计分：</w:t>
            </w:r>
          </w:p>
          <w:p w14:paraId="7360171C">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第一档：方案思路清晰、合理、措施完善、科学、针对性强的计</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4A1215FC">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第二档：方案思路较清晰、较合理、措施较完善、较科学、针对性较 强的计</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6B4EF94D">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第三档：方案思路欠清晰、欠合理、措施欠完善、欠科学、针对性一般的计</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分；                                                  </w:t>
            </w:r>
          </w:p>
          <w:p w14:paraId="7223CD11">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r w14:paraId="1E08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300" w:type="dxa"/>
            <w:vMerge w:val="restart"/>
            <w:tcBorders>
              <w:left w:val="single" w:color="auto" w:sz="4" w:space="0"/>
              <w:right w:val="single" w:color="auto" w:sz="4" w:space="0"/>
            </w:tcBorders>
            <w:vAlign w:val="center"/>
          </w:tcPr>
          <w:p w14:paraId="7594A454">
            <w:pPr>
              <w:widowControl/>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商务标</w:t>
            </w:r>
          </w:p>
          <w:p w14:paraId="17CCC3C1">
            <w:pPr>
              <w:widowControl/>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1981" w:type="dxa"/>
            <w:gridSpan w:val="2"/>
            <w:tcBorders>
              <w:top w:val="single" w:color="auto" w:sz="4" w:space="0"/>
              <w:left w:val="nil"/>
              <w:bottom w:val="single" w:color="auto" w:sz="4" w:space="0"/>
              <w:right w:val="single" w:color="auto" w:sz="4" w:space="0"/>
            </w:tcBorders>
            <w:vAlign w:val="center"/>
          </w:tcPr>
          <w:p w14:paraId="479E0096">
            <w:pPr>
              <w:adjustRightInd w:val="0"/>
              <w:spacing w:line="360" w:lineRule="auto"/>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w:t>
            </w:r>
          </w:p>
          <w:p w14:paraId="55802469">
            <w:pPr>
              <w:adjustRightInd w:val="0"/>
              <w:spacing w:line="360" w:lineRule="auto"/>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222194F3">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投标供应商或生产厂家根据本项目特点提供售后服务方案，方案内容及措施 (至少应包含但不限于：售后人员配备名单、售后响应时间、售后流程、售后服务承诺、故障解决流程、制造厂商售后服务承诺等) 进行分档计分：</w:t>
            </w:r>
          </w:p>
          <w:p w14:paraId="19C0FE48">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第一档：方案思路清晰、合理、措施完善、科学、针对性强的计</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37A9EA4C">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第二档：方案思路较清晰、较合理、措施较完善、较科学、针对性较强的计</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24CA41D0">
            <w:pPr>
              <w:widowControl/>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第三档：方案思路欠清晰、欠合理、措施欠完善、欠科学、针对性一般的计</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0B786CEA">
            <w:pPr>
              <w:spacing w:line="360" w:lineRule="auto"/>
              <w:rPr>
                <w:rFonts w:ascii="宋体" w:hAnsi="宋体" w:eastAsia="宋体" w:cs="宋体"/>
                <w:color w:val="auto"/>
                <w:sz w:val="24"/>
                <w:szCs w:val="24"/>
                <w:highlight w:val="none"/>
              </w:rPr>
            </w:pPr>
            <w:r>
              <w:rPr>
                <w:rFonts w:hint="eastAsia" w:ascii="宋体" w:hAnsi="宋体" w:eastAsia="宋体"/>
                <w:color w:val="auto"/>
                <w:sz w:val="24"/>
                <w:szCs w:val="24"/>
                <w:highlight w:val="none"/>
              </w:rPr>
              <w:t>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r w14:paraId="1730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00" w:type="dxa"/>
            <w:vMerge w:val="continue"/>
            <w:tcBorders>
              <w:left w:val="single" w:color="auto" w:sz="4" w:space="0"/>
              <w:right w:val="single" w:color="auto" w:sz="4" w:space="0"/>
            </w:tcBorders>
            <w:vAlign w:val="center"/>
          </w:tcPr>
          <w:p w14:paraId="0D1C3949">
            <w:pPr>
              <w:widowControl/>
              <w:spacing w:line="360" w:lineRule="auto"/>
              <w:jc w:val="center"/>
              <w:rPr>
                <w:rFonts w:ascii="宋体" w:hAnsi="宋体" w:eastAsia="宋体" w:cs="宋体"/>
                <w:color w:val="auto"/>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59983293">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408B410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1A3FDA05">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供应商2023年1月1日以来具有类似项目业绩的，每提供一份得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分，最多得</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分。（提供附清晰可辨的中标（成交）通知书或合同扫描件</w:t>
            </w:r>
            <w:r>
              <w:rPr>
                <w:rFonts w:ascii="宋体" w:hAnsi="宋体" w:eastAsia="宋体" w:cs="宋体"/>
                <w:color w:val="auto"/>
                <w:sz w:val="24"/>
                <w:szCs w:val="24"/>
                <w:highlight w:val="none"/>
              </w:rPr>
              <w:t>以落款时间为准</w:t>
            </w:r>
            <w:r>
              <w:rPr>
                <w:rFonts w:hint="eastAsia" w:ascii="宋体" w:hAnsi="宋体" w:eastAsia="宋体" w:cs="宋体"/>
                <w:color w:val="auto"/>
                <w:sz w:val="24"/>
                <w:szCs w:val="24"/>
                <w:highlight w:val="none"/>
              </w:rPr>
              <w:t>），否则将不予认可。</w:t>
            </w:r>
          </w:p>
        </w:tc>
      </w:tr>
      <w:tr w14:paraId="5540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left w:val="single" w:color="auto" w:sz="4" w:space="0"/>
              <w:bottom w:val="single" w:color="auto" w:sz="4" w:space="0"/>
              <w:right w:val="single" w:color="auto" w:sz="4" w:space="0"/>
            </w:tcBorders>
            <w:vAlign w:val="center"/>
          </w:tcPr>
          <w:p w14:paraId="034E8595">
            <w:pPr>
              <w:widowControl/>
              <w:spacing w:line="360" w:lineRule="auto"/>
              <w:rPr>
                <w:rFonts w:ascii="宋体" w:hAnsi="宋体" w:eastAsia="宋体" w:cs="宋体"/>
                <w:color w:val="auto"/>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6B652BF6">
            <w:pPr>
              <w:widowControl/>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服务能力和优惠承诺(</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5C0D39B3">
            <w:pPr>
              <w:widowControl/>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磋商小组根据投标人提供的服务能力和优惠承诺，服务程序、人员配备技术力量和问题响应及解决时间等打分。</w:t>
            </w:r>
          </w:p>
          <w:p w14:paraId="7B2B77F3">
            <w:pPr>
              <w:widowControl/>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第一档：内容详实，科学、合理，考虑周全，措施到位，针对性强，完全能够满足项目的需要，得6分。</w:t>
            </w:r>
          </w:p>
          <w:p w14:paraId="01935C13">
            <w:pPr>
              <w:widowControl/>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第二档：内容完整，基本科学、合理，考虑基本周全，措施基本到位，针对性较强，可以满足项目的需要，但有个别细节需要进一步完善或提高，得3分。</w:t>
            </w:r>
          </w:p>
          <w:p w14:paraId="4DB3A874">
            <w:pPr>
              <w:widowControl/>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第三档：内容基本完整，科学、合理方面一般，考虑不够全面，措施不够到位，针对性不强，虽然能够基本满足项目的需要，但有很多方面需要进一步完善甚至重新考虑，得1分。</w:t>
            </w:r>
          </w:p>
          <w:p w14:paraId="3C718511">
            <w:pPr>
              <w:widowControl/>
              <w:spacing w:line="480" w:lineRule="exact"/>
              <w:jc w:val="left"/>
              <w:rPr>
                <w:rFonts w:ascii="宋体" w:hAnsi="宋体" w:eastAsia="宋体" w:cs="宋体"/>
                <w:color w:val="auto"/>
                <w:sz w:val="24"/>
                <w:szCs w:val="24"/>
                <w:highlight w:val="none"/>
              </w:rPr>
            </w:pPr>
            <w:r>
              <w:rPr>
                <w:rFonts w:hint="eastAsia" w:ascii="宋体" w:hAnsi="宋体" w:eastAsia="宋体"/>
                <w:color w:val="auto"/>
                <w:sz w:val="24"/>
                <w:szCs w:val="24"/>
                <w:highlight w:val="none"/>
              </w:rPr>
              <w:t>未提供或者不符合项目需求的</w:t>
            </w:r>
            <w:r>
              <w:rPr>
                <w:rFonts w:hint="eastAsia" w:ascii="宋体" w:hAnsi="宋体" w:eastAsia="宋体"/>
                <w:color w:val="auto"/>
                <w:sz w:val="24"/>
                <w:szCs w:val="24"/>
                <w:highlight w:val="none"/>
                <w:lang w:val="en-US" w:eastAsia="zh-CN"/>
              </w:rPr>
              <w:t>不得</w:t>
            </w:r>
            <w:r>
              <w:rPr>
                <w:rFonts w:hint="eastAsia" w:ascii="宋体" w:hAnsi="宋体"/>
                <w:color w:val="auto"/>
                <w:sz w:val="24"/>
                <w:szCs w:val="24"/>
                <w:highlight w:val="none"/>
              </w:rPr>
              <w:t>分</w:t>
            </w:r>
            <w:r>
              <w:rPr>
                <w:rFonts w:hint="eastAsia" w:ascii="宋体" w:hAnsi="宋体" w:eastAsia="宋体"/>
                <w:color w:val="auto"/>
                <w:sz w:val="24"/>
                <w:szCs w:val="24"/>
                <w:highlight w:val="none"/>
              </w:rPr>
              <w:t>。</w:t>
            </w:r>
          </w:p>
        </w:tc>
      </w:tr>
    </w:tbl>
    <w:p w14:paraId="5A98362C">
      <w:pPr>
        <w:widowControl/>
        <w:spacing w:line="360" w:lineRule="auto"/>
        <w:rPr>
          <w:rFonts w:ascii="宋体" w:hAnsi="宋体" w:cs="Calibri"/>
          <w:color w:val="auto"/>
          <w:szCs w:val="21"/>
          <w:highlight w:val="none"/>
        </w:rPr>
      </w:pPr>
      <w:r>
        <w:rPr>
          <w:rFonts w:hint="eastAsia" w:ascii="宋体" w:hAnsi="宋体" w:cs="Calibri"/>
          <w:b/>
          <w:bCs/>
          <w:color w:val="auto"/>
          <w:kern w:val="0"/>
          <w:sz w:val="24"/>
          <w:highlight w:val="none"/>
        </w:rPr>
        <w:t>注：评分办法中要求材料均以原件扫描件为准，保证清晰可见。</w:t>
      </w:r>
    </w:p>
    <w:p w14:paraId="688C553A">
      <w:pPr>
        <w:spacing w:line="480" w:lineRule="exact"/>
        <w:jc w:val="left"/>
        <w:outlineLvl w:val="1"/>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三、综合评分法</w:t>
      </w:r>
    </w:p>
    <w:p w14:paraId="36BFA01F">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3.1、本次采用综合评分法。</w:t>
      </w:r>
    </w:p>
    <w:p w14:paraId="1CEAF235">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按与各供应商分别单独就采购需求、质量和服务等进行磋商，并将磋商内容记录在案，磋商结束后，磋商小组将要求实质性响应竞争性磋商文件的供应商在规定时间内提交最后报价。在规定时间内没有提交最后报价的磋商供应商，将视其首次报价为最终报价。未通过实质性响应的供应商将不再进行最后报价。经磋商确定最终采购需求和提交最后报价的供应商后，由磋商小组采用综合评分法对提交最后报价的供应商的响应文件和最后报价进行综合评分。</w:t>
      </w:r>
    </w:p>
    <w:p w14:paraId="26A0947A">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满足采购文件实质性要求的响应文件，按照本章规定的评分标准进行打分，按最终得分由高到低顺序推荐候选成交供应商。得分相同的，按照最后报价由低到高的顺序推荐。评审得分且最后报价相同的，按照技术指标优劣顺序推荐。</w:t>
      </w:r>
    </w:p>
    <w:p w14:paraId="3113DE8B">
      <w:pPr>
        <w:spacing w:line="460" w:lineRule="exact"/>
        <w:ind w:firstLine="520" w:firstLineChars="217"/>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3.2、评分分值计算保留小数点后两位，小数点后第三位“四舍五入”。</w:t>
      </w:r>
    </w:p>
    <w:p w14:paraId="29D99A44">
      <w:pPr>
        <w:spacing w:line="460" w:lineRule="exact"/>
        <w:ind w:firstLine="520" w:firstLineChars="217"/>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3.3、在评标过程中，凡遇到磋商文件中无界定或界定不清、前后不一致使磋商小组成员意见有分歧且又难以协商一致的问题，均由磋商小组成员投票予以表决，少数服从多数原则确定。 </w:t>
      </w:r>
    </w:p>
    <w:p w14:paraId="73A47694">
      <w:pPr>
        <w:spacing w:line="460" w:lineRule="exact"/>
        <w:ind w:firstLine="480" w:firstLineChars="200"/>
        <w:jc w:val="left"/>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3.4、磋商小组完成评审后，向采购人出具评审报告。</w:t>
      </w:r>
    </w:p>
    <w:p w14:paraId="65268A8F">
      <w:pPr>
        <w:spacing w:line="480" w:lineRule="exact"/>
        <w:jc w:val="left"/>
        <w:outlineLvl w:val="1"/>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四、磋商程序 </w:t>
      </w:r>
    </w:p>
    <w:p w14:paraId="08CAB5D4">
      <w:pPr>
        <w:spacing w:line="480" w:lineRule="exact"/>
        <w:ind w:firstLine="482" w:firstLineChars="200"/>
        <w:jc w:val="left"/>
        <w:outlineLvl w:val="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4.1 初步评审 </w:t>
      </w:r>
    </w:p>
    <w:p w14:paraId="0351717A">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 xml:space="preserve">磋商小组依据本章附表 1 初步评审表规定的标准对磋商响应文件进行初步评审。有一项不符合评审标准的，作无效标处理。 </w:t>
      </w:r>
    </w:p>
    <w:p w14:paraId="6ADEE950">
      <w:pPr>
        <w:spacing w:line="460" w:lineRule="exact"/>
        <w:ind w:firstLine="480" w:firstLineChars="200"/>
        <w:jc w:val="left"/>
        <w:outlineLvl w:val="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 xml:space="preserve">供应商有以下情形之一的，其磋商作无效标处理： </w:t>
      </w:r>
    </w:p>
    <w:p w14:paraId="27B10A04">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（1）串通磋商或弄虚作假或有其他违法行为的； </w:t>
      </w:r>
    </w:p>
    <w:p w14:paraId="1464D485">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（2）不按磋商小组要求澄清、说明或补正的。 </w:t>
      </w:r>
    </w:p>
    <w:p w14:paraId="4577BFB4">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r>
        <w:rPr>
          <w:rFonts w:ascii="宋体" w:hAnsi="宋体" w:eastAsia="宋体" w:cs="宋体"/>
          <w:color w:val="auto"/>
          <w:sz w:val="24"/>
          <w:szCs w:val="24"/>
          <w:highlight w:val="none"/>
        </w:rPr>
        <w:t>3</w:t>
      </w:r>
      <w:r>
        <w:rPr>
          <w:rFonts w:hint="eastAsia" w:ascii="宋体" w:hAnsi="宋体" w:eastAsia="宋体" w:cs="宋体"/>
          <w:color w:val="auto"/>
          <w:sz w:val="24"/>
          <w:szCs w:val="24"/>
          <w:highlight w:val="none"/>
        </w:rPr>
        <w:t xml:space="preserve">磋商报价有算术错误的，磋商小组按以下原则对磋商报价进行修正，修正的价格经供应商确认后具有约束力。供应商不接受修正价格的，其磋商作废标处理。 </w:t>
      </w:r>
    </w:p>
    <w:p w14:paraId="52733E04">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（1）磋商文件中的大写金额与小写金额不一致的，以大写金额为准； </w:t>
      </w:r>
    </w:p>
    <w:p w14:paraId="03894FCB">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（2）总价金额与依据单价计算出的结果不一致的，以单价金额为准修正总价，但单价金额小数点有明显错误的除外。 </w:t>
      </w:r>
    </w:p>
    <w:p w14:paraId="529EED14">
      <w:pPr>
        <w:spacing w:line="460" w:lineRule="exact"/>
        <w:ind w:firstLine="482" w:firstLineChars="200"/>
        <w:jc w:val="left"/>
        <w:outlineLvl w:val="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4.2详细评审 </w:t>
      </w:r>
    </w:p>
    <w:p w14:paraId="408ABA71">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4.2.1磋商小组按本章评标办法前附表规定的量化因素和分值进行打分，并计算出综合评估得分。 </w:t>
      </w:r>
    </w:p>
    <w:p w14:paraId="22AB07FC">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4.2.2在评审过程中，磋商小组发现供应商的磋商报价明显低于其他供应商的报价， 并有可能低于其企业成本的，则磋商小组可以要求该供应商作出说明并提供相关证明材料。供应商不能合理说明或不能提供相关证明材料的，经磋商小组</w:t>
      </w:r>
      <w:r>
        <w:rPr>
          <w:rFonts w:hint="eastAsia" w:ascii="宋体" w:hAnsi="宋体" w:eastAsia="宋体" w:cs="宋体"/>
          <w:color w:val="auto"/>
          <w:spacing w:val="6"/>
          <w:sz w:val="24"/>
          <w:szCs w:val="20"/>
          <w:highlight w:val="none"/>
        </w:rPr>
        <w:t>认定，属于恶性竞标的，可以按废标处理；磋商小组将不对无效响应文件或废标的供应商进行评审或打分。</w:t>
      </w:r>
      <w:r>
        <w:rPr>
          <w:rFonts w:hint="eastAsia" w:ascii="宋体" w:hAnsi="宋体" w:eastAsia="宋体" w:cs="宋体"/>
          <w:color w:val="auto"/>
          <w:sz w:val="24"/>
          <w:szCs w:val="24"/>
          <w:highlight w:val="none"/>
        </w:rPr>
        <w:t xml:space="preserve"> </w:t>
      </w:r>
    </w:p>
    <w:p w14:paraId="1A1695BF">
      <w:pPr>
        <w:spacing w:line="460" w:lineRule="exact"/>
        <w:ind w:firstLine="482" w:firstLineChars="200"/>
        <w:jc w:val="left"/>
        <w:outlineLvl w:val="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4.3磋商文件的澄清和补正 </w:t>
      </w:r>
    </w:p>
    <w:p w14:paraId="2E8F13FD">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4.3.1在磋商过程中，磋商小组可以要求供应商对所提交磋商响应文件中不明确的内容进行澄清或说明，或者对细微偏差进行补正。磋商小组不接受供应商主动提出的澄清、说明或补正。 </w:t>
      </w:r>
    </w:p>
    <w:p w14:paraId="081C7439">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4.3.2澄清、说明和补正不得改变磋商文件的实质性内容（算术性错误修正的除外）。供应商的澄清、说明和补正属于磋商响应文件的组成部分。 </w:t>
      </w:r>
    </w:p>
    <w:p w14:paraId="74CEC890">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4.3.3磋商小组对供应商提交的澄清、说明或补正有疑问的，可以要求供应商进一步澄清、说明或补正，直至满足磋商小组的要求。 </w:t>
      </w:r>
    </w:p>
    <w:p w14:paraId="2F269A8A">
      <w:pPr>
        <w:spacing w:line="460" w:lineRule="exact"/>
        <w:ind w:firstLine="482" w:firstLineChars="200"/>
        <w:jc w:val="left"/>
        <w:outlineLvl w:val="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4.4计分办法</w:t>
      </w:r>
    </w:p>
    <w:p w14:paraId="39E91732">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根据磋商文件、响应文件，按照评分办法，得出每个评委对响应单位的评标分数。响应单位的最终得分为所有评委对其打分的算术平均值。计分过程按四舍五入取至小数点后两位，最终得分取至小数点后二位。</w:t>
      </w:r>
    </w:p>
    <w:p w14:paraId="3DA74CF0">
      <w:pPr>
        <w:widowControl/>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4.5</w:t>
      </w:r>
      <w:r>
        <w:rPr>
          <w:rFonts w:ascii="宋体" w:hAnsi="宋体" w:eastAsia="宋体" w:cs="宋体"/>
          <w:b/>
          <w:bCs/>
          <w:color w:val="auto"/>
          <w:sz w:val="24"/>
          <w:szCs w:val="24"/>
          <w:highlight w:val="none"/>
        </w:rPr>
        <w:t xml:space="preserve">政府采购政策 </w:t>
      </w:r>
    </w:p>
    <w:p w14:paraId="101D3430">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政府采购政策详见第三章“供应商须知前附表”</w:t>
      </w:r>
      <w:r>
        <w:rPr>
          <w:rFonts w:ascii="宋体" w:hAnsi="宋体" w:eastAsia="宋体" w:cs="宋体"/>
          <w:color w:val="auto"/>
          <w:sz w:val="24"/>
          <w:szCs w:val="24"/>
          <w:highlight w:val="none"/>
        </w:rPr>
        <w:t xml:space="preserve"> </w:t>
      </w:r>
    </w:p>
    <w:p w14:paraId="7D54C489">
      <w:pPr>
        <w:spacing w:line="460" w:lineRule="exact"/>
        <w:ind w:firstLine="482" w:firstLineChars="200"/>
        <w:jc w:val="left"/>
        <w:outlineLvl w:val="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4.6 定标办法</w:t>
      </w:r>
    </w:p>
    <w:p w14:paraId="7C3669D2">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（1）磋商小组应当根据供应商最终得分由高到低的顺序推荐</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3名成交候选供应商，出具磋商评审报告。</w:t>
      </w:r>
    </w:p>
    <w:p w14:paraId="6CC8BADB">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最终得分相同的，按照最后报价由低到高的顺序推荐。最终得分和最后报价均相同的，按照技术指标优劣顺序或磋商小组举手表决，少数服从多数的原则推荐。</w:t>
      </w:r>
    </w:p>
    <w:p w14:paraId="5E088C06">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（2）采购人按磋商小组写出磋商报告确定排序第一的响应单位为成交人。</w:t>
      </w:r>
    </w:p>
    <w:p w14:paraId="07795A08">
      <w:pPr>
        <w:spacing w:line="4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成交供应商拒绝签订政府采购合同的，采购人可以按照“财库【2014】214号”文第二十八条第二款规定的原则确定其他供应商作为成交供应商并签订政府采购合同，也可以重新开展采购活动。拒绝签订政府采购合同的成交供应商不得参加对该项目重新开展的采购活动。</w:t>
      </w:r>
    </w:p>
    <w:p w14:paraId="1E0DE6A8">
      <w:pPr>
        <w:spacing w:line="360" w:lineRule="auto"/>
        <w:ind w:firstLine="456" w:firstLineChars="200"/>
        <w:jc w:val="left"/>
        <w:rPr>
          <w:rFonts w:ascii="宋体" w:hAnsi="宋体" w:cs="宋体"/>
          <w:color w:val="auto"/>
          <w:spacing w:val="-6"/>
          <w:kern w:val="0"/>
          <w:sz w:val="24"/>
          <w:highlight w:val="none"/>
        </w:rPr>
      </w:pPr>
    </w:p>
    <w:p w14:paraId="2B405082">
      <w:pPr>
        <w:spacing w:line="360" w:lineRule="auto"/>
        <w:ind w:firstLine="456" w:firstLineChars="200"/>
        <w:jc w:val="left"/>
        <w:rPr>
          <w:rFonts w:ascii="宋体" w:hAnsi="宋体" w:cs="宋体"/>
          <w:color w:val="auto"/>
          <w:spacing w:val="-6"/>
          <w:kern w:val="0"/>
          <w:sz w:val="24"/>
          <w:highlight w:val="none"/>
        </w:rPr>
      </w:pPr>
    </w:p>
    <w:p w14:paraId="29B13CEE">
      <w:pPr>
        <w:spacing w:line="360" w:lineRule="auto"/>
        <w:ind w:firstLine="456" w:firstLineChars="200"/>
        <w:jc w:val="left"/>
        <w:rPr>
          <w:rFonts w:ascii="宋体" w:hAnsi="宋体" w:cs="宋体"/>
          <w:color w:val="auto"/>
          <w:spacing w:val="-6"/>
          <w:kern w:val="0"/>
          <w:sz w:val="24"/>
          <w:highlight w:val="none"/>
        </w:rPr>
      </w:pPr>
    </w:p>
    <w:p w14:paraId="64CF52DC">
      <w:pPr>
        <w:spacing w:line="360" w:lineRule="auto"/>
        <w:jc w:val="left"/>
        <w:rPr>
          <w:color w:val="auto"/>
          <w:highlight w:val="none"/>
        </w:rPr>
      </w:pPr>
      <w:r>
        <w:rPr>
          <w:rFonts w:hint="eastAsia" w:ascii="宋体" w:hAnsi="宋体" w:cs="宋体"/>
          <w:color w:val="auto"/>
          <w:spacing w:val="-6"/>
          <w:kern w:val="0"/>
          <w:sz w:val="24"/>
          <w:highlight w:val="none"/>
        </w:rPr>
        <w:br w:type="page"/>
      </w:r>
    </w:p>
    <w:p w14:paraId="71849E53">
      <w:pPr>
        <w:spacing w:before="312" w:beforeLines="100" w:line="360" w:lineRule="auto"/>
        <w:jc w:val="center"/>
        <w:outlineLvl w:val="0"/>
        <w:rPr>
          <w:rFonts w:hint="eastAsia" w:ascii="宋体" w:hAnsi="宋体" w:cs="宋体"/>
          <w:b/>
          <w:bCs/>
          <w:color w:val="auto"/>
          <w:sz w:val="36"/>
          <w:szCs w:val="36"/>
          <w:highlight w:val="none"/>
          <w:lang w:bidi="ar"/>
        </w:rPr>
      </w:pPr>
      <w:bookmarkStart w:id="168" w:name="_Toc2414"/>
      <w:bookmarkStart w:id="169" w:name="_Toc13565_WPSOffice_Level1"/>
      <w:bookmarkStart w:id="170" w:name="_Toc11512_WPSOffice_Level1"/>
      <w:bookmarkStart w:id="171" w:name="_Toc8518"/>
      <w:bookmarkStart w:id="172" w:name="_Toc26959_WPSOffice_Level1"/>
      <w:bookmarkStart w:id="173" w:name="_Toc6551_WPSOffice_Level1"/>
      <w:r>
        <w:rPr>
          <w:rFonts w:hint="eastAsia" w:ascii="宋体" w:hAnsi="宋体" w:cs="宋体"/>
          <w:b/>
          <w:bCs/>
          <w:color w:val="auto"/>
          <w:sz w:val="36"/>
          <w:szCs w:val="36"/>
          <w:highlight w:val="none"/>
          <w:lang w:bidi="ar"/>
        </w:rPr>
        <w:t xml:space="preserve"> </w:t>
      </w:r>
      <w:bookmarkStart w:id="174" w:name="_Toc22756"/>
      <w:r>
        <w:rPr>
          <w:rFonts w:hint="eastAsia" w:ascii="宋体" w:hAnsi="宋体" w:cs="宋体"/>
          <w:b/>
          <w:bCs/>
          <w:color w:val="auto"/>
          <w:sz w:val="36"/>
          <w:szCs w:val="36"/>
          <w:highlight w:val="none"/>
          <w:lang w:val="en-US" w:eastAsia="zh-CN" w:bidi="ar"/>
        </w:rPr>
        <w:t xml:space="preserve">第四章  </w:t>
      </w:r>
      <w:r>
        <w:rPr>
          <w:rFonts w:hint="eastAsia" w:ascii="宋体" w:hAnsi="宋体" w:cs="宋体"/>
          <w:b/>
          <w:bCs/>
          <w:color w:val="auto"/>
          <w:sz w:val="36"/>
          <w:szCs w:val="36"/>
          <w:highlight w:val="none"/>
          <w:lang w:bidi="ar"/>
        </w:rPr>
        <w:t>合同主要条款及格式</w:t>
      </w:r>
      <w:bookmarkEnd w:id="168"/>
      <w:bookmarkEnd w:id="169"/>
      <w:bookmarkEnd w:id="170"/>
      <w:bookmarkEnd w:id="171"/>
      <w:bookmarkEnd w:id="172"/>
      <w:bookmarkEnd w:id="173"/>
      <w:bookmarkEnd w:id="174"/>
    </w:p>
    <w:p w14:paraId="2871D2DD">
      <w:pPr>
        <w:jc w:val="center"/>
        <w:rPr>
          <w:rFonts w:ascii="宋体" w:hAnsi="宋体"/>
          <w:bCs/>
          <w:color w:val="auto"/>
          <w:sz w:val="24"/>
          <w:szCs w:val="24"/>
          <w:highlight w:val="none"/>
        </w:rPr>
      </w:pPr>
      <w:r>
        <w:rPr>
          <w:rFonts w:hint="eastAsia" w:ascii="宋体" w:hAnsi="宋体"/>
          <w:bCs/>
          <w:color w:val="auto"/>
          <w:sz w:val="24"/>
          <w:szCs w:val="24"/>
          <w:highlight w:val="none"/>
        </w:rPr>
        <w:t>（样本仅做参考，采购人可根据采购项目的实际情况增减条款和内容）</w:t>
      </w:r>
    </w:p>
    <w:p w14:paraId="2CFB78EB">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由项目采购单位与成交单位根据本磋商文件、成交单位响应文件及成交通知书，协商签订本项目采购合同。</w:t>
      </w:r>
    </w:p>
    <w:p w14:paraId="3DF85006">
      <w:pPr>
        <w:pStyle w:val="7"/>
        <w:rPr>
          <w:rFonts w:ascii="宋体" w:hAnsi="宋体" w:cs="宋体"/>
          <w:b/>
          <w:bCs/>
          <w:color w:val="auto"/>
          <w:sz w:val="24"/>
          <w:szCs w:val="24"/>
          <w:highlight w:val="none"/>
        </w:rPr>
      </w:pPr>
    </w:p>
    <w:p w14:paraId="71EA8FBA">
      <w:pPr>
        <w:pStyle w:val="7"/>
        <w:jc w:val="center"/>
        <w:rPr>
          <w:rFonts w:ascii="宋体" w:hAnsi="宋体" w:cs="宋体"/>
          <w:b/>
          <w:bCs/>
          <w:color w:val="auto"/>
          <w:spacing w:val="-20"/>
          <w:kern w:val="44"/>
          <w:sz w:val="24"/>
          <w:szCs w:val="24"/>
          <w:highlight w:val="none"/>
        </w:rPr>
      </w:pPr>
    </w:p>
    <w:p w14:paraId="323B5647">
      <w:pPr>
        <w:pStyle w:val="7"/>
        <w:jc w:val="center"/>
        <w:rPr>
          <w:rFonts w:ascii="宋体" w:hAnsi="宋体" w:cs="宋体"/>
          <w:b/>
          <w:bCs/>
          <w:color w:val="auto"/>
          <w:spacing w:val="-20"/>
          <w:kern w:val="44"/>
          <w:sz w:val="24"/>
          <w:szCs w:val="24"/>
          <w:highlight w:val="none"/>
        </w:rPr>
      </w:pPr>
    </w:p>
    <w:p w14:paraId="7D4F678E">
      <w:pPr>
        <w:pStyle w:val="7"/>
        <w:jc w:val="center"/>
        <w:rPr>
          <w:rFonts w:ascii="宋体" w:hAnsi="宋体" w:cs="宋体"/>
          <w:b/>
          <w:bCs/>
          <w:color w:val="auto"/>
          <w:spacing w:val="-20"/>
          <w:kern w:val="44"/>
          <w:sz w:val="24"/>
          <w:szCs w:val="24"/>
          <w:highlight w:val="none"/>
        </w:rPr>
      </w:pPr>
    </w:p>
    <w:p w14:paraId="41D35FF6">
      <w:pPr>
        <w:pStyle w:val="7"/>
        <w:jc w:val="center"/>
        <w:rPr>
          <w:rFonts w:ascii="宋体" w:hAnsi="宋体" w:cs="宋体"/>
          <w:b/>
          <w:bCs/>
          <w:color w:val="auto"/>
          <w:spacing w:val="-20"/>
          <w:kern w:val="44"/>
          <w:sz w:val="24"/>
          <w:szCs w:val="24"/>
          <w:highlight w:val="none"/>
        </w:rPr>
      </w:pPr>
    </w:p>
    <w:p w14:paraId="4BE01391">
      <w:pPr>
        <w:pStyle w:val="7"/>
        <w:jc w:val="center"/>
        <w:rPr>
          <w:rFonts w:ascii="宋体" w:hAnsi="宋体" w:cs="宋体"/>
          <w:b/>
          <w:bCs/>
          <w:color w:val="auto"/>
          <w:spacing w:val="-20"/>
          <w:kern w:val="44"/>
          <w:sz w:val="24"/>
          <w:szCs w:val="24"/>
          <w:highlight w:val="none"/>
        </w:rPr>
      </w:pPr>
    </w:p>
    <w:p w14:paraId="418F90B1">
      <w:pPr>
        <w:pStyle w:val="7"/>
        <w:jc w:val="center"/>
        <w:rPr>
          <w:rFonts w:ascii="宋体" w:hAnsi="宋体" w:cs="宋体"/>
          <w:b/>
          <w:bCs/>
          <w:color w:val="auto"/>
          <w:spacing w:val="-20"/>
          <w:kern w:val="44"/>
          <w:sz w:val="24"/>
          <w:szCs w:val="24"/>
          <w:highlight w:val="none"/>
        </w:rPr>
      </w:pPr>
    </w:p>
    <w:p w14:paraId="7F3A6BE3">
      <w:pPr>
        <w:pStyle w:val="7"/>
        <w:jc w:val="center"/>
        <w:rPr>
          <w:rFonts w:ascii="宋体" w:hAnsi="宋体" w:cs="宋体"/>
          <w:b/>
          <w:bCs/>
          <w:color w:val="auto"/>
          <w:spacing w:val="-20"/>
          <w:kern w:val="44"/>
          <w:sz w:val="24"/>
          <w:szCs w:val="24"/>
          <w:highlight w:val="none"/>
        </w:rPr>
      </w:pPr>
    </w:p>
    <w:p w14:paraId="38BB7C45">
      <w:pPr>
        <w:pStyle w:val="7"/>
        <w:jc w:val="center"/>
        <w:rPr>
          <w:rFonts w:ascii="宋体" w:hAnsi="宋体" w:cs="宋体"/>
          <w:b/>
          <w:bCs/>
          <w:color w:val="auto"/>
          <w:spacing w:val="-20"/>
          <w:kern w:val="44"/>
          <w:sz w:val="24"/>
          <w:szCs w:val="24"/>
          <w:highlight w:val="none"/>
        </w:rPr>
      </w:pPr>
      <w:r>
        <w:rPr>
          <w:rFonts w:hint="eastAsia" w:ascii="宋体" w:hAnsi="宋体" w:cs="宋体"/>
          <w:b/>
          <w:bCs/>
          <w:color w:val="auto"/>
          <w:spacing w:val="-20"/>
          <w:kern w:val="44"/>
          <w:sz w:val="24"/>
          <w:szCs w:val="24"/>
          <w:highlight w:val="none"/>
        </w:rPr>
        <w:t>政府采购货物买卖合同</w:t>
      </w:r>
    </w:p>
    <w:p w14:paraId="62FAF7F3">
      <w:pPr>
        <w:pStyle w:val="7"/>
        <w:jc w:val="center"/>
        <w:rPr>
          <w:rFonts w:ascii="宋体" w:hAnsi="宋体" w:cs="宋体"/>
          <w:b/>
          <w:bCs/>
          <w:color w:val="auto"/>
          <w:spacing w:val="-20"/>
          <w:kern w:val="44"/>
          <w:sz w:val="24"/>
          <w:szCs w:val="24"/>
          <w:highlight w:val="none"/>
        </w:rPr>
      </w:pPr>
      <w:r>
        <w:rPr>
          <w:rFonts w:hint="eastAsia" w:ascii="宋体" w:hAnsi="宋体" w:cs="宋体"/>
          <w:b/>
          <w:bCs/>
          <w:color w:val="auto"/>
          <w:spacing w:val="-20"/>
          <w:kern w:val="44"/>
          <w:sz w:val="24"/>
          <w:szCs w:val="24"/>
          <w:highlight w:val="none"/>
        </w:rPr>
        <w:t>（试行）</w:t>
      </w:r>
    </w:p>
    <w:p w14:paraId="2E713A33">
      <w:pPr>
        <w:rPr>
          <w:rFonts w:ascii="宋体" w:hAnsi="宋体" w:cs="宋体"/>
          <w:b/>
          <w:bCs/>
          <w:color w:val="auto"/>
          <w:spacing w:val="-20"/>
          <w:kern w:val="44"/>
          <w:sz w:val="24"/>
          <w:highlight w:val="none"/>
        </w:rPr>
      </w:pPr>
    </w:p>
    <w:p w14:paraId="1307EAA2">
      <w:pPr>
        <w:rPr>
          <w:rFonts w:ascii="宋体" w:hAnsi="宋体" w:cs="宋体"/>
          <w:b/>
          <w:bCs/>
          <w:color w:val="auto"/>
          <w:spacing w:val="-20"/>
          <w:kern w:val="44"/>
          <w:sz w:val="24"/>
          <w:highlight w:val="none"/>
        </w:rPr>
      </w:pPr>
    </w:p>
    <w:p w14:paraId="4E91C5F2">
      <w:pPr>
        <w:rPr>
          <w:rFonts w:ascii="宋体" w:hAnsi="宋体" w:cs="宋体"/>
          <w:b/>
          <w:bCs/>
          <w:color w:val="auto"/>
          <w:spacing w:val="-20"/>
          <w:kern w:val="44"/>
          <w:sz w:val="24"/>
          <w:highlight w:val="none"/>
        </w:rPr>
      </w:pPr>
    </w:p>
    <w:p w14:paraId="2CBB7979">
      <w:pPr>
        <w:spacing w:line="360" w:lineRule="auto"/>
        <w:ind w:left="420" w:leftChars="200"/>
        <w:rPr>
          <w:rFonts w:ascii="宋体" w:hAnsi="宋体" w:cs="宋体"/>
          <w:color w:val="auto"/>
          <w:sz w:val="24"/>
          <w:highlight w:val="none"/>
        </w:rPr>
      </w:pPr>
      <w:r>
        <w:rPr>
          <w:rFonts w:hint="eastAsia" w:ascii="宋体" w:hAnsi="宋体" w:cs="宋体"/>
          <w:color w:val="auto"/>
          <w:kern w:val="0"/>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英豪镇后营村购置玉米收割机项目</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p>
    <w:p w14:paraId="6AD38325">
      <w:pPr>
        <w:spacing w:line="360" w:lineRule="auto"/>
        <w:ind w:left="420" w:leftChars="200"/>
        <w:rPr>
          <w:rFonts w:ascii="宋体" w:hAnsi="宋体" w:cs="宋体"/>
          <w:color w:val="auto"/>
          <w:sz w:val="24"/>
          <w:highlight w:val="none"/>
          <w:u w:val="single"/>
        </w:rPr>
      </w:pPr>
      <w:r>
        <w:rPr>
          <w:rFonts w:hint="eastAsia" w:ascii="宋体" w:hAnsi="宋体" w:cs="宋体"/>
          <w:color w:val="auto"/>
          <w:sz w:val="24"/>
          <w:highlight w:val="none"/>
        </w:rPr>
        <w:t>合同编号：</w:t>
      </w:r>
      <w:r>
        <w:rPr>
          <w:rFonts w:hint="eastAsia" w:ascii="宋体" w:hAnsi="宋体" w:cs="宋体"/>
          <w:color w:val="auto"/>
          <w:sz w:val="24"/>
          <w:highlight w:val="none"/>
          <w:u w:val="single"/>
        </w:rPr>
        <w:t xml:space="preserve">                                                        </w:t>
      </w:r>
    </w:p>
    <w:p w14:paraId="068FE46A">
      <w:pPr>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rPr>
        <w:t>甲    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渑池县英豪镇人民政府</w:t>
      </w:r>
      <w:r>
        <w:rPr>
          <w:rFonts w:hint="eastAsia" w:ascii="宋体" w:hAnsi="宋体" w:cs="宋体"/>
          <w:color w:val="auto"/>
          <w:sz w:val="24"/>
          <w:highlight w:val="none"/>
          <w:u w:val="single"/>
        </w:rPr>
        <w:t xml:space="preserve">                                 </w:t>
      </w:r>
    </w:p>
    <w:p w14:paraId="4EA539EA">
      <w:pPr>
        <w:spacing w:line="360" w:lineRule="auto"/>
        <w:ind w:left="420" w:leftChars="200"/>
        <w:rPr>
          <w:rFonts w:ascii="宋体" w:hAnsi="宋体" w:cs="宋体"/>
          <w:color w:val="auto"/>
          <w:sz w:val="24"/>
          <w:highlight w:val="none"/>
          <w:u w:val="single"/>
        </w:rPr>
      </w:pPr>
      <w:r>
        <w:rPr>
          <w:rFonts w:hint="eastAsia" w:ascii="宋体" w:hAnsi="宋体" w:cs="宋体"/>
          <w:color w:val="auto"/>
          <w:sz w:val="24"/>
          <w:highlight w:val="none"/>
        </w:rPr>
        <w:t>乙    方：</w:t>
      </w:r>
      <w:r>
        <w:rPr>
          <w:rFonts w:hint="eastAsia" w:ascii="宋体" w:hAnsi="宋体" w:cs="宋体"/>
          <w:color w:val="auto"/>
          <w:sz w:val="24"/>
          <w:highlight w:val="none"/>
          <w:u w:val="single"/>
        </w:rPr>
        <w:t xml:space="preserve">                                                        </w:t>
      </w:r>
    </w:p>
    <w:p w14:paraId="49E8CB38">
      <w:pPr>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rPr>
        <w:t>签订时间：</w:t>
      </w:r>
      <w:r>
        <w:rPr>
          <w:rFonts w:hint="eastAsia" w:ascii="宋体" w:hAnsi="宋体" w:cs="宋体"/>
          <w:color w:val="auto"/>
          <w:sz w:val="24"/>
          <w:highlight w:val="none"/>
          <w:u w:val="single"/>
        </w:rPr>
        <w:t xml:space="preserve">                                                        </w:t>
      </w:r>
    </w:p>
    <w:p w14:paraId="071AE677">
      <w:pPr>
        <w:rPr>
          <w:rFonts w:ascii="宋体" w:hAnsi="宋体" w:cs="宋体"/>
          <w:color w:val="auto"/>
          <w:sz w:val="24"/>
          <w:highlight w:val="none"/>
        </w:rPr>
      </w:pPr>
    </w:p>
    <w:p w14:paraId="1BE9DB6F">
      <w:pPr>
        <w:rPr>
          <w:rFonts w:ascii="宋体" w:hAnsi="宋体" w:cs="宋体"/>
          <w:color w:val="auto"/>
          <w:sz w:val="24"/>
          <w:highlight w:val="none"/>
        </w:rPr>
      </w:pPr>
      <w:r>
        <w:rPr>
          <w:rFonts w:hint="eastAsia" w:ascii="宋体" w:hAnsi="宋体" w:cs="宋体"/>
          <w:color w:val="auto"/>
          <w:sz w:val="24"/>
          <w:highlight w:val="none"/>
        </w:rPr>
        <w:br w:type="page"/>
      </w:r>
    </w:p>
    <w:p w14:paraId="4F4305B5">
      <w:pPr>
        <w:rPr>
          <w:rFonts w:ascii="宋体" w:hAnsi="宋体" w:cs="宋体"/>
          <w:color w:val="auto"/>
          <w:sz w:val="24"/>
          <w:highlight w:val="none"/>
        </w:rPr>
      </w:pPr>
    </w:p>
    <w:p w14:paraId="702CC2A7">
      <w:pPr>
        <w:rPr>
          <w:rFonts w:ascii="宋体" w:hAnsi="宋体" w:cs="宋体"/>
          <w:color w:val="auto"/>
          <w:sz w:val="24"/>
          <w:highlight w:val="none"/>
        </w:rPr>
      </w:pPr>
    </w:p>
    <w:p w14:paraId="4252E9DA">
      <w:pPr>
        <w:jc w:val="center"/>
        <w:rPr>
          <w:rFonts w:ascii="宋体" w:hAnsi="宋体" w:cs="宋体"/>
          <w:color w:val="auto"/>
          <w:sz w:val="24"/>
          <w:highlight w:val="none"/>
        </w:rPr>
      </w:pPr>
      <w:r>
        <w:rPr>
          <w:rFonts w:hint="eastAsia" w:ascii="宋体" w:hAnsi="宋体" w:cs="宋体"/>
          <w:color w:val="auto"/>
          <w:sz w:val="24"/>
          <w:highlight w:val="none"/>
        </w:rPr>
        <w:t>使 用 说 明</w:t>
      </w:r>
    </w:p>
    <w:p w14:paraId="3DAC4670">
      <w:pPr>
        <w:ind w:firstLine="480" w:firstLineChars="200"/>
        <w:rPr>
          <w:rFonts w:ascii="宋体" w:hAnsi="宋体" w:cs="宋体"/>
          <w:color w:val="auto"/>
          <w:sz w:val="24"/>
          <w:highlight w:val="none"/>
        </w:rPr>
      </w:pPr>
    </w:p>
    <w:p w14:paraId="47F76A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1.本合同标准文本适用于购买现成货物的采购项目，不包括需要供应商定制开发、创新研发的货物采购项目。</w:t>
      </w:r>
    </w:p>
    <w:p w14:paraId="7629164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2.本合同标准文本为政府采购货物买卖合同编制提供参考，可以结合采购项目具体情况，对文本作必要的调整修订后使用。</w:t>
      </w:r>
    </w:p>
    <w:p w14:paraId="641FA6A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3.本合同标准文本各条款中，如涉及填写多家供应商、制造商，多种采购标的、分包主要内容等信息的，可根据采购项目具体情况添加信息项。</w:t>
      </w:r>
    </w:p>
    <w:p w14:paraId="02572AE4">
      <w:pPr>
        <w:ind w:firstLine="480" w:firstLineChars="200"/>
        <w:rPr>
          <w:rFonts w:ascii="宋体" w:hAnsi="宋体" w:cs="宋体"/>
          <w:color w:val="auto"/>
          <w:sz w:val="24"/>
          <w:highlight w:val="none"/>
        </w:rPr>
        <w:sectPr>
          <w:headerReference r:id="rId9" w:type="default"/>
          <w:footerReference r:id="rId10" w:type="default"/>
          <w:pgSz w:w="11906" w:h="16838"/>
          <w:pgMar w:top="1361" w:right="1418" w:bottom="1361" w:left="1418" w:header="851" w:footer="992" w:gutter="0"/>
          <w:pgNumType w:start="1"/>
          <w:cols w:space="425" w:num="1"/>
          <w:docGrid w:type="lines" w:linePitch="312" w:charSpace="0"/>
        </w:sectPr>
      </w:pPr>
    </w:p>
    <w:p w14:paraId="2C5AC8AF">
      <w:pPr>
        <w:pStyle w:val="5"/>
        <w:adjustRightInd w:val="0"/>
        <w:snapToGrid w:val="0"/>
        <w:spacing w:line="400" w:lineRule="exact"/>
        <w:jc w:val="center"/>
        <w:rPr>
          <w:rFonts w:ascii="宋体" w:hAnsi="宋体" w:eastAsia="宋体" w:cs="宋体"/>
          <w:b w:val="0"/>
          <w:bCs w:val="0"/>
          <w:color w:val="auto"/>
          <w:sz w:val="24"/>
          <w:szCs w:val="24"/>
          <w:highlight w:val="none"/>
        </w:rPr>
      </w:pPr>
      <w:bookmarkStart w:id="175" w:name="_Toc22209"/>
      <w:r>
        <w:rPr>
          <w:rFonts w:hint="eastAsia" w:ascii="宋体" w:hAnsi="宋体" w:eastAsia="宋体" w:cs="宋体"/>
          <w:b w:val="0"/>
          <w:bCs w:val="0"/>
          <w:color w:val="auto"/>
          <w:sz w:val="24"/>
          <w:szCs w:val="24"/>
          <w:highlight w:val="none"/>
        </w:rPr>
        <w:t>第一节 政府采购合同协议书</w:t>
      </w:r>
      <w:bookmarkEnd w:id="175"/>
    </w:p>
    <w:p w14:paraId="326B5B7E">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甲方（全称）：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渑池县英豪镇人民政府</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w:t>
      </w:r>
    </w:p>
    <w:p w14:paraId="4E50F8B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乙方（全称）：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w:t>
      </w:r>
    </w:p>
    <w:p w14:paraId="3F970FF2">
      <w:pPr>
        <w:pStyle w:val="8"/>
        <w:adjustRightInd w:val="0"/>
        <w:snapToGrid w:val="0"/>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06553264">
      <w:pPr>
        <w:numPr>
          <w:ilvl w:val="0"/>
          <w:numId w:val="1"/>
        </w:numPr>
        <w:adjustRightInd w:val="0"/>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项目信息</w:t>
      </w:r>
    </w:p>
    <w:p w14:paraId="5B123B2C">
      <w:pPr>
        <w:pStyle w:val="8"/>
        <w:adjustRightInd w:val="0"/>
        <w:snapToGrid w:val="0"/>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（1）采购项目名称：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英豪镇后营村购置玉米收割机项目</w:t>
      </w:r>
      <w:r>
        <w:rPr>
          <w:rFonts w:hint="eastAsia" w:ascii="宋体" w:hAnsi="宋体" w:eastAsia="宋体" w:cs="宋体"/>
          <w:color w:val="auto"/>
          <w:sz w:val="24"/>
          <w:highlight w:val="none"/>
          <w:u w:val="single"/>
        </w:rPr>
        <w:t xml:space="preserve">     </w:t>
      </w:r>
    </w:p>
    <w:p w14:paraId="65102C39">
      <w:pPr>
        <w:pStyle w:val="8"/>
        <w:adjustRightInd w:val="0"/>
        <w:snapToGrid w:val="0"/>
        <w:spacing w:line="360" w:lineRule="auto"/>
        <w:ind w:firstLine="1200" w:firstLineChars="500"/>
        <w:rPr>
          <w:rFonts w:ascii="宋体" w:hAnsi="宋体" w:eastAsia="宋体" w:cs="宋体"/>
          <w:color w:val="auto"/>
          <w:sz w:val="24"/>
          <w:highlight w:val="none"/>
        </w:rPr>
      </w:pPr>
      <w:r>
        <w:rPr>
          <w:rFonts w:hint="eastAsia" w:ascii="宋体" w:hAnsi="宋体" w:eastAsia="宋体" w:cs="宋体"/>
          <w:color w:val="auto"/>
          <w:sz w:val="24"/>
          <w:highlight w:val="none"/>
        </w:rPr>
        <w:t>采购项目编号：</w:t>
      </w:r>
    </w:p>
    <w:p w14:paraId="6B8C3ECA">
      <w:pPr>
        <w:pStyle w:val="8"/>
        <w:adjustRightInd w:val="0"/>
        <w:snapToGrid w:val="0"/>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（2）项目内容：</w:t>
      </w:r>
    </w:p>
    <w:p w14:paraId="0D2C5C3B">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采购标的及数量（台/套</w:t>
      </w:r>
      <w:r>
        <w:rPr>
          <w:rFonts w:hint="eastAsia" w:ascii="宋体" w:hAnsi="宋体" w:cs="宋体"/>
          <w:color w:val="auto"/>
          <w:sz w:val="24"/>
          <w:highlight w:val="none"/>
          <w:lang w:val="en"/>
        </w:rPr>
        <w:t>/个/架/组等</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69185635">
      <w:pPr>
        <w:numPr>
          <w:ilvl w:val="255"/>
          <w:numId w:val="0"/>
        </w:numPr>
        <w:adjustRightInd w:val="0"/>
        <w:snapToGrid w:val="0"/>
        <w:spacing w:line="360" w:lineRule="auto"/>
        <w:ind w:firstLine="480" w:firstLineChars="200"/>
        <w:rPr>
          <w:rFonts w:ascii="宋体" w:hAnsi="宋体" w:cs="宋体"/>
          <w:color w:val="auto"/>
          <w:sz w:val="24"/>
          <w:highlight w:val="none"/>
          <w:lang w:val="en"/>
        </w:rPr>
      </w:pPr>
      <w:r>
        <w:rPr>
          <w:rFonts w:hint="eastAsia" w:ascii="宋体" w:hAnsi="宋体" w:cs="宋体"/>
          <w:color w:val="auto"/>
          <w:sz w:val="24"/>
          <w:highlight w:val="none"/>
        </w:rPr>
        <w:t>品牌：</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
        </w:rPr>
        <w:t xml:space="preserve">     </w:t>
      </w:r>
      <w:r>
        <w:rPr>
          <w:rFonts w:hint="eastAsia" w:ascii="宋体" w:hAnsi="宋体" w:cs="宋体"/>
          <w:color w:val="auto"/>
          <w:sz w:val="24"/>
          <w:highlight w:val="none"/>
        </w:rPr>
        <w:t>规格型号：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
        </w:rPr>
        <w:t xml:space="preserve">   </w:t>
      </w:r>
    </w:p>
    <w:p w14:paraId="002EA620">
      <w:pPr>
        <w:adjustRightInd w:val="0"/>
        <w:snapToGrid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采购标的的技术要求、商务要求具体见附件。</w:t>
      </w:r>
    </w:p>
    <w:p w14:paraId="27142070">
      <w:pPr>
        <w:numPr>
          <w:ilvl w:val="0"/>
          <w:numId w:val="1"/>
        </w:numPr>
        <w:adjustRightInd w:val="0"/>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合同金额</w:t>
      </w:r>
    </w:p>
    <w:p w14:paraId="3A74108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（1）合同金额小写：</w:t>
      </w:r>
      <w:r>
        <w:rPr>
          <w:rFonts w:hint="eastAsia" w:ascii="宋体" w:hAnsi="宋体" w:cs="宋体"/>
          <w:color w:val="auto"/>
          <w:sz w:val="24"/>
          <w:highlight w:val="none"/>
          <w:u w:val="single"/>
        </w:rPr>
        <w:t xml:space="preserve">                           </w:t>
      </w:r>
    </w:p>
    <w:p w14:paraId="04F1FCAC">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大写：</w:t>
      </w:r>
      <w:r>
        <w:rPr>
          <w:rFonts w:hint="eastAsia" w:ascii="宋体" w:hAnsi="宋体" w:cs="宋体"/>
          <w:color w:val="auto"/>
          <w:sz w:val="24"/>
          <w:highlight w:val="none"/>
          <w:u w:val="single"/>
        </w:rPr>
        <w:t xml:space="preserve">                           </w:t>
      </w:r>
    </w:p>
    <w:p w14:paraId="56242CFA">
      <w:pPr>
        <w:pStyle w:val="41"/>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（2）付款方式（按项目实际勾选填写）：</w:t>
      </w:r>
    </w:p>
    <w:p w14:paraId="3C673920">
      <w:pPr>
        <w:adjustRightInd w:val="0"/>
        <w:snapToGrid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sym w:font="Wingdings" w:char="00A8"/>
      </w:r>
      <w:r>
        <w:rPr>
          <w:rFonts w:hint="eastAsia" w:ascii="宋体" w:hAnsi="宋体" w:cs="宋体"/>
          <w:color w:val="auto"/>
          <w:sz w:val="24"/>
          <w:highlight w:val="none"/>
        </w:rPr>
        <w:t>全额付款：</w:t>
      </w:r>
      <w:r>
        <w:rPr>
          <w:rFonts w:hint="eastAsia" w:ascii="宋体" w:hAnsi="宋体" w:cs="宋体"/>
          <w:color w:val="auto"/>
          <w:sz w:val="24"/>
          <w:highlight w:val="none"/>
          <w:u w:val="single"/>
        </w:rPr>
        <w:t xml:space="preserve">     （应明确一次性支付合同款项的条件）                    </w:t>
      </w:r>
    </w:p>
    <w:p w14:paraId="31A969DC">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sym w:font="Wingdings" w:char="00A8"/>
      </w:r>
      <w:r>
        <w:rPr>
          <w:rFonts w:hint="eastAsia" w:ascii="宋体" w:hAnsi="宋体" w:cs="宋体"/>
          <w:color w:val="auto"/>
          <w:sz w:val="24"/>
          <w:highlight w:val="none"/>
        </w:rPr>
        <w:t>分期付款：</w:t>
      </w:r>
      <w:r>
        <w:rPr>
          <w:rFonts w:hint="eastAsia" w:ascii="宋体" w:hAnsi="宋体" w:cs="宋体"/>
          <w:color w:val="auto"/>
          <w:sz w:val="24"/>
          <w:highlight w:val="none"/>
          <w:u w:val="single"/>
        </w:rPr>
        <w:t xml:space="preserve">  （应明确分期支付合同款项的各期比例和支付条件，各期支付条件应与分期履约验收情况挂钩） </w:t>
      </w:r>
      <w:r>
        <w:rPr>
          <w:rFonts w:hint="eastAsia" w:ascii="宋体" w:hAnsi="宋体" w:cs="宋体"/>
          <w:color w:val="auto"/>
          <w:sz w:val="24"/>
          <w:highlight w:val="none"/>
        </w:rPr>
        <w:t>，其中涉及预付款的：</w:t>
      </w:r>
      <w:r>
        <w:rPr>
          <w:rFonts w:hint="eastAsia" w:ascii="宋体" w:hAnsi="宋体" w:cs="宋体"/>
          <w:color w:val="auto"/>
          <w:sz w:val="24"/>
          <w:highlight w:val="none"/>
          <w:u w:val="single"/>
        </w:rPr>
        <w:t xml:space="preserve"> （应明确预付款的支付比例和支付条件） </w:t>
      </w:r>
    </w:p>
    <w:p w14:paraId="062F705D">
      <w:pPr>
        <w:numPr>
          <w:ilvl w:val="0"/>
          <w:numId w:val="1"/>
        </w:numPr>
        <w:adjustRightInd w:val="0"/>
        <w:snapToGrid w:val="0"/>
        <w:spacing w:line="360" w:lineRule="auto"/>
        <w:ind w:firstLine="482" w:firstLineChars="200"/>
        <w:rPr>
          <w:rFonts w:ascii="宋体" w:hAnsi="宋体" w:cs="宋体"/>
          <w:b/>
          <w:color w:val="auto"/>
          <w:sz w:val="24"/>
          <w:highlight w:val="none"/>
          <w:u w:val="single"/>
        </w:rPr>
      </w:pPr>
      <w:r>
        <w:rPr>
          <w:rFonts w:hint="eastAsia" w:ascii="宋体" w:hAnsi="宋体" w:cs="宋体"/>
          <w:b/>
          <w:color w:val="auto"/>
          <w:sz w:val="24"/>
          <w:highlight w:val="none"/>
        </w:rPr>
        <w:t>合同履行</w:t>
      </w:r>
    </w:p>
    <w:p w14:paraId="5D478E9E">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起始日期：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日，完成日期：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3E65B114">
      <w:pPr>
        <w:adjustRightInd w:val="0"/>
        <w:snapToGrid w:val="0"/>
        <w:spacing w:line="360" w:lineRule="auto"/>
        <w:ind w:firstLine="480" w:firstLineChars="200"/>
        <w:rPr>
          <w:color w:val="auto"/>
          <w:highlight w:val="none"/>
        </w:rPr>
      </w:pPr>
      <w:r>
        <w:rPr>
          <w:rFonts w:hint="eastAsia" w:ascii="宋体" w:hAnsi="宋体" w:cs="宋体"/>
          <w:color w:val="auto"/>
          <w:sz w:val="24"/>
          <w:highlight w:val="none"/>
        </w:rPr>
        <w:t>履约地点：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渑池县</w:t>
      </w:r>
      <w:r>
        <w:rPr>
          <w:rFonts w:hint="eastAsia" w:ascii="宋体" w:hAnsi="宋体" w:cs="宋体"/>
          <w:color w:val="auto"/>
          <w:sz w:val="24"/>
          <w:highlight w:val="none"/>
          <w:u w:val="single"/>
          <w:lang w:eastAsia="zh-CN"/>
        </w:rPr>
        <w:t>英豪镇后营村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r>
        <w:rPr>
          <w:rFonts w:hint="eastAsia"/>
          <w:color w:val="auto"/>
          <w:highlight w:val="none"/>
        </w:rPr>
        <w:t xml:space="preserve">                           </w:t>
      </w:r>
    </w:p>
    <w:p w14:paraId="2281945B">
      <w:pPr>
        <w:numPr>
          <w:ilvl w:val="0"/>
          <w:numId w:val="1"/>
        </w:numPr>
        <w:adjustRightInd w:val="0"/>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组成合同的文件</w:t>
      </w:r>
    </w:p>
    <w:p w14:paraId="1382552A">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本协议书与下列文件一起构成合同文件，如下述文件之间有任何抵触、矛盾或歧义，应按以下顺序解释：</w:t>
      </w:r>
    </w:p>
    <w:p w14:paraId="61D1F973">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（1）政府采购合同协议书及其变更、补充协议</w:t>
      </w:r>
    </w:p>
    <w:p w14:paraId="697776B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（2）政府采购合同专用条款</w:t>
      </w:r>
    </w:p>
    <w:p w14:paraId="6D8DD122">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（3）政府采购合同通用条款</w:t>
      </w:r>
    </w:p>
    <w:p w14:paraId="328788A0">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（4）中标（成交）通知书</w:t>
      </w:r>
    </w:p>
    <w:p w14:paraId="65FBA4AB">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（5）投标（响应）文件</w:t>
      </w:r>
    </w:p>
    <w:p w14:paraId="1616E6C2">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（6）采购文件</w:t>
      </w:r>
    </w:p>
    <w:p w14:paraId="3620E55E">
      <w:pPr>
        <w:pStyle w:val="35"/>
        <w:spacing w:line="360" w:lineRule="auto"/>
        <w:ind w:firstLine="480"/>
        <w:rPr>
          <w:rFonts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kern w:val="2"/>
          <w:sz w:val="24"/>
          <w:szCs w:val="24"/>
          <w:highlight w:val="none"/>
        </w:rPr>
        <w:t>国家法律、行政法规和规章制度规定或合同约定的作为合同组成部分的其他文件</w:t>
      </w:r>
    </w:p>
    <w:p w14:paraId="1279FBA5">
      <w:pPr>
        <w:numPr>
          <w:ilvl w:val="0"/>
          <w:numId w:val="1"/>
        </w:numPr>
        <w:adjustRightInd w:val="0"/>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合同生效</w:t>
      </w:r>
    </w:p>
    <w:p w14:paraId="2AD99A92">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本合同自</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生效。</w:t>
      </w:r>
    </w:p>
    <w:p w14:paraId="60562BE7">
      <w:pPr>
        <w:numPr>
          <w:ilvl w:val="0"/>
          <w:numId w:val="1"/>
        </w:numPr>
        <w:adjustRightInd w:val="0"/>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合同份数</w:t>
      </w:r>
    </w:p>
    <w:p w14:paraId="7E147067">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本合同一式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份，甲方执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份，乙方执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份，均具有同等法律效力。</w:t>
      </w:r>
    </w:p>
    <w:p w14:paraId="035BC64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合同订立时间：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562B5317">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合同订立地点：</w:t>
      </w:r>
      <w:r>
        <w:rPr>
          <w:rFonts w:hint="eastAsia" w:ascii="宋体" w:hAnsi="宋体" w:cs="宋体"/>
          <w:color w:val="auto"/>
          <w:sz w:val="24"/>
          <w:highlight w:val="none"/>
          <w:u w:val="single"/>
        </w:rPr>
        <w:t xml:space="preserve">                           </w:t>
      </w:r>
    </w:p>
    <w:p w14:paraId="7D16082D">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附件：具体标的及其技术要求和商务要求等。</w:t>
      </w:r>
    </w:p>
    <w:p w14:paraId="6D4AC29E">
      <w:pPr>
        <w:widowControl/>
        <w:spacing w:line="360" w:lineRule="auto"/>
        <w:jc w:val="center"/>
        <w:rPr>
          <w:rFonts w:ascii="宋体" w:hAnsi="宋体" w:eastAsia="宋体" w:cs="宋体"/>
          <w:color w:val="auto"/>
          <w:sz w:val="24"/>
          <w:szCs w:val="24"/>
          <w:highlight w:val="none"/>
        </w:rPr>
      </w:pPr>
    </w:p>
    <w:p w14:paraId="3D177D98">
      <w:pPr>
        <w:widowControl/>
        <w:spacing w:line="520" w:lineRule="atLeast"/>
        <w:ind w:firstLine="48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14:paraId="204CB371">
      <w:pPr>
        <w:widowControl/>
        <w:spacing w:line="520" w:lineRule="atLeast"/>
        <w:ind w:firstLine="48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                         单位地址：</w:t>
      </w:r>
    </w:p>
    <w:p w14:paraId="04F9A9E8">
      <w:pPr>
        <w:widowControl/>
        <w:spacing w:line="520" w:lineRule="atLeast"/>
        <w:ind w:firstLine="48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w:t>
      </w:r>
    </w:p>
    <w:p w14:paraId="71113A59">
      <w:pPr>
        <w:widowControl/>
        <w:spacing w:line="520" w:lineRule="atLeast"/>
        <w:ind w:firstLine="48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                       委托代理人：</w:t>
      </w:r>
    </w:p>
    <w:p w14:paraId="49F3E329">
      <w:pPr>
        <w:widowControl/>
        <w:spacing w:line="520" w:lineRule="atLeast"/>
        <w:ind w:firstLine="48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                             电话：</w:t>
      </w:r>
    </w:p>
    <w:p w14:paraId="54DC467F">
      <w:pPr>
        <w:rPr>
          <w:rFonts w:ascii="宋体" w:hAnsi="宋体" w:cs="宋体"/>
          <w:color w:val="auto"/>
          <w:sz w:val="24"/>
          <w:szCs w:val="24"/>
          <w:highlight w:val="none"/>
        </w:rPr>
      </w:pPr>
      <w:r>
        <w:rPr>
          <w:rFonts w:ascii="宋体" w:hAnsi="宋体" w:cs="宋体"/>
          <w:color w:val="auto"/>
          <w:sz w:val="24"/>
          <w:szCs w:val="24"/>
          <w:highlight w:val="none"/>
        </w:rPr>
        <w:br w:type="page"/>
      </w:r>
    </w:p>
    <w:p w14:paraId="564F1EAF">
      <w:pPr>
        <w:pStyle w:val="5"/>
        <w:adjustRightInd w:val="0"/>
        <w:snapToGrid w:val="0"/>
        <w:spacing w:before="120" w:beforeLines="50"/>
        <w:jc w:val="center"/>
        <w:rPr>
          <w:rFonts w:ascii="宋体" w:hAnsi="宋体" w:eastAsia="宋体" w:cs="宋体"/>
          <w:color w:val="auto"/>
          <w:sz w:val="24"/>
          <w:szCs w:val="24"/>
          <w:highlight w:val="none"/>
        </w:rPr>
      </w:pPr>
      <w:bookmarkStart w:id="176" w:name="_Toc27624"/>
      <w:r>
        <w:rPr>
          <w:rFonts w:hint="eastAsia" w:ascii="宋体" w:hAnsi="宋体" w:eastAsia="宋体" w:cs="宋体"/>
          <w:b w:val="0"/>
          <w:bCs w:val="0"/>
          <w:color w:val="auto"/>
          <w:sz w:val="24"/>
          <w:szCs w:val="24"/>
          <w:highlight w:val="none"/>
        </w:rPr>
        <w:t>第二节 政府采购合同通用条款</w:t>
      </w:r>
      <w:bookmarkEnd w:id="176"/>
    </w:p>
    <w:p w14:paraId="0AC38BA1">
      <w:pPr>
        <w:tabs>
          <w:tab w:val="left" w:pos="8820"/>
          <w:tab w:val="left" w:pos="9345"/>
          <w:tab w:val="left" w:pos="9765"/>
        </w:tabs>
        <w:adjustRightInd w:val="0"/>
        <w:snapToGrid w:val="0"/>
        <w:spacing w:line="400" w:lineRule="exact"/>
        <w:jc w:val="left"/>
        <w:rPr>
          <w:rFonts w:ascii="宋体" w:hAnsi="宋体" w:cs="宋体"/>
          <w:b/>
          <w:bCs/>
          <w:color w:val="auto"/>
          <w:sz w:val="24"/>
          <w:highlight w:val="none"/>
        </w:rPr>
      </w:pPr>
      <w:r>
        <w:rPr>
          <w:rFonts w:hint="eastAsia" w:ascii="宋体" w:hAnsi="宋体" w:cs="宋体"/>
          <w:b/>
          <w:color w:val="auto"/>
          <w:sz w:val="24"/>
          <w:highlight w:val="none"/>
        </w:rPr>
        <w:t xml:space="preserve">1. </w:t>
      </w:r>
      <w:r>
        <w:rPr>
          <w:rFonts w:hint="eastAsia" w:ascii="宋体" w:hAnsi="宋体" w:cs="宋体"/>
          <w:b/>
          <w:bCs/>
          <w:color w:val="auto"/>
          <w:sz w:val="24"/>
          <w:highlight w:val="none"/>
        </w:rPr>
        <w:t>定义</w:t>
      </w:r>
    </w:p>
    <w:p w14:paraId="2AB34CA7">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1.1合同当事人</w:t>
      </w:r>
    </w:p>
    <w:p w14:paraId="5576056B">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（1）采购人（以下称甲方）是指使用财政性资金，通过政府采购方式向供应商购买货物及其相关服务的国家机关、事业单位、团体组织。</w:t>
      </w:r>
    </w:p>
    <w:p w14:paraId="78DA083D">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（2）供应商（以下称乙方）是指参加政府采购活动并且中标（成交），向采购人提供合同约定的货物及其相关服务的法人、非法人组织或者自然人。</w:t>
      </w:r>
    </w:p>
    <w:p w14:paraId="71B8DD9C">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（3）其他合同主体是指除采购人和供应商以外，</w:t>
      </w:r>
      <w:r>
        <w:rPr>
          <w:rFonts w:hint="eastAsia" w:ascii="宋体" w:hAnsi="宋体" w:cs="宋体"/>
          <w:bCs/>
          <w:color w:val="auto"/>
          <w:sz w:val="24"/>
          <w:highlight w:val="none"/>
        </w:rPr>
        <w:t>依法参与合同缔结或履行，享有权利、承担义务的合同当事人</w:t>
      </w:r>
      <w:r>
        <w:rPr>
          <w:rFonts w:hint="eastAsia" w:ascii="宋体" w:hAnsi="宋体" w:cs="宋体"/>
          <w:color w:val="auto"/>
          <w:sz w:val="24"/>
          <w:highlight w:val="none"/>
        </w:rPr>
        <w:t>。</w:t>
      </w:r>
    </w:p>
    <w:p w14:paraId="72C3B050">
      <w:pPr>
        <w:tabs>
          <w:tab w:val="left" w:pos="570"/>
          <w:tab w:val="left" w:pos="9240"/>
          <w:tab w:val="left" w:pos="9555"/>
        </w:tabs>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1.2本合同下列术语应解释为：</w:t>
      </w:r>
    </w:p>
    <w:p w14:paraId="19792FD7">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（1）“合同”系指</w:t>
      </w:r>
      <w:r>
        <w:rPr>
          <w:rFonts w:hint="eastAsia" w:ascii="宋体" w:hAnsi="宋体" w:cs="宋体"/>
          <w:bCs/>
          <w:color w:val="auto"/>
          <w:sz w:val="24"/>
          <w:highlight w:val="none"/>
        </w:rPr>
        <w:t>合同当事人意思表示达成一致的任何协议，包括签署的</w:t>
      </w:r>
      <w:r>
        <w:rPr>
          <w:rFonts w:hint="eastAsia" w:ascii="宋体" w:hAnsi="宋体" w:cs="宋体"/>
          <w:color w:val="auto"/>
          <w:sz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26989BA">
      <w:pPr>
        <w:tabs>
          <w:tab w:val="left" w:pos="570"/>
          <w:tab w:val="left" w:pos="9240"/>
          <w:tab w:val="left" w:pos="9555"/>
        </w:tabs>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（2）“合同价款”系指根据本合同规定乙方在全面履行合同义务后甲方应支付给乙方的价款。</w:t>
      </w:r>
    </w:p>
    <w:p w14:paraId="28F51388">
      <w:pPr>
        <w:tabs>
          <w:tab w:val="left" w:pos="570"/>
          <w:tab w:val="left" w:pos="9240"/>
          <w:tab w:val="left" w:pos="9555"/>
        </w:tabs>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（3）“货物”系指乙方根据本合同规定须向甲方提供的各种形态和种类的物品，包括原材料、设备、产品（包括软件）及相关的其备品备件、工具、手册及</w:t>
      </w:r>
      <w:r>
        <w:rPr>
          <w:rFonts w:hint="eastAsia" w:ascii="宋体" w:hAnsi="宋体" w:cs="宋体"/>
          <w:color w:val="auto"/>
          <w:sz w:val="24"/>
          <w:highlight w:val="none"/>
          <w:lang w:val="en"/>
        </w:rPr>
        <w:t>其他</w:t>
      </w:r>
      <w:r>
        <w:rPr>
          <w:rFonts w:hint="eastAsia" w:ascii="宋体" w:hAnsi="宋体" w:cs="宋体"/>
          <w:color w:val="auto"/>
          <w:sz w:val="24"/>
          <w:highlight w:val="none"/>
        </w:rPr>
        <w:t>技术资料和材料等。</w:t>
      </w:r>
    </w:p>
    <w:p w14:paraId="214630C0">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（4）“相关服务”系指根据合同规定，乙方应提供的与货物有关的技术、管理和</w:t>
      </w:r>
      <w:r>
        <w:rPr>
          <w:rFonts w:hint="eastAsia" w:ascii="宋体" w:hAnsi="宋体" w:cs="宋体"/>
          <w:color w:val="auto"/>
          <w:sz w:val="24"/>
          <w:highlight w:val="none"/>
          <w:lang w:val="en"/>
        </w:rPr>
        <w:t>其他</w:t>
      </w:r>
      <w:r>
        <w:rPr>
          <w:rFonts w:hint="eastAsia" w:ascii="宋体" w:hAnsi="宋体" w:cs="宋体"/>
          <w:color w:val="auto"/>
          <w:sz w:val="24"/>
          <w:highlight w:val="none"/>
        </w:rPr>
        <w:t>服务，包括但不限于：管理和质量保证、运输、保险、检验、现场准备、安装、集成、调试、培训、维修、废弃处置、技术支持等以及合同中规定乙方应承担的</w:t>
      </w:r>
      <w:r>
        <w:rPr>
          <w:rFonts w:hint="eastAsia" w:ascii="宋体" w:hAnsi="宋体" w:cs="宋体"/>
          <w:color w:val="auto"/>
          <w:sz w:val="24"/>
          <w:highlight w:val="none"/>
          <w:lang w:val="en"/>
        </w:rPr>
        <w:t>其他</w:t>
      </w:r>
      <w:r>
        <w:rPr>
          <w:rFonts w:hint="eastAsia" w:ascii="宋体" w:hAnsi="宋体" w:cs="宋体"/>
          <w:color w:val="auto"/>
          <w:sz w:val="24"/>
          <w:highlight w:val="none"/>
        </w:rPr>
        <w:t>义务。</w:t>
      </w:r>
    </w:p>
    <w:p w14:paraId="6558DBF1">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（5）“分包”系指中标（成交）供应商按采购文件、投标（响应）文件的规定，根据分包意向协议，将中标（成交）项目中的部分履约内容，分给具有相应资质条件的供应商履行合同的行为。</w:t>
      </w:r>
    </w:p>
    <w:p w14:paraId="5F9B9AB1">
      <w:pPr>
        <w:tabs>
          <w:tab w:val="left" w:pos="570"/>
          <w:tab w:val="left" w:pos="9240"/>
          <w:tab w:val="left" w:pos="9555"/>
        </w:tabs>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w:t>
      </w:r>
    </w:p>
    <w:p w14:paraId="1D543E49">
      <w:pPr>
        <w:tabs>
          <w:tab w:val="left" w:pos="570"/>
          <w:tab w:val="left" w:pos="9240"/>
          <w:tab w:val="left" w:pos="9555"/>
        </w:tabs>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（7）其他术语解释，见【</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w:t>
      </w:r>
    </w:p>
    <w:p w14:paraId="2948C9A4">
      <w:pPr>
        <w:numPr>
          <w:ilvl w:val="0"/>
          <w:numId w:val="2"/>
        </w:num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color w:val="auto"/>
          <w:sz w:val="24"/>
          <w:highlight w:val="none"/>
        </w:rPr>
        <w:t>合同标的及金额</w:t>
      </w:r>
    </w:p>
    <w:p w14:paraId="51A69926">
      <w:pPr>
        <w:autoSpaceDE w:val="0"/>
        <w:autoSpaceDN w:val="0"/>
        <w:adjustRightInd w:val="0"/>
        <w:snapToGrid w:val="0"/>
        <w:spacing w:line="400" w:lineRule="exact"/>
        <w:ind w:firstLine="480" w:firstLineChars="200"/>
        <w:jc w:val="left"/>
        <w:rPr>
          <w:rFonts w:ascii="宋体" w:hAnsi="宋体" w:cs="宋体"/>
          <w:b/>
          <w:bCs/>
          <w:i/>
          <w:iCs/>
          <w:color w:val="auto"/>
          <w:sz w:val="24"/>
          <w:highlight w:val="none"/>
        </w:rPr>
      </w:pPr>
      <w:r>
        <w:rPr>
          <w:rFonts w:hint="eastAsia" w:ascii="宋体" w:hAnsi="宋体" w:cs="宋体"/>
          <w:color w:val="auto"/>
          <w:sz w:val="24"/>
          <w:highlight w:val="none"/>
        </w:rPr>
        <w:t>2.1 合同标的及金额应与中标（成交）结果一致。乙方为履行本合同而发生的所有费用均应包含在合同价款中，甲方不再另行支付</w:t>
      </w:r>
      <w:r>
        <w:rPr>
          <w:rFonts w:hint="eastAsia" w:ascii="宋体" w:hAnsi="宋体" w:cs="宋体"/>
          <w:color w:val="auto"/>
          <w:sz w:val="24"/>
          <w:highlight w:val="none"/>
          <w:lang w:val="en"/>
        </w:rPr>
        <w:t>其他</w:t>
      </w:r>
      <w:r>
        <w:rPr>
          <w:rFonts w:hint="eastAsia" w:ascii="宋体" w:hAnsi="宋体" w:cs="宋体"/>
          <w:color w:val="auto"/>
          <w:sz w:val="24"/>
          <w:highlight w:val="none"/>
        </w:rPr>
        <w:t>任何费用。</w:t>
      </w:r>
    </w:p>
    <w:p w14:paraId="3F595E81">
      <w:pPr>
        <w:adjustRightInd w:val="0"/>
        <w:snapToGrid w:val="0"/>
        <w:spacing w:line="400" w:lineRule="exact"/>
        <w:jc w:val="left"/>
        <w:rPr>
          <w:rFonts w:ascii="宋体" w:hAnsi="宋体" w:cs="宋体"/>
          <w:b/>
          <w:color w:val="auto"/>
          <w:sz w:val="24"/>
          <w:highlight w:val="none"/>
        </w:rPr>
      </w:pPr>
      <w:r>
        <w:rPr>
          <w:rFonts w:hint="eastAsia" w:ascii="宋体" w:hAnsi="宋体" w:cs="宋体"/>
          <w:b/>
          <w:color w:val="auto"/>
          <w:sz w:val="24"/>
          <w:highlight w:val="none"/>
        </w:rPr>
        <w:t>3. 履行合同的时间、地点和方式</w:t>
      </w:r>
    </w:p>
    <w:p w14:paraId="7E053B57">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3.1 乙方应当在约定的时间、地点，按照约定方式履行合同。</w:t>
      </w:r>
    </w:p>
    <w:p w14:paraId="5BD45B5F">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4. 甲方的权利和义务</w:t>
      </w:r>
    </w:p>
    <w:p w14:paraId="2B7ABAEE">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10AE9E23">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 甲方有权要求乙方按时提交各阶段有关安排计划，并有权定期核对乙方提供货物数量、规格、质量等内容。甲方有权督促乙方工作并要求乙方更换不符合要求的货物。</w:t>
      </w:r>
    </w:p>
    <w:p w14:paraId="382392D0">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4.3 甲方有权要求乙方对缺陷部分予以修复，并按合同约定享有货物保修及其他合同约定的权利。</w:t>
      </w:r>
    </w:p>
    <w:p w14:paraId="77F1FC50">
      <w:pPr>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 甲方应当按照合同约定及时对交付的货物进行验收，未在</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约定的期限内对乙方履约提出任何异议或者向乙方作出任何说明的，视为验收通过。</w:t>
      </w:r>
    </w:p>
    <w:p w14:paraId="1E83E0C1">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4.5 甲方应当根据合同约定及时向乙方支付合同价款，不得以内部人员变更、履行内部付款流程等为由，拒绝或迟延支付。</w:t>
      </w:r>
    </w:p>
    <w:p w14:paraId="290C65DE">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4.6 国家法律法规规定及</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约定应由甲方承担的其他义务和责任。</w:t>
      </w:r>
    </w:p>
    <w:p w14:paraId="1CC6A6F4">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5. 乙方的权利和义务</w:t>
      </w:r>
    </w:p>
    <w:p w14:paraId="4EC02018">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5.1 签署合同后，乙方应确定项目负责人（或项目联系人），负责与本合同有关的事务。</w:t>
      </w:r>
    </w:p>
    <w:p w14:paraId="05EAC620">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24DC00B">
      <w:pPr>
        <w:pStyle w:val="7"/>
        <w:spacing w:line="400" w:lineRule="exact"/>
        <w:ind w:firstLine="422" w:firstLineChars="176"/>
        <w:rPr>
          <w:rFonts w:ascii="宋体" w:hAnsi="宋体" w:cs="宋体"/>
          <w:color w:val="auto"/>
          <w:sz w:val="24"/>
          <w:szCs w:val="24"/>
          <w:highlight w:val="none"/>
        </w:rPr>
      </w:pPr>
      <w:r>
        <w:rPr>
          <w:rFonts w:hint="eastAsia" w:ascii="宋体" w:hAnsi="宋体" w:cs="宋体"/>
          <w:color w:val="auto"/>
          <w:sz w:val="24"/>
          <w:szCs w:val="24"/>
          <w:highlight w:val="none"/>
        </w:rPr>
        <w:t>5.3乙方有权根据合同约定向甲方收取合同价款。</w:t>
      </w:r>
    </w:p>
    <w:p w14:paraId="526A071A">
      <w:pPr>
        <w:pStyle w:val="7"/>
        <w:spacing w:line="400" w:lineRule="exact"/>
        <w:ind w:firstLine="422" w:firstLineChars="176"/>
        <w:rPr>
          <w:rFonts w:ascii="宋体" w:hAnsi="宋体" w:cs="宋体"/>
          <w:color w:val="auto"/>
          <w:sz w:val="24"/>
          <w:szCs w:val="24"/>
          <w:highlight w:val="none"/>
        </w:rPr>
      </w:pPr>
      <w:r>
        <w:rPr>
          <w:rFonts w:hint="eastAsia" w:ascii="宋体" w:hAnsi="宋体" w:cs="宋体"/>
          <w:color w:val="auto"/>
          <w:sz w:val="24"/>
          <w:szCs w:val="24"/>
          <w:highlight w:val="none"/>
        </w:rPr>
        <w:t>5.4国家法律法规规定及</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约定应由乙方承担的其他义务和责任。</w:t>
      </w:r>
    </w:p>
    <w:p w14:paraId="11AFC640">
      <w:pPr>
        <w:numPr>
          <w:ilvl w:val="0"/>
          <w:numId w:val="3"/>
        </w:num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合同履行</w:t>
      </w:r>
    </w:p>
    <w:p w14:paraId="56B463FB">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6.1 甲乙双方应当按照</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约定顺序履行合同义务；如果没有先后顺序的，应当同时履行。</w:t>
      </w:r>
    </w:p>
    <w:p w14:paraId="30C67397">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64DE5AEC">
      <w:pPr>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7. 货物包装、运输、保险和交付要求</w:t>
      </w:r>
    </w:p>
    <w:p w14:paraId="6797DDF3">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7.1 本合同</w:t>
      </w:r>
      <w:r>
        <w:rPr>
          <w:rFonts w:hint="eastAsia" w:ascii="宋体" w:hAnsi="宋体" w:cs="宋体"/>
          <w:bCs/>
          <w:color w:val="auto"/>
          <w:sz w:val="24"/>
          <w:highlight w:val="none"/>
        </w:rPr>
        <w:t>涉及商品包装、快递包装的，</w:t>
      </w:r>
      <w:r>
        <w:rPr>
          <w:rFonts w:hint="eastAsia" w:ascii="宋体" w:hAnsi="宋体" w:cs="宋体"/>
          <w:color w:val="auto"/>
          <w:sz w:val="24"/>
          <w:highlight w:val="none"/>
        </w:rPr>
        <w:t>除</w:t>
      </w:r>
      <w:r>
        <w:rPr>
          <w:rFonts w:hint="eastAsia" w:ascii="宋体" w:hAnsi="宋体" w:cs="宋体"/>
          <w:b/>
          <w:color w:val="auto"/>
          <w:sz w:val="24"/>
          <w:highlight w:val="none"/>
        </w:rPr>
        <w:t>【政府采购合同专用条款】</w:t>
      </w:r>
      <w:r>
        <w:rPr>
          <w:rFonts w:hint="eastAsia" w:ascii="宋体" w:hAnsi="宋体" w:cs="宋体"/>
          <w:bCs/>
          <w:color w:val="auto"/>
          <w:sz w:val="24"/>
          <w:highlight w:val="none"/>
        </w:rPr>
        <w:t>另有约定外，</w:t>
      </w:r>
      <w:r>
        <w:rPr>
          <w:rFonts w:hint="eastAsia" w:ascii="宋体" w:hAnsi="宋体" w:cs="宋体"/>
          <w:color w:val="auto"/>
          <w:sz w:val="24"/>
          <w:highlight w:val="none"/>
        </w:rPr>
        <w:t>包装应适应远距离运输、防潮、防震、防锈和防野蛮装卸等要求，确保货物安全无损地运抵</w:t>
      </w:r>
      <w:r>
        <w:rPr>
          <w:rFonts w:hint="eastAsia" w:ascii="宋体" w:hAnsi="宋体" w:cs="宋体"/>
          <w:b/>
          <w:color w:val="auto"/>
          <w:sz w:val="24"/>
          <w:highlight w:val="none"/>
        </w:rPr>
        <w:t>【政府采购合同专用条款】</w:t>
      </w:r>
      <w:r>
        <w:rPr>
          <w:rFonts w:hint="eastAsia" w:ascii="宋体" w:hAnsi="宋体" w:cs="宋体"/>
          <w:bCs/>
          <w:color w:val="auto"/>
          <w:sz w:val="24"/>
          <w:highlight w:val="none"/>
        </w:rPr>
        <w:t>约定的</w:t>
      </w:r>
      <w:r>
        <w:rPr>
          <w:rFonts w:hint="eastAsia" w:ascii="宋体" w:hAnsi="宋体" w:cs="宋体"/>
          <w:color w:val="auto"/>
          <w:sz w:val="24"/>
          <w:highlight w:val="none"/>
        </w:rPr>
        <w:t>指定现场。</w:t>
      </w:r>
    </w:p>
    <w:p w14:paraId="6DB775AE">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7.2 除</w:t>
      </w:r>
      <w:r>
        <w:rPr>
          <w:rFonts w:hint="eastAsia" w:ascii="宋体" w:hAnsi="宋体" w:cs="宋体"/>
          <w:b/>
          <w:color w:val="auto"/>
          <w:sz w:val="24"/>
          <w:highlight w:val="none"/>
        </w:rPr>
        <w:t>【政府采购合同专用条款】</w:t>
      </w:r>
      <w:r>
        <w:rPr>
          <w:rFonts w:hint="eastAsia" w:ascii="宋体" w:hAnsi="宋体" w:cs="宋体"/>
          <w:bCs/>
          <w:color w:val="auto"/>
          <w:sz w:val="24"/>
          <w:highlight w:val="none"/>
        </w:rPr>
        <w:t>另有约定外，</w:t>
      </w:r>
      <w:r>
        <w:rPr>
          <w:rFonts w:hint="eastAsia" w:ascii="宋体" w:hAnsi="宋体" w:cs="宋体"/>
          <w:color w:val="auto"/>
          <w:sz w:val="24"/>
          <w:highlight w:val="none"/>
        </w:rPr>
        <w:t>乙方负责办理将货物运抵本合同规定的交货地点，并装卸、交付至甲方的一切运输事项，相关费用应包含在合同价款中。</w:t>
      </w:r>
    </w:p>
    <w:p w14:paraId="3A1B1CBA">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7.3 货物保险要求按</w:t>
      </w:r>
      <w:r>
        <w:rPr>
          <w:rFonts w:hint="eastAsia" w:ascii="宋体" w:hAnsi="宋体" w:cs="宋体"/>
          <w:b/>
          <w:color w:val="auto"/>
          <w:sz w:val="24"/>
          <w:highlight w:val="none"/>
        </w:rPr>
        <w:t>【政府采购合同专用条款】</w:t>
      </w:r>
      <w:r>
        <w:rPr>
          <w:rFonts w:hint="eastAsia" w:ascii="宋体" w:hAnsi="宋体" w:cs="宋体"/>
          <w:bCs/>
          <w:color w:val="auto"/>
          <w:sz w:val="24"/>
          <w:highlight w:val="none"/>
        </w:rPr>
        <w:t>规定执行</w:t>
      </w:r>
      <w:r>
        <w:rPr>
          <w:rFonts w:hint="eastAsia" w:ascii="宋体" w:hAnsi="宋体" w:cs="宋体"/>
          <w:color w:val="auto"/>
          <w:sz w:val="24"/>
          <w:highlight w:val="none"/>
        </w:rPr>
        <w:t>。</w:t>
      </w:r>
    </w:p>
    <w:p w14:paraId="3CB10E65">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FB78A44">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7.5 乙方在运输到达之前应提前通知甲方，并提示货物运输装卸的注意事项，甲方配合乙方做好货物的接收工作。</w:t>
      </w:r>
    </w:p>
    <w:p w14:paraId="3C25806D">
      <w:pPr>
        <w:pStyle w:val="35"/>
        <w:ind w:firstLine="480"/>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7.6 如因包装、运输问题导致货物损毁、丢失或者品质下降，甲方有权要求降价、换货、拒收部分或整批货物，由此产生的费用和损失，均由乙方承担。</w:t>
      </w:r>
    </w:p>
    <w:p w14:paraId="34DD717F">
      <w:pPr>
        <w:adjustRightInd w:val="0"/>
        <w:snapToGrid w:val="0"/>
        <w:spacing w:line="400" w:lineRule="exact"/>
        <w:jc w:val="left"/>
        <w:rPr>
          <w:rFonts w:ascii="宋体" w:hAnsi="宋体" w:cs="宋体"/>
          <w:b/>
          <w:color w:val="auto"/>
          <w:sz w:val="24"/>
          <w:highlight w:val="none"/>
        </w:rPr>
      </w:pPr>
      <w:r>
        <w:rPr>
          <w:rFonts w:hint="eastAsia" w:ascii="宋体" w:hAnsi="宋体" w:cs="宋体"/>
          <w:b/>
          <w:color w:val="auto"/>
          <w:sz w:val="24"/>
          <w:highlight w:val="none"/>
        </w:rPr>
        <w:t>8. 质量标准和保证</w:t>
      </w:r>
    </w:p>
    <w:p w14:paraId="4D4BADAC">
      <w:pPr>
        <w:pStyle w:val="10"/>
        <w:adjustRightInd w:val="0"/>
        <w:snapToGrid w:val="0"/>
        <w:spacing w:line="400" w:lineRule="exact"/>
        <w:ind w:firstLine="480" w:firstLineChars="200"/>
        <w:jc w:val="left"/>
        <w:rPr>
          <w:rFonts w:hAnsi="宋体" w:cs="宋体"/>
          <w:b/>
          <w:color w:val="auto"/>
          <w:sz w:val="24"/>
          <w:szCs w:val="24"/>
          <w:highlight w:val="none"/>
        </w:rPr>
      </w:pPr>
      <w:r>
        <w:rPr>
          <w:rFonts w:hint="eastAsia" w:hAnsi="宋体" w:cs="宋体"/>
          <w:color w:val="auto"/>
          <w:sz w:val="24"/>
          <w:szCs w:val="24"/>
          <w:highlight w:val="none"/>
        </w:rPr>
        <w:t>8.1 质量标准</w:t>
      </w:r>
    </w:p>
    <w:p w14:paraId="190FA337">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FEA017A">
      <w:pPr>
        <w:pStyle w:val="10"/>
        <w:adjustRightInd w:val="0"/>
        <w:snapToGrid w:val="0"/>
        <w:spacing w:line="400" w:lineRule="exact"/>
        <w:ind w:firstLine="480" w:firstLineChars="200"/>
        <w:jc w:val="left"/>
        <w:rPr>
          <w:rFonts w:hAnsi="宋体" w:cs="宋体"/>
          <w:color w:val="auto"/>
          <w:sz w:val="24"/>
          <w:szCs w:val="24"/>
          <w:highlight w:val="none"/>
        </w:rPr>
      </w:pPr>
      <w:r>
        <w:rPr>
          <w:rFonts w:hint="eastAsia" w:hAnsi="宋体" w:cs="宋体"/>
          <w:color w:val="auto"/>
          <w:sz w:val="24"/>
          <w:szCs w:val="24"/>
          <w:highlight w:val="none"/>
        </w:rPr>
        <w:t>（2）采用中华人民共和国法定计量单位。</w:t>
      </w:r>
    </w:p>
    <w:p w14:paraId="705D0FEE">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（3）乙方所提供的货物应符合国家有关安全、环保、卫生的规定。</w:t>
      </w:r>
    </w:p>
    <w:p w14:paraId="251628B5">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（4）乙方应向甲方提交所提供货物的技术文件，包括相应的中文技术文件，如：产品目录、图纸、操作手册、使用说明、维护手册或服务指南等。上述文件应包装好随货物一同发运。</w:t>
      </w:r>
    </w:p>
    <w:p w14:paraId="18E31C8C">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8.2 保证</w:t>
      </w:r>
    </w:p>
    <w:p w14:paraId="6079FDD0">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cs="宋体"/>
          <w:b/>
          <w:color w:val="auto"/>
          <w:sz w:val="24"/>
          <w:highlight w:val="none"/>
        </w:rPr>
        <w:t>【政府采购合同专用条款】</w:t>
      </w:r>
      <w:r>
        <w:rPr>
          <w:rFonts w:hint="eastAsia" w:ascii="宋体" w:hAnsi="宋体" w:cs="宋体"/>
          <w:color w:val="auto"/>
          <w:sz w:val="24"/>
          <w:highlight w:val="none"/>
        </w:rPr>
        <w:t>规定或乙方书面承诺（两者以较长的为准）的质量保证期内，本保证保持有效。</w:t>
      </w:r>
    </w:p>
    <w:p w14:paraId="12CDC348">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（2）在质量保证期内所发现的缺陷，甲方应尽快以书面形式通知乙方。</w:t>
      </w:r>
    </w:p>
    <w:p w14:paraId="3956913C">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（3）乙方收到通知后，应在</w:t>
      </w:r>
      <w:r>
        <w:rPr>
          <w:rFonts w:hint="eastAsia" w:ascii="宋体" w:hAnsi="宋体" w:cs="宋体"/>
          <w:b/>
          <w:color w:val="auto"/>
          <w:sz w:val="24"/>
          <w:highlight w:val="none"/>
        </w:rPr>
        <w:t>【政府采购合同专用条款】</w:t>
      </w:r>
      <w:r>
        <w:rPr>
          <w:rFonts w:hint="eastAsia" w:ascii="宋体" w:hAnsi="宋体" w:cs="宋体"/>
          <w:color w:val="auto"/>
          <w:sz w:val="24"/>
          <w:highlight w:val="none"/>
        </w:rPr>
        <w:t>规定的响应时间内以合理的速度免费维修或更换有缺陷的货物或部件。</w:t>
      </w:r>
    </w:p>
    <w:p w14:paraId="43B8284D">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7BDCEBB4">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（5）乙方在约定的时间内未能弥补缺陷，甲方可采取必要的补救措施，但其风险和费用将由乙方承担，甲方根据合同约定对乙方行使的其他权利不受影响。</w:t>
      </w:r>
    </w:p>
    <w:p w14:paraId="033298AB">
      <w:pPr>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9. 权利瑕疵担保</w:t>
      </w:r>
    </w:p>
    <w:p w14:paraId="116A6FC8">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 乙方保证对其出售的货物享有合法的权利。</w:t>
      </w:r>
    </w:p>
    <w:p w14:paraId="41A48BDF">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9.2 乙方保证在交付的货物上不存在抵押权等担保物权。</w:t>
      </w:r>
    </w:p>
    <w:p w14:paraId="2F7A4A8B">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9.3 如甲方使用上述货物构成对第三人侵权的，则由乙方承担全部责任。</w:t>
      </w:r>
    </w:p>
    <w:p w14:paraId="5F7663C3">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10. 知识产权保护</w:t>
      </w:r>
    </w:p>
    <w:p w14:paraId="3D6E3E32">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10.1 乙方对其所销售的货物应当享有知识产权或经权利人合法授权，保证没有侵犯任何第三人的知识产权等权利。</w:t>
      </w:r>
      <w:bookmarkStart w:id="177" w:name="_Hlk163047038"/>
      <w:r>
        <w:rPr>
          <w:rFonts w:hint="eastAsia" w:ascii="宋体" w:hAnsi="宋体" w:cs="宋体"/>
          <w:color w:val="auto"/>
          <w:sz w:val="24"/>
          <w:highlight w:val="none"/>
        </w:rPr>
        <w:t>因违反前述约定对第三人构成侵权的，应当由乙方向第三人承担法律责任；甲方依法向第三人赔偿后，有权向乙方追偿。甲方有其他损失的，乙方应当赔偿</w:t>
      </w:r>
      <w:bookmarkEnd w:id="177"/>
      <w:r>
        <w:rPr>
          <w:rFonts w:hint="eastAsia" w:ascii="宋体" w:hAnsi="宋体" w:cs="宋体"/>
          <w:color w:val="auto"/>
          <w:sz w:val="24"/>
          <w:highlight w:val="none"/>
        </w:rPr>
        <w:t>。</w:t>
      </w:r>
    </w:p>
    <w:p w14:paraId="45394B8B">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11. 保密义务</w:t>
      </w:r>
    </w:p>
    <w:p w14:paraId="22C291B0">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中约定。</w:t>
      </w:r>
    </w:p>
    <w:p w14:paraId="52BF5AB4">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12. 合同价款支付</w:t>
      </w:r>
    </w:p>
    <w:p w14:paraId="1CA20820">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12.1 合同价款支付按照国库集中支付制度及财政管理相关规定执行。</w:t>
      </w:r>
    </w:p>
    <w:p w14:paraId="30D9D290">
      <w:pPr>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3C72D290">
      <w:pPr>
        <w:pStyle w:val="7"/>
        <w:spacing w:line="400" w:lineRule="exact"/>
        <w:rPr>
          <w:rFonts w:ascii="宋体" w:hAnsi="宋体" w:cs="宋体"/>
          <w:b/>
          <w:bCs/>
          <w:color w:val="auto"/>
          <w:sz w:val="24"/>
          <w:szCs w:val="24"/>
          <w:highlight w:val="none"/>
        </w:rPr>
      </w:pPr>
      <w:r>
        <w:rPr>
          <w:rFonts w:hint="eastAsia" w:ascii="宋体" w:hAnsi="宋体" w:cs="宋体"/>
          <w:b/>
          <w:bCs/>
          <w:color w:val="auto"/>
          <w:sz w:val="24"/>
          <w:szCs w:val="24"/>
          <w:highlight w:val="none"/>
        </w:rPr>
        <w:t>13. 履约保证金</w:t>
      </w:r>
    </w:p>
    <w:p w14:paraId="34126863">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13.1 乙方应当以支票、汇票、本票或者金融机构、担保机构出具的保函等非现金形式提交。</w:t>
      </w:r>
    </w:p>
    <w:p w14:paraId="41F9CBC9">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13.2 如果乙方出现</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6BED434D">
      <w:pPr>
        <w:spacing w:line="400" w:lineRule="exact"/>
        <w:ind w:firstLine="420"/>
        <w:rPr>
          <w:rFonts w:ascii="宋体" w:hAnsi="宋体" w:cs="宋体"/>
          <w:color w:val="auto"/>
          <w:sz w:val="24"/>
          <w:highlight w:val="none"/>
        </w:rPr>
      </w:pPr>
      <w:r>
        <w:rPr>
          <w:rFonts w:hint="eastAsia" w:ascii="宋体" w:hAnsi="宋体" w:cs="宋体"/>
          <w:color w:val="auto"/>
          <w:sz w:val="24"/>
          <w:highlight w:val="none"/>
        </w:rPr>
        <w:t>13.3 甲方在项目通过验收后按照</w:t>
      </w:r>
      <w:r>
        <w:rPr>
          <w:rFonts w:hint="eastAsia" w:ascii="宋体" w:hAnsi="宋体" w:cs="宋体"/>
          <w:b/>
          <w:color w:val="auto"/>
          <w:sz w:val="24"/>
          <w:highlight w:val="none"/>
        </w:rPr>
        <w:t>【政府采购合同专用条款】</w:t>
      </w:r>
      <w:r>
        <w:rPr>
          <w:rFonts w:hint="eastAsia" w:ascii="宋体" w:hAnsi="宋体" w:cs="宋体"/>
          <w:color w:val="auto"/>
          <w:sz w:val="24"/>
          <w:highlight w:val="none"/>
        </w:rPr>
        <w:t>规定的时间内将履约保证金退还乙方；逾期退还的，乙方可要求甲方支付违约金，违约金按照</w:t>
      </w:r>
      <w:r>
        <w:rPr>
          <w:rFonts w:hint="eastAsia" w:ascii="宋体" w:hAnsi="宋体" w:cs="宋体"/>
          <w:b/>
          <w:color w:val="auto"/>
          <w:sz w:val="24"/>
          <w:highlight w:val="none"/>
        </w:rPr>
        <w:t>【政府采购合同专用条款】</w:t>
      </w:r>
      <w:r>
        <w:rPr>
          <w:rFonts w:hint="eastAsia" w:ascii="宋体" w:hAnsi="宋体" w:cs="宋体"/>
          <w:color w:val="auto"/>
          <w:sz w:val="24"/>
          <w:highlight w:val="none"/>
        </w:rPr>
        <w:t>规定支付。</w:t>
      </w:r>
    </w:p>
    <w:p w14:paraId="6AFED8E8">
      <w:pPr>
        <w:autoSpaceDE w:val="0"/>
        <w:autoSpaceDN w:val="0"/>
        <w:adjustRightInd w:val="0"/>
        <w:snapToGrid w:val="0"/>
        <w:spacing w:line="400" w:lineRule="exact"/>
        <w:jc w:val="left"/>
        <w:rPr>
          <w:rFonts w:ascii="宋体" w:hAnsi="宋体" w:cs="宋体"/>
          <w:b/>
          <w:color w:val="auto"/>
          <w:sz w:val="24"/>
          <w:highlight w:val="none"/>
        </w:rPr>
      </w:pPr>
      <w:r>
        <w:rPr>
          <w:rFonts w:hint="eastAsia" w:ascii="宋体" w:hAnsi="宋体" w:cs="宋体"/>
          <w:b/>
          <w:bCs/>
          <w:color w:val="auto"/>
          <w:sz w:val="24"/>
          <w:highlight w:val="none"/>
        </w:rPr>
        <w:t xml:space="preserve">14. </w:t>
      </w:r>
      <w:r>
        <w:rPr>
          <w:rFonts w:hint="eastAsia" w:ascii="宋体" w:hAnsi="宋体" w:cs="宋体"/>
          <w:b/>
          <w:color w:val="auto"/>
          <w:sz w:val="24"/>
          <w:highlight w:val="none"/>
        </w:rPr>
        <w:t>售后服务</w:t>
      </w:r>
    </w:p>
    <w:p w14:paraId="7E85C99A">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14.1 除项目不涉及或采购活动中明确约定无须承担外，乙方还应提供下列服务：</w:t>
      </w:r>
    </w:p>
    <w:p w14:paraId="76920B44">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（1）货物的现场移动、安装、调试、启动监督及技术支持；</w:t>
      </w:r>
    </w:p>
    <w:p w14:paraId="4CA734A8">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（2）提供货物组装和维修所需的专用工具和辅助材料；</w:t>
      </w:r>
    </w:p>
    <w:p w14:paraId="4EB0098D">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（3）在</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约定的期限内对所有的货物实施运行监督、维修，但前提条件是该服务并不能免除乙方在质量保证期内所承担的义务；</w:t>
      </w:r>
    </w:p>
    <w:p w14:paraId="5A28D8E1">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（4）在制造商所在地或指定现场就货物的安装、启动、运营、维护、废弃处置等对甲方操作人员进行培训；</w:t>
      </w:r>
    </w:p>
    <w:p w14:paraId="25E3C166">
      <w:pPr>
        <w:pStyle w:val="35"/>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0AA681A1">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b/>
          <w:color w:val="auto"/>
          <w:sz w:val="24"/>
          <w:highlight w:val="none"/>
        </w:rPr>
        <w:t>【政府采购合同专用条款】</w:t>
      </w:r>
      <w:r>
        <w:rPr>
          <w:rFonts w:hint="eastAsia" w:ascii="宋体" w:hAnsi="宋体" w:cs="宋体"/>
          <w:color w:val="auto"/>
          <w:sz w:val="24"/>
          <w:highlight w:val="none"/>
        </w:rPr>
        <w:t>规定由乙方提供的其他服务。</w:t>
      </w:r>
    </w:p>
    <w:p w14:paraId="32C22ACA">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14.2 乙方提供的售后服务的费用已包含在合同价款中，甲方不再另行支付。</w:t>
      </w:r>
    </w:p>
    <w:p w14:paraId="634DFC7D">
      <w:pPr>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15. 违约责任</w:t>
      </w:r>
    </w:p>
    <w:p w14:paraId="376A3519">
      <w:pPr>
        <w:adjustRightInd w:val="0"/>
        <w:snapToGrid w:val="0"/>
        <w:spacing w:line="400" w:lineRule="exact"/>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15.1质量瑕疵的违约责任</w:t>
      </w:r>
    </w:p>
    <w:p w14:paraId="6BCCBE3D">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乙方提供的产品不符合合同约定的质量标准或存在产品质量缺陷，甲方有权要求乙方根据</w:t>
      </w:r>
      <w:r>
        <w:rPr>
          <w:rFonts w:hint="eastAsia" w:ascii="宋体" w:hAnsi="宋体" w:cs="宋体"/>
          <w:b/>
          <w:color w:val="auto"/>
          <w:sz w:val="24"/>
          <w:highlight w:val="none"/>
        </w:rPr>
        <w:t>【政府采购合同专用条款】</w:t>
      </w:r>
      <w:r>
        <w:rPr>
          <w:rFonts w:hint="eastAsia" w:ascii="宋体" w:hAnsi="宋体" w:cs="宋体"/>
          <w:bCs/>
          <w:color w:val="auto"/>
          <w:sz w:val="24"/>
          <w:highlight w:val="none"/>
        </w:rPr>
        <w:t>要求</w:t>
      </w:r>
      <w:r>
        <w:rPr>
          <w:rFonts w:hint="eastAsia" w:ascii="宋体" w:hAnsi="宋体" w:cs="宋体"/>
          <w:color w:val="auto"/>
          <w:sz w:val="24"/>
          <w:highlight w:val="none"/>
        </w:rPr>
        <w:t>及时修理、重作、更换，并承担由此给甲方造成的损失。</w:t>
      </w:r>
    </w:p>
    <w:p w14:paraId="1550CDF6">
      <w:pPr>
        <w:autoSpaceDE w:val="0"/>
        <w:autoSpaceDN w:val="0"/>
        <w:adjustRightInd w:val="0"/>
        <w:snapToGrid w:val="0"/>
        <w:spacing w:line="400" w:lineRule="exact"/>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15.2 迟延交货的违约责任</w:t>
      </w:r>
    </w:p>
    <w:p w14:paraId="1EAB8A46">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084F69C">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（2）如果乙方没有按照合同规定的时间交货和提供相关服务，甲方有权从货款中扣除误期赔偿费而不影响合同项下的其他补救方法，赔偿费按</w:t>
      </w:r>
      <w:r>
        <w:rPr>
          <w:rFonts w:hint="eastAsia" w:ascii="宋体" w:hAnsi="宋体" w:cs="宋体"/>
          <w:b/>
          <w:color w:val="auto"/>
          <w:sz w:val="24"/>
          <w:highlight w:val="none"/>
        </w:rPr>
        <w:t>【政府采购合同专用条款】</w:t>
      </w:r>
      <w:r>
        <w:rPr>
          <w:rFonts w:hint="eastAsia" w:ascii="宋体" w:hAnsi="宋体" w:cs="宋体"/>
          <w:color w:val="auto"/>
          <w:sz w:val="24"/>
          <w:highlight w:val="none"/>
        </w:rPr>
        <w:t>规定执行。如果涉及公共利益，且赔偿金额无法弥补公共利益损失，甲方可要求继续履行或者采取其他补救措施。</w:t>
      </w:r>
    </w:p>
    <w:p w14:paraId="226E7565">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15.3 迟延支付的违约责任</w:t>
      </w:r>
    </w:p>
    <w:p w14:paraId="1F4CCA40">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甲方存在迟延支付乙方合同款项的，应当承担</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规定的逾期付款利息。</w:t>
      </w:r>
    </w:p>
    <w:p w14:paraId="3162175B">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bCs/>
          <w:color w:val="auto"/>
          <w:sz w:val="24"/>
          <w:highlight w:val="none"/>
        </w:rPr>
        <w:t>15.4其他违约责任根据项目实际需要按</w:t>
      </w:r>
      <w:r>
        <w:rPr>
          <w:rFonts w:hint="eastAsia" w:ascii="宋体" w:hAnsi="宋体" w:cs="宋体"/>
          <w:b/>
          <w:bCs/>
          <w:color w:val="auto"/>
          <w:sz w:val="24"/>
          <w:highlight w:val="none"/>
        </w:rPr>
        <w:t>【政府采购合同专用条款】</w:t>
      </w:r>
      <w:r>
        <w:rPr>
          <w:rFonts w:hint="eastAsia" w:ascii="宋体" w:hAnsi="宋体" w:cs="宋体"/>
          <w:color w:val="auto"/>
          <w:sz w:val="24"/>
          <w:highlight w:val="none"/>
        </w:rPr>
        <w:t>规定执行。</w:t>
      </w:r>
    </w:p>
    <w:p w14:paraId="7F9FDFBE">
      <w:pPr>
        <w:numPr>
          <w:ilvl w:val="0"/>
          <w:numId w:val="4"/>
        </w:numPr>
        <w:autoSpaceDE w:val="0"/>
        <w:autoSpaceDN w:val="0"/>
        <w:adjustRightInd w:val="0"/>
        <w:snapToGrid w:val="0"/>
        <w:spacing w:line="400" w:lineRule="exact"/>
        <w:jc w:val="left"/>
        <w:rPr>
          <w:rFonts w:ascii="宋体" w:hAnsi="宋体" w:cs="宋体"/>
          <w:b/>
          <w:color w:val="auto"/>
          <w:sz w:val="24"/>
          <w:highlight w:val="none"/>
        </w:rPr>
      </w:pPr>
      <w:r>
        <w:rPr>
          <w:rFonts w:hint="eastAsia" w:ascii="宋体" w:hAnsi="宋体" w:cs="宋体"/>
          <w:b/>
          <w:color w:val="auto"/>
          <w:sz w:val="24"/>
          <w:highlight w:val="none"/>
        </w:rPr>
        <w:t>合同变更、中止与终止</w:t>
      </w:r>
    </w:p>
    <w:p w14:paraId="5A6E47EE">
      <w:pPr>
        <w:adjustRightInd w:val="0"/>
        <w:snapToGrid w:val="0"/>
        <w:spacing w:line="400" w:lineRule="exact"/>
        <w:jc w:val="left"/>
        <w:rPr>
          <w:rFonts w:ascii="宋体" w:hAnsi="宋体" w:cs="宋体"/>
          <w:color w:val="auto"/>
          <w:sz w:val="24"/>
          <w:highlight w:val="none"/>
        </w:rPr>
      </w:pPr>
      <w:r>
        <w:rPr>
          <w:rFonts w:hint="eastAsia" w:ascii="宋体" w:hAnsi="宋体" w:cs="宋体"/>
          <w:color w:val="auto"/>
          <w:sz w:val="24"/>
          <w:highlight w:val="none"/>
        </w:rPr>
        <w:t xml:space="preserve">    16.1合同的变更</w:t>
      </w:r>
    </w:p>
    <w:p w14:paraId="785026EA">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政府采购合同履行中，在不改变合同其他条款的前提下，甲方可以在合同价款10%的范围内追加与合同标的相同的货物，并就此与乙方协商一致后签订补充协议。</w:t>
      </w:r>
    </w:p>
    <w:p w14:paraId="7B550EC2">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16.2合同的中止</w:t>
      </w:r>
    </w:p>
    <w:p w14:paraId="3EA760C5">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（1）合同履行过程中因供应商就采购文件、采购过程或结果提起投诉的，甲方认为有必要的，可以中止合同的履行。</w:t>
      </w:r>
    </w:p>
    <w:p w14:paraId="6C5C32BA">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4E35BBC">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2622CCAF">
      <w:pPr>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（4）甲方不得以行政区划调整、政府换届、机构或者职能调整以及相关责任人更替为由中止合同。</w:t>
      </w:r>
    </w:p>
    <w:p w14:paraId="03F08E72">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16.3合同的终止</w:t>
      </w:r>
    </w:p>
    <w:p w14:paraId="0EEBA75D">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（1）合同因有效期限届满而终止；</w:t>
      </w:r>
    </w:p>
    <w:p w14:paraId="054C9832">
      <w:pPr>
        <w:snapToGrid w:val="0"/>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（2）乙方未按合同约定履行，构成根本性违约的，甲方有权终止合同，并追究乙方的违约责任。</w:t>
      </w:r>
    </w:p>
    <w:p w14:paraId="2187B07C">
      <w:pPr>
        <w:pStyle w:val="35"/>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16.4 </w:t>
      </w:r>
      <w:r>
        <w:rPr>
          <w:rFonts w:hint="eastAsia" w:ascii="宋体" w:hAnsi="宋体" w:eastAsia="宋体" w:cs="宋体"/>
          <w:color w:val="auto"/>
          <w:kern w:val="2"/>
          <w:sz w:val="24"/>
          <w:szCs w:val="24"/>
          <w:highlight w:val="none"/>
        </w:rPr>
        <w:t>涉及国家利益、社会公共利益的情形</w:t>
      </w:r>
    </w:p>
    <w:p w14:paraId="10C553B9">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19FB62B1">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17. 合同分包</w:t>
      </w:r>
    </w:p>
    <w:p w14:paraId="126A2181">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17.1 乙方不得将合同转包给其他供应商。涉及合同分包的，乙方应根据采购文件和投标（响应）文件规定进行合同分包。</w:t>
      </w:r>
    </w:p>
    <w:p w14:paraId="54B1CD06">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17.2 乙方执行政府采购政策向中小企业依法分包的，乙方应当按采购文件和投标（响应）文件签订分包意向协议，分包意向协议属于本合同组成部分。</w:t>
      </w:r>
    </w:p>
    <w:p w14:paraId="735C782D">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18. 不可抗力</w:t>
      </w:r>
    </w:p>
    <w:p w14:paraId="13983DD3">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18.1 不可抗力是指合同双方不能预见、不能避免且不能克服的客观情况。</w:t>
      </w:r>
    </w:p>
    <w:p w14:paraId="6E2161AE">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18.2 任何一方对由于不可抗力造成的部分或全部不能履行合同不承担违约责任。但迟延履行后发生不可抗力的，不能免除责任。</w:t>
      </w:r>
    </w:p>
    <w:p w14:paraId="256660C6">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1AEE94D">
      <w:pPr>
        <w:autoSpaceDE w:val="0"/>
        <w:autoSpaceDN w:val="0"/>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19. 解决争议的方法</w:t>
      </w:r>
    </w:p>
    <w:p w14:paraId="0721EAFD">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0912697F">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32B6F3E9">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4C2B5618">
      <w:pPr>
        <w:autoSpaceDE w:val="0"/>
        <w:autoSpaceDN w:val="0"/>
        <w:adjustRightInd w:val="0"/>
        <w:snapToGrid w:val="0"/>
        <w:spacing w:line="400" w:lineRule="exact"/>
        <w:jc w:val="left"/>
        <w:rPr>
          <w:rFonts w:ascii="宋体" w:hAnsi="宋体" w:cs="宋体"/>
          <w:color w:val="auto"/>
          <w:sz w:val="24"/>
          <w:highlight w:val="none"/>
        </w:rPr>
      </w:pPr>
      <w:r>
        <w:rPr>
          <w:rFonts w:hint="eastAsia" w:ascii="宋体" w:hAnsi="宋体" w:cs="宋体"/>
          <w:b/>
          <w:color w:val="auto"/>
          <w:sz w:val="24"/>
          <w:highlight w:val="none"/>
        </w:rPr>
        <w:t>20. 政府采购政策</w:t>
      </w:r>
    </w:p>
    <w:p w14:paraId="4B8CD595">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20.1 </w:t>
      </w:r>
      <w:r>
        <w:rPr>
          <w:rFonts w:hint="eastAsia" w:ascii="宋体" w:hAnsi="宋体" w:cs="宋体"/>
          <w:color w:val="auto"/>
          <w:sz w:val="24"/>
          <w:highlight w:val="none"/>
          <w:lang w:val="en-GB"/>
        </w:rPr>
        <w:t>本合同应当按照规定执行政府采购政策。</w:t>
      </w:r>
    </w:p>
    <w:p w14:paraId="7FBF7E61">
      <w:pPr>
        <w:autoSpaceDE w:val="0"/>
        <w:autoSpaceDN w:val="0"/>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20.2 本合同依法执行政府采购政策的方式和内容，属于合同履约验收的范围。甲乙双方</w:t>
      </w:r>
      <w:r>
        <w:rPr>
          <w:rFonts w:hint="eastAsia" w:ascii="宋体" w:hAnsi="宋体" w:cs="宋体"/>
          <w:color w:val="auto"/>
          <w:sz w:val="24"/>
          <w:highlight w:val="none"/>
          <w:lang w:val="en-GB"/>
        </w:rPr>
        <w:t>未按规定要求执行政府采购政策造成损失的</w:t>
      </w:r>
      <w:r>
        <w:rPr>
          <w:rFonts w:hint="eastAsia" w:ascii="宋体" w:hAnsi="宋体" w:cs="宋体"/>
          <w:color w:val="auto"/>
          <w:sz w:val="24"/>
          <w:highlight w:val="none"/>
        </w:rPr>
        <w:t>，有过错的一方应当承担赔偿责任，双方都有过错的，各自承担相应的责任。</w:t>
      </w:r>
    </w:p>
    <w:p w14:paraId="74BE2B57">
      <w:pPr>
        <w:pStyle w:val="7"/>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965E195">
      <w:pPr>
        <w:autoSpaceDE w:val="0"/>
        <w:autoSpaceDN w:val="0"/>
        <w:adjustRightInd w:val="0"/>
        <w:snapToGrid w:val="0"/>
        <w:spacing w:line="400" w:lineRule="exact"/>
        <w:jc w:val="left"/>
        <w:rPr>
          <w:rFonts w:ascii="宋体" w:hAnsi="宋体" w:cs="宋体"/>
          <w:b/>
          <w:color w:val="auto"/>
          <w:sz w:val="24"/>
          <w:highlight w:val="none"/>
        </w:rPr>
      </w:pPr>
      <w:r>
        <w:rPr>
          <w:rFonts w:hint="eastAsia" w:ascii="宋体" w:hAnsi="宋体" w:cs="宋体"/>
          <w:b/>
          <w:color w:val="auto"/>
          <w:sz w:val="24"/>
          <w:highlight w:val="none"/>
        </w:rPr>
        <w:t>21. 法律适用</w:t>
      </w:r>
    </w:p>
    <w:p w14:paraId="3CDBC25E">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2AEA01E3">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073B92CF">
      <w:pPr>
        <w:numPr>
          <w:ilvl w:val="255"/>
          <w:numId w:val="0"/>
        </w:numPr>
        <w:autoSpaceDE w:val="0"/>
        <w:autoSpaceDN w:val="0"/>
        <w:adjustRightInd w:val="0"/>
        <w:snapToGrid w:val="0"/>
        <w:spacing w:line="400" w:lineRule="exact"/>
        <w:jc w:val="left"/>
        <w:rPr>
          <w:rFonts w:ascii="宋体" w:hAnsi="宋体" w:cs="宋体"/>
          <w:b/>
          <w:color w:val="auto"/>
          <w:sz w:val="24"/>
          <w:highlight w:val="none"/>
        </w:rPr>
      </w:pPr>
      <w:r>
        <w:rPr>
          <w:rFonts w:hint="eastAsia" w:ascii="宋体" w:hAnsi="宋体" w:cs="宋体"/>
          <w:b/>
          <w:color w:val="auto"/>
          <w:sz w:val="24"/>
          <w:highlight w:val="none"/>
        </w:rPr>
        <w:t>22. 通知</w:t>
      </w:r>
    </w:p>
    <w:p w14:paraId="5EBF2ED4">
      <w:pPr>
        <w:pStyle w:val="35"/>
        <w:ind w:firstLine="48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60CA8F12">
      <w:pPr>
        <w:pStyle w:val="35"/>
        <w:ind w:firstLine="0" w:firstLineChars="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4A975D29">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22.3本合同一方给另一方的通知均应采用书面形式，传真或快递送到本合同中规定的对方的地址和办理签收手续。</w:t>
      </w:r>
    </w:p>
    <w:p w14:paraId="0ED3A015">
      <w:pPr>
        <w:adjustRightInd w:val="0"/>
        <w:snapToGrid w:val="0"/>
        <w:spacing w:line="40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22.4通知以送达之日或通知书中规定的生效之日起生效，两者中以较迟之日为准。</w:t>
      </w:r>
    </w:p>
    <w:p w14:paraId="1CD4082D">
      <w:pPr>
        <w:numPr>
          <w:ilvl w:val="0"/>
          <w:numId w:val="5"/>
        </w:numPr>
        <w:adjustRightInd w:val="0"/>
        <w:snapToGrid w:val="0"/>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合同未尽事项</w:t>
      </w:r>
    </w:p>
    <w:p w14:paraId="624567D7">
      <w:pPr>
        <w:adjustRightInd w:val="0"/>
        <w:snapToGrid w:val="0"/>
        <w:spacing w:line="400" w:lineRule="exact"/>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23.1合同未尽事项见</w:t>
      </w:r>
      <w:r>
        <w:rPr>
          <w:rFonts w:hint="eastAsia" w:ascii="宋体" w:hAnsi="宋体" w:cs="宋体"/>
          <w:b/>
          <w:color w:val="auto"/>
          <w:sz w:val="24"/>
          <w:highlight w:val="none"/>
        </w:rPr>
        <w:t>【政府采购合同专用条款】</w:t>
      </w:r>
      <w:r>
        <w:rPr>
          <w:rFonts w:hint="eastAsia" w:ascii="宋体" w:hAnsi="宋体" w:cs="宋体"/>
          <w:bCs/>
          <w:color w:val="auto"/>
          <w:sz w:val="24"/>
          <w:highlight w:val="none"/>
        </w:rPr>
        <w:t>。</w:t>
      </w:r>
    </w:p>
    <w:p w14:paraId="15939CFD">
      <w:pPr>
        <w:adjustRightInd w:val="0"/>
        <w:snapToGrid w:val="0"/>
        <w:spacing w:line="400" w:lineRule="exact"/>
        <w:ind w:firstLine="480" w:firstLineChars="200"/>
        <w:jc w:val="left"/>
        <w:rPr>
          <w:rFonts w:ascii="宋体" w:hAnsi="宋体" w:cs="宋体"/>
          <w:bCs/>
          <w:color w:val="auto"/>
          <w:sz w:val="24"/>
          <w:highlight w:val="none"/>
        </w:rPr>
      </w:pPr>
      <w:r>
        <w:rPr>
          <w:rFonts w:hint="eastAsia" w:ascii="宋体" w:hAnsi="宋体" w:cs="宋体"/>
          <w:color w:val="auto"/>
          <w:sz w:val="24"/>
          <w:highlight w:val="none"/>
        </w:rPr>
        <w:t>23.2 合同附件与合同正文具有同等的法律效力。</w:t>
      </w:r>
    </w:p>
    <w:p w14:paraId="42CBF976">
      <w:pPr>
        <w:widowControl/>
        <w:jc w:val="left"/>
        <w:rPr>
          <w:rFonts w:ascii="宋体" w:hAnsi="宋体" w:eastAsia="宋体" w:cs="宋体"/>
          <w:color w:val="auto"/>
          <w:sz w:val="24"/>
          <w:szCs w:val="24"/>
          <w:highlight w:val="none"/>
        </w:rPr>
      </w:pPr>
      <w:r>
        <w:rPr>
          <w:rFonts w:ascii="宋体" w:hAnsi="宋体" w:eastAsia="宋体" w:cs="宋体"/>
          <w:b/>
          <w:bCs/>
          <w:color w:val="auto"/>
          <w:sz w:val="24"/>
          <w:szCs w:val="24"/>
          <w:highlight w:val="none"/>
        </w:rPr>
        <w:br w:type="page"/>
      </w:r>
    </w:p>
    <w:p w14:paraId="16F3302A">
      <w:pPr>
        <w:pStyle w:val="5"/>
        <w:adjustRightInd w:val="0"/>
        <w:snapToGrid w:val="0"/>
        <w:spacing w:before="120" w:beforeLines="50"/>
        <w:jc w:val="center"/>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第三节 政府采购合同专用条款</w:t>
      </w:r>
    </w:p>
    <w:tbl>
      <w:tblPr>
        <w:tblStyle w:val="20"/>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644A4C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02655B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724C1E0">
            <w:pPr>
              <w:adjustRightInd w:val="0"/>
              <w:snapToGrid w:val="0"/>
              <w:jc w:val="center"/>
              <w:rPr>
                <w:rFonts w:ascii="宋体" w:hAnsi="宋体"/>
                <w:color w:val="auto"/>
                <w:szCs w:val="21"/>
                <w:highlight w:val="none"/>
              </w:rPr>
            </w:pPr>
            <w:r>
              <w:rPr>
                <w:rFonts w:hint="eastAsia" w:ascii="宋体" w:hAnsi="宋体"/>
                <w:color w:val="auto"/>
                <w:szCs w:val="21"/>
                <w:highlight w:val="none"/>
              </w:rPr>
              <w:t>第1.2（6）项</w:t>
            </w:r>
          </w:p>
        </w:tc>
        <w:tc>
          <w:tcPr>
            <w:tcW w:w="1742" w:type="dxa"/>
            <w:vAlign w:val="center"/>
          </w:tcPr>
          <w:p w14:paraId="454F52E1">
            <w:pPr>
              <w:adjustRightInd w:val="0"/>
              <w:snapToGrid w:val="0"/>
              <w:jc w:val="left"/>
              <w:rPr>
                <w:rFonts w:ascii="宋体" w:hAnsi="宋体"/>
                <w:color w:val="auto"/>
                <w:szCs w:val="21"/>
                <w:highlight w:val="none"/>
              </w:rPr>
            </w:pPr>
            <w:r>
              <w:rPr>
                <w:rFonts w:hint="eastAsia" w:ascii="宋体" w:hAnsi="宋体"/>
                <w:color w:val="auto"/>
                <w:szCs w:val="21"/>
                <w:highlight w:val="none"/>
              </w:rPr>
              <w:t>联合体具体要求</w:t>
            </w:r>
          </w:p>
        </w:tc>
        <w:tc>
          <w:tcPr>
            <w:tcW w:w="5170" w:type="dxa"/>
            <w:vAlign w:val="center"/>
          </w:tcPr>
          <w:p w14:paraId="1CBCCF51">
            <w:pPr>
              <w:adjustRightInd w:val="0"/>
              <w:snapToGrid w:val="0"/>
              <w:jc w:val="left"/>
              <w:rPr>
                <w:rFonts w:ascii="宋体" w:hAnsi="宋体"/>
                <w:color w:val="auto"/>
                <w:szCs w:val="21"/>
                <w:highlight w:val="none"/>
              </w:rPr>
            </w:pPr>
          </w:p>
        </w:tc>
      </w:tr>
      <w:tr w14:paraId="584FFA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3948DE1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AC67D4B">
            <w:pPr>
              <w:adjustRightInd w:val="0"/>
              <w:snapToGrid w:val="0"/>
              <w:jc w:val="center"/>
              <w:rPr>
                <w:rFonts w:ascii="宋体" w:hAnsi="宋体" w:eastAsia="宋体" w:cs="Times New Roman"/>
                <w:color w:val="auto"/>
                <w:szCs w:val="21"/>
                <w:highlight w:val="none"/>
              </w:rPr>
            </w:pPr>
            <w:r>
              <w:rPr>
                <w:rFonts w:hint="eastAsia" w:ascii="宋体" w:hAnsi="宋体"/>
                <w:color w:val="auto"/>
                <w:szCs w:val="21"/>
                <w:highlight w:val="none"/>
              </w:rPr>
              <w:t>第1.2（7）项</w:t>
            </w:r>
          </w:p>
        </w:tc>
        <w:tc>
          <w:tcPr>
            <w:tcW w:w="1742" w:type="dxa"/>
            <w:vAlign w:val="center"/>
          </w:tcPr>
          <w:p w14:paraId="51C9C458">
            <w:pPr>
              <w:adjustRightInd w:val="0"/>
              <w:snapToGrid w:val="0"/>
              <w:jc w:val="left"/>
              <w:rPr>
                <w:rFonts w:ascii="宋体" w:hAnsi="宋体" w:eastAsia="宋体" w:cs="Times New Roman"/>
                <w:color w:val="auto"/>
                <w:szCs w:val="21"/>
                <w:highlight w:val="none"/>
              </w:rPr>
            </w:pPr>
            <w:r>
              <w:rPr>
                <w:rFonts w:hint="eastAsia" w:ascii="宋体" w:hAnsi="宋体"/>
                <w:color w:val="auto"/>
                <w:szCs w:val="21"/>
                <w:highlight w:val="none"/>
              </w:rPr>
              <w:t>其他术语解释</w:t>
            </w:r>
          </w:p>
        </w:tc>
        <w:tc>
          <w:tcPr>
            <w:tcW w:w="5170" w:type="dxa"/>
            <w:vAlign w:val="center"/>
          </w:tcPr>
          <w:p w14:paraId="5318244C">
            <w:pPr>
              <w:adjustRightInd w:val="0"/>
              <w:snapToGrid w:val="0"/>
              <w:jc w:val="left"/>
              <w:rPr>
                <w:rFonts w:ascii="宋体" w:hAnsi="宋体" w:eastAsia="宋体" w:cs="Times New Roman"/>
                <w:color w:val="auto"/>
                <w:szCs w:val="21"/>
                <w:highlight w:val="none"/>
              </w:rPr>
            </w:pPr>
          </w:p>
        </w:tc>
      </w:tr>
      <w:tr w14:paraId="43F13D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DB959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4CE7D29">
            <w:pPr>
              <w:adjustRightInd w:val="0"/>
              <w:snapToGrid w:val="0"/>
              <w:jc w:val="center"/>
              <w:rPr>
                <w:rFonts w:ascii="宋体" w:hAnsi="宋体" w:eastAsia="宋体"/>
                <w:color w:val="auto"/>
                <w:szCs w:val="21"/>
                <w:highlight w:val="none"/>
              </w:rPr>
            </w:pPr>
            <w:r>
              <w:rPr>
                <w:rFonts w:hint="eastAsia" w:ascii="宋体" w:hAnsi="宋体"/>
                <w:color w:val="auto"/>
                <w:szCs w:val="21"/>
                <w:highlight w:val="none"/>
              </w:rPr>
              <w:t>第4.4款</w:t>
            </w:r>
          </w:p>
        </w:tc>
        <w:tc>
          <w:tcPr>
            <w:tcW w:w="1742" w:type="dxa"/>
            <w:vAlign w:val="center"/>
          </w:tcPr>
          <w:p w14:paraId="2F00EFFE">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履约验收中甲方提出异议或作出说明的期限</w:t>
            </w:r>
          </w:p>
        </w:tc>
        <w:tc>
          <w:tcPr>
            <w:tcW w:w="5170" w:type="dxa"/>
            <w:vAlign w:val="center"/>
          </w:tcPr>
          <w:p w14:paraId="4A6BD42C">
            <w:pPr>
              <w:adjustRightInd w:val="0"/>
              <w:snapToGrid w:val="0"/>
              <w:jc w:val="left"/>
              <w:rPr>
                <w:rFonts w:ascii="宋体" w:hAnsi="宋体" w:eastAsia="宋体" w:cs="Times New Roman"/>
                <w:color w:val="auto"/>
                <w:szCs w:val="21"/>
                <w:highlight w:val="none"/>
              </w:rPr>
            </w:pPr>
          </w:p>
        </w:tc>
      </w:tr>
      <w:tr w14:paraId="5AE7D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DFFE9D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3460358">
            <w:pPr>
              <w:adjustRightInd w:val="0"/>
              <w:snapToGrid w:val="0"/>
              <w:jc w:val="center"/>
              <w:rPr>
                <w:rFonts w:ascii="宋体" w:hAnsi="宋体"/>
                <w:color w:val="auto"/>
                <w:szCs w:val="21"/>
                <w:highlight w:val="none"/>
              </w:rPr>
            </w:pPr>
            <w:r>
              <w:rPr>
                <w:rFonts w:hint="eastAsia" w:ascii="宋体" w:hAnsi="宋体"/>
                <w:color w:val="auto"/>
                <w:szCs w:val="21"/>
                <w:highlight w:val="none"/>
              </w:rPr>
              <w:t>第4.6款</w:t>
            </w:r>
          </w:p>
        </w:tc>
        <w:tc>
          <w:tcPr>
            <w:tcW w:w="1742" w:type="dxa"/>
            <w:vAlign w:val="center"/>
          </w:tcPr>
          <w:p w14:paraId="586C932C">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约定甲方承担的其他义务和责任</w:t>
            </w:r>
          </w:p>
        </w:tc>
        <w:tc>
          <w:tcPr>
            <w:tcW w:w="5170" w:type="dxa"/>
            <w:vAlign w:val="center"/>
          </w:tcPr>
          <w:p w14:paraId="1A29BB61">
            <w:pPr>
              <w:adjustRightInd w:val="0"/>
              <w:snapToGrid w:val="0"/>
              <w:jc w:val="left"/>
              <w:rPr>
                <w:rFonts w:ascii="宋体" w:hAnsi="宋体" w:eastAsia="宋体" w:cs="Times New Roman"/>
                <w:color w:val="auto"/>
                <w:szCs w:val="21"/>
                <w:highlight w:val="none"/>
              </w:rPr>
            </w:pPr>
          </w:p>
        </w:tc>
      </w:tr>
      <w:tr w14:paraId="70E403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9AADFDA">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423A902">
            <w:pPr>
              <w:snapToGrid w:val="0"/>
              <w:jc w:val="center"/>
              <w:rPr>
                <w:color w:val="auto"/>
                <w:highlight w:val="none"/>
              </w:rPr>
            </w:pPr>
            <w:r>
              <w:rPr>
                <w:rFonts w:hint="eastAsia" w:ascii="宋体" w:hAnsi="宋体"/>
                <w:color w:val="auto"/>
                <w:szCs w:val="21"/>
                <w:highlight w:val="none"/>
              </w:rPr>
              <w:t>第5.4款</w:t>
            </w:r>
          </w:p>
        </w:tc>
        <w:tc>
          <w:tcPr>
            <w:tcW w:w="1742" w:type="dxa"/>
            <w:vAlign w:val="center"/>
          </w:tcPr>
          <w:p w14:paraId="36AA9721">
            <w:pPr>
              <w:adjustRightInd w:val="0"/>
              <w:snapToGrid w:val="0"/>
              <w:jc w:val="left"/>
              <w:rPr>
                <w:rFonts w:ascii="宋体" w:hAnsi="宋体"/>
                <w:color w:val="auto"/>
                <w:szCs w:val="21"/>
                <w:highlight w:val="none"/>
              </w:rPr>
            </w:pPr>
            <w:r>
              <w:rPr>
                <w:rFonts w:hint="eastAsia" w:ascii="宋体" w:hAnsi="宋体"/>
                <w:color w:val="auto"/>
                <w:szCs w:val="21"/>
                <w:highlight w:val="none"/>
              </w:rPr>
              <w:t>约定乙方承担的其他义务和责任</w:t>
            </w:r>
          </w:p>
        </w:tc>
        <w:tc>
          <w:tcPr>
            <w:tcW w:w="5170" w:type="dxa"/>
            <w:vAlign w:val="center"/>
          </w:tcPr>
          <w:p w14:paraId="4BAC49BF">
            <w:pPr>
              <w:adjustRightInd w:val="0"/>
              <w:snapToGrid w:val="0"/>
              <w:jc w:val="left"/>
              <w:rPr>
                <w:rFonts w:ascii="宋体" w:hAnsi="宋体" w:eastAsia="宋体" w:cs="Times New Roman"/>
                <w:color w:val="auto"/>
                <w:szCs w:val="21"/>
                <w:highlight w:val="none"/>
              </w:rPr>
            </w:pPr>
          </w:p>
        </w:tc>
      </w:tr>
      <w:tr w14:paraId="667E7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35BD32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CE9DDE4">
            <w:pPr>
              <w:snapToGrid w:val="0"/>
              <w:jc w:val="center"/>
              <w:rPr>
                <w:rFonts w:ascii="宋体" w:hAnsi="宋体"/>
                <w:color w:val="auto"/>
                <w:szCs w:val="21"/>
                <w:highlight w:val="none"/>
              </w:rPr>
            </w:pPr>
            <w:r>
              <w:rPr>
                <w:rFonts w:hint="eastAsia" w:ascii="宋体" w:hAnsi="宋体"/>
                <w:color w:val="auto"/>
                <w:szCs w:val="21"/>
                <w:highlight w:val="none"/>
              </w:rPr>
              <w:t>第6.1款</w:t>
            </w:r>
          </w:p>
        </w:tc>
        <w:tc>
          <w:tcPr>
            <w:tcW w:w="1742" w:type="dxa"/>
            <w:vAlign w:val="center"/>
          </w:tcPr>
          <w:p w14:paraId="52D485E7">
            <w:pPr>
              <w:adjustRightInd w:val="0"/>
              <w:snapToGrid w:val="0"/>
              <w:jc w:val="left"/>
              <w:rPr>
                <w:rFonts w:ascii="宋体" w:hAnsi="宋体"/>
                <w:color w:val="auto"/>
                <w:szCs w:val="21"/>
                <w:highlight w:val="none"/>
              </w:rPr>
            </w:pPr>
            <w:r>
              <w:rPr>
                <w:rFonts w:hint="eastAsia" w:ascii="宋体" w:hAnsi="宋体"/>
                <w:color w:val="auto"/>
                <w:szCs w:val="21"/>
                <w:highlight w:val="none"/>
              </w:rPr>
              <w:t>履行合同义务的顺序</w:t>
            </w:r>
          </w:p>
        </w:tc>
        <w:tc>
          <w:tcPr>
            <w:tcW w:w="5170" w:type="dxa"/>
            <w:vAlign w:val="center"/>
          </w:tcPr>
          <w:p w14:paraId="1BCD812B">
            <w:pPr>
              <w:adjustRightInd w:val="0"/>
              <w:snapToGrid w:val="0"/>
              <w:jc w:val="left"/>
              <w:rPr>
                <w:rFonts w:ascii="宋体" w:hAnsi="宋体" w:eastAsia="宋体" w:cs="Times New Roman"/>
                <w:color w:val="auto"/>
                <w:szCs w:val="21"/>
                <w:highlight w:val="none"/>
              </w:rPr>
            </w:pPr>
          </w:p>
        </w:tc>
      </w:tr>
      <w:tr w14:paraId="540A99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316D5E9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CB0C721">
            <w:pPr>
              <w:adjustRightInd w:val="0"/>
              <w:snapToGrid w:val="0"/>
              <w:jc w:val="center"/>
              <w:rPr>
                <w:rFonts w:ascii="宋体" w:hAnsi="宋体"/>
                <w:color w:val="auto"/>
                <w:szCs w:val="21"/>
                <w:highlight w:val="none"/>
              </w:rPr>
            </w:pPr>
            <w:r>
              <w:rPr>
                <w:rFonts w:hint="eastAsia" w:ascii="宋体" w:hAnsi="宋体"/>
                <w:color w:val="auto"/>
                <w:szCs w:val="21"/>
                <w:highlight w:val="none"/>
              </w:rPr>
              <w:t>第7.1款</w:t>
            </w:r>
          </w:p>
        </w:tc>
        <w:tc>
          <w:tcPr>
            <w:tcW w:w="1742" w:type="dxa"/>
            <w:vAlign w:val="center"/>
          </w:tcPr>
          <w:p w14:paraId="69080C14">
            <w:pPr>
              <w:adjustRightInd w:val="0"/>
              <w:snapToGrid w:val="0"/>
              <w:jc w:val="left"/>
              <w:rPr>
                <w:rFonts w:ascii="宋体" w:hAnsi="宋体"/>
                <w:color w:val="auto"/>
                <w:szCs w:val="21"/>
                <w:highlight w:val="none"/>
              </w:rPr>
            </w:pPr>
            <w:r>
              <w:rPr>
                <w:rFonts w:hint="eastAsia" w:ascii="宋体" w:hAnsi="宋体"/>
                <w:color w:val="auto"/>
                <w:szCs w:val="21"/>
                <w:highlight w:val="none"/>
              </w:rPr>
              <w:t>包装特殊要求</w:t>
            </w:r>
          </w:p>
        </w:tc>
        <w:tc>
          <w:tcPr>
            <w:tcW w:w="5170" w:type="dxa"/>
            <w:vAlign w:val="center"/>
          </w:tcPr>
          <w:p w14:paraId="700D0EA7">
            <w:pPr>
              <w:rPr>
                <w:color w:val="auto"/>
                <w:highlight w:val="none"/>
              </w:rPr>
            </w:pPr>
          </w:p>
        </w:tc>
      </w:tr>
      <w:tr w14:paraId="5DD46C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19D0E15E">
            <w:pPr>
              <w:adjustRightInd w:val="0"/>
              <w:snapToGrid w:val="0"/>
              <w:jc w:val="center"/>
              <w:rPr>
                <w:rFonts w:ascii="宋体" w:hAnsi="宋体"/>
                <w:color w:val="auto"/>
                <w:szCs w:val="21"/>
                <w:highlight w:val="none"/>
              </w:rPr>
            </w:pPr>
          </w:p>
        </w:tc>
        <w:tc>
          <w:tcPr>
            <w:tcW w:w="1742" w:type="dxa"/>
            <w:vAlign w:val="center"/>
          </w:tcPr>
          <w:p w14:paraId="5BEC828C">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指定现场</w:t>
            </w:r>
          </w:p>
        </w:tc>
        <w:tc>
          <w:tcPr>
            <w:tcW w:w="5170" w:type="dxa"/>
            <w:vAlign w:val="center"/>
          </w:tcPr>
          <w:p w14:paraId="3885CD68">
            <w:pPr>
              <w:rPr>
                <w:color w:val="auto"/>
                <w:highlight w:val="none"/>
              </w:rPr>
            </w:pPr>
          </w:p>
        </w:tc>
      </w:tr>
      <w:tr w14:paraId="655044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2C288D5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85F244E">
            <w:pPr>
              <w:adjustRightInd w:val="0"/>
              <w:snapToGrid w:val="0"/>
              <w:jc w:val="center"/>
              <w:rPr>
                <w:rFonts w:ascii="宋体" w:hAnsi="宋体"/>
                <w:color w:val="auto"/>
                <w:szCs w:val="21"/>
                <w:highlight w:val="none"/>
              </w:rPr>
            </w:pPr>
            <w:r>
              <w:rPr>
                <w:rFonts w:hint="eastAsia" w:ascii="宋体" w:hAnsi="宋体"/>
                <w:color w:val="auto"/>
                <w:szCs w:val="21"/>
                <w:highlight w:val="none"/>
              </w:rPr>
              <w:t>第7.2款</w:t>
            </w:r>
          </w:p>
        </w:tc>
        <w:tc>
          <w:tcPr>
            <w:tcW w:w="1742" w:type="dxa"/>
            <w:vAlign w:val="center"/>
          </w:tcPr>
          <w:p w14:paraId="59742FE1">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运输特殊要求</w:t>
            </w:r>
          </w:p>
        </w:tc>
        <w:tc>
          <w:tcPr>
            <w:tcW w:w="5170" w:type="dxa"/>
            <w:vAlign w:val="center"/>
          </w:tcPr>
          <w:p w14:paraId="6C46BB53">
            <w:pPr>
              <w:rPr>
                <w:color w:val="auto"/>
                <w:highlight w:val="none"/>
              </w:rPr>
            </w:pPr>
          </w:p>
        </w:tc>
      </w:tr>
      <w:tr w14:paraId="4515A4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03FC416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39A7BF3">
            <w:pPr>
              <w:adjustRightInd w:val="0"/>
              <w:snapToGrid w:val="0"/>
              <w:jc w:val="center"/>
              <w:rPr>
                <w:rFonts w:ascii="宋体" w:hAnsi="宋体"/>
                <w:color w:val="auto"/>
                <w:szCs w:val="21"/>
                <w:highlight w:val="none"/>
              </w:rPr>
            </w:pPr>
            <w:r>
              <w:rPr>
                <w:rFonts w:hint="eastAsia" w:ascii="宋体" w:hAnsi="宋体"/>
                <w:color w:val="auto"/>
                <w:szCs w:val="21"/>
                <w:highlight w:val="none"/>
              </w:rPr>
              <w:t>第7.3款</w:t>
            </w:r>
          </w:p>
        </w:tc>
        <w:tc>
          <w:tcPr>
            <w:tcW w:w="1742" w:type="dxa"/>
            <w:vAlign w:val="center"/>
          </w:tcPr>
          <w:p w14:paraId="1191B440">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保险要求</w:t>
            </w:r>
          </w:p>
        </w:tc>
        <w:tc>
          <w:tcPr>
            <w:tcW w:w="5170" w:type="dxa"/>
            <w:vAlign w:val="center"/>
          </w:tcPr>
          <w:p w14:paraId="1FBB0518">
            <w:pPr>
              <w:rPr>
                <w:color w:val="auto"/>
                <w:highlight w:val="none"/>
              </w:rPr>
            </w:pPr>
          </w:p>
        </w:tc>
      </w:tr>
      <w:tr w14:paraId="1CA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CAACC64">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AE9F40F">
            <w:pPr>
              <w:adjustRightInd w:val="0"/>
              <w:snapToGrid w:val="0"/>
              <w:jc w:val="center"/>
              <w:rPr>
                <w:rFonts w:ascii="宋体" w:hAnsi="宋体"/>
                <w:color w:val="auto"/>
                <w:szCs w:val="21"/>
                <w:highlight w:val="none"/>
              </w:rPr>
            </w:pPr>
            <w:r>
              <w:rPr>
                <w:rFonts w:hint="eastAsia" w:ascii="宋体" w:hAnsi="宋体"/>
                <w:color w:val="auto"/>
                <w:szCs w:val="21"/>
                <w:highlight w:val="none"/>
              </w:rPr>
              <w:t>第8.2（1）项</w:t>
            </w:r>
          </w:p>
        </w:tc>
        <w:tc>
          <w:tcPr>
            <w:tcW w:w="1742" w:type="dxa"/>
            <w:vAlign w:val="center"/>
          </w:tcPr>
          <w:p w14:paraId="415769A0">
            <w:pPr>
              <w:adjustRightInd w:val="0"/>
              <w:snapToGrid w:val="0"/>
              <w:jc w:val="left"/>
              <w:rPr>
                <w:rFonts w:ascii="宋体" w:hAnsi="宋体"/>
                <w:color w:val="auto"/>
                <w:szCs w:val="21"/>
                <w:highlight w:val="none"/>
              </w:rPr>
            </w:pPr>
            <w:r>
              <w:rPr>
                <w:rFonts w:hint="eastAsia" w:ascii="宋体" w:hAnsi="宋体"/>
                <w:color w:val="auto"/>
                <w:szCs w:val="21"/>
                <w:highlight w:val="none"/>
              </w:rPr>
              <w:t>质量保证期</w:t>
            </w:r>
          </w:p>
        </w:tc>
        <w:tc>
          <w:tcPr>
            <w:tcW w:w="5170" w:type="dxa"/>
            <w:vAlign w:val="center"/>
          </w:tcPr>
          <w:p w14:paraId="2768C1B0">
            <w:pPr>
              <w:autoSpaceDE w:val="0"/>
              <w:autoSpaceDN w:val="0"/>
              <w:adjustRightInd w:val="0"/>
              <w:snapToGrid w:val="0"/>
              <w:ind w:firstLine="420" w:firstLineChars="200"/>
              <w:jc w:val="left"/>
              <w:rPr>
                <w:rFonts w:ascii="宋体" w:hAnsi="宋体"/>
                <w:color w:val="auto"/>
                <w:szCs w:val="21"/>
                <w:highlight w:val="none"/>
              </w:rPr>
            </w:pPr>
          </w:p>
        </w:tc>
      </w:tr>
      <w:tr w14:paraId="00FA79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B836A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712455A">
            <w:pPr>
              <w:adjustRightInd w:val="0"/>
              <w:snapToGrid w:val="0"/>
              <w:jc w:val="center"/>
              <w:rPr>
                <w:rFonts w:ascii="宋体" w:hAnsi="宋体"/>
                <w:color w:val="auto"/>
                <w:szCs w:val="21"/>
                <w:highlight w:val="none"/>
              </w:rPr>
            </w:pPr>
            <w:r>
              <w:rPr>
                <w:rFonts w:hint="eastAsia" w:ascii="宋体" w:hAnsi="宋体"/>
                <w:color w:val="auto"/>
                <w:szCs w:val="21"/>
                <w:highlight w:val="none"/>
              </w:rPr>
              <w:t>第8.2（3）项</w:t>
            </w:r>
          </w:p>
        </w:tc>
        <w:tc>
          <w:tcPr>
            <w:tcW w:w="1742" w:type="dxa"/>
            <w:vAlign w:val="center"/>
          </w:tcPr>
          <w:p w14:paraId="1C378457">
            <w:pPr>
              <w:adjustRightInd w:val="0"/>
              <w:snapToGrid w:val="0"/>
              <w:jc w:val="left"/>
              <w:rPr>
                <w:rFonts w:ascii="宋体" w:hAnsi="宋体"/>
                <w:color w:val="auto"/>
                <w:szCs w:val="21"/>
                <w:highlight w:val="none"/>
              </w:rPr>
            </w:pPr>
            <w:r>
              <w:rPr>
                <w:rFonts w:hint="eastAsia" w:ascii="宋体" w:hAnsi="宋体"/>
                <w:color w:val="auto"/>
                <w:szCs w:val="21"/>
                <w:highlight w:val="none"/>
              </w:rPr>
              <w:t>货物质量缺陷</w:t>
            </w:r>
          </w:p>
          <w:p w14:paraId="7A03B730">
            <w:pPr>
              <w:adjustRightInd w:val="0"/>
              <w:snapToGrid w:val="0"/>
              <w:jc w:val="left"/>
              <w:rPr>
                <w:rFonts w:ascii="宋体" w:hAnsi="宋体"/>
                <w:color w:val="auto"/>
                <w:szCs w:val="21"/>
                <w:highlight w:val="none"/>
              </w:rPr>
            </w:pPr>
            <w:r>
              <w:rPr>
                <w:rFonts w:hint="eastAsia" w:ascii="宋体" w:hAnsi="宋体"/>
                <w:color w:val="auto"/>
                <w:szCs w:val="21"/>
                <w:highlight w:val="none"/>
              </w:rPr>
              <w:t>响应时间</w:t>
            </w:r>
          </w:p>
        </w:tc>
        <w:tc>
          <w:tcPr>
            <w:tcW w:w="5170" w:type="dxa"/>
            <w:vAlign w:val="center"/>
          </w:tcPr>
          <w:p w14:paraId="524ECB2D">
            <w:pPr>
              <w:adjustRightInd w:val="0"/>
              <w:snapToGrid w:val="0"/>
              <w:jc w:val="left"/>
              <w:rPr>
                <w:rFonts w:ascii="宋体" w:hAnsi="宋体"/>
                <w:color w:val="auto"/>
                <w:szCs w:val="21"/>
                <w:highlight w:val="none"/>
              </w:rPr>
            </w:pPr>
          </w:p>
        </w:tc>
      </w:tr>
      <w:tr w14:paraId="29037B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D0AEF21">
            <w:pPr>
              <w:snapToGrid w:val="0"/>
              <w:jc w:val="center"/>
              <w:rPr>
                <w:rFonts w:ascii="宋体" w:hAnsi="宋体" w:cs="宋体"/>
                <w:color w:val="auto"/>
                <w:szCs w:val="21"/>
                <w:highlight w:val="none"/>
              </w:rPr>
            </w:pPr>
            <w:r>
              <w:rPr>
                <w:rFonts w:hint="eastAsia" w:ascii="宋体" w:hAnsi="宋体" w:cs="宋体"/>
                <w:color w:val="auto"/>
                <w:szCs w:val="21"/>
                <w:highlight w:val="none"/>
              </w:rPr>
              <w:t>第二节</w:t>
            </w:r>
          </w:p>
          <w:p w14:paraId="240D11EF">
            <w:pPr>
              <w:pStyle w:val="35"/>
              <w:ind w:firstLine="0" w:firstLineChars="0"/>
              <w:jc w:val="center"/>
              <w:rPr>
                <w:color w:val="auto"/>
                <w:highlight w:val="none"/>
              </w:rPr>
            </w:pPr>
            <w:r>
              <w:rPr>
                <w:rFonts w:hint="eastAsia" w:ascii="宋体" w:hAnsi="宋体" w:eastAsia="宋体" w:cs="宋体"/>
                <w:color w:val="auto"/>
                <w:highlight w:val="none"/>
              </w:rPr>
              <w:t>第11.1款</w:t>
            </w:r>
          </w:p>
        </w:tc>
        <w:tc>
          <w:tcPr>
            <w:tcW w:w="1742" w:type="dxa"/>
            <w:vAlign w:val="center"/>
          </w:tcPr>
          <w:p w14:paraId="6077C5C8">
            <w:pPr>
              <w:adjustRightInd w:val="0"/>
              <w:snapToGrid w:val="0"/>
              <w:rPr>
                <w:rFonts w:ascii="宋体" w:hAnsi="宋体" w:eastAsia="宋体"/>
                <w:color w:val="auto"/>
                <w:szCs w:val="21"/>
                <w:highlight w:val="none"/>
              </w:rPr>
            </w:pPr>
            <w:r>
              <w:rPr>
                <w:rFonts w:hint="eastAsia" w:ascii="宋体" w:hAnsi="宋体"/>
                <w:color w:val="auto"/>
                <w:szCs w:val="21"/>
                <w:highlight w:val="none"/>
              </w:rPr>
              <w:t>其他应当保密的信息</w:t>
            </w:r>
          </w:p>
        </w:tc>
        <w:tc>
          <w:tcPr>
            <w:tcW w:w="5170" w:type="dxa"/>
            <w:vAlign w:val="center"/>
          </w:tcPr>
          <w:p w14:paraId="3BB05EC4">
            <w:pPr>
              <w:adjustRightInd w:val="0"/>
              <w:snapToGrid w:val="0"/>
              <w:jc w:val="left"/>
              <w:rPr>
                <w:rFonts w:ascii="宋体" w:hAnsi="宋体"/>
                <w:color w:val="auto"/>
                <w:szCs w:val="21"/>
                <w:highlight w:val="none"/>
              </w:rPr>
            </w:pPr>
          </w:p>
        </w:tc>
      </w:tr>
      <w:tr w14:paraId="1928B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410229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0179BCD">
            <w:pPr>
              <w:adjustRightInd w:val="0"/>
              <w:snapToGrid w:val="0"/>
              <w:jc w:val="center"/>
              <w:rPr>
                <w:rFonts w:ascii="宋体" w:hAnsi="宋体"/>
                <w:color w:val="auto"/>
                <w:szCs w:val="21"/>
                <w:highlight w:val="none"/>
              </w:rPr>
            </w:pPr>
            <w:r>
              <w:rPr>
                <w:rFonts w:hint="eastAsia" w:ascii="宋体" w:hAnsi="宋体"/>
                <w:color w:val="auto"/>
                <w:szCs w:val="21"/>
                <w:highlight w:val="none"/>
              </w:rPr>
              <w:t>第12.2款</w:t>
            </w:r>
          </w:p>
        </w:tc>
        <w:tc>
          <w:tcPr>
            <w:tcW w:w="1742" w:type="dxa"/>
            <w:vAlign w:val="center"/>
          </w:tcPr>
          <w:p w14:paraId="75306287">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合同价款支付时间</w:t>
            </w:r>
          </w:p>
        </w:tc>
        <w:tc>
          <w:tcPr>
            <w:tcW w:w="5170" w:type="dxa"/>
            <w:vAlign w:val="center"/>
          </w:tcPr>
          <w:p w14:paraId="0E734066">
            <w:pPr>
              <w:adjustRightInd w:val="0"/>
              <w:snapToGrid w:val="0"/>
              <w:jc w:val="left"/>
              <w:rPr>
                <w:rFonts w:ascii="宋体" w:hAnsi="宋体"/>
                <w:color w:val="auto"/>
                <w:szCs w:val="21"/>
                <w:highlight w:val="none"/>
              </w:rPr>
            </w:pPr>
          </w:p>
        </w:tc>
      </w:tr>
      <w:tr w14:paraId="0280F1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AF9714D">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12A3145">
            <w:pPr>
              <w:adjustRightInd w:val="0"/>
              <w:snapToGrid w:val="0"/>
              <w:jc w:val="center"/>
              <w:rPr>
                <w:rFonts w:ascii="宋体" w:hAnsi="宋体"/>
                <w:color w:val="auto"/>
                <w:szCs w:val="21"/>
                <w:highlight w:val="none"/>
              </w:rPr>
            </w:pPr>
            <w:r>
              <w:rPr>
                <w:rFonts w:hint="eastAsia" w:ascii="宋体" w:hAnsi="宋体"/>
                <w:color w:val="auto"/>
                <w:szCs w:val="21"/>
                <w:highlight w:val="none"/>
              </w:rPr>
              <w:t>第13.2款</w:t>
            </w:r>
          </w:p>
        </w:tc>
        <w:tc>
          <w:tcPr>
            <w:tcW w:w="1742" w:type="dxa"/>
            <w:vAlign w:val="center"/>
          </w:tcPr>
          <w:p w14:paraId="3E994686">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履约保证金不予退还的情形</w:t>
            </w:r>
          </w:p>
        </w:tc>
        <w:tc>
          <w:tcPr>
            <w:tcW w:w="5170" w:type="dxa"/>
            <w:vAlign w:val="center"/>
          </w:tcPr>
          <w:p w14:paraId="5E775644">
            <w:pPr>
              <w:adjustRightInd w:val="0"/>
              <w:snapToGrid w:val="0"/>
              <w:jc w:val="left"/>
              <w:rPr>
                <w:rFonts w:ascii="宋体" w:hAnsi="宋体"/>
                <w:color w:val="auto"/>
                <w:szCs w:val="21"/>
                <w:highlight w:val="none"/>
              </w:rPr>
            </w:pPr>
          </w:p>
        </w:tc>
      </w:tr>
      <w:tr w14:paraId="2179B3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3773791">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7FAB06C">
            <w:pPr>
              <w:adjustRightInd w:val="0"/>
              <w:snapToGrid w:val="0"/>
              <w:jc w:val="center"/>
              <w:rPr>
                <w:rFonts w:ascii="宋体" w:hAnsi="宋体"/>
                <w:color w:val="auto"/>
                <w:szCs w:val="21"/>
                <w:highlight w:val="none"/>
              </w:rPr>
            </w:pPr>
            <w:r>
              <w:rPr>
                <w:rFonts w:hint="eastAsia" w:ascii="宋体" w:hAnsi="宋体"/>
                <w:color w:val="auto"/>
                <w:szCs w:val="21"/>
                <w:highlight w:val="none"/>
              </w:rPr>
              <w:t>第13.3款</w:t>
            </w:r>
          </w:p>
        </w:tc>
        <w:tc>
          <w:tcPr>
            <w:tcW w:w="1742" w:type="dxa"/>
            <w:vAlign w:val="center"/>
          </w:tcPr>
          <w:p w14:paraId="66922C3A">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5170" w:type="dxa"/>
            <w:vAlign w:val="center"/>
          </w:tcPr>
          <w:p w14:paraId="34BACD81">
            <w:pPr>
              <w:adjustRightInd w:val="0"/>
              <w:snapToGrid w:val="0"/>
              <w:jc w:val="left"/>
              <w:rPr>
                <w:rFonts w:ascii="宋体" w:hAnsi="宋体"/>
                <w:color w:val="auto"/>
                <w:szCs w:val="21"/>
                <w:highlight w:val="none"/>
              </w:rPr>
            </w:pPr>
          </w:p>
        </w:tc>
      </w:tr>
      <w:tr w14:paraId="654321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312622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A3147AC">
            <w:pPr>
              <w:adjustRightInd w:val="0"/>
              <w:snapToGrid w:val="0"/>
              <w:jc w:val="center"/>
              <w:rPr>
                <w:rFonts w:ascii="宋体" w:hAnsi="宋体"/>
                <w:color w:val="auto"/>
                <w:szCs w:val="21"/>
                <w:highlight w:val="none"/>
              </w:rPr>
            </w:pPr>
            <w:r>
              <w:rPr>
                <w:rFonts w:hint="eastAsia" w:ascii="宋体" w:hAnsi="宋体"/>
                <w:color w:val="auto"/>
                <w:szCs w:val="21"/>
                <w:highlight w:val="none"/>
              </w:rPr>
              <w:t>第14.1（3）项</w:t>
            </w:r>
          </w:p>
        </w:tc>
        <w:tc>
          <w:tcPr>
            <w:tcW w:w="1742" w:type="dxa"/>
            <w:vAlign w:val="center"/>
          </w:tcPr>
          <w:p w14:paraId="5274F9B8">
            <w:pPr>
              <w:adjustRightInd w:val="0"/>
              <w:snapToGrid w:val="0"/>
              <w:jc w:val="left"/>
              <w:rPr>
                <w:rFonts w:ascii="宋体" w:hAnsi="宋体"/>
                <w:color w:val="auto"/>
                <w:szCs w:val="21"/>
                <w:highlight w:val="none"/>
              </w:rPr>
            </w:pPr>
            <w:r>
              <w:rPr>
                <w:rFonts w:hint="eastAsia" w:ascii="宋体" w:hAnsi="宋体"/>
                <w:color w:val="auto"/>
                <w:szCs w:val="21"/>
                <w:highlight w:val="none"/>
              </w:rPr>
              <w:t>运行监督、维修期限</w:t>
            </w:r>
          </w:p>
        </w:tc>
        <w:tc>
          <w:tcPr>
            <w:tcW w:w="5170" w:type="dxa"/>
            <w:vAlign w:val="center"/>
          </w:tcPr>
          <w:p w14:paraId="23826293">
            <w:pPr>
              <w:adjustRightInd w:val="0"/>
              <w:snapToGrid w:val="0"/>
              <w:jc w:val="left"/>
              <w:rPr>
                <w:rFonts w:ascii="宋体" w:hAnsi="宋体"/>
                <w:color w:val="auto"/>
                <w:szCs w:val="21"/>
                <w:highlight w:val="none"/>
              </w:rPr>
            </w:pPr>
          </w:p>
        </w:tc>
      </w:tr>
      <w:tr w14:paraId="7C65BD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D2CF5B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A0AE23F">
            <w:pPr>
              <w:adjustRightInd w:val="0"/>
              <w:snapToGrid w:val="0"/>
              <w:jc w:val="center"/>
              <w:rPr>
                <w:rFonts w:ascii="宋体" w:hAnsi="宋体"/>
                <w:color w:val="auto"/>
                <w:szCs w:val="21"/>
                <w:highlight w:val="none"/>
              </w:rPr>
            </w:pPr>
            <w:r>
              <w:rPr>
                <w:rFonts w:hint="eastAsia" w:ascii="宋体" w:hAnsi="宋体"/>
                <w:color w:val="auto"/>
                <w:szCs w:val="21"/>
                <w:highlight w:val="none"/>
              </w:rPr>
              <w:t>第14.1（5）项</w:t>
            </w:r>
          </w:p>
        </w:tc>
        <w:tc>
          <w:tcPr>
            <w:tcW w:w="1742" w:type="dxa"/>
            <w:vAlign w:val="center"/>
          </w:tcPr>
          <w:p w14:paraId="02DAD200">
            <w:pPr>
              <w:adjustRightInd w:val="0"/>
              <w:snapToGrid w:val="0"/>
              <w:jc w:val="left"/>
              <w:rPr>
                <w:rFonts w:ascii="宋体" w:hAnsi="宋体" w:eastAsia="宋体"/>
                <w:color w:val="auto"/>
                <w:szCs w:val="21"/>
                <w:highlight w:val="none"/>
              </w:rPr>
            </w:pPr>
            <w:r>
              <w:rPr>
                <w:rFonts w:hint="eastAsia" w:ascii="宋体" w:hAnsi="宋体"/>
                <w:color w:val="auto"/>
                <w:szCs w:val="21"/>
                <w:highlight w:val="none"/>
              </w:rPr>
              <w:t>货物回收的约定</w:t>
            </w:r>
          </w:p>
        </w:tc>
        <w:tc>
          <w:tcPr>
            <w:tcW w:w="5170" w:type="dxa"/>
            <w:vAlign w:val="center"/>
          </w:tcPr>
          <w:p w14:paraId="027F95ED">
            <w:pPr>
              <w:adjustRightInd w:val="0"/>
              <w:snapToGrid w:val="0"/>
              <w:jc w:val="left"/>
              <w:rPr>
                <w:rFonts w:ascii="宋体" w:hAnsi="宋体"/>
                <w:color w:val="auto"/>
                <w:szCs w:val="21"/>
                <w:highlight w:val="none"/>
              </w:rPr>
            </w:pPr>
          </w:p>
        </w:tc>
      </w:tr>
      <w:tr w14:paraId="4B71D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92B876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C96A3EB">
            <w:pPr>
              <w:adjustRightInd w:val="0"/>
              <w:snapToGrid w:val="0"/>
              <w:jc w:val="center"/>
              <w:rPr>
                <w:rFonts w:ascii="宋体" w:hAnsi="宋体"/>
                <w:color w:val="auto"/>
                <w:szCs w:val="21"/>
                <w:highlight w:val="none"/>
              </w:rPr>
            </w:pPr>
            <w:r>
              <w:rPr>
                <w:rFonts w:hint="eastAsia" w:ascii="宋体" w:hAnsi="宋体"/>
                <w:color w:val="auto"/>
                <w:szCs w:val="21"/>
                <w:highlight w:val="none"/>
              </w:rPr>
              <w:t>第14.1（6）项</w:t>
            </w:r>
          </w:p>
        </w:tc>
        <w:tc>
          <w:tcPr>
            <w:tcW w:w="1742" w:type="dxa"/>
            <w:vAlign w:val="center"/>
          </w:tcPr>
          <w:p w14:paraId="47BFF2D3">
            <w:pPr>
              <w:adjustRightInd w:val="0"/>
              <w:snapToGrid w:val="0"/>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5170" w:type="dxa"/>
            <w:vAlign w:val="center"/>
          </w:tcPr>
          <w:p w14:paraId="7EC50534">
            <w:pPr>
              <w:adjustRightInd w:val="0"/>
              <w:snapToGrid w:val="0"/>
              <w:jc w:val="left"/>
              <w:rPr>
                <w:rFonts w:ascii="宋体" w:hAnsi="宋体"/>
                <w:color w:val="auto"/>
                <w:szCs w:val="21"/>
                <w:highlight w:val="none"/>
              </w:rPr>
            </w:pPr>
          </w:p>
        </w:tc>
      </w:tr>
      <w:tr w14:paraId="59D997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7B54433">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F4FFF8F">
            <w:pPr>
              <w:adjustRightInd w:val="0"/>
              <w:snapToGrid w:val="0"/>
              <w:jc w:val="center"/>
              <w:rPr>
                <w:rFonts w:ascii="宋体" w:hAnsi="宋体" w:eastAsia="宋体"/>
                <w:color w:val="auto"/>
                <w:szCs w:val="21"/>
                <w:highlight w:val="none"/>
              </w:rPr>
            </w:pPr>
            <w:r>
              <w:rPr>
                <w:rFonts w:hint="eastAsia" w:ascii="宋体" w:hAnsi="宋体"/>
                <w:color w:val="auto"/>
                <w:szCs w:val="21"/>
                <w:highlight w:val="none"/>
              </w:rPr>
              <w:t>第15.1款</w:t>
            </w:r>
          </w:p>
        </w:tc>
        <w:tc>
          <w:tcPr>
            <w:tcW w:w="1742" w:type="dxa"/>
            <w:vAlign w:val="center"/>
          </w:tcPr>
          <w:p w14:paraId="7DCDFC8B">
            <w:pPr>
              <w:adjustRightInd w:val="0"/>
              <w:snapToGrid w:val="0"/>
              <w:jc w:val="left"/>
              <w:rPr>
                <w:rFonts w:ascii="宋体" w:hAnsi="宋体"/>
                <w:color w:val="auto"/>
                <w:szCs w:val="21"/>
                <w:highlight w:val="none"/>
              </w:rPr>
            </w:pPr>
            <w:r>
              <w:rPr>
                <w:rFonts w:hint="eastAsia" w:ascii="宋体" w:hAnsi="宋体"/>
                <w:color w:val="auto"/>
                <w:szCs w:val="21"/>
                <w:highlight w:val="none"/>
              </w:rPr>
              <w:t>修理、重作、更换相关具体规定</w:t>
            </w:r>
          </w:p>
        </w:tc>
        <w:tc>
          <w:tcPr>
            <w:tcW w:w="5170" w:type="dxa"/>
            <w:vAlign w:val="center"/>
          </w:tcPr>
          <w:p w14:paraId="77A11C71">
            <w:pPr>
              <w:adjustRightInd w:val="0"/>
              <w:snapToGrid w:val="0"/>
              <w:jc w:val="left"/>
              <w:rPr>
                <w:rFonts w:ascii="宋体" w:hAnsi="宋体"/>
                <w:color w:val="auto"/>
                <w:szCs w:val="21"/>
                <w:highlight w:val="none"/>
              </w:rPr>
            </w:pPr>
          </w:p>
        </w:tc>
      </w:tr>
      <w:tr w14:paraId="1132D0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C5FB77A">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F7B046D">
            <w:pPr>
              <w:adjustRightInd w:val="0"/>
              <w:snapToGrid w:val="0"/>
              <w:jc w:val="center"/>
              <w:rPr>
                <w:rFonts w:ascii="宋体" w:hAnsi="宋体"/>
                <w:color w:val="auto"/>
                <w:szCs w:val="21"/>
                <w:highlight w:val="none"/>
              </w:rPr>
            </w:pPr>
            <w:r>
              <w:rPr>
                <w:rFonts w:hint="eastAsia" w:ascii="宋体" w:hAnsi="宋体"/>
                <w:color w:val="auto"/>
                <w:szCs w:val="21"/>
                <w:highlight w:val="none"/>
              </w:rPr>
              <w:t>第15.2（2）项</w:t>
            </w:r>
          </w:p>
        </w:tc>
        <w:tc>
          <w:tcPr>
            <w:tcW w:w="1742" w:type="dxa"/>
            <w:vAlign w:val="center"/>
          </w:tcPr>
          <w:p w14:paraId="1EE0C80C">
            <w:pPr>
              <w:adjustRightInd w:val="0"/>
              <w:snapToGrid w:val="0"/>
              <w:jc w:val="left"/>
              <w:rPr>
                <w:rFonts w:ascii="宋体" w:hAnsi="宋体"/>
                <w:color w:val="auto"/>
                <w:szCs w:val="21"/>
                <w:highlight w:val="none"/>
              </w:rPr>
            </w:pPr>
            <w:r>
              <w:rPr>
                <w:rFonts w:hint="eastAsia" w:ascii="宋体" w:hAnsi="宋体"/>
                <w:color w:val="auto"/>
                <w:szCs w:val="21"/>
                <w:highlight w:val="none"/>
              </w:rPr>
              <w:t>迟延交货赔偿费</w:t>
            </w:r>
          </w:p>
        </w:tc>
        <w:tc>
          <w:tcPr>
            <w:tcW w:w="5170" w:type="dxa"/>
            <w:vAlign w:val="center"/>
          </w:tcPr>
          <w:p w14:paraId="0D56C943">
            <w:pPr>
              <w:adjustRightInd w:val="0"/>
              <w:snapToGrid w:val="0"/>
              <w:jc w:val="left"/>
              <w:rPr>
                <w:rFonts w:ascii="宋体" w:hAnsi="宋体"/>
                <w:color w:val="auto"/>
                <w:szCs w:val="21"/>
                <w:highlight w:val="none"/>
                <w:u w:val="single"/>
              </w:rPr>
            </w:pPr>
          </w:p>
        </w:tc>
      </w:tr>
      <w:tr w14:paraId="5FE25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5259F4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B62AB4B">
            <w:pPr>
              <w:adjustRightInd w:val="0"/>
              <w:snapToGrid w:val="0"/>
              <w:jc w:val="center"/>
              <w:rPr>
                <w:rFonts w:ascii="宋体" w:hAnsi="宋体"/>
                <w:color w:val="auto"/>
                <w:szCs w:val="21"/>
                <w:highlight w:val="none"/>
              </w:rPr>
            </w:pPr>
            <w:r>
              <w:rPr>
                <w:rFonts w:hint="eastAsia" w:ascii="宋体" w:hAnsi="宋体"/>
                <w:color w:val="auto"/>
                <w:szCs w:val="21"/>
                <w:highlight w:val="none"/>
              </w:rPr>
              <w:t>第15.3款</w:t>
            </w:r>
          </w:p>
        </w:tc>
        <w:tc>
          <w:tcPr>
            <w:tcW w:w="1742" w:type="dxa"/>
            <w:vAlign w:val="center"/>
          </w:tcPr>
          <w:p w14:paraId="58580F4A">
            <w:pPr>
              <w:adjustRightInd w:val="0"/>
              <w:snapToGrid w:val="0"/>
              <w:jc w:val="left"/>
              <w:rPr>
                <w:rFonts w:ascii="宋体" w:hAnsi="宋体"/>
                <w:color w:val="auto"/>
                <w:szCs w:val="21"/>
                <w:highlight w:val="none"/>
              </w:rPr>
            </w:pPr>
            <w:r>
              <w:rPr>
                <w:rFonts w:hint="eastAsia" w:ascii="宋体" w:hAnsi="宋体"/>
                <w:color w:val="auto"/>
                <w:szCs w:val="21"/>
                <w:highlight w:val="none"/>
              </w:rPr>
              <w:t>逾期付款利息</w:t>
            </w:r>
          </w:p>
        </w:tc>
        <w:tc>
          <w:tcPr>
            <w:tcW w:w="5170" w:type="dxa"/>
            <w:vAlign w:val="center"/>
          </w:tcPr>
          <w:p w14:paraId="71AA3F05">
            <w:pPr>
              <w:adjustRightInd w:val="0"/>
              <w:snapToGrid w:val="0"/>
              <w:jc w:val="left"/>
              <w:rPr>
                <w:rFonts w:ascii="宋体" w:hAnsi="宋体"/>
                <w:color w:val="auto"/>
                <w:szCs w:val="21"/>
                <w:highlight w:val="none"/>
                <w:u w:val="single"/>
              </w:rPr>
            </w:pPr>
          </w:p>
        </w:tc>
      </w:tr>
      <w:tr w14:paraId="254AC3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6D76AE3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BBB7354">
            <w:pPr>
              <w:adjustRightInd w:val="0"/>
              <w:snapToGrid w:val="0"/>
              <w:jc w:val="center"/>
              <w:rPr>
                <w:rFonts w:ascii="宋体" w:hAnsi="宋体"/>
                <w:color w:val="auto"/>
                <w:szCs w:val="21"/>
                <w:highlight w:val="none"/>
              </w:rPr>
            </w:pPr>
            <w:r>
              <w:rPr>
                <w:rFonts w:hint="eastAsia" w:ascii="宋体" w:hAnsi="宋体"/>
                <w:color w:val="auto"/>
                <w:szCs w:val="21"/>
                <w:highlight w:val="none"/>
              </w:rPr>
              <w:t>第15.4款</w:t>
            </w:r>
          </w:p>
        </w:tc>
        <w:tc>
          <w:tcPr>
            <w:tcW w:w="1742" w:type="dxa"/>
            <w:tcBorders>
              <w:left w:val="single" w:color="auto" w:sz="2" w:space="0"/>
              <w:bottom w:val="single" w:color="auto" w:sz="2" w:space="0"/>
              <w:right w:val="single" w:color="auto" w:sz="2" w:space="0"/>
            </w:tcBorders>
            <w:vAlign w:val="center"/>
          </w:tcPr>
          <w:p w14:paraId="64F38F8E">
            <w:pPr>
              <w:adjustRightInd w:val="0"/>
              <w:snapToGrid w:val="0"/>
              <w:jc w:val="left"/>
              <w:rPr>
                <w:rFonts w:ascii="宋体" w:hAnsi="宋体"/>
                <w:color w:val="auto"/>
                <w:szCs w:val="21"/>
                <w:highlight w:val="none"/>
              </w:rPr>
            </w:pPr>
            <w:r>
              <w:rPr>
                <w:rFonts w:hint="eastAsia" w:ascii="宋体" w:hAnsi="宋体"/>
                <w:color w:val="auto"/>
                <w:szCs w:val="21"/>
                <w:highlight w:val="none"/>
              </w:rPr>
              <w:t>其他违约责任</w:t>
            </w:r>
          </w:p>
        </w:tc>
        <w:tc>
          <w:tcPr>
            <w:tcW w:w="5170" w:type="dxa"/>
            <w:tcBorders>
              <w:left w:val="single" w:color="auto" w:sz="2" w:space="0"/>
              <w:bottom w:val="single" w:color="auto" w:sz="2" w:space="0"/>
            </w:tcBorders>
            <w:vAlign w:val="center"/>
          </w:tcPr>
          <w:p w14:paraId="003109E0">
            <w:pPr>
              <w:adjustRightInd w:val="0"/>
              <w:snapToGrid w:val="0"/>
              <w:jc w:val="left"/>
              <w:rPr>
                <w:rFonts w:ascii="宋体" w:hAnsi="宋体"/>
                <w:color w:val="auto"/>
                <w:szCs w:val="21"/>
                <w:highlight w:val="none"/>
                <w:u w:val="single"/>
              </w:rPr>
            </w:pPr>
          </w:p>
        </w:tc>
      </w:tr>
      <w:tr w14:paraId="1951DC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6F2F1C1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7411D49">
            <w:pPr>
              <w:adjustRightInd w:val="0"/>
              <w:snapToGrid w:val="0"/>
              <w:jc w:val="center"/>
              <w:rPr>
                <w:rFonts w:ascii="宋体" w:hAnsi="宋体"/>
                <w:color w:val="auto"/>
                <w:szCs w:val="21"/>
                <w:highlight w:val="none"/>
              </w:rPr>
            </w:pPr>
            <w:r>
              <w:rPr>
                <w:rFonts w:hint="eastAsia" w:ascii="宋体" w:hAnsi="宋体"/>
                <w:color w:val="auto"/>
                <w:szCs w:val="21"/>
                <w:highlight w:val="none"/>
              </w:rPr>
              <w:t>第19.2款</w:t>
            </w:r>
          </w:p>
        </w:tc>
        <w:tc>
          <w:tcPr>
            <w:tcW w:w="1742" w:type="dxa"/>
            <w:tcBorders>
              <w:top w:val="single" w:color="auto" w:sz="2" w:space="0"/>
              <w:left w:val="single" w:color="auto" w:sz="2" w:space="0"/>
              <w:right w:val="single" w:color="auto" w:sz="2" w:space="0"/>
            </w:tcBorders>
            <w:vAlign w:val="center"/>
          </w:tcPr>
          <w:p w14:paraId="0D9A508A">
            <w:pPr>
              <w:adjustRightInd w:val="0"/>
              <w:snapToGrid w:val="0"/>
              <w:jc w:val="left"/>
              <w:rPr>
                <w:rFonts w:ascii="宋体" w:hAnsi="宋体"/>
                <w:color w:val="auto"/>
                <w:szCs w:val="21"/>
                <w:highlight w:val="none"/>
              </w:rPr>
            </w:pPr>
            <w:r>
              <w:rPr>
                <w:rFonts w:hint="eastAsia" w:ascii="宋体" w:hAnsi="宋体"/>
                <w:color w:val="auto"/>
                <w:szCs w:val="21"/>
                <w:highlight w:val="none"/>
              </w:rPr>
              <w:t>解决争议的方法</w:t>
            </w:r>
          </w:p>
        </w:tc>
        <w:tc>
          <w:tcPr>
            <w:tcW w:w="5170" w:type="dxa"/>
            <w:tcBorders>
              <w:top w:val="single" w:color="auto" w:sz="2" w:space="0"/>
              <w:left w:val="single" w:color="auto" w:sz="2" w:space="0"/>
            </w:tcBorders>
            <w:vAlign w:val="center"/>
          </w:tcPr>
          <w:p w14:paraId="0D06D2E6">
            <w:pPr>
              <w:autoSpaceDE w:val="0"/>
              <w:autoSpaceDN w:val="0"/>
              <w:adjustRightInd w:val="0"/>
              <w:snapToGrid w:val="0"/>
              <w:spacing w:line="400" w:lineRule="exact"/>
              <w:jc w:val="left"/>
              <w:rPr>
                <w:rFonts w:ascii="宋体" w:hAnsi="宋体" w:eastAsia="宋体" w:cs="宋体"/>
                <w:iCs/>
                <w:color w:val="auto"/>
                <w:szCs w:val="21"/>
                <w:highlight w:val="none"/>
              </w:rPr>
            </w:pPr>
            <w:r>
              <w:rPr>
                <w:rFonts w:hint="eastAsia" w:ascii="宋体" w:hAnsi="宋体" w:eastAsia="宋体" w:cs="宋体"/>
                <w:iCs/>
                <w:color w:val="auto"/>
                <w:szCs w:val="21"/>
                <w:highlight w:val="none"/>
              </w:rPr>
              <w:t>因本合同及合同有关事项发生的争议，按下列第</w:t>
            </w:r>
            <w:r>
              <w:rPr>
                <w:rFonts w:hint="eastAsia"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u w:val="single"/>
                <w:lang w:val="en-US" w:eastAsia="zh-CN"/>
              </w:rPr>
              <w:t>2</w:t>
            </w:r>
            <w:r>
              <w:rPr>
                <w:rFonts w:hint="eastAsia"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rPr>
              <w:t>种方式解决：</w:t>
            </w:r>
          </w:p>
          <w:p w14:paraId="35DA4B4D">
            <w:pPr>
              <w:autoSpaceDE w:val="0"/>
              <w:autoSpaceDN w:val="0"/>
              <w:adjustRightInd w:val="0"/>
              <w:snapToGrid w:val="0"/>
              <w:spacing w:line="400" w:lineRule="exact"/>
              <w:jc w:val="left"/>
              <w:rPr>
                <w:rFonts w:ascii="宋体" w:hAnsi="宋体" w:eastAsia="宋体" w:cs="宋体"/>
                <w:iCs/>
                <w:color w:val="auto"/>
                <w:szCs w:val="21"/>
                <w:highlight w:val="none"/>
              </w:rPr>
            </w:pPr>
            <w:r>
              <w:rPr>
                <w:rFonts w:hint="eastAsia" w:ascii="宋体" w:hAnsi="宋体" w:eastAsia="宋体" w:cs="宋体"/>
                <w:iCs/>
                <w:color w:val="auto"/>
                <w:szCs w:val="21"/>
                <w:highlight w:val="none"/>
              </w:rPr>
              <w:t>（1）向</w:t>
            </w:r>
            <w:r>
              <w:rPr>
                <w:rFonts w:hint="eastAsia"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rPr>
              <w:t>仲裁委员会申请仲裁，仲裁地点为</w:t>
            </w:r>
            <w:r>
              <w:rPr>
                <w:rFonts w:hint="eastAsia"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rPr>
              <w:t>；</w:t>
            </w:r>
          </w:p>
          <w:p w14:paraId="21E5610F">
            <w:pPr>
              <w:adjustRightInd w:val="0"/>
              <w:snapToGrid w:val="0"/>
              <w:jc w:val="left"/>
              <w:rPr>
                <w:rFonts w:ascii="宋体" w:hAnsi="宋体"/>
                <w:color w:val="auto"/>
                <w:szCs w:val="21"/>
                <w:highlight w:val="none"/>
                <w:u w:val="single"/>
              </w:rPr>
            </w:pPr>
            <w:r>
              <w:rPr>
                <w:rFonts w:hint="eastAsia" w:ascii="宋体" w:hAnsi="宋体" w:eastAsia="宋体" w:cs="宋体"/>
                <w:iCs/>
                <w:color w:val="auto"/>
                <w:szCs w:val="21"/>
                <w:highlight w:val="none"/>
              </w:rPr>
              <w:t>（2）向</w:t>
            </w:r>
            <w:r>
              <w:rPr>
                <w:rFonts w:hint="eastAsia"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u w:val="single"/>
                <w:lang w:val="en-US" w:eastAsia="zh-CN"/>
              </w:rPr>
              <w:t>项目所在地</w:t>
            </w:r>
            <w:r>
              <w:rPr>
                <w:rFonts w:hint="eastAsia" w:ascii="宋体" w:hAnsi="宋体" w:eastAsia="宋体" w:cs="宋体"/>
                <w:iCs/>
                <w:color w:val="auto"/>
                <w:szCs w:val="21"/>
                <w:highlight w:val="none"/>
                <w:u w:val="single"/>
              </w:rPr>
              <w:t xml:space="preserve">  </w:t>
            </w:r>
            <w:r>
              <w:rPr>
                <w:rFonts w:hint="eastAsia" w:ascii="宋体" w:hAnsi="宋体" w:eastAsia="宋体" w:cs="宋体"/>
                <w:iCs/>
                <w:color w:val="auto"/>
                <w:szCs w:val="21"/>
                <w:highlight w:val="none"/>
              </w:rPr>
              <w:t>人民法院起诉。</w:t>
            </w:r>
          </w:p>
        </w:tc>
      </w:tr>
      <w:tr w14:paraId="2F9AE8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790E4B3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269670E">
            <w:pPr>
              <w:adjustRightInd w:val="0"/>
              <w:snapToGrid w:val="0"/>
              <w:jc w:val="center"/>
              <w:rPr>
                <w:rFonts w:ascii="宋体" w:hAnsi="宋体"/>
                <w:color w:val="auto"/>
                <w:szCs w:val="21"/>
                <w:highlight w:val="none"/>
              </w:rPr>
            </w:pPr>
            <w:r>
              <w:rPr>
                <w:rFonts w:hint="eastAsia" w:ascii="宋体" w:hAnsi="宋体"/>
                <w:color w:val="auto"/>
                <w:szCs w:val="21"/>
                <w:highlight w:val="none"/>
              </w:rPr>
              <w:t>第23.1款</w:t>
            </w:r>
          </w:p>
        </w:tc>
        <w:tc>
          <w:tcPr>
            <w:tcW w:w="1742" w:type="dxa"/>
            <w:vAlign w:val="center"/>
          </w:tcPr>
          <w:p w14:paraId="0FF275A6">
            <w:pPr>
              <w:adjustRightInd w:val="0"/>
              <w:snapToGrid w:val="0"/>
              <w:jc w:val="left"/>
              <w:rPr>
                <w:rFonts w:ascii="宋体" w:hAnsi="宋体"/>
                <w:color w:val="auto"/>
                <w:szCs w:val="21"/>
                <w:highlight w:val="none"/>
              </w:rPr>
            </w:pPr>
            <w:r>
              <w:rPr>
                <w:rFonts w:hint="eastAsia" w:ascii="宋体" w:hAnsi="宋体"/>
                <w:bCs/>
                <w:color w:val="auto"/>
                <w:szCs w:val="21"/>
                <w:highlight w:val="none"/>
              </w:rPr>
              <w:t>其他专用条款</w:t>
            </w:r>
          </w:p>
        </w:tc>
        <w:tc>
          <w:tcPr>
            <w:tcW w:w="5170" w:type="dxa"/>
            <w:vAlign w:val="center"/>
          </w:tcPr>
          <w:p w14:paraId="2B397969">
            <w:pPr>
              <w:adjustRightInd w:val="0"/>
              <w:snapToGrid w:val="0"/>
              <w:jc w:val="left"/>
              <w:rPr>
                <w:rFonts w:ascii="宋体" w:hAnsi="宋体" w:eastAsia="宋体"/>
                <w:color w:val="auto"/>
                <w:szCs w:val="21"/>
                <w:highlight w:val="none"/>
              </w:rPr>
            </w:pPr>
          </w:p>
        </w:tc>
      </w:tr>
    </w:tbl>
    <w:p w14:paraId="0721A3CA">
      <w:pPr>
        <w:ind w:firstLine="480"/>
        <w:rPr>
          <w:rFonts w:ascii="宋体" w:hAnsi="宋体" w:cs="宋体"/>
          <w:bCs/>
          <w:color w:val="auto"/>
          <w:sz w:val="24"/>
          <w:highlight w:val="none"/>
        </w:rPr>
      </w:pPr>
    </w:p>
    <w:p w14:paraId="3474FCB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9405902">
      <w:pPr>
        <w:spacing w:before="312" w:beforeLines="100" w:line="360" w:lineRule="auto"/>
        <w:jc w:val="center"/>
        <w:outlineLvl w:val="0"/>
        <w:rPr>
          <w:rFonts w:hint="eastAsia" w:ascii="宋体" w:hAnsi="宋体" w:cs="宋体"/>
          <w:b/>
          <w:bCs/>
          <w:color w:val="auto"/>
          <w:sz w:val="36"/>
          <w:szCs w:val="36"/>
          <w:highlight w:val="none"/>
          <w:lang w:bidi="ar"/>
        </w:rPr>
      </w:pPr>
      <w:bookmarkStart w:id="178" w:name="_Toc1189"/>
      <w:bookmarkStart w:id="179" w:name="_Toc29042"/>
      <w:r>
        <w:rPr>
          <w:rFonts w:hint="eastAsia" w:ascii="宋体" w:hAnsi="宋体" w:cs="宋体"/>
          <w:b/>
          <w:bCs/>
          <w:color w:val="auto"/>
          <w:sz w:val="36"/>
          <w:szCs w:val="36"/>
          <w:highlight w:val="none"/>
          <w:lang w:val="en-US" w:eastAsia="zh-CN" w:bidi="ar"/>
        </w:rPr>
        <w:t xml:space="preserve">第五章  </w:t>
      </w:r>
      <w:r>
        <w:rPr>
          <w:rFonts w:hint="eastAsia" w:ascii="宋体" w:hAnsi="宋体" w:cs="宋体"/>
          <w:b/>
          <w:bCs/>
          <w:color w:val="auto"/>
          <w:sz w:val="36"/>
          <w:szCs w:val="36"/>
          <w:highlight w:val="none"/>
          <w:lang w:bidi="ar"/>
        </w:rPr>
        <w:t>采购清单及技术参数</w:t>
      </w:r>
      <w:bookmarkEnd w:id="178"/>
      <w:bookmarkEnd w:id="179"/>
    </w:p>
    <w:p w14:paraId="0C1C73F1">
      <w:pPr>
        <w:numPr>
          <w:ilvl w:val="0"/>
          <w:numId w:val="6"/>
        </w:num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项目采购内容:</w:t>
      </w:r>
    </w:p>
    <w:tbl>
      <w:tblPr>
        <w:tblStyle w:val="20"/>
        <w:tblW w:w="102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8"/>
        <w:gridCol w:w="2367"/>
        <w:gridCol w:w="4898"/>
        <w:gridCol w:w="1183"/>
        <w:gridCol w:w="1041"/>
      </w:tblGrid>
      <w:tr w14:paraId="24E63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jc w:val="center"/>
        </w:trPr>
        <w:tc>
          <w:tcPr>
            <w:tcW w:w="7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D27F31">
            <w:pPr>
              <w:spacing w:beforeLines="0" w:afterLine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23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D8F144">
            <w:pPr>
              <w:spacing w:beforeLines="0" w:afterLine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名称</w:t>
            </w:r>
          </w:p>
        </w:tc>
        <w:tc>
          <w:tcPr>
            <w:tcW w:w="4898" w:type="dxa"/>
            <w:tcBorders>
              <w:top w:val="single" w:color="auto" w:sz="6" w:space="0"/>
              <w:left w:val="single" w:color="auto" w:sz="6" w:space="0"/>
              <w:bottom w:val="single" w:color="auto" w:sz="6" w:space="0"/>
              <w:right w:val="single" w:color="auto" w:sz="6" w:space="0"/>
              <w:tl2br w:val="nil"/>
              <w:tr2bl w:val="nil"/>
            </w:tcBorders>
            <w:noWrap w:val="0"/>
            <w:vAlign w:val="top"/>
          </w:tcPr>
          <w:p w14:paraId="74F5F445">
            <w:pPr>
              <w:spacing w:beforeLines="0" w:afterLines="0"/>
              <w:jc w:val="center"/>
              <w:rPr>
                <w:rFonts w:hint="eastAsia" w:ascii="宋体" w:hAnsi="宋体" w:eastAsia="宋体" w:cs="宋体"/>
                <w:b/>
                <w:color w:val="auto"/>
                <w:sz w:val="24"/>
                <w:szCs w:val="24"/>
              </w:rPr>
            </w:pPr>
          </w:p>
          <w:p w14:paraId="5CA69744">
            <w:pPr>
              <w:spacing w:beforeLines="0" w:afterLine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技术参数</w:t>
            </w:r>
          </w:p>
        </w:tc>
        <w:tc>
          <w:tcPr>
            <w:tcW w:w="1183" w:type="dxa"/>
            <w:tcBorders>
              <w:top w:val="single" w:color="auto" w:sz="6" w:space="0"/>
              <w:left w:val="single" w:color="auto" w:sz="6" w:space="0"/>
              <w:bottom w:val="single" w:color="auto" w:sz="6" w:space="0"/>
              <w:right w:val="single" w:color="auto" w:sz="6" w:space="0"/>
              <w:tl2br w:val="nil"/>
              <w:tr2bl w:val="nil"/>
            </w:tcBorders>
            <w:noWrap w:val="0"/>
            <w:vAlign w:val="top"/>
          </w:tcPr>
          <w:p w14:paraId="328FF5A0">
            <w:pPr>
              <w:spacing w:beforeLines="0" w:afterLines="0"/>
              <w:jc w:val="center"/>
              <w:rPr>
                <w:rFonts w:hint="eastAsia" w:ascii="宋体" w:hAnsi="宋体" w:eastAsia="宋体" w:cs="宋体"/>
                <w:b/>
                <w:color w:val="auto"/>
                <w:sz w:val="24"/>
                <w:szCs w:val="24"/>
              </w:rPr>
            </w:pPr>
          </w:p>
          <w:p w14:paraId="71866796">
            <w:pPr>
              <w:spacing w:beforeLines="0" w:afterLine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单位</w:t>
            </w:r>
          </w:p>
        </w:tc>
        <w:tc>
          <w:tcPr>
            <w:tcW w:w="1041" w:type="dxa"/>
            <w:tcBorders>
              <w:top w:val="single" w:color="auto" w:sz="6" w:space="0"/>
              <w:left w:val="single" w:color="auto" w:sz="6" w:space="0"/>
              <w:bottom w:val="single" w:color="auto" w:sz="6" w:space="0"/>
              <w:right w:val="single" w:color="auto" w:sz="6" w:space="0"/>
              <w:tl2br w:val="nil"/>
              <w:tr2bl w:val="nil"/>
            </w:tcBorders>
            <w:noWrap w:val="0"/>
            <w:vAlign w:val="top"/>
          </w:tcPr>
          <w:p w14:paraId="028BC9F1">
            <w:pPr>
              <w:spacing w:beforeLines="0" w:afterLines="0"/>
              <w:jc w:val="center"/>
              <w:rPr>
                <w:rFonts w:hint="eastAsia" w:ascii="宋体" w:hAnsi="宋体" w:eastAsia="宋体" w:cs="宋体"/>
                <w:b/>
                <w:color w:val="auto"/>
                <w:sz w:val="24"/>
                <w:szCs w:val="24"/>
              </w:rPr>
            </w:pPr>
          </w:p>
          <w:p w14:paraId="2E2EEE23">
            <w:pPr>
              <w:spacing w:beforeLines="0" w:afterLine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数量</w:t>
            </w:r>
          </w:p>
        </w:tc>
      </w:tr>
      <w:tr w14:paraId="142E4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2" w:hRule="atLeast"/>
          <w:jc w:val="center"/>
        </w:trPr>
        <w:tc>
          <w:tcPr>
            <w:tcW w:w="7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4FCD58">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3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A03A9C">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中小型玉米双收机</w:t>
            </w:r>
          </w:p>
        </w:tc>
        <w:tc>
          <w:tcPr>
            <w:tcW w:w="4898" w:type="dxa"/>
            <w:tcBorders>
              <w:top w:val="single" w:color="auto" w:sz="6" w:space="0"/>
              <w:left w:val="single" w:color="auto" w:sz="6" w:space="0"/>
              <w:bottom w:val="single" w:color="auto" w:sz="6" w:space="0"/>
              <w:right w:val="single" w:color="auto" w:sz="6" w:space="0"/>
              <w:tl2br w:val="nil"/>
              <w:tr2bl w:val="nil"/>
            </w:tcBorders>
            <w:noWrap w:val="0"/>
            <w:vAlign w:val="top"/>
          </w:tcPr>
          <w:p w14:paraId="74DC1FC0">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1.结构形式：自走式，穗茎兼收型，可同步完成玉米果穗收获、秸秆回收作业。</w:t>
            </w:r>
          </w:p>
          <w:p w14:paraId="451CF2EE">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2.工作行数：4行。</w:t>
            </w:r>
          </w:p>
          <w:p w14:paraId="5CA8A5B6">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3.作业小时生产率：标准作业工况下，≥0.2 hm²/h。</w:t>
            </w:r>
          </w:p>
          <w:p w14:paraId="4970433C">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4.作业速度：设备适宜作业速度2km/h～4.5km/h（本区间为项目适宜作业区间，设备最大行走速度不做限制，优于要求不扣分）。</w:t>
            </w:r>
          </w:p>
          <w:p w14:paraId="64D7DD09">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5.适配行距：550mm-700mm，适配本地玉米常规种植行距。</w:t>
            </w:r>
          </w:p>
          <w:p w14:paraId="69BA4859">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6.工作幅宽：2.2m≤工作幅宽＜2.8m。（区间为4行机型标准适配区间，符合农艺作业要求，无限制性）</w:t>
            </w:r>
          </w:p>
          <w:p w14:paraId="012874C8">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7.发动机额定功率：不小于140KW，满足本机重载连续作业需求。</w:t>
            </w:r>
          </w:p>
          <w:p w14:paraId="225DDD86">
            <w:pPr>
              <w:spacing w:beforeLines="0" w:afterLine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8.发动机参数要求：为保障秸秆高速抛送、降低输送堵塞风险，满足连续作业工况。发动机额定转速不低于2000r/min；</w:t>
            </w:r>
          </w:p>
        </w:tc>
        <w:tc>
          <w:tcPr>
            <w:tcW w:w="1183" w:type="dxa"/>
            <w:tcBorders>
              <w:top w:val="single" w:color="auto" w:sz="6" w:space="0"/>
              <w:left w:val="single" w:color="auto" w:sz="6" w:space="0"/>
              <w:bottom w:val="single" w:color="auto" w:sz="6" w:space="0"/>
              <w:right w:val="single" w:color="auto" w:sz="6" w:space="0"/>
              <w:tl2br w:val="nil"/>
              <w:tr2bl w:val="nil"/>
            </w:tcBorders>
            <w:noWrap w:val="0"/>
            <w:vAlign w:val="top"/>
          </w:tcPr>
          <w:p w14:paraId="017BDD0D">
            <w:pPr>
              <w:spacing w:beforeLines="0" w:afterLines="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台</w:t>
            </w:r>
          </w:p>
        </w:tc>
        <w:tc>
          <w:tcPr>
            <w:tcW w:w="1041" w:type="dxa"/>
            <w:tcBorders>
              <w:top w:val="single" w:color="auto" w:sz="6" w:space="0"/>
              <w:left w:val="single" w:color="auto" w:sz="6" w:space="0"/>
              <w:bottom w:val="single" w:color="auto" w:sz="6" w:space="0"/>
              <w:right w:val="single" w:color="auto" w:sz="6" w:space="0"/>
              <w:tl2br w:val="nil"/>
              <w:tr2bl w:val="nil"/>
            </w:tcBorders>
            <w:noWrap w:val="0"/>
            <w:vAlign w:val="top"/>
          </w:tcPr>
          <w:p w14:paraId="44315309">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 </w:t>
            </w:r>
          </w:p>
        </w:tc>
      </w:tr>
      <w:tr w14:paraId="76912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8" w:hRule="atLeast"/>
          <w:jc w:val="center"/>
        </w:trPr>
        <w:tc>
          <w:tcPr>
            <w:tcW w:w="7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AFB5A">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3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C7DF3B">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小型全自动榨油机</w:t>
            </w:r>
          </w:p>
        </w:tc>
        <w:tc>
          <w:tcPr>
            <w:tcW w:w="4898" w:type="dxa"/>
            <w:tcBorders>
              <w:top w:val="single" w:color="auto" w:sz="6" w:space="0"/>
              <w:left w:val="single" w:color="auto" w:sz="6" w:space="0"/>
              <w:bottom w:val="single" w:color="auto" w:sz="6" w:space="0"/>
              <w:right w:val="single" w:color="auto" w:sz="6" w:space="0"/>
              <w:tl2br w:val="nil"/>
              <w:tr2bl w:val="nil"/>
            </w:tcBorders>
            <w:noWrap w:val="0"/>
            <w:vAlign w:val="top"/>
          </w:tcPr>
          <w:p w14:paraId="159C4F07">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1.加工原料：可压榨花生、菜籽、芝麻、葵花籽、大豆等常见油料作物。</w:t>
            </w:r>
          </w:p>
          <w:p w14:paraId="482433E9">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2.压榨方式： 采用恒温压榨工艺，压榨温度可预设并自动保持，温控范围满足常见油料冷榨与热榨工艺需求；支持冷榨模式与热榨模式切换，切换方式为自动或手动可选。</w:t>
            </w:r>
          </w:p>
          <w:p w14:paraId="347C5E3C">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3.小时处理量：≥80kg/h，满足小型批量连续作业需求。</w:t>
            </w:r>
          </w:p>
          <w:p w14:paraId="27401BF4">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4.设备材质：接触油料部位采用食品级不锈钢材质，耐腐蚀、易清洗、无油污残留。</w:t>
            </w:r>
          </w:p>
          <w:p w14:paraId="68D703BB">
            <w:pPr>
              <w:spacing w:beforeLines="0" w:afterLine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5.配置：具备自动/手动控制模式；自动模式下可完成预热、压榨、停机全流程，正常工况下以自动化运行为主，减少人工操作。</w:t>
            </w:r>
          </w:p>
          <w:p w14:paraId="3F176233">
            <w:pPr>
              <w:spacing w:beforeLines="0" w:afterLine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6.作业稳定性：可满足长时间连续作业，运行噪音低、震动小、不易堵料，故障率低。</w:t>
            </w:r>
          </w:p>
        </w:tc>
        <w:tc>
          <w:tcPr>
            <w:tcW w:w="1183" w:type="dxa"/>
            <w:tcBorders>
              <w:top w:val="single" w:color="auto" w:sz="6" w:space="0"/>
              <w:left w:val="single" w:color="auto" w:sz="6" w:space="0"/>
              <w:bottom w:val="single" w:color="auto" w:sz="6" w:space="0"/>
              <w:right w:val="single" w:color="auto" w:sz="6" w:space="0"/>
              <w:tl2br w:val="nil"/>
              <w:tr2bl w:val="nil"/>
            </w:tcBorders>
            <w:noWrap w:val="0"/>
            <w:vAlign w:val="top"/>
          </w:tcPr>
          <w:p w14:paraId="25EFB3F8">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台</w:t>
            </w:r>
          </w:p>
        </w:tc>
        <w:tc>
          <w:tcPr>
            <w:tcW w:w="1041" w:type="dxa"/>
            <w:tcBorders>
              <w:top w:val="single" w:color="auto" w:sz="6" w:space="0"/>
              <w:left w:val="single" w:color="auto" w:sz="6" w:space="0"/>
              <w:bottom w:val="single" w:color="auto" w:sz="6" w:space="0"/>
              <w:right w:val="single" w:color="auto" w:sz="6" w:space="0"/>
              <w:tl2br w:val="nil"/>
              <w:tr2bl w:val="nil"/>
            </w:tcBorders>
            <w:noWrap w:val="0"/>
            <w:vAlign w:val="top"/>
          </w:tcPr>
          <w:p w14:paraId="47EFF845">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 </w:t>
            </w:r>
          </w:p>
        </w:tc>
      </w:tr>
    </w:tbl>
    <w:p w14:paraId="11D9F360">
      <w:pPr>
        <w:numPr>
          <w:ilvl w:val="0"/>
          <w:numId w:val="0"/>
        </w:numPr>
        <w:rPr>
          <w:rFonts w:hint="eastAsia" w:ascii="宋体" w:hAnsi="宋体" w:cs="宋体"/>
          <w:b/>
          <w:bCs/>
          <w:color w:val="auto"/>
          <w:sz w:val="24"/>
          <w:szCs w:val="24"/>
          <w:highlight w:val="none"/>
          <w:lang w:val="en-US" w:eastAsia="zh-CN"/>
        </w:rPr>
      </w:pPr>
      <w:r>
        <w:rPr>
          <w:rFonts w:hint="eastAsia" w:ascii="宋体" w:hAnsi="宋体" w:cs="Calibri"/>
          <w:b/>
          <w:bCs/>
          <w:color w:val="auto"/>
          <w:kern w:val="0"/>
          <w:sz w:val="24"/>
          <w:highlight w:val="none"/>
          <w:lang w:val="en-US" w:eastAsia="zh-CN"/>
        </w:rPr>
        <w:t>核心产品：中小型玉米双收机</w:t>
      </w:r>
    </w:p>
    <w:p w14:paraId="497CB746">
      <w:pPr>
        <w:spacing w:line="360" w:lineRule="auto"/>
        <w:ind w:firstLine="480" w:firstLineChars="200"/>
        <w:rPr>
          <w:rFonts w:ascii="宋体" w:hAnsi="宋体" w:cs="宋体"/>
          <w:color w:val="auto"/>
          <w:szCs w:val="24"/>
          <w:highlight w:val="none"/>
        </w:rPr>
      </w:pPr>
      <w:r>
        <w:rPr>
          <w:rFonts w:hint="eastAsia" w:ascii="宋体" w:hAnsi="宋体" w:eastAsia="宋体" w:cs="宋体"/>
          <w:color w:val="auto"/>
          <w:sz w:val="24"/>
          <w:szCs w:val="24"/>
          <w:highlight w:val="none"/>
        </w:rPr>
        <w:t>二、服务要求：</w:t>
      </w:r>
    </w:p>
    <w:p w14:paraId="1E4E8511">
      <w:pPr>
        <w:spacing w:line="460" w:lineRule="exact"/>
        <w:ind w:firstLine="482" w:firstLineChars="200"/>
        <w:rPr>
          <w:rFonts w:ascii="宋体" w:hAnsi="宋体" w:cs="Calibri"/>
          <w:b/>
          <w:color w:val="auto"/>
          <w:sz w:val="24"/>
          <w:highlight w:val="none"/>
        </w:rPr>
      </w:pPr>
      <w:bookmarkStart w:id="180" w:name="_Toc267581944"/>
      <w:r>
        <w:rPr>
          <w:rFonts w:hint="eastAsia" w:ascii="宋体" w:hAnsi="宋体" w:cs="Calibri"/>
          <w:b/>
          <w:color w:val="auto"/>
          <w:sz w:val="24"/>
          <w:highlight w:val="none"/>
        </w:rPr>
        <w:t>1、货物基本要求</w:t>
      </w:r>
      <w:bookmarkEnd w:id="180"/>
    </w:p>
    <w:p w14:paraId="63869FF4">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①投标人所提供的产品必须为投标货物生产厂家提供的原厂设备，包装未开封，而且设备（包括零部件）应是交付前最新生产或技术较为先进的且未被使用过的全新设备，同时必须在中国境内具有合法使用权。</w:t>
      </w:r>
    </w:p>
    <w:p w14:paraId="27A82825">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②磋商文件中没有列出，而对产品的正常运行和维护必不可少的备件、专用工具和消耗品，投标人有责任予以补充。</w:t>
      </w:r>
    </w:p>
    <w:p w14:paraId="56C78070">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③投标人所提供的产品必须满足磋商文件的要求，其性能须达到或超过需求中技术指标的要求。</w:t>
      </w:r>
    </w:p>
    <w:p w14:paraId="10356B4B">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④如果投标人在中标并签署合同后，在供货时出现软、硬件的任何遗漏，均由中标人免费提供，招标人将不再支付任何费用。</w:t>
      </w:r>
    </w:p>
    <w:p w14:paraId="31C98F53">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⑤运行要求：产品安装后能够接通并正常运转、如涉及到软件产品的须能够在招标人相应平台上正常运行，并达到磋商文件要求的性能和产品技术规格中的性能。</w:t>
      </w:r>
    </w:p>
    <w:p w14:paraId="5F7F94AC">
      <w:pPr>
        <w:spacing w:line="460" w:lineRule="exact"/>
        <w:ind w:left="42" w:leftChars="20" w:firstLine="357" w:firstLineChars="148"/>
        <w:rPr>
          <w:rFonts w:ascii="宋体" w:hAnsi="宋体" w:cs="Calibri"/>
          <w:b/>
          <w:color w:val="auto"/>
          <w:sz w:val="24"/>
          <w:highlight w:val="none"/>
        </w:rPr>
      </w:pPr>
      <w:r>
        <w:rPr>
          <w:rFonts w:hint="eastAsia" w:ascii="宋体" w:hAnsi="宋体" w:cs="Calibri"/>
          <w:b/>
          <w:color w:val="auto"/>
          <w:sz w:val="24"/>
          <w:highlight w:val="none"/>
        </w:rPr>
        <w:t>2、安装、调试要求</w:t>
      </w:r>
    </w:p>
    <w:p w14:paraId="78BA1614">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①中标人应及时向招标人提供设备、货物及服务，并承诺与招标人进行积极主动的合作，中标人必须服从招标人的统一协调，在设备供货、技术支持、运行维护等方面相互配合；</w:t>
      </w:r>
    </w:p>
    <w:p w14:paraId="5664C9B0">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②中标人负责本次招标内容的安装、调试，以达到系统应具有的功能和技术指标，并负责相关技术支持和维护。</w:t>
      </w:r>
    </w:p>
    <w:p w14:paraId="46F71D76">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③产品未经验收时，由中标人负责保管至采购项目交货结束，其间发生的损坏、遗失由中标人负责；</w:t>
      </w:r>
    </w:p>
    <w:p w14:paraId="670A5132">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④设备到货后中标人应免费派技术人员在现场安装、调试；</w:t>
      </w:r>
    </w:p>
    <w:p w14:paraId="15261F6C">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⑤中标人应遵守招标人安装现场的一切规章制度；</w:t>
      </w:r>
    </w:p>
    <w:p w14:paraId="31C9C64E">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⑥中标人在设备全部安装完工并通过招标人的验收之前应对安装好的设备及设备的安装工具等提供适当的保护、包装或覆盖等处理，直至验收合格，以免设备受损；</w:t>
      </w:r>
    </w:p>
    <w:p w14:paraId="3DF974F0">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⑦安装调试人员在安装中对其他邻近设备、管线等造成损坏，应负责修复及承担一切费用；</w:t>
      </w:r>
    </w:p>
    <w:p w14:paraId="1AE8B32D">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⑧调试期间或保修过程中，中标人负责及时清理垃圾，并将包装物及垃圾堆放至招标人指定地点。</w:t>
      </w:r>
    </w:p>
    <w:p w14:paraId="68659926">
      <w:pPr>
        <w:spacing w:line="460" w:lineRule="exact"/>
        <w:ind w:left="42" w:leftChars="20" w:firstLine="357" w:firstLineChars="148"/>
        <w:rPr>
          <w:rFonts w:ascii="宋体" w:hAnsi="宋体" w:cs="Calibri"/>
          <w:b/>
          <w:color w:val="auto"/>
          <w:sz w:val="24"/>
          <w:highlight w:val="none"/>
        </w:rPr>
      </w:pPr>
      <w:r>
        <w:rPr>
          <w:rFonts w:hint="eastAsia" w:ascii="宋体" w:hAnsi="宋体" w:cs="Calibri"/>
          <w:b/>
          <w:color w:val="auto"/>
          <w:sz w:val="24"/>
          <w:highlight w:val="none"/>
        </w:rPr>
        <w:t>3、产品验收要求：</w:t>
      </w:r>
    </w:p>
    <w:p w14:paraId="6F8D4838">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①招标人将依磋商文件及投标人的投标文件的要求对全部交货设备的型号、规格、数量、外型、包装及资料、文件（如装箱单、保修单、随箱介质等）进行验收。验收主要包括：招标人与中标人在设备到货后共同进行开箱检查设备数量、外观、质量性能、备件备品、装箱单等资料及包装；所有货物和附（配）件应符合其规定的性能，无瑕疵和缺陷，质量为全新合格产品，同时有明确的生产制造厂商标志，供方在交货前未经招标人允许不得私自拆毁原包装，否则，招标人有权不予验收，供方产品质量问题负责包退、包换和包修，由此发生的费用由供方负责；</w:t>
      </w:r>
    </w:p>
    <w:p w14:paraId="63C10069">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②验收中设备出现性能指标或功能上不符合磋商文件和合同要求时，招标人有拒收的权利；</w:t>
      </w:r>
    </w:p>
    <w:p w14:paraId="033F0628">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③验收中出现不符合磋商文件和合同要求的严重质量问题时，招标人保留索赔的权利；</w:t>
      </w:r>
    </w:p>
    <w:p w14:paraId="3D606BB1">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④在安装现场直至进行最终验收所发生的一切费用均由中标人承担；</w:t>
      </w:r>
    </w:p>
    <w:p w14:paraId="50EE31D1">
      <w:pPr>
        <w:spacing w:line="460" w:lineRule="exact"/>
        <w:ind w:firstLine="480" w:firstLineChars="200"/>
        <w:rPr>
          <w:rFonts w:ascii="宋体" w:hAnsi="宋体" w:cs="Calibri"/>
          <w:color w:val="auto"/>
          <w:sz w:val="24"/>
          <w:highlight w:val="none"/>
        </w:rPr>
      </w:pPr>
      <w:r>
        <w:rPr>
          <w:rFonts w:hint="eastAsia" w:ascii="宋体" w:hAnsi="宋体" w:cs="Calibri"/>
          <w:color w:val="auto"/>
          <w:sz w:val="24"/>
          <w:highlight w:val="none"/>
        </w:rPr>
        <w:t>⑤投标人所提供的货物须符合国家强制性规定或相关法律法规要求；</w:t>
      </w:r>
    </w:p>
    <w:p w14:paraId="3FF1B3C0">
      <w:pPr>
        <w:pStyle w:val="7"/>
        <w:spacing w:line="460" w:lineRule="exact"/>
        <w:ind w:firstLine="480" w:firstLineChars="200"/>
        <w:rPr>
          <w:rFonts w:ascii="宋体" w:hAnsi="宋体" w:cs="Calibri"/>
          <w:color w:val="auto"/>
          <w:kern w:val="2"/>
          <w:sz w:val="24"/>
          <w:szCs w:val="24"/>
          <w:highlight w:val="none"/>
        </w:rPr>
      </w:pPr>
      <w:r>
        <w:rPr>
          <w:rFonts w:hint="eastAsia" w:ascii="宋体" w:hAnsi="宋体" w:cs="Calibri"/>
          <w:color w:val="auto"/>
          <w:kern w:val="2"/>
          <w:sz w:val="24"/>
          <w:szCs w:val="24"/>
          <w:highlight w:val="none"/>
        </w:rPr>
        <w:t>⑥验收时间和地点：投标人中标后须按照磋商文件的交货要求交货至</w:t>
      </w:r>
      <w:r>
        <w:rPr>
          <w:rFonts w:hint="eastAsia" w:ascii="宋体" w:hAnsi="宋体" w:cs="Calibri"/>
          <w:color w:val="auto"/>
          <w:kern w:val="2"/>
          <w:sz w:val="24"/>
          <w:szCs w:val="24"/>
          <w:highlight w:val="none"/>
          <w:lang w:val="en-US" w:eastAsia="zh-CN"/>
        </w:rPr>
        <w:t>渑池县</w:t>
      </w:r>
      <w:r>
        <w:rPr>
          <w:rFonts w:hint="eastAsia" w:ascii="宋体" w:hAnsi="宋体" w:cs="Calibri"/>
          <w:color w:val="auto"/>
          <w:kern w:val="2"/>
          <w:sz w:val="24"/>
          <w:szCs w:val="24"/>
          <w:highlight w:val="none"/>
          <w:lang w:eastAsia="zh-CN"/>
        </w:rPr>
        <w:t>英豪镇后营村</w:t>
      </w:r>
      <w:r>
        <w:rPr>
          <w:rFonts w:hint="eastAsia" w:ascii="宋体" w:hAnsi="宋体" w:cs="Calibri"/>
          <w:color w:val="auto"/>
          <w:kern w:val="2"/>
          <w:sz w:val="24"/>
          <w:szCs w:val="24"/>
          <w:highlight w:val="none"/>
        </w:rPr>
        <w:t>，设备全部交货完毕后由招标人进行现场验收并最终填写验收报告。基本标准为：是否按交货要求及时完成设备的到货、安装、调试工作，投标人提供的设备质量情况是否确保达到磋商文件要求。</w:t>
      </w:r>
    </w:p>
    <w:p w14:paraId="06815FF9">
      <w:pPr>
        <w:spacing w:line="460" w:lineRule="exact"/>
        <w:ind w:left="42" w:leftChars="20" w:firstLine="357" w:firstLineChars="148"/>
        <w:rPr>
          <w:rFonts w:ascii="宋体" w:hAnsi="宋体" w:cs="Calibri"/>
          <w:b/>
          <w:color w:val="auto"/>
          <w:sz w:val="24"/>
          <w:highlight w:val="none"/>
        </w:rPr>
      </w:pPr>
      <w:r>
        <w:rPr>
          <w:rFonts w:hint="eastAsia" w:ascii="宋体" w:hAnsi="宋体" w:cs="Calibri"/>
          <w:b/>
          <w:color w:val="auto"/>
          <w:sz w:val="24"/>
          <w:highlight w:val="none"/>
        </w:rPr>
        <w:t>4、售后服务要求：</w:t>
      </w:r>
    </w:p>
    <w:p w14:paraId="3272D857">
      <w:pPr>
        <w:spacing w:line="460" w:lineRule="exact"/>
        <w:ind w:left="42" w:leftChars="20" w:firstLine="355" w:firstLineChars="148"/>
        <w:rPr>
          <w:rFonts w:ascii="宋体" w:hAnsi="宋体" w:cs="Calibri"/>
          <w:b/>
          <w:color w:val="auto"/>
          <w:sz w:val="24"/>
          <w:highlight w:val="none"/>
        </w:rPr>
      </w:pPr>
      <w:r>
        <w:rPr>
          <w:rFonts w:hint="eastAsia" w:ascii="宋体" w:hAnsi="宋体" w:cs="宋体"/>
          <w:color w:val="auto"/>
          <w:sz w:val="24"/>
          <w:szCs w:val="24"/>
          <w:highlight w:val="none"/>
        </w:rPr>
        <w:t xml:space="preserve">供应商接到保修请求应马上响应，如有需要维修人员到达现场，无法完成维修的、提供备件供采购人使用。 </w:t>
      </w:r>
    </w:p>
    <w:p w14:paraId="4E3706BA">
      <w:pPr>
        <w:rPr>
          <w:color w:val="auto"/>
          <w:highlight w:val="none"/>
        </w:rPr>
      </w:pPr>
    </w:p>
    <w:p w14:paraId="6598AD86">
      <w:pPr>
        <w:spacing w:line="500" w:lineRule="exact"/>
        <w:ind w:firstLine="480" w:firstLineChars="200"/>
        <w:rPr>
          <w:rFonts w:ascii="宋体" w:hAnsi="宋体" w:cs="宋体"/>
          <w:color w:val="auto"/>
          <w:sz w:val="24"/>
          <w:szCs w:val="24"/>
          <w:highlight w:val="none"/>
        </w:rPr>
      </w:pPr>
    </w:p>
    <w:p w14:paraId="4C176E2B">
      <w:pPr>
        <w:rPr>
          <w:color w:val="auto"/>
          <w:highlight w:val="none"/>
        </w:rPr>
      </w:pPr>
    </w:p>
    <w:bookmarkEnd w:id="9"/>
    <w:bookmarkEnd w:id="10"/>
    <w:bookmarkEnd w:id="11"/>
    <w:bookmarkEnd w:id="12"/>
    <w:bookmarkEnd w:id="13"/>
    <w:bookmarkEnd w:id="14"/>
    <w:bookmarkEnd w:id="15"/>
    <w:p w14:paraId="40B15819">
      <w:pPr>
        <w:rPr>
          <w:color w:val="auto"/>
          <w:highlight w:val="none"/>
        </w:rPr>
      </w:pPr>
      <w:bookmarkStart w:id="181" w:name="_Toc25497"/>
      <w:bookmarkStart w:id="182" w:name="_Toc24845_WPSOffice_Level1"/>
      <w:bookmarkStart w:id="183" w:name="_Toc708_WPSOffice_Level1"/>
      <w:bookmarkStart w:id="184" w:name="_Toc15342_WPSOffice_Level1"/>
      <w:bookmarkStart w:id="185" w:name="_Toc1755_WPSOffice_Level1"/>
      <w:bookmarkStart w:id="186" w:name="_Toc5137"/>
    </w:p>
    <w:p w14:paraId="7069A38C">
      <w:pPr>
        <w:rPr>
          <w:color w:val="auto"/>
          <w:highlight w:val="none"/>
        </w:rPr>
      </w:pPr>
      <w:r>
        <w:rPr>
          <w:rFonts w:hint="eastAsia"/>
          <w:color w:val="auto"/>
          <w:highlight w:val="none"/>
        </w:rPr>
        <w:br w:type="page"/>
      </w:r>
    </w:p>
    <w:p w14:paraId="2F791950">
      <w:pPr>
        <w:spacing w:before="312" w:beforeLines="100" w:line="360" w:lineRule="auto"/>
        <w:jc w:val="center"/>
        <w:outlineLvl w:val="0"/>
        <w:rPr>
          <w:rFonts w:hint="eastAsia" w:ascii="宋体" w:hAnsi="宋体" w:cs="宋体"/>
          <w:b/>
          <w:bCs/>
          <w:color w:val="auto"/>
          <w:sz w:val="36"/>
          <w:szCs w:val="36"/>
          <w:highlight w:val="none"/>
          <w:lang w:bidi="ar"/>
        </w:rPr>
      </w:pPr>
      <w:bookmarkStart w:id="187" w:name="_Toc29680"/>
      <w:r>
        <w:rPr>
          <w:rFonts w:hint="eastAsia" w:ascii="宋体" w:hAnsi="宋体" w:cs="宋体"/>
          <w:b/>
          <w:bCs/>
          <w:color w:val="auto"/>
          <w:sz w:val="36"/>
          <w:szCs w:val="36"/>
          <w:highlight w:val="none"/>
          <w:lang w:bidi="ar"/>
        </w:rPr>
        <w:t>第六章  响应性文件格式</w:t>
      </w:r>
      <w:bookmarkEnd w:id="181"/>
      <w:bookmarkEnd w:id="182"/>
      <w:bookmarkEnd w:id="183"/>
      <w:bookmarkEnd w:id="184"/>
      <w:bookmarkEnd w:id="185"/>
      <w:bookmarkEnd w:id="186"/>
      <w:bookmarkEnd w:id="187"/>
    </w:p>
    <w:p w14:paraId="1009D5DA">
      <w:pPr>
        <w:widowControl/>
        <w:ind w:firstLine="360"/>
        <w:jc w:val="center"/>
        <w:rPr>
          <w:rFonts w:ascii="宋体" w:hAnsi="宋体" w:eastAsia="宋体" w:cs="宋体"/>
          <w:b/>
          <w:color w:val="auto"/>
          <w:kern w:val="0"/>
          <w:sz w:val="24"/>
          <w:highlight w:val="none"/>
        </w:rPr>
      </w:pPr>
      <w:bookmarkStart w:id="188" w:name="_Toc528078066"/>
      <w:bookmarkEnd w:id="188"/>
      <w:bookmarkStart w:id="189" w:name="_Toc394651921"/>
      <w:bookmarkEnd w:id="189"/>
      <w:bookmarkStart w:id="190" w:name="_Toc27687"/>
      <w:bookmarkEnd w:id="190"/>
      <w:bookmarkStart w:id="191" w:name="_Toc19996"/>
    </w:p>
    <w:p w14:paraId="0591F09C">
      <w:pPr>
        <w:widowControl/>
        <w:ind w:firstLine="360"/>
        <w:jc w:val="center"/>
        <w:rPr>
          <w:rFonts w:ascii="宋体" w:hAnsi="宋体" w:eastAsia="宋体" w:cs="宋体"/>
          <w:b/>
          <w:color w:val="auto"/>
          <w:kern w:val="0"/>
          <w:sz w:val="24"/>
          <w:highlight w:val="none"/>
        </w:rPr>
      </w:pPr>
    </w:p>
    <w:p w14:paraId="7E626F76">
      <w:pPr>
        <w:widowControl/>
        <w:ind w:firstLine="360"/>
        <w:jc w:val="center"/>
        <w:rPr>
          <w:rFonts w:ascii="宋体" w:hAnsi="宋体" w:eastAsia="宋体" w:cs="宋体"/>
          <w:b/>
          <w:color w:val="auto"/>
          <w:kern w:val="0"/>
          <w:sz w:val="24"/>
          <w:highlight w:val="none"/>
        </w:rPr>
      </w:pPr>
    </w:p>
    <w:p w14:paraId="2AC4DFA1">
      <w:pPr>
        <w:widowControl/>
        <w:ind w:firstLine="360"/>
        <w:jc w:val="center"/>
        <w:rPr>
          <w:rFonts w:ascii="宋体" w:hAnsi="宋体" w:eastAsia="宋体" w:cs="宋体"/>
          <w:b/>
          <w:color w:val="auto"/>
          <w:kern w:val="0"/>
          <w:sz w:val="24"/>
          <w:highlight w:val="none"/>
          <w:u w:val="single"/>
        </w:rPr>
      </w:pPr>
    </w:p>
    <w:p w14:paraId="710B6959">
      <w:pPr>
        <w:widowControl/>
        <w:ind w:firstLine="360"/>
        <w:jc w:val="center"/>
        <w:rPr>
          <w:rFonts w:ascii="宋体" w:hAnsi="宋体" w:eastAsia="宋体" w:cs="宋体"/>
          <w:b/>
          <w:color w:val="auto"/>
          <w:kern w:val="0"/>
          <w:sz w:val="24"/>
          <w:highlight w:val="none"/>
        </w:rPr>
      </w:pPr>
      <w:r>
        <w:rPr>
          <w:rFonts w:hint="eastAsia" w:ascii="宋体" w:hAnsi="宋体" w:eastAsia="宋体" w:cs="宋体"/>
          <w:b/>
          <w:color w:val="auto"/>
          <w:kern w:val="0"/>
          <w:sz w:val="24"/>
          <w:highlight w:val="none"/>
          <w:u w:val="single"/>
        </w:rPr>
        <w:t xml:space="preserve">                     </w:t>
      </w:r>
      <w:r>
        <w:rPr>
          <w:rFonts w:hint="eastAsia" w:ascii="宋体" w:hAnsi="宋体" w:eastAsia="宋体" w:cs="宋体"/>
          <w:b/>
          <w:color w:val="auto"/>
          <w:kern w:val="0"/>
          <w:sz w:val="24"/>
          <w:highlight w:val="none"/>
        </w:rPr>
        <w:t>（项目名称）</w:t>
      </w:r>
    </w:p>
    <w:p w14:paraId="49A97B4D">
      <w:pPr>
        <w:widowControl/>
        <w:ind w:firstLine="360"/>
        <w:jc w:val="center"/>
        <w:rPr>
          <w:rFonts w:ascii="宋体" w:hAnsi="宋体" w:eastAsia="宋体" w:cs="宋体"/>
          <w:b/>
          <w:color w:val="auto"/>
          <w:kern w:val="0"/>
          <w:sz w:val="24"/>
          <w:highlight w:val="none"/>
        </w:rPr>
      </w:pPr>
    </w:p>
    <w:p w14:paraId="76A7038F">
      <w:pPr>
        <w:widowControl/>
        <w:ind w:firstLine="3132" w:firstLineChars="1300"/>
        <w:jc w:val="left"/>
        <w:rPr>
          <w:rFonts w:ascii="宋体" w:hAnsi="宋体" w:eastAsia="宋体" w:cs="宋体"/>
          <w:b/>
          <w:color w:val="auto"/>
          <w:kern w:val="0"/>
          <w:sz w:val="24"/>
          <w:highlight w:val="none"/>
        </w:rPr>
      </w:pPr>
      <w:r>
        <w:rPr>
          <w:rFonts w:hint="eastAsia" w:ascii="宋体" w:hAnsi="宋体" w:eastAsia="宋体" w:cs="宋体"/>
          <w:b/>
          <w:color w:val="auto"/>
          <w:kern w:val="0"/>
          <w:sz w:val="24"/>
          <w:highlight w:val="none"/>
        </w:rPr>
        <w:t>项目编号：</w:t>
      </w:r>
    </w:p>
    <w:p w14:paraId="0D5E549D">
      <w:pPr>
        <w:widowControl/>
        <w:ind w:firstLine="360"/>
        <w:jc w:val="center"/>
        <w:rPr>
          <w:rFonts w:ascii="宋体" w:hAnsi="宋体" w:eastAsia="宋体" w:cs="宋体"/>
          <w:b/>
          <w:color w:val="auto"/>
          <w:kern w:val="0"/>
          <w:sz w:val="24"/>
          <w:highlight w:val="none"/>
        </w:rPr>
      </w:pPr>
    </w:p>
    <w:p w14:paraId="284170ED">
      <w:pPr>
        <w:widowControl/>
        <w:ind w:firstLine="360"/>
        <w:jc w:val="center"/>
        <w:rPr>
          <w:rFonts w:ascii="宋体" w:hAnsi="宋体" w:eastAsia="宋体" w:cs="宋体"/>
          <w:b/>
          <w:color w:val="auto"/>
          <w:kern w:val="0"/>
          <w:sz w:val="24"/>
          <w:highlight w:val="none"/>
        </w:rPr>
      </w:pPr>
    </w:p>
    <w:p w14:paraId="68339349">
      <w:pPr>
        <w:widowControl/>
        <w:ind w:firstLine="360"/>
        <w:jc w:val="center"/>
        <w:rPr>
          <w:rFonts w:ascii="宋体" w:hAnsi="宋体" w:eastAsia="宋体" w:cs="宋体"/>
          <w:b/>
          <w:color w:val="auto"/>
          <w:kern w:val="0"/>
          <w:sz w:val="24"/>
          <w:highlight w:val="none"/>
        </w:rPr>
      </w:pPr>
    </w:p>
    <w:p w14:paraId="0C99AE69">
      <w:pPr>
        <w:widowControl/>
        <w:ind w:firstLine="360"/>
        <w:jc w:val="center"/>
        <w:rPr>
          <w:rFonts w:ascii="宋体" w:hAnsi="宋体" w:eastAsia="宋体" w:cs="宋体"/>
          <w:b/>
          <w:color w:val="auto"/>
          <w:kern w:val="0"/>
          <w:sz w:val="24"/>
          <w:highlight w:val="none"/>
        </w:rPr>
      </w:pPr>
    </w:p>
    <w:p w14:paraId="044181DD">
      <w:pPr>
        <w:widowControl/>
        <w:ind w:firstLine="360"/>
        <w:jc w:val="center"/>
        <w:rPr>
          <w:rFonts w:ascii="宋体" w:hAnsi="宋体" w:eastAsia="宋体" w:cs="宋体"/>
          <w:b/>
          <w:color w:val="auto"/>
          <w:kern w:val="0"/>
          <w:sz w:val="24"/>
          <w:highlight w:val="none"/>
        </w:rPr>
      </w:pPr>
    </w:p>
    <w:p w14:paraId="2443CA54">
      <w:pPr>
        <w:widowControl/>
        <w:ind w:firstLine="360"/>
        <w:jc w:val="center"/>
        <w:rPr>
          <w:rFonts w:ascii="宋体" w:hAnsi="宋体" w:eastAsia="宋体" w:cs="宋体"/>
          <w:b/>
          <w:color w:val="auto"/>
          <w:kern w:val="0"/>
          <w:sz w:val="24"/>
          <w:highlight w:val="none"/>
        </w:rPr>
      </w:pPr>
    </w:p>
    <w:p w14:paraId="58C31DF8">
      <w:pPr>
        <w:widowControl/>
        <w:ind w:firstLine="360"/>
        <w:jc w:val="center"/>
        <w:rPr>
          <w:rFonts w:ascii="宋体" w:hAnsi="宋体" w:eastAsia="宋体" w:cs="宋体"/>
          <w:b/>
          <w:color w:val="auto"/>
          <w:kern w:val="0"/>
          <w:sz w:val="28"/>
          <w:szCs w:val="24"/>
          <w:highlight w:val="none"/>
        </w:rPr>
      </w:pPr>
      <w:r>
        <w:rPr>
          <w:rFonts w:hint="eastAsia" w:ascii="宋体" w:hAnsi="宋体" w:eastAsia="宋体" w:cs="宋体"/>
          <w:b/>
          <w:color w:val="auto"/>
          <w:kern w:val="0"/>
          <w:sz w:val="28"/>
          <w:szCs w:val="24"/>
          <w:highlight w:val="none"/>
        </w:rPr>
        <w:t>响</w:t>
      </w:r>
    </w:p>
    <w:p w14:paraId="50BF881F">
      <w:pPr>
        <w:widowControl/>
        <w:ind w:firstLine="360"/>
        <w:jc w:val="center"/>
        <w:rPr>
          <w:rFonts w:ascii="宋体" w:hAnsi="宋体" w:eastAsia="宋体" w:cs="宋体"/>
          <w:b/>
          <w:color w:val="auto"/>
          <w:kern w:val="0"/>
          <w:sz w:val="28"/>
          <w:szCs w:val="24"/>
          <w:highlight w:val="none"/>
        </w:rPr>
      </w:pPr>
    </w:p>
    <w:p w14:paraId="7645C46D">
      <w:pPr>
        <w:widowControl/>
        <w:ind w:firstLine="360"/>
        <w:jc w:val="center"/>
        <w:rPr>
          <w:rFonts w:ascii="宋体" w:hAnsi="宋体" w:eastAsia="宋体" w:cs="宋体"/>
          <w:b/>
          <w:color w:val="auto"/>
          <w:kern w:val="0"/>
          <w:sz w:val="28"/>
          <w:szCs w:val="24"/>
          <w:highlight w:val="none"/>
        </w:rPr>
      </w:pPr>
      <w:r>
        <w:rPr>
          <w:rFonts w:hint="eastAsia" w:ascii="宋体" w:hAnsi="宋体" w:eastAsia="宋体" w:cs="宋体"/>
          <w:b/>
          <w:color w:val="auto"/>
          <w:kern w:val="0"/>
          <w:sz w:val="28"/>
          <w:szCs w:val="24"/>
          <w:highlight w:val="none"/>
        </w:rPr>
        <w:t xml:space="preserve">应 </w:t>
      </w:r>
    </w:p>
    <w:p w14:paraId="0A6F59F5">
      <w:pPr>
        <w:widowControl/>
        <w:ind w:firstLine="360"/>
        <w:jc w:val="center"/>
        <w:rPr>
          <w:rFonts w:ascii="宋体" w:hAnsi="宋体" w:eastAsia="宋体" w:cs="宋体"/>
          <w:b/>
          <w:color w:val="auto"/>
          <w:kern w:val="0"/>
          <w:sz w:val="28"/>
          <w:szCs w:val="24"/>
          <w:highlight w:val="none"/>
        </w:rPr>
      </w:pPr>
      <w:r>
        <w:rPr>
          <w:rFonts w:ascii="宋体" w:hAnsi="宋体" w:eastAsia="宋体" w:cs="宋体"/>
          <w:b/>
          <w:color w:val="auto"/>
          <w:kern w:val="0"/>
          <w:sz w:val="28"/>
          <w:szCs w:val="24"/>
          <w:highlight w:val="none"/>
        </w:rPr>
        <w:t xml:space="preserve"> </w:t>
      </w:r>
    </w:p>
    <w:p w14:paraId="674CF570">
      <w:pPr>
        <w:widowControl/>
        <w:ind w:firstLine="360"/>
        <w:jc w:val="center"/>
        <w:rPr>
          <w:rFonts w:ascii="宋体" w:hAnsi="宋体" w:eastAsia="宋体" w:cs="宋体"/>
          <w:b/>
          <w:color w:val="auto"/>
          <w:kern w:val="0"/>
          <w:sz w:val="28"/>
          <w:szCs w:val="24"/>
          <w:highlight w:val="none"/>
        </w:rPr>
      </w:pPr>
      <w:r>
        <w:rPr>
          <w:rFonts w:hint="eastAsia" w:ascii="宋体" w:hAnsi="宋体" w:eastAsia="宋体" w:cs="宋体"/>
          <w:b/>
          <w:color w:val="auto"/>
          <w:kern w:val="0"/>
          <w:sz w:val="28"/>
          <w:szCs w:val="24"/>
          <w:highlight w:val="none"/>
        </w:rPr>
        <w:t xml:space="preserve">文 </w:t>
      </w:r>
    </w:p>
    <w:p w14:paraId="12006F79">
      <w:pPr>
        <w:widowControl/>
        <w:ind w:firstLine="360"/>
        <w:jc w:val="center"/>
        <w:rPr>
          <w:rFonts w:ascii="宋体" w:hAnsi="宋体" w:eastAsia="宋体" w:cs="宋体"/>
          <w:b/>
          <w:color w:val="auto"/>
          <w:kern w:val="0"/>
          <w:sz w:val="28"/>
          <w:szCs w:val="24"/>
          <w:highlight w:val="none"/>
        </w:rPr>
      </w:pPr>
      <w:r>
        <w:rPr>
          <w:rFonts w:ascii="宋体" w:hAnsi="宋体" w:eastAsia="宋体" w:cs="宋体"/>
          <w:b/>
          <w:color w:val="auto"/>
          <w:kern w:val="0"/>
          <w:sz w:val="28"/>
          <w:szCs w:val="24"/>
          <w:highlight w:val="none"/>
        </w:rPr>
        <w:t xml:space="preserve"> </w:t>
      </w:r>
    </w:p>
    <w:p w14:paraId="418C2736">
      <w:pPr>
        <w:widowControl/>
        <w:ind w:firstLine="360"/>
        <w:jc w:val="center"/>
        <w:rPr>
          <w:rFonts w:ascii="宋体" w:hAnsi="宋体" w:eastAsia="宋体" w:cs="宋体"/>
          <w:b/>
          <w:color w:val="auto"/>
          <w:kern w:val="0"/>
          <w:sz w:val="28"/>
          <w:szCs w:val="24"/>
          <w:highlight w:val="none"/>
        </w:rPr>
      </w:pPr>
      <w:r>
        <w:rPr>
          <w:rFonts w:hint="eastAsia" w:ascii="宋体" w:hAnsi="宋体" w:eastAsia="宋体" w:cs="宋体"/>
          <w:b/>
          <w:color w:val="auto"/>
          <w:kern w:val="0"/>
          <w:sz w:val="28"/>
          <w:szCs w:val="24"/>
          <w:highlight w:val="none"/>
        </w:rPr>
        <w:t>件</w:t>
      </w:r>
    </w:p>
    <w:p w14:paraId="5E12EC27">
      <w:pPr>
        <w:widowControl/>
        <w:ind w:firstLine="360"/>
        <w:jc w:val="center"/>
        <w:rPr>
          <w:rFonts w:ascii="宋体" w:hAnsi="宋体" w:eastAsia="宋体" w:cs="宋体"/>
          <w:b/>
          <w:color w:val="auto"/>
          <w:kern w:val="0"/>
          <w:sz w:val="24"/>
          <w:highlight w:val="none"/>
        </w:rPr>
      </w:pPr>
    </w:p>
    <w:p w14:paraId="5CF8690F">
      <w:pPr>
        <w:widowControl/>
        <w:spacing w:line="360" w:lineRule="auto"/>
        <w:ind w:firstLine="840" w:firstLineChars="350"/>
        <w:jc w:val="left"/>
        <w:rPr>
          <w:rFonts w:ascii="Calibri" w:hAnsi="Calibri" w:eastAsia="宋体" w:cs="Times New Roman"/>
          <w:color w:val="auto"/>
          <w:kern w:val="0"/>
          <w:sz w:val="24"/>
          <w:highlight w:val="none"/>
        </w:rPr>
      </w:pPr>
    </w:p>
    <w:p w14:paraId="358ABC1D">
      <w:pPr>
        <w:widowControl/>
        <w:spacing w:line="360" w:lineRule="auto"/>
        <w:ind w:firstLine="840" w:firstLineChars="350"/>
        <w:jc w:val="left"/>
        <w:rPr>
          <w:rFonts w:ascii="Calibri" w:hAnsi="Calibri" w:eastAsia="宋体" w:cs="Times New Roman"/>
          <w:color w:val="auto"/>
          <w:kern w:val="0"/>
          <w:sz w:val="24"/>
          <w:highlight w:val="none"/>
        </w:rPr>
      </w:pPr>
    </w:p>
    <w:p w14:paraId="769BB268">
      <w:pPr>
        <w:widowControl/>
        <w:spacing w:line="360" w:lineRule="auto"/>
        <w:ind w:firstLine="840" w:firstLineChars="350"/>
        <w:jc w:val="left"/>
        <w:rPr>
          <w:rFonts w:ascii="Calibri" w:hAnsi="Calibri" w:eastAsia="宋体" w:cs="Times New Roman"/>
          <w:color w:val="auto"/>
          <w:kern w:val="0"/>
          <w:sz w:val="24"/>
          <w:highlight w:val="none"/>
        </w:rPr>
      </w:pPr>
    </w:p>
    <w:p w14:paraId="45B5D94C">
      <w:pPr>
        <w:widowControl/>
        <w:spacing w:line="360" w:lineRule="auto"/>
        <w:ind w:firstLine="840" w:firstLineChars="350"/>
        <w:jc w:val="left"/>
        <w:rPr>
          <w:rFonts w:ascii="Calibri" w:hAnsi="Calibri" w:eastAsia="宋体" w:cs="Times New Roman"/>
          <w:color w:val="auto"/>
          <w:kern w:val="0"/>
          <w:sz w:val="24"/>
          <w:highlight w:val="none"/>
        </w:rPr>
      </w:pPr>
    </w:p>
    <w:p w14:paraId="6D908C7C">
      <w:pPr>
        <w:widowControl/>
        <w:spacing w:line="360" w:lineRule="auto"/>
        <w:ind w:firstLine="840" w:firstLineChars="350"/>
        <w:jc w:val="left"/>
        <w:rPr>
          <w:rFonts w:ascii="Calibri" w:hAnsi="Calibri" w:eastAsia="宋体" w:cs="Times New Roman"/>
          <w:color w:val="auto"/>
          <w:kern w:val="0"/>
          <w:sz w:val="24"/>
          <w:highlight w:val="none"/>
        </w:rPr>
      </w:pPr>
    </w:p>
    <w:p w14:paraId="7B6D9516">
      <w:pPr>
        <w:widowControl/>
        <w:spacing w:line="360" w:lineRule="auto"/>
        <w:ind w:firstLine="1446" w:firstLineChars="600"/>
        <w:jc w:val="left"/>
        <w:rPr>
          <w:rFonts w:ascii="Calibri" w:hAnsi="Calibri" w:eastAsia="宋体" w:cs="Times New Roman"/>
          <w:b/>
          <w:color w:val="auto"/>
          <w:kern w:val="0"/>
          <w:sz w:val="24"/>
          <w:highlight w:val="none"/>
        </w:rPr>
      </w:pPr>
      <w:r>
        <w:rPr>
          <w:rFonts w:hint="eastAsia" w:ascii="Calibri" w:hAnsi="Calibri" w:eastAsia="宋体" w:cs="Times New Roman"/>
          <w:b/>
          <w:color w:val="auto"/>
          <w:kern w:val="0"/>
          <w:sz w:val="24"/>
          <w:highlight w:val="none"/>
        </w:rPr>
        <w:t>供应商名称：</w:t>
      </w:r>
      <w:r>
        <w:rPr>
          <w:rFonts w:hint="eastAsia" w:ascii="Calibri" w:hAnsi="Calibri" w:eastAsia="宋体" w:cs="Times New Roman"/>
          <w:b/>
          <w:color w:val="auto"/>
          <w:kern w:val="0"/>
          <w:sz w:val="24"/>
          <w:highlight w:val="none"/>
          <w:u w:val="single"/>
        </w:rPr>
        <w:t xml:space="preserve">                                  </w:t>
      </w:r>
      <w:r>
        <w:rPr>
          <w:rFonts w:hint="eastAsia" w:ascii="Calibri" w:hAnsi="Calibri" w:eastAsia="宋体" w:cs="Times New Roman"/>
          <w:b/>
          <w:color w:val="auto"/>
          <w:kern w:val="0"/>
          <w:sz w:val="24"/>
          <w:highlight w:val="none"/>
        </w:rPr>
        <w:t>（电子签章）</w:t>
      </w:r>
    </w:p>
    <w:p w14:paraId="71C0D46A">
      <w:pPr>
        <w:widowControl/>
        <w:spacing w:line="360" w:lineRule="auto"/>
        <w:ind w:firstLine="1446" w:firstLineChars="600"/>
        <w:jc w:val="left"/>
        <w:rPr>
          <w:rFonts w:ascii="Calibri" w:hAnsi="Calibri" w:eastAsia="宋体" w:cs="Times New Roman"/>
          <w:b/>
          <w:color w:val="auto"/>
          <w:kern w:val="0"/>
          <w:sz w:val="24"/>
          <w:highlight w:val="none"/>
        </w:rPr>
      </w:pPr>
      <w:r>
        <w:rPr>
          <w:rFonts w:hint="eastAsia" w:ascii="Calibri" w:hAnsi="Calibri" w:eastAsia="宋体" w:cs="Times New Roman"/>
          <w:b/>
          <w:color w:val="auto"/>
          <w:kern w:val="0"/>
          <w:sz w:val="24"/>
          <w:highlight w:val="none"/>
        </w:rPr>
        <w:t>法定代表人：</w:t>
      </w:r>
      <w:r>
        <w:rPr>
          <w:rFonts w:hint="eastAsia" w:ascii="Calibri" w:hAnsi="Calibri" w:eastAsia="宋体" w:cs="Times New Roman"/>
          <w:b/>
          <w:color w:val="auto"/>
          <w:kern w:val="0"/>
          <w:sz w:val="24"/>
          <w:highlight w:val="none"/>
          <w:u w:val="single"/>
        </w:rPr>
        <w:t xml:space="preserve">                </w:t>
      </w:r>
      <w:r>
        <w:rPr>
          <w:rFonts w:hint="eastAsia" w:ascii="Calibri" w:hAnsi="Calibri" w:eastAsia="宋体" w:cs="Times New Roman"/>
          <w:b/>
          <w:color w:val="auto"/>
          <w:kern w:val="0"/>
          <w:sz w:val="24"/>
          <w:highlight w:val="none"/>
        </w:rPr>
        <w:t>（电子签章或签字）</w:t>
      </w:r>
    </w:p>
    <w:p w14:paraId="5057005A">
      <w:pPr>
        <w:widowControl/>
        <w:spacing w:line="360" w:lineRule="auto"/>
        <w:ind w:firstLine="843" w:firstLineChars="350"/>
        <w:jc w:val="left"/>
        <w:rPr>
          <w:rFonts w:ascii="Calibri" w:hAnsi="Calibri" w:eastAsia="宋体" w:cs="Times New Roman"/>
          <w:b/>
          <w:color w:val="auto"/>
          <w:kern w:val="0"/>
          <w:sz w:val="24"/>
          <w:highlight w:val="none"/>
        </w:rPr>
      </w:pPr>
      <w:r>
        <w:rPr>
          <w:rFonts w:hint="eastAsia" w:ascii="Calibri" w:hAnsi="Calibri" w:eastAsia="宋体" w:cs="Times New Roman"/>
          <w:b/>
          <w:color w:val="auto"/>
          <w:kern w:val="0"/>
          <w:sz w:val="24"/>
          <w:highlight w:val="none"/>
        </w:rPr>
        <w:t xml:space="preserve">        </w:t>
      </w:r>
      <w:r>
        <w:rPr>
          <w:rFonts w:hint="eastAsia" w:ascii="Calibri" w:hAnsi="Calibri" w:eastAsia="宋体" w:cs="Times New Roman"/>
          <w:b/>
          <w:color w:val="auto"/>
          <w:kern w:val="0"/>
          <w:sz w:val="24"/>
          <w:highlight w:val="none"/>
          <w:u w:val="single"/>
        </w:rPr>
        <w:t xml:space="preserve">            </w:t>
      </w:r>
      <w:r>
        <w:rPr>
          <w:rFonts w:hint="eastAsia" w:ascii="Calibri" w:hAnsi="Calibri" w:eastAsia="宋体" w:cs="Times New Roman"/>
          <w:b/>
          <w:color w:val="auto"/>
          <w:kern w:val="0"/>
          <w:sz w:val="24"/>
          <w:highlight w:val="none"/>
        </w:rPr>
        <w:t xml:space="preserve"> 年</w:t>
      </w:r>
      <w:r>
        <w:rPr>
          <w:rFonts w:hint="eastAsia" w:ascii="Calibri" w:hAnsi="Calibri" w:eastAsia="宋体" w:cs="Times New Roman"/>
          <w:b/>
          <w:color w:val="auto"/>
          <w:kern w:val="0"/>
          <w:sz w:val="24"/>
          <w:highlight w:val="none"/>
          <w:u w:val="single"/>
        </w:rPr>
        <w:t xml:space="preserve">        </w:t>
      </w:r>
      <w:r>
        <w:rPr>
          <w:rFonts w:hint="eastAsia" w:ascii="Calibri" w:hAnsi="Calibri" w:eastAsia="宋体" w:cs="Times New Roman"/>
          <w:b/>
          <w:color w:val="auto"/>
          <w:kern w:val="0"/>
          <w:sz w:val="24"/>
          <w:highlight w:val="none"/>
        </w:rPr>
        <w:t xml:space="preserve">月 </w:t>
      </w:r>
      <w:r>
        <w:rPr>
          <w:rFonts w:hint="eastAsia" w:ascii="Calibri" w:hAnsi="Calibri" w:eastAsia="宋体" w:cs="Times New Roman"/>
          <w:b/>
          <w:color w:val="auto"/>
          <w:kern w:val="0"/>
          <w:sz w:val="24"/>
          <w:highlight w:val="none"/>
          <w:u w:val="single"/>
        </w:rPr>
        <w:t xml:space="preserve">       </w:t>
      </w:r>
      <w:r>
        <w:rPr>
          <w:rFonts w:hint="eastAsia" w:ascii="Calibri" w:hAnsi="Calibri" w:eastAsia="宋体" w:cs="Times New Roman"/>
          <w:b/>
          <w:color w:val="auto"/>
          <w:kern w:val="0"/>
          <w:sz w:val="24"/>
          <w:highlight w:val="none"/>
        </w:rPr>
        <w:t>日</w:t>
      </w:r>
    </w:p>
    <w:p w14:paraId="1676A57D">
      <w:pPr>
        <w:widowControl/>
        <w:jc w:val="left"/>
        <w:rPr>
          <w:rFonts w:asciiTheme="minorEastAsia" w:hAnsiTheme="minorEastAsia" w:cstheme="minorEastAsia"/>
          <w:b/>
          <w:color w:val="auto"/>
          <w:sz w:val="28"/>
          <w:szCs w:val="28"/>
          <w:highlight w:val="none"/>
        </w:rPr>
      </w:pPr>
      <w:r>
        <w:rPr>
          <w:rFonts w:asciiTheme="minorEastAsia" w:hAnsiTheme="minorEastAsia" w:cstheme="minorEastAsia"/>
          <w:b/>
          <w:color w:val="auto"/>
          <w:sz w:val="28"/>
          <w:szCs w:val="28"/>
          <w:highlight w:val="none"/>
        </w:rPr>
        <w:br w:type="page"/>
      </w:r>
    </w:p>
    <w:p w14:paraId="26E9B3D4">
      <w:pPr>
        <w:spacing w:line="560" w:lineRule="exact"/>
        <w:jc w:val="center"/>
        <w:rPr>
          <w:rFonts w:asciiTheme="minorEastAsia" w:hAnsiTheme="minorEastAsia" w:cstheme="minorEastAsia"/>
          <w:b/>
          <w:color w:val="auto"/>
          <w:sz w:val="28"/>
          <w:szCs w:val="28"/>
          <w:highlight w:val="none"/>
        </w:rPr>
      </w:pPr>
      <w:r>
        <w:rPr>
          <w:rFonts w:hint="eastAsia" w:asciiTheme="minorEastAsia" w:hAnsiTheme="minorEastAsia" w:cstheme="minorEastAsia"/>
          <w:b/>
          <w:color w:val="auto"/>
          <w:sz w:val="28"/>
          <w:szCs w:val="28"/>
          <w:highlight w:val="none"/>
        </w:rPr>
        <w:t>目  录</w:t>
      </w:r>
    </w:p>
    <w:p w14:paraId="22813CF5">
      <w:pPr>
        <w:spacing w:line="560" w:lineRule="exact"/>
        <w:jc w:val="center"/>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（自拟）</w:t>
      </w:r>
    </w:p>
    <w:p w14:paraId="4E46E98B">
      <w:pPr>
        <w:spacing w:line="560" w:lineRule="exact"/>
        <w:rPr>
          <w:rFonts w:asciiTheme="minorEastAsia" w:hAnsiTheme="minorEastAsia" w:cstheme="minorEastAsia"/>
          <w:b/>
          <w:color w:val="auto"/>
          <w:sz w:val="28"/>
          <w:szCs w:val="28"/>
          <w:highlight w:val="none"/>
        </w:rPr>
      </w:pPr>
    </w:p>
    <w:p w14:paraId="028CC305">
      <w:pPr>
        <w:widowControl/>
        <w:spacing w:line="560" w:lineRule="exact"/>
        <w:jc w:val="left"/>
        <w:rPr>
          <w:rFonts w:asciiTheme="minorEastAsia" w:hAnsiTheme="minorEastAsia" w:cstheme="minorEastAsia"/>
          <w:b/>
          <w:color w:val="auto"/>
          <w:sz w:val="28"/>
          <w:szCs w:val="28"/>
          <w:highlight w:val="none"/>
        </w:rPr>
      </w:pPr>
      <w:r>
        <w:rPr>
          <w:rFonts w:hint="eastAsia" w:asciiTheme="minorEastAsia" w:hAnsiTheme="minorEastAsia" w:cstheme="minorEastAsia"/>
          <w:bCs/>
          <w:color w:val="auto"/>
          <w:sz w:val="28"/>
          <w:szCs w:val="28"/>
          <w:highlight w:val="none"/>
        </w:rPr>
        <w:br w:type="page"/>
      </w:r>
    </w:p>
    <w:bookmarkEnd w:id="191"/>
    <w:p w14:paraId="7FF9519B">
      <w:pPr>
        <w:pStyle w:val="6"/>
        <w:jc w:val="center"/>
        <w:rPr>
          <w:color w:val="auto"/>
          <w:highlight w:val="none"/>
        </w:rPr>
      </w:pPr>
      <w:r>
        <w:rPr>
          <w:rFonts w:hint="eastAsia"/>
          <w:color w:val="auto"/>
          <w:highlight w:val="none"/>
        </w:rPr>
        <w:t>一、投标函</w:t>
      </w:r>
      <w:bookmarkStart w:id="192" w:name="_Toc152045789"/>
      <w:bookmarkEnd w:id="192"/>
      <w:bookmarkStart w:id="193" w:name="_Toc246996357"/>
      <w:bookmarkEnd w:id="193"/>
      <w:bookmarkStart w:id="194" w:name="_Toc394651922"/>
      <w:bookmarkEnd w:id="194"/>
      <w:bookmarkStart w:id="195" w:name="_Toc179632809"/>
      <w:bookmarkEnd w:id="195"/>
      <w:bookmarkStart w:id="196" w:name="_Toc246997100"/>
      <w:bookmarkEnd w:id="196"/>
      <w:bookmarkStart w:id="197" w:name="_Toc247085875"/>
      <w:bookmarkEnd w:id="197"/>
      <w:bookmarkStart w:id="198" w:name="_Toc144974858"/>
      <w:bookmarkEnd w:id="198"/>
      <w:bookmarkStart w:id="199" w:name="_Toc19389"/>
      <w:bookmarkEnd w:id="199"/>
      <w:bookmarkStart w:id="200" w:name="_Toc152042578"/>
      <w:bookmarkEnd w:id="200"/>
      <w:r>
        <w:rPr>
          <w:rFonts w:hint="eastAsia"/>
          <w:color w:val="auto"/>
          <w:highlight w:val="none"/>
        </w:rPr>
        <w:t>及投标函附录</w:t>
      </w:r>
    </w:p>
    <w:p w14:paraId="233153C7">
      <w:pPr>
        <w:spacing w:line="560" w:lineRule="exact"/>
        <w:ind w:left="420"/>
        <w:jc w:val="center"/>
        <w:rPr>
          <w:rFonts w:asciiTheme="minorEastAsia" w:hAnsiTheme="minorEastAsia" w:cstheme="minorEastAsia"/>
          <w:b/>
          <w:color w:val="auto"/>
          <w:sz w:val="28"/>
          <w:szCs w:val="28"/>
          <w:highlight w:val="none"/>
        </w:rPr>
      </w:pPr>
      <w:r>
        <w:rPr>
          <w:rFonts w:hint="eastAsia" w:asciiTheme="minorEastAsia" w:hAnsiTheme="minorEastAsia" w:cstheme="minorEastAsia"/>
          <w:b/>
          <w:color w:val="auto"/>
          <w:sz w:val="28"/>
          <w:szCs w:val="28"/>
          <w:highlight w:val="none"/>
        </w:rPr>
        <w:t>（1）投标函</w:t>
      </w:r>
    </w:p>
    <w:p w14:paraId="52178985">
      <w:pPr>
        <w:rPr>
          <w:color w:val="auto"/>
          <w:highlight w:val="none"/>
        </w:rPr>
      </w:pPr>
    </w:p>
    <w:p w14:paraId="5F91F2E5">
      <w:pPr>
        <w:spacing w:line="480" w:lineRule="exact"/>
        <w:rPr>
          <w:rFonts w:ascii="宋体" w:hAnsi="宋体" w:cs="宋体"/>
          <w:color w:val="auto"/>
          <w:sz w:val="24"/>
          <w:szCs w:val="24"/>
          <w:highlight w:val="none"/>
        </w:rPr>
      </w:pPr>
      <w:r>
        <w:rPr>
          <w:rFonts w:hint="eastAsia"/>
          <w:color w:val="auto"/>
          <w:sz w:val="24"/>
          <w:szCs w:val="28"/>
          <w:highlight w:val="none"/>
        </w:rPr>
        <w:t>致 （采购人）：</w:t>
      </w:r>
      <w:r>
        <w:rPr>
          <w:rFonts w:hint="eastAsia" w:ascii="宋体" w:hAnsi="宋体" w:cs="宋体"/>
          <w:color w:val="auto"/>
          <w:sz w:val="24"/>
          <w:szCs w:val="24"/>
          <w:highlight w:val="none"/>
          <w:u w:val="single"/>
        </w:rPr>
        <w:t xml:space="preserve">                   </w:t>
      </w:r>
    </w:p>
    <w:p w14:paraId="7492EA72">
      <w:pPr>
        <w:spacing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1．我方已仔细研究了</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w:t>
      </w:r>
      <w:r>
        <w:rPr>
          <w:rFonts w:hint="eastAsia" w:ascii="宋体" w:hAnsi="宋体" w:cs="宋体"/>
          <w:color w:val="auto"/>
          <w:spacing w:val="-2"/>
          <w:sz w:val="24"/>
          <w:szCs w:val="24"/>
          <w:highlight w:val="none"/>
        </w:rPr>
        <w:t>竞争性磋商文件</w:t>
      </w:r>
      <w:r>
        <w:rPr>
          <w:rFonts w:hint="eastAsia" w:ascii="宋体" w:hAnsi="宋体" w:cs="宋体"/>
          <w:color w:val="auto"/>
          <w:sz w:val="24"/>
          <w:szCs w:val="24"/>
          <w:highlight w:val="none"/>
        </w:rPr>
        <w:t>的全部内容</w:t>
      </w:r>
      <w:r>
        <w:rPr>
          <w:rFonts w:hint="eastAsia" w:ascii="宋体" w:hAnsi="宋体" w:cs="宋体"/>
          <w:color w:val="auto"/>
          <w:spacing w:val="-2"/>
          <w:sz w:val="24"/>
          <w:szCs w:val="24"/>
          <w:highlight w:val="none"/>
        </w:rPr>
        <w:t>，按照竞争性磋商文件要求交付本次采购项目设备的投标报价为：(大写)</w:t>
      </w:r>
      <w:r>
        <w:rPr>
          <w:rFonts w:hint="eastAsia" w:ascii="宋体" w:hAnsi="宋体" w:cs="宋体"/>
          <w:color w:val="auto"/>
          <w:spacing w:val="-2"/>
          <w:sz w:val="24"/>
          <w:szCs w:val="24"/>
          <w:highlight w:val="none"/>
          <w:u w:val="single"/>
        </w:rPr>
        <w:t xml:space="preserve">       </w:t>
      </w:r>
      <w:r>
        <w:rPr>
          <w:rFonts w:hint="eastAsia" w:ascii="宋体" w:hAnsi="宋体" w:cs="宋体"/>
          <w:color w:val="auto"/>
          <w:spacing w:val="-2"/>
          <w:sz w:val="24"/>
          <w:szCs w:val="24"/>
          <w:highlight w:val="none"/>
        </w:rPr>
        <w:t>；小写：</w:t>
      </w:r>
      <w:r>
        <w:rPr>
          <w:rFonts w:hint="eastAsia" w:ascii="宋体" w:hAnsi="宋体" w:cs="宋体"/>
          <w:color w:val="auto"/>
          <w:spacing w:val="-2"/>
          <w:sz w:val="24"/>
          <w:szCs w:val="24"/>
          <w:highlight w:val="none"/>
          <w:u w:val="single"/>
        </w:rPr>
        <w:t xml:space="preserve">      </w:t>
      </w:r>
      <w:r>
        <w:rPr>
          <w:rFonts w:hint="eastAsia" w:ascii="宋体" w:hAnsi="宋体" w:cs="宋体"/>
          <w:color w:val="auto"/>
          <w:spacing w:val="-2"/>
          <w:sz w:val="24"/>
          <w:szCs w:val="24"/>
          <w:highlight w:val="none"/>
        </w:rPr>
        <w:t>元，</w:t>
      </w:r>
      <w:r>
        <w:rPr>
          <w:rFonts w:hint="eastAsia" w:ascii="宋体" w:hAnsi="宋体" w:cs="宋体"/>
          <w:color w:val="auto"/>
          <w:sz w:val="24"/>
          <w:szCs w:val="24"/>
          <w:highlight w:val="none"/>
        </w:rPr>
        <w:t>交货期</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，交货地点：</w:t>
      </w:r>
      <w:r>
        <w:rPr>
          <w:rFonts w:hint="eastAsia" w:ascii="宋体" w:hAnsi="宋体" w:cs="宋体"/>
          <w:color w:val="auto"/>
          <w:sz w:val="24"/>
          <w:szCs w:val="24"/>
          <w:highlight w:val="none"/>
          <w:u w:val="single"/>
        </w:rPr>
        <w:t xml:space="preserve">       </w:t>
      </w:r>
      <w:r>
        <w:rPr>
          <w:rFonts w:hint="eastAsia" w:cs="宋体"/>
          <w:color w:val="auto"/>
          <w:sz w:val="24"/>
          <w:szCs w:val="24"/>
          <w:highlight w:val="none"/>
        </w:rPr>
        <w:t>质量要求</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hint="eastAsia" w:asciiTheme="minorEastAsia" w:hAnsiTheme="minorEastAsia" w:cstheme="minorEastAsia"/>
          <w:color w:val="auto"/>
          <w:sz w:val="24"/>
          <w:szCs w:val="24"/>
          <w:highlight w:val="none"/>
        </w:rPr>
        <w:t>质保期</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531D47AB">
      <w:pPr>
        <w:spacing w:line="480" w:lineRule="exact"/>
        <w:ind w:firstLine="480" w:firstLineChars="200"/>
        <w:outlineLvl w:val="2"/>
        <w:rPr>
          <w:rFonts w:cs="宋体"/>
          <w:color w:val="auto"/>
          <w:sz w:val="24"/>
          <w:szCs w:val="24"/>
          <w:highlight w:val="none"/>
        </w:rPr>
      </w:pPr>
      <w:r>
        <w:rPr>
          <w:rFonts w:hint="eastAsia" w:ascii="宋体" w:hAnsi="宋体" w:cs="宋体"/>
          <w:color w:val="auto"/>
          <w:kern w:val="10"/>
          <w:sz w:val="24"/>
          <w:highlight w:val="none"/>
        </w:rPr>
        <w:t>2.如我</w:t>
      </w:r>
      <w:r>
        <w:rPr>
          <w:rFonts w:hint="eastAsia" w:cs="宋体"/>
          <w:color w:val="auto"/>
          <w:sz w:val="24"/>
          <w:szCs w:val="24"/>
          <w:highlight w:val="none"/>
        </w:rPr>
        <w:t>方中标：</w:t>
      </w:r>
    </w:p>
    <w:p w14:paraId="61290876">
      <w:pPr>
        <w:spacing w:line="360" w:lineRule="auto"/>
        <w:ind w:firstLine="720" w:firstLineChars="300"/>
        <w:rPr>
          <w:rFonts w:ascii="宋体" w:hAnsi="宋体" w:cs="宋体"/>
          <w:color w:val="auto"/>
          <w:kern w:val="10"/>
          <w:sz w:val="24"/>
          <w:highlight w:val="none"/>
        </w:rPr>
      </w:pPr>
      <w:r>
        <w:rPr>
          <w:rFonts w:hint="eastAsia" w:ascii="宋体" w:hAnsi="宋体" w:cs="宋体"/>
          <w:color w:val="auto"/>
          <w:kern w:val="10"/>
          <w:sz w:val="24"/>
          <w:highlight w:val="none"/>
        </w:rPr>
        <w:t>1.我方承诺在收到中标通知书后，在中标通知书规定的期限内与你方签订合同。</w:t>
      </w:r>
    </w:p>
    <w:p w14:paraId="6D283394">
      <w:pPr>
        <w:spacing w:line="360" w:lineRule="auto"/>
        <w:ind w:firstLine="720" w:firstLineChars="300"/>
        <w:rPr>
          <w:rFonts w:ascii="宋体" w:hAnsi="宋体" w:cs="宋体"/>
          <w:color w:val="auto"/>
          <w:kern w:val="10"/>
          <w:sz w:val="24"/>
          <w:highlight w:val="none"/>
        </w:rPr>
      </w:pPr>
      <w:r>
        <w:rPr>
          <w:rFonts w:hint="eastAsia" w:ascii="宋体" w:hAnsi="宋体" w:cs="宋体"/>
          <w:color w:val="auto"/>
          <w:kern w:val="10"/>
          <w:sz w:val="24"/>
          <w:highlight w:val="none"/>
        </w:rPr>
        <w:t>2.如果我们的投标书被接受，我们将履行竞争性磋商文件中规定的每一项要求，按期、按质、按量履行合同。</w:t>
      </w:r>
    </w:p>
    <w:p w14:paraId="25672528">
      <w:pPr>
        <w:spacing w:line="360" w:lineRule="auto"/>
        <w:ind w:firstLine="720" w:firstLineChars="300"/>
        <w:rPr>
          <w:rFonts w:ascii="宋体" w:hAnsi="宋体" w:cs="宋体"/>
          <w:color w:val="auto"/>
          <w:kern w:val="10"/>
          <w:sz w:val="24"/>
          <w:highlight w:val="none"/>
        </w:rPr>
      </w:pPr>
      <w:r>
        <w:rPr>
          <w:rFonts w:hint="eastAsia" w:ascii="宋体" w:hAnsi="宋体" w:cs="宋体"/>
          <w:color w:val="auto"/>
          <w:kern w:val="10"/>
          <w:sz w:val="24"/>
          <w:highlight w:val="none"/>
        </w:rPr>
        <w:t>3.我方已详细研究全部竞争性磋商文件，包括修改文件以及全部参考资料和有关附件。我们完全理解并同意放弃对这方面有不明及误解的权力。</w:t>
      </w:r>
    </w:p>
    <w:p w14:paraId="208824F6">
      <w:pPr>
        <w:spacing w:line="360" w:lineRule="auto"/>
        <w:ind w:firstLine="720" w:firstLineChars="300"/>
        <w:rPr>
          <w:rFonts w:ascii="宋体" w:hAnsi="宋体" w:cs="宋体"/>
          <w:color w:val="auto"/>
          <w:kern w:val="10"/>
          <w:sz w:val="24"/>
          <w:highlight w:val="none"/>
        </w:rPr>
      </w:pPr>
      <w:r>
        <w:rPr>
          <w:rFonts w:hint="eastAsia" w:ascii="宋体" w:hAnsi="宋体" w:cs="宋体"/>
          <w:color w:val="auto"/>
          <w:kern w:val="10"/>
          <w:sz w:val="24"/>
          <w:highlight w:val="none"/>
        </w:rPr>
        <w:t>4.本项目磋商有效期为</w:t>
      </w:r>
      <w:r>
        <w:rPr>
          <w:rFonts w:hint="eastAsia" w:ascii="宋体" w:hAnsi="宋体" w:cs="宋体"/>
          <w:color w:val="auto"/>
          <w:kern w:val="10"/>
          <w:sz w:val="24"/>
          <w:highlight w:val="none"/>
          <w:u w:val="single"/>
        </w:rPr>
        <w:t xml:space="preserve">             </w:t>
      </w:r>
      <w:r>
        <w:rPr>
          <w:rFonts w:hint="eastAsia" w:ascii="宋体" w:hAnsi="宋体" w:cs="宋体"/>
          <w:color w:val="auto"/>
          <w:kern w:val="10"/>
          <w:sz w:val="24"/>
          <w:highlight w:val="none"/>
        </w:rPr>
        <w:t>。</w:t>
      </w:r>
    </w:p>
    <w:p w14:paraId="63923508">
      <w:pPr>
        <w:spacing w:line="360" w:lineRule="auto"/>
        <w:ind w:firstLine="720" w:firstLineChars="300"/>
        <w:rPr>
          <w:rFonts w:ascii="宋体" w:hAnsi="宋体" w:cs="宋体"/>
          <w:color w:val="auto"/>
          <w:kern w:val="10"/>
          <w:sz w:val="24"/>
          <w:highlight w:val="none"/>
        </w:rPr>
      </w:pPr>
      <w:r>
        <w:rPr>
          <w:rFonts w:hint="eastAsia" w:ascii="宋体" w:hAnsi="宋体" w:cs="宋体"/>
          <w:color w:val="auto"/>
          <w:kern w:val="10"/>
          <w:sz w:val="24"/>
          <w:highlight w:val="none"/>
        </w:rPr>
        <w:t>5.我方同意提供按照贵方可能要求的与投标有关的一切数据或资料，理解贵方不一定接受最低价的投标或收到的任何投标。</w:t>
      </w:r>
    </w:p>
    <w:p w14:paraId="12EFA2D0">
      <w:pPr>
        <w:spacing w:line="360" w:lineRule="auto"/>
        <w:ind w:firstLine="720" w:firstLineChars="300"/>
        <w:rPr>
          <w:rFonts w:ascii="宋体" w:hAnsi="宋体" w:cs="宋体"/>
          <w:color w:val="auto"/>
          <w:kern w:val="10"/>
          <w:sz w:val="24"/>
          <w:highlight w:val="none"/>
        </w:rPr>
      </w:pPr>
      <w:r>
        <w:rPr>
          <w:rFonts w:hint="eastAsia" w:ascii="宋体" w:hAnsi="宋体" w:cs="宋体"/>
          <w:color w:val="auto"/>
          <w:kern w:val="10"/>
          <w:sz w:val="24"/>
          <w:highlight w:val="none"/>
        </w:rPr>
        <w:t>6.我单位声明参加本次政府采购活动前3年内在经营活动中没有重大违法记录（重大违法记录，是指投标人因违法经营受到刑事处罚或者责令停产停业、吊销许可证或者执照、较大数额罚款等行政处罚）。</w:t>
      </w:r>
    </w:p>
    <w:p w14:paraId="63D018DF">
      <w:pPr>
        <w:spacing w:line="360" w:lineRule="auto"/>
        <w:ind w:firstLine="480" w:firstLineChars="200"/>
        <w:rPr>
          <w:rFonts w:ascii="宋体" w:hAnsi="宋体" w:cs="宋体"/>
          <w:b/>
          <w:bCs/>
          <w:color w:val="auto"/>
          <w:kern w:val="10"/>
          <w:sz w:val="24"/>
          <w:highlight w:val="none"/>
        </w:rPr>
      </w:pPr>
      <w:r>
        <w:rPr>
          <w:rFonts w:hint="eastAsia" w:ascii="宋体" w:hAnsi="宋体" w:cs="宋体"/>
          <w:color w:val="auto"/>
          <w:kern w:val="10"/>
          <w:sz w:val="24"/>
          <w:highlight w:val="none"/>
        </w:rPr>
        <w:t>7.我方</w:t>
      </w:r>
      <w:r>
        <w:rPr>
          <w:rFonts w:hint="eastAsia" w:cs="宋体"/>
          <w:color w:val="auto"/>
          <w:sz w:val="24"/>
          <w:szCs w:val="24"/>
          <w:highlight w:val="none"/>
        </w:rPr>
        <w:t>在此声明，所递交的响应文件及有关资料内容完整、真实和准确。</w:t>
      </w:r>
    </w:p>
    <w:p w14:paraId="4BED750D">
      <w:pPr>
        <w:spacing w:line="360" w:lineRule="auto"/>
        <w:ind w:firstLine="480" w:firstLineChars="200"/>
        <w:rPr>
          <w:rFonts w:ascii="宋体" w:hAnsi="宋体" w:cs="宋体"/>
          <w:color w:val="auto"/>
          <w:kern w:val="10"/>
          <w:sz w:val="24"/>
          <w:highlight w:val="none"/>
        </w:rPr>
      </w:pPr>
      <w:r>
        <w:rPr>
          <w:rFonts w:hint="eastAsia" w:ascii="宋体" w:hAnsi="宋体" w:cs="宋体"/>
          <w:color w:val="auto"/>
          <w:kern w:val="10"/>
          <w:sz w:val="24"/>
          <w:highlight w:val="none"/>
        </w:rPr>
        <w:t>8．其他补充说明：</w:t>
      </w:r>
      <w:r>
        <w:rPr>
          <w:rFonts w:hint="eastAsia" w:ascii="宋体" w:hAnsi="宋体" w:cs="宋体"/>
          <w:color w:val="auto"/>
          <w:kern w:val="10"/>
          <w:sz w:val="24"/>
          <w:highlight w:val="none"/>
          <w:u w:val="single"/>
        </w:rPr>
        <w:t xml:space="preserve">       </w:t>
      </w:r>
      <w:r>
        <w:rPr>
          <w:rFonts w:hint="eastAsia" w:ascii="宋体" w:hAnsi="宋体" w:cs="宋体"/>
          <w:color w:val="auto"/>
          <w:kern w:val="10"/>
          <w:sz w:val="24"/>
          <w:highlight w:val="none"/>
        </w:rPr>
        <w:t>（如有）。</w:t>
      </w:r>
    </w:p>
    <w:p w14:paraId="7CDDCDF6">
      <w:pPr>
        <w:spacing w:line="480" w:lineRule="exact"/>
        <w:ind w:firstLine="4200" w:firstLineChars="1750"/>
        <w:rPr>
          <w:rFonts w:ascii="宋体" w:hAnsi="宋体" w:cs="宋体"/>
          <w:color w:val="auto"/>
          <w:sz w:val="24"/>
          <w:highlight w:val="none"/>
        </w:rPr>
      </w:pPr>
    </w:p>
    <w:p w14:paraId="401C6D32">
      <w:pPr>
        <w:spacing w:line="480" w:lineRule="exact"/>
        <w:ind w:firstLine="4200" w:firstLineChars="1750"/>
        <w:rPr>
          <w:rFonts w:ascii="宋体" w:hAnsi="宋体" w:cs="宋体"/>
          <w:color w:val="auto"/>
          <w:sz w:val="24"/>
          <w:highlight w:val="none"/>
        </w:rPr>
      </w:pPr>
    </w:p>
    <w:p w14:paraId="4D6C366B">
      <w:pPr>
        <w:spacing w:line="540" w:lineRule="exact"/>
        <w:jc w:val="right"/>
        <w:rPr>
          <w:rFonts w:ascii="Calibri" w:hAnsi="Calibri" w:eastAsia="宋体" w:cs="Times New Roman"/>
          <w:color w:val="auto"/>
          <w:kern w:val="0"/>
          <w:sz w:val="24"/>
          <w:highlight w:val="none"/>
          <w:u w:val="single"/>
        </w:rPr>
      </w:pPr>
      <w:r>
        <w:rPr>
          <w:rFonts w:hint="eastAsia" w:asciiTheme="minorEastAsia" w:hAnsiTheme="minorEastAsia" w:cstheme="minorEastAsia"/>
          <w:color w:val="auto"/>
          <w:sz w:val="28"/>
          <w:szCs w:val="28"/>
          <w:highlight w:val="none"/>
        </w:rPr>
        <w:t xml:space="preserve">                       </w:t>
      </w:r>
      <w:r>
        <w:rPr>
          <w:rFonts w:hint="eastAsia" w:ascii="Calibri" w:hAnsi="Calibri" w:eastAsia="宋体" w:cs="Times New Roman"/>
          <w:color w:val="auto"/>
          <w:kern w:val="0"/>
          <w:sz w:val="24"/>
          <w:highlight w:val="none"/>
        </w:rPr>
        <w:t>供应商名称</w:t>
      </w:r>
      <w:r>
        <w:rPr>
          <w:rFonts w:ascii="Calibri" w:hAnsi="Calibri" w:eastAsia="宋体" w:cs="Times New Roman"/>
          <w:color w:val="auto"/>
          <w:kern w:val="0"/>
          <w:sz w:val="24"/>
          <w:highlight w:val="none"/>
        </w:rPr>
        <w:t>：</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w:t>
      </w:r>
      <w:r>
        <w:rPr>
          <w:rFonts w:hint="eastAsia" w:ascii="Calibri" w:hAnsi="Calibri" w:eastAsia="宋体" w:cs="Times New Roman"/>
          <w:color w:val="auto"/>
          <w:kern w:val="0"/>
          <w:sz w:val="24"/>
          <w:highlight w:val="none"/>
        </w:rPr>
        <w:t>电子签章</w:t>
      </w:r>
      <w:r>
        <w:rPr>
          <w:rFonts w:ascii="Calibri" w:hAnsi="Calibri" w:eastAsia="宋体" w:cs="Times New Roman"/>
          <w:color w:val="auto"/>
          <w:kern w:val="0"/>
          <w:sz w:val="24"/>
          <w:highlight w:val="none"/>
        </w:rPr>
        <w:t>）</w:t>
      </w:r>
    </w:p>
    <w:p w14:paraId="51AF5428">
      <w:pPr>
        <w:widowControl/>
        <w:spacing w:line="540" w:lineRule="exact"/>
        <w:ind w:firstLine="360"/>
        <w:jc w:val="right"/>
        <w:rPr>
          <w:rFonts w:ascii="Calibri" w:hAnsi="Calibri" w:eastAsia="宋体" w:cs="Times New Roman"/>
          <w:color w:val="auto"/>
          <w:kern w:val="0"/>
          <w:sz w:val="24"/>
          <w:highlight w:val="none"/>
          <w:u w:val="single"/>
        </w:rPr>
      </w:pPr>
      <w:r>
        <w:rPr>
          <w:rFonts w:ascii="Calibri" w:hAnsi="Calibri" w:eastAsia="宋体" w:cs="Times New Roman"/>
          <w:color w:val="auto"/>
          <w:kern w:val="0"/>
          <w:sz w:val="24"/>
          <w:highlight w:val="none"/>
        </w:rPr>
        <w:t xml:space="preserve">法定代表人： </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w:t>
      </w:r>
      <w:r>
        <w:rPr>
          <w:rFonts w:hint="eastAsia" w:ascii="Calibri" w:hAnsi="Calibri" w:eastAsia="宋体" w:cs="Times New Roman"/>
          <w:color w:val="auto"/>
          <w:kern w:val="0"/>
          <w:sz w:val="24"/>
          <w:highlight w:val="none"/>
        </w:rPr>
        <w:t>电子签章或签字</w:t>
      </w:r>
      <w:r>
        <w:rPr>
          <w:rFonts w:ascii="Calibri" w:hAnsi="Calibri" w:eastAsia="宋体" w:cs="Times New Roman"/>
          <w:color w:val="auto"/>
          <w:kern w:val="0"/>
          <w:sz w:val="24"/>
          <w:highlight w:val="none"/>
        </w:rPr>
        <w:t>）</w:t>
      </w:r>
    </w:p>
    <w:p w14:paraId="0EE10C15">
      <w:pPr>
        <w:widowControl/>
        <w:spacing w:line="540" w:lineRule="exact"/>
        <w:ind w:firstLine="360"/>
        <w:jc w:val="right"/>
        <w:rPr>
          <w:rFonts w:ascii="Calibri" w:hAnsi="Calibri" w:eastAsia="宋体" w:cs="Times New Roman"/>
          <w:color w:val="auto"/>
          <w:kern w:val="0"/>
          <w:sz w:val="24"/>
          <w:highlight w:val="none"/>
        </w:rPr>
      </w:pPr>
      <w:r>
        <w:rPr>
          <w:rFonts w:ascii="Calibri" w:hAnsi="Calibri" w:eastAsia="宋体" w:cs="Times New Roman"/>
          <w:color w:val="auto"/>
          <w:kern w:val="0"/>
          <w:sz w:val="24"/>
          <w:highlight w:val="none"/>
        </w:rPr>
        <w:t>日期：</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年</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月</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日</w:t>
      </w:r>
    </w:p>
    <w:p w14:paraId="1FD7A5DB">
      <w:pPr>
        <w:jc w:val="center"/>
        <w:rPr>
          <w:rFonts w:ascii="宋体" w:hAnsi="宋体" w:cs="宋体"/>
          <w:b/>
          <w:bCs/>
          <w:color w:val="auto"/>
          <w:sz w:val="24"/>
          <w:highlight w:val="none"/>
        </w:rPr>
      </w:pPr>
      <w:r>
        <w:rPr>
          <w:rFonts w:hint="eastAsia" w:ascii="宋体" w:hAnsi="宋体" w:cs="宋体"/>
          <w:b/>
          <w:bCs/>
          <w:color w:val="auto"/>
          <w:sz w:val="24"/>
          <w:highlight w:val="none"/>
        </w:rPr>
        <w:br w:type="page"/>
      </w:r>
      <w:bookmarkStart w:id="201" w:name="_Toc528078068"/>
      <w:bookmarkEnd w:id="201"/>
      <w:r>
        <w:rPr>
          <w:rFonts w:hint="eastAsia" w:ascii="宋体" w:hAnsi="宋体" w:cs="宋体"/>
          <w:b/>
          <w:bCs/>
          <w:color w:val="auto"/>
          <w:sz w:val="24"/>
          <w:highlight w:val="none"/>
        </w:rPr>
        <w:t>（2）投标函附录</w:t>
      </w:r>
    </w:p>
    <w:tbl>
      <w:tblPr>
        <w:tblStyle w:val="20"/>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768"/>
        <w:gridCol w:w="6733"/>
      </w:tblGrid>
      <w:tr w14:paraId="599241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405B7564">
            <w:pPr>
              <w:spacing w:line="480" w:lineRule="exact"/>
              <w:jc w:val="center"/>
              <w:rPr>
                <w:rFonts w:cs="宋体"/>
                <w:color w:val="auto"/>
                <w:sz w:val="24"/>
                <w:szCs w:val="24"/>
                <w:highlight w:val="none"/>
              </w:rPr>
            </w:pPr>
            <w:r>
              <w:rPr>
                <w:rFonts w:hint="eastAsia" w:cs="宋体"/>
                <w:color w:val="auto"/>
                <w:sz w:val="24"/>
                <w:szCs w:val="24"/>
                <w:highlight w:val="none"/>
              </w:rPr>
              <w:t>项目名称</w:t>
            </w:r>
          </w:p>
        </w:tc>
        <w:tc>
          <w:tcPr>
            <w:tcW w:w="6733" w:type="dxa"/>
            <w:tcBorders>
              <w:top w:val="single" w:color="auto" w:sz="4" w:space="0"/>
              <w:left w:val="nil"/>
              <w:bottom w:val="single" w:color="auto" w:sz="4" w:space="0"/>
              <w:right w:val="single" w:color="auto" w:sz="4" w:space="0"/>
            </w:tcBorders>
            <w:vAlign w:val="center"/>
          </w:tcPr>
          <w:p w14:paraId="323BD9D8">
            <w:pPr>
              <w:spacing w:line="480" w:lineRule="exact"/>
              <w:ind w:firstLine="818" w:firstLineChars="341"/>
              <w:rPr>
                <w:rFonts w:cs="宋体"/>
                <w:color w:val="auto"/>
                <w:sz w:val="24"/>
                <w:szCs w:val="24"/>
                <w:highlight w:val="none"/>
              </w:rPr>
            </w:pPr>
          </w:p>
        </w:tc>
      </w:tr>
      <w:tr w14:paraId="3B76AD4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795A8D3D">
            <w:pPr>
              <w:spacing w:line="480" w:lineRule="exact"/>
              <w:jc w:val="center"/>
              <w:rPr>
                <w:rFonts w:cs="宋体"/>
                <w:color w:val="auto"/>
                <w:sz w:val="24"/>
                <w:szCs w:val="24"/>
                <w:highlight w:val="none"/>
              </w:rPr>
            </w:pPr>
            <w:r>
              <w:rPr>
                <w:rFonts w:hint="eastAsia" w:cs="宋体"/>
                <w:color w:val="auto"/>
                <w:sz w:val="24"/>
                <w:szCs w:val="24"/>
                <w:highlight w:val="none"/>
              </w:rPr>
              <w:t>供应商名称</w:t>
            </w:r>
          </w:p>
        </w:tc>
        <w:tc>
          <w:tcPr>
            <w:tcW w:w="6733" w:type="dxa"/>
            <w:tcBorders>
              <w:top w:val="single" w:color="auto" w:sz="4" w:space="0"/>
              <w:left w:val="nil"/>
              <w:bottom w:val="single" w:color="auto" w:sz="4" w:space="0"/>
              <w:right w:val="single" w:color="auto" w:sz="4" w:space="0"/>
            </w:tcBorders>
            <w:vAlign w:val="center"/>
          </w:tcPr>
          <w:p w14:paraId="4AA86D97">
            <w:pPr>
              <w:spacing w:line="480" w:lineRule="exact"/>
              <w:ind w:firstLine="818" w:firstLineChars="341"/>
              <w:rPr>
                <w:rFonts w:cs="宋体"/>
                <w:color w:val="auto"/>
                <w:sz w:val="24"/>
                <w:szCs w:val="24"/>
                <w:highlight w:val="none"/>
              </w:rPr>
            </w:pPr>
          </w:p>
        </w:tc>
      </w:tr>
      <w:tr w14:paraId="62A7D14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44368E7A">
            <w:pPr>
              <w:spacing w:line="480" w:lineRule="exact"/>
              <w:jc w:val="center"/>
              <w:rPr>
                <w:rFonts w:cs="宋体"/>
                <w:color w:val="auto"/>
                <w:sz w:val="24"/>
                <w:szCs w:val="24"/>
                <w:highlight w:val="none"/>
              </w:rPr>
            </w:pPr>
            <w:r>
              <w:rPr>
                <w:rFonts w:hint="eastAsia" w:cs="宋体"/>
                <w:color w:val="auto"/>
                <w:sz w:val="24"/>
                <w:szCs w:val="24"/>
                <w:highlight w:val="none"/>
              </w:rPr>
              <w:t>供应商地址</w:t>
            </w:r>
          </w:p>
        </w:tc>
        <w:tc>
          <w:tcPr>
            <w:tcW w:w="6733" w:type="dxa"/>
            <w:tcBorders>
              <w:top w:val="single" w:color="auto" w:sz="4" w:space="0"/>
              <w:left w:val="nil"/>
              <w:bottom w:val="single" w:color="auto" w:sz="4" w:space="0"/>
              <w:right w:val="single" w:color="auto" w:sz="4" w:space="0"/>
            </w:tcBorders>
            <w:vAlign w:val="center"/>
          </w:tcPr>
          <w:p w14:paraId="4683B39B">
            <w:pPr>
              <w:spacing w:line="480" w:lineRule="exact"/>
              <w:ind w:firstLine="818" w:firstLineChars="341"/>
              <w:rPr>
                <w:rFonts w:cs="宋体"/>
                <w:color w:val="auto"/>
                <w:sz w:val="24"/>
                <w:szCs w:val="24"/>
                <w:highlight w:val="none"/>
              </w:rPr>
            </w:pPr>
          </w:p>
        </w:tc>
      </w:tr>
      <w:tr w14:paraId="40AB820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E637CE9">
            <w:pPr>
              <w:spacing w:line="480" w:lineRule="exact"/>
              <w:jc w:val="center"/>
              <w:rPr>
                <w:rFonts w:cs="宋体"/>
                <w:color w:val="auto"/>
                <w:sz w:val="24"/>
                <w:szCs w:val="24"/>
                <w:highlight w:val="none"/>
              </w:rPr>
            </w:pPr>
            <w:r>
              <w:rPr>
                <w:rFonts w:hint="eastAsia" w:cs="宋体"/>
                <w:color w:val="auto"/>
                <w:sz w:val="24"/>
                <w:szCs w:val="24"/>
                <w:highlight w:val="none"/>
              </w:rPr>
              <w:t>供应商统一社会信用代码</w:t>
            </w:r>
          </w:p>
        </w:tc>
        <w:tc>
          <w:tcPr>
            <w:tcW w:w="6733" w:type="dxa"/>
            <w:tcBorders>
              <w:top w:val="single" w:color="auto" w:sz="4" w:space="0"/>
              <w:left w:val="nil"/>
              <w:bottom w:val="single" w:color="auto" w:sz="4" w:space="0"/>
              <w:right w:val="single" w:color="auto" w:sz="4" w:space="0"/>
            </w:tcBorders>
            <w:vAlign w:val="center"/>
          </w:tcPr>
          <w:p w14:paraId="4C9507C3">
            <w:pPr>
              <w:spacing w:line="480" w:lineRule="exact"/>
              <w:ind w:firstLine="818" w:firstLineChars="341"/>
              <w:rPr>
                <w:rFonts w:cs="宋体"/>
                <w:color w:val="auto"/>
                <w:sz w:val="24"/>
                <w:szCs w:val="24"/>
                <w:highlight w:val="none"/>
              </w:rPr>
            </w:pPr>
          </w:p>
        </w:tc>
      </w:tr>
      <w:tr w14:paraId="7CA4A57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0" w:hRule="atLeast"/>
        </w:trPr>
        <w:tc>
          <w:tcPr>
            <w:tcW w:w="1768" w:type="dxa"/>
            <w:tcBorders>
              <w:top w:val="single" w:color="auto" w:sz="4" w:space="0"/>
              <w:left w:val="single" w:color="auto" w:sz="4" w:space="0"/>
              <w:bottom w:val="nil"/>
              <w:right w:val="single" w:color="auto" w:sz="4" w:space="0"/>
            </w:tcBorders>
            <w:vAlign w:val="center"/>
          </w:tcPr>
          <w:p w14:paraId="55F25C2C">
            <w:pPr>
              <w:spacing w:line="480" w:lineRule="exact"/>
              <w:jc w:val="center"/>
              <w:rPr>
                <w:rFonts w:cs="宋体"/>
                <w:color w:val="auto"/>
                <w:sz w:val="24"/>
                <w:szCs w:val="24"/>
                <w:highlight w:val="none"/>
              </w:rPr>
            </w:pPr>
            <w:r>
              <w:rPr>
                <w:rFonts w:hint="eastAsia" w:cs="宋体"/>
                <w:color w:val="auto"/>
                <w:sz w:val="24"/>
                <w:szCs w:val="24"/>
                <w:highlight w:val="none"/>
              </w:rPr>
              <w:t>投标报价</w:t>
            </w:r>
          </w:p>
        </w:tc>
        <w:tc>
          <w:tcPr>
            <w:tcW w:w="6733" w:type="dxa"/>
            <w:tcBorders>
              <w:top w:val="single" w:color="auto" w:sz="4" w:space="0"/>
              <w:left w:val="nil"/>
              <w:bottom w:val="single" w:color="auto" w:sz="4" w:space="0"/>
              <w:right w:val="single" w:color="auto" w:sz="4" w:space="0"/>
            </w:tcBorders>
            <w:vAlign w:val="center"/>
          </w:tcPr>
          <w:p w14:paraId="7E41B96C">
            <w:pPr>
              <w:spacing w:line="480" w:lineRule="exact"/>
              <w:rPr>
                <w:rFonts w:cs="宋体"/>
                <w:color w:val="auto"/>
                <w:sz w:val="24"/>
                <w:szCs w:val="24"/>
                <w:highlight w:val="none"/>
              </w:rPr>
            </w:pPr>
            <w:r>
              <w:rPr>
                <w:rFonts w:hint="eastAsia" w:cs="宋体"/>
                <w:color w:val="auto"/>
                <w:sz w:val="24"/>
                <w:szCs w:val="24"/>
                <w:highlight w:val="none"/>
              </w:rPr>
              <w:t>（大写）</w:t>
            </w:r>
            <w:r>
              <w:rPr>
                <w:rFonts w:hint="eastAsia" w:cs="宋体"/>
                <w:color w:val="auto"/>
                <w:sz w:val="24"/>
                <w:szCs w:val="24"/>
                <w:highlight w:val="none"/>
                <w:u w:val="single"/>
              </w:rPr>
              <w:t xml:space="preserve">           </w:t>
            </w:r>
            <w:r>
              <w:rPr>
                <w:rFonts w:hint="eastAsia" w:cs="宋体"/>
                <w:color w:val="auto"/>
                <w:sz w:val="24"/>
                <w:szCs w:val="24"/>
                <w:highlight w:val="none"/>
              </w:rPr>
              <w:t xml:space="preserve"> ，    （小写）</w:t>
            </w:r>
            <w:r>
              <w:rPr>
                <w:rFonts w:hint="eastAsia" w:cs="宋体"/>
                <w:color w:val="auto"/>
                <w:sz w:val="24"/>
                <w:szCs w:val="24"/>
                <w:highlight w:val="none"/>
                <w:u w:val="single"/>
              </w:rPr>
              <w:t xml:space="preserve">        </w:t>
            </w:r>
            <w:r>
              <w:rPr>
                <w:rFonts w:hint="eastAsia" w:cs="宋体"/>
                <w:color w:val="auto"/>
                <w:sz w:val="24"/>
                <w:szCs w:val="24"/>
                <w:highlight w:val="none"/>
              </w:rPr>
              <w:t>元</w:t>
            </w:r>
          </w:p>
        </w:tc>
      </w:tr>
      <w:tr w14:paraId="38F9A96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1768" w:type="dxa"/>
            <w:tcBorders>
              <w:top w:val="single" w:color="auto" w:sz="4" w:space="0"/>
              <w:left w:val="single" w:color="auto" w:sz="4" w:space="0"/>
              <w:bottom w:val="nil"/>
              <w:right w:val="single" w:color="auto" w:sz="4" w:space="0"/>
            </w:tcBorders>
            <w:vAlign w:val="center"/>
          </w:tcPr>
          <w:p w14:paraId="21A42F93">
            <w:pPr>
              <w:spacing w:line="480" w:lineRule="exact"/>
              <w:jc w:val="center"/>
              <w:rPr>
                <w:rFonts w:cs="宋体"/>
                <w:color w:val="auto"/>
                <w:sz w:val="24"/>
                <w:szCs w:val="24"/>
                <w:highlight w:val="none"/>
              </w:rPr>
            </w:pPr>
            <w:r>
              <w:rPr>
                <w:rFonts w:hint="eastAsia" w:cs="宋体"/>
                <w:color w:val="auto"/>
                <w:sz w:val="24"/>
                <w:szCs w:val="24"/>
                <w:highlight w:val="none"/>
              </w:rPr>
              <w:t>交货期</w:t>
            </w:r>
          </w:p>
        </w:tc>
        <w:tc>
          <w:tcPr>
            <w:tcW w:w="6733" w:type="dxa"/>
            <w:tcBorders>
              <w:top w:val="single" w:color="auto" w:sz="4" w:space="0"/>
              <w:left w:val="nil"/>
              <w:bottom w:val="single" w:color="auto" w:sz="4" w:space="0"/>
              <w:right w:val="single" w:color="auto" w:sz="4" w:space="0"/>
            </w:tcBorders>
            <w:vAlign w:val="center"/>
          </w:tcPr>
          <w:p w14:paraId="2B7512FD">
            <w:pPr>
              <w:spacing w:line="480" w:lineRule="exact"/>
              <w:rPr>
                <w:rFonts w:cs="宋体"/>
                <w:color w:val="auto"/>
                <w:sz w:val="24"/>
                <w:szCs w:val="24"/>
                <w:highlight w:val="none"/>
              </w:rPr>
            </w:pPr>
          </w:p>
        </w:tc>
      </w:tr>
      <w:tr w14:paraId="2ABA28F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3C6D8839">
            <w:pPr>
              <w:spacing w:line="480" w:lineRule="exact"/>
              <w:jc w:val="center"/>
              <w:rPr>
                <w:rFonts w:cs="宋体"/>
                <w:color w:val="auto"/>
                <w:sz w:val="24"/>
                <w:szCs w:val="24"/>
                <w:highlight w:val="none"/>
              </w:rPr>
            </w:pPr>
            <w:r>
              <w:rPr>
                <w:rFonts w:hint="eastAsia" w:cs="宋体"/>
                <w:color w:val="auto"/>
                <w:sz w:val="24"/>
                <w:szCs w:val="24"/>
                <w:highlight w:val="none"/>
              </w:rPr>
              <w:t>交货地点</w:t>
            </w:r>
          </w:p>
        </w:tc>
        <w:tc>
          <w:tcPr>
            <w:tcW w:w="6733" w:type="dxa"/>
            <w:tcBorders>
              <w:top w:val="single" w:color="auto" w:sz="4" w:space="0"/>
              <w:left w:val="nil"/>
              <w:bottom w:val="single" w:color="auto" w:sz="4" w:space="0"/>
              <w:right w:val="single" w:color="auto" w:sz="4" w:space="0"/>
            </w:tcBorders>
            <w:vAlign w:val="center"/>
          </w:tcPr>
          <w:p w14:paraId="4DEF3918">
            <w:pPr>
              <w:spacing w:line="480" w:lineRule="exact"/>
              <w:ind w:firstLine="818" w:firstLineChars="341"/>
              <w:rPr>
                <w:rFonts w:cs="宋体"/>
                <w:color w:val="auto"/>
                <w:sz w:val="24"/>
                <w:szCs w:val="24"/>
                <w:highlight w:val="none"/>
              </w:rPr>
            </w:pPr>
          </w:p>
        </w:tc>
      </w:tr>
      <w:tr w14:paraId="4EE6CAC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0D1C38C0">
            <w:pPr>
              <w:spacing w:line="480" w:lineRule="exact"/>
              <w:jc w:val="center"/>
              <w:rPr>
                <w:rFonts w:cs="宋体"/>
                <w:color w:val="auto"/>
                <w:sz w:val="24"/>
                <w:szCs w:val="24"/>
                <w:highlight w:val="none"/>
              </w:rPr>
            </w:pPr>
            <w:r>
              <w:rPr>
                <w:rFonts w:hint="eastAsia" w:cs="宋体"/>
                <w:color w:val="auto"/>
                <w:sz w:val="24"/>
                <w:szCs w:val="24"/>
                <w:highlight w:val="none"/>
              </w:rPr>
              <w:t>质量要求</w:t>
            </w:r>
          </w:p>
        </w:tc>
        <w:tc>
          <w:tcPr>
            <w:tcW w:w="6733" w:type="dxa"/>
            <w:tcBorders>
              <w:top w:val="single" w:color="auto" w:sz="4" w:space="0"/>
              <w:left w:val="nil"/>
              <w:bottom w:val="single" w:color="auto" w:sz="4" w:space="0"/>
              <w:right w:val="single" w:color="auto" w:sz="4" w:space="0"/>
            </w:tcBorders>
            <w:vAlign w:val="center"/>
          </w:tcPr>
          <w:p w14:paraId="79196531">
            <w:pPr>
              <w:spacing w:line="480" w:lineRule="exact"/>
              <w:ind w:firstLine="818" w:firstLineChars="341"/>
              <w:rPr>
                <w:rFonts w:cs="宋体"/>
                <w:color w:val="auto"/>
                <w:sz w:val="24"/>
                <w:szCs w:val="24"/>
                <w:highlight w:val="none"/>
              </w:rPr>
            </w:pPr>
          </w:p>
        </w:tc>
      </w:tr>
      <w:tr w14:paraId="383C79A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1EF45B6F">
            <w:pPr>
              <w:spacing w:line="480" w:lineRule="exact"/>
              <w:jc w:val="center"/>
              <w:rPr>
                <w:rFonts w:cs="宋体"/>
                <w:color w:val="auto"/>
                <w:sz w:val="24"/>
                <w:szCs w:val="24"/>
                <w:highlight w:val="none"/>
              </w:rPr>
            </w:pPr>
            <w:r>
              <w:rPr>
                <w:rFonts w:hint="eastAsia" w:asciiTheme="minorEastAsia" w:hAnsiTheme="minorEastAsia" w:cstheme="minorEastAsia"/>
                <w:color w:val="auto"/>
                <w:sz w:val="24"/>
                <w:szCs w:val="24"/>
                <w:highlight w:val="none"/>
              </w:rPr>
              <w:t>质保期</w:t>
            </w:r>
          </w:p>
        </w:tc>
        <w:tc>
          <w:tcPr>
            <w:tcW w:w="6733" w:type="dxa"/>
            <w:tcBorders>
              <w:top w:val="single" w:color="auto" w:sz="4" w:space="0"/>
              <w:left w:val="nil"/>
              <w:bottom w:val="single" w:color="auto" w:sz="4" w:space="0"/>
              <w:right w:val="single" w:color="auto" w:sz="4" w:space="0"/>
            </w:tcBorders>
            <w:vAlign w:val="center"/>
          </w:tcPr>
          <w:p w14:paraId="25B7996E">
            <w:pPr>
              <w:spacing w:line="480" w:lineRule="exact"/>
              <w:ind w:firstLine="818" w:firstLineChars="341"/>
              <w:rPr>
                <w:rFonts w:cs="宋体"/>
                <w:color w:val="auto"/>
                <w:sz w:val="24"/>
                <w:szCs w:val="24"/>
                <w:highlight w:val="none"/>
              </w:rPr>
            </w:pPr>
          </w:p>
        </w:tc>
      </w:tr>
      <w:tr w14:paraId="579017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C6C5EBC">
            <w:pPr>
              <w:spacing w:line="480" w:lineRule="exact"/>
              <w:jc w:val="center"/>
              <w:rPr>
                <w:rFonts w:cs="宋体"/>
                <w:color w:val="auto"/>
                <w:sz w:val="24"/>
                <w:szCs w:val="24"/>
                <w:highlight w:val="none"/>
              </w:rPr>
            </w:pPr>
            <w:r>
              <w:rPr>
                <w:rFonts w:hint="eastAsia" w:cs="宋体"/>
                <w:color w:val="auto"/>
                <w:sz w:val="24"/>
                <w:szCs w:val="24"/>
                <w:highlight w:val="none"/>
              </w:rPr>
              <w:t>项目负责人及联系方式</w:t>
            </w:r>
          </w:p>
        </w:tc>
        <w:tc>
          <w:tcPr>
            <w:tcW w:w="6733" w:type="dxa"/>
            <w:tcBorders>
              <w:top w:val="single" w:color="auto" w:sz="4" w:space="0"/>
              <w:left w:val="nil"/>
              <w:bottom w:val="single" w:color="auto" w:sz="4" w:space="0"/>
              <w:right w:val="single" w:color="auto" w:sz="4" w:space="0"/>
            </w:tcBorders>
            <w:vAlign w:val="center"/>
          </w:tcPr>
          <w:p w14:paraId="3BB2E9A2">
            <w:pPr>
              <w:spacing w:line="480" w:lineRule="exact"/>
              <w:ind w:firstLine="818" w:firstLineChars="341"/>
              <w:rPr>
                <w:rFonts w:cs="宋体"/>
                <w:color w:val="auto"/>
                <w:sz w:val="24"/>
                <w:szCs w:val="24"/>
                <w:highlight w:val="none"/>
              </w:rPr>
            </w:pPr>
          </w:p>
        </w:tc>
      </w:tr>
      <w:tr w14:paraId="2531EE5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0442B9BB">
            <w:pPr>
              <w:spacing w:line="480" w:lineRule="exact"/>
              <w:jc w:val="center"/>
              <w:rPr>
                <w:rFonts w:cs="宋体"/>
                <w:color w:val="auto"/>
                <w:sz w:val="24"/>
                <w:szCs w:val="24"/>
                <w:highlight w:val="none"/>
              </w:rPr>
            </w:pPr>
            <w:r>
              <w:rPr>
                <w:rFonts w:hint="eastAsia" w:cs="宋体"/>
                <w:color w:val="auto"/>
                <w:sz w:val="24"/>
                <w:szCs w:val="24"/>
                <w:highlight w:val="none"/>
              </w:rPr>
              <w:t>磋商有效期</w:t>
            </w:r>
          </w:p>
        </w:tc>
        <w:tc>
          <w:tcPr>
            <w:tcW w:w="6733" w:type="dxa"/>
            <w:tcBorders>
              <w:top w:val="single" w:color="auto" w:sz="4" w:space="0"/>
              <w:left w:val="nil"/>
              <w:bottom w:val="single" w:color="auto" w:sz="4" w:space="0"/>
              <w:right w:val="single" w:color="auto" w:sz="4" w:space="0"/>
            </w:tcBorders>
            <w:vAlign w:val="center"/>
          </w:tcPr>
          <w:p w14:paraId="562E54AB">
            <w:pPr>
              <w:spacing w:line="480" w:lineRule="exact"/>
              <w:ind w:firstLine="818" w:firstLineChars="341"/>
              <w:rPr>
                <w:rFonts w:cs="宋体"/>
                <w:color w:val="auto"/>
                <w:sz w:val="24"/>
                <w:szCs w:val="24"/>
                <w:highlight w:val="none"/>
              </w:rPr>
            </w:pPr>
          </w:p>
        </w:tc>
      </w:tr>
      <w:tr w14:paraId="370C9E7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3" w:hRule="atLeast"/>
        </w:trPr>
        <w:tc>
          <w:tcPr>
            <w:tcW w:w="8501" w:type="dxa"/>
            <w:gridSpan w:val="2"/>
            <w:tcBorders>
              <w:top w:val="single" w:color="auto" w:sz="4" w:space="0"/>
              <w:left w:val="single" w:color="auto" w:sz="4" w:space="0"/>
              <w:bottom w:val="single" w:color="auto" w:sz="4" w:space="0"/>
              <w:right w:val="single" w:color="auto" w:sz="4" w:space="0"/>
            </w:tcBorders>
          </w:tcPr>
          <w:p w14:paraId="79F6384C">
            <w:pPr>
              <w:spacing w:line="480" w:lineRule="exact"/>
              <w:rPr>
                <w:rFonts w:cs="宋体"/>
                <w:color w:val="auto"/>
                <w:sz w:val="24"/>
                <w:szCs w:val="24"/>
                <w:highlight w:val="none"/>
              </w:rPr>
            </w:pPr>
            <w:r>
              <w:rPr>
                <w:rFonts w:hint="eastAsia" w:cs="宋体"/>
                <w:color w:val="auto"/>
                <w:sz w:val="24"/>
                <w:szCs w:val="24"/>
                <w:highlight w:val="none"/>
              </w:rPr>
              <w:t>补充（如有）</w:t>
            </w:r>
          </w:p>
        </w:tc>
      </w:tr>
    </w:tbl>
    <w:p w14:paraId="17E3C1E6">
      <w:pPr>
        <w:spacing w:line="540" w:lineRule="exact"/>
        <w:jc w:val="right"/>
        <w:rPr>
          <w:rFonts w:ascii="Calibri" w:hAnsi="Calibri" w:eastAsia="宋体" w:cs="Times New Roman"/>
          <w:color w:val="auto"/>
          <w:kern w:val="0"/>
          <w:sz w:val="24"/>
          <w:highlight w:val="none"/>
          <w:u w:val="single"/>
        </w:rPr>
      </w:pPr>
      <w:r>
        <w:rPr>
          <w:rFonts w:hint="eastAsia" w:asciiTheme="minorEastAsia" w:hAnsiTheme="minorEastAsia" w:cstheme="minorEastAsia"/>
          <w:color w:val="auto"/>
          <w:sz w:val="28"/>
          <w:szCs w:val="28"/>
          <w:highlight w:val="none"/>
        </w:rPr>
        <w:t xml:space="preserve">                       </w:t>
      </w:r>
      <w:r>
        <w:rPr>
          <w:rFonts w:hint="eastAsia" w:ascii="Calibri" w:hAnsi="Calibri" w:eastAsia="宋体" w:cs="Times New Roman"/>
          <w:color w:val="auto"/>
          <w:kern w:val="0"/>
          <w:sz w:val="24"/>
          <w:highlight w:val="none"/>
        </w:rPr>
        <w:t>供应商名称</w:t>
      </w:r>
      <w:r>
        <w:rPr>
          <w:rFonts w:ascii="Calibri" w:hAnsi="Calibri" w:eastAsia="宋体" w:cs="Times New Roman"/>
          <w:color w:val="auto"/>
          <w:kern w:val="0"/>
          <w:sz w:val="24"/>
          <w:highlight w:val="none"/>
        </w:rPr>
        <w:t>：</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w:t>
      </w:r>
      <w:r>
        <w:rPr>
          <w:rFonts w:hint="eastAsia" w:ascii="Calibri" w:hAnsi="Calibri" w:eastAsia="宋体" w:cs="Times New Roman"/>
          <w:color w:val="auto"/>
          <w:kern w:val="0"/>
          <w:sz w:val="24"/>
          <w:highlight w:val="none"/>
        </w:rPr>
        <w:t>电子签章</w:t>
      </w:r>
      <w:r>
        <w:rPr>
          <w:rFonts w:ascii="Calibri" w:hAnsi="Calibri" w:eastAsia="宋体" w:cs="Times New Roman"/>
          <w:color w:val="auto"/>
          <w:kern w:val="0"/>
          <w:sz w:val="24"/>
          <w:highlight w:val="none"/>
        </w:rPr>
        <w:t>）</w:t>
      </w:r>
    </w:p>
    <w:p w14:paraId="6D1E21C8">
      <w:pPr>
        <w:widowControl/>
        <w:spacing w:line="540" w:lineRule="exact"/>
        <w:ind w:firstLine="360"/>
        <w:jc w:val="right"/>
        <w:rPr>
          <w:rFonts w:ascii="Calibri" w:hAnsi="Calibri" w:eastAsia="宋体" w:cs="Times New Roman"/>
          <w:color w:val="auto"/>
          <w:kern w:val="0"/>
          <w:sz w:val="24"/>
          <w:highlight w:val="none"/>
          <w:u w:val="single"/>
        </w:rPr>
      </w:pPr>
      <w:r>
        <w:rPr>
          <w:rFonts w:ascii="Calibri" w:hAnsi="Calibri" w:eastAsia="宋体" w:cs="Times New Roman"/>
          <w:color w:val="auto"/>
          <w:kern w:val="0"/>
          <w:sz w:val="24"/>
          <w:highlight w:val="none"/>
        </w:rPr>
        <w:t xml:space="preserve">法定代表人： </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w:t>
      </w:r>
      <w:r>
        <w:rPr>
          <w:rFonts w:hint="eastAsia" w:ascii="Calibri" w:hAnsi="Calibri" w:eastAsia="宋体" w:cs="Times New Roman"/>
          <w:color w:val="auto"/>
          <w:kern w:val="0"/>
          <w:sz w:val="24"/>
          <w:highlight w:val="none"/>
        </w:rPr>
        <w:t>电子签章或签字</w:t>
      </w:r>
      <w:r>
        <w:rPr>
          <w:rFonts w:ascii="Calibri" w:hAnsi="Calibri" w:eastAsia="宋体" w:cs="Times New Roman"/>
          <w:color w:val="auto"/>
          <w:kern w:val="0"/>
          <w:sz w:val="24"/>
          <w:highlight w:val="none"/>
        </w:rPr>
        <w:t>）</w:t>
      </w:r>
    </w:p>
    <w:p w14:paraId="499D5778">
      <w:pPr>
        <w:widowControl/>
        <w:spacing w:line="540" w:lineRule="exact"/>
        <w:ind w:firstLine="360"/>
        <w:jc w:val="right"/>
        <w:rPr>
          <w:rFonts w:ascii="Calibri" w:hAnsi="Calibri" w:eastAsia="宋体" w:cs="Times New Roman"/>
          <w:color w:val="auto"/>
          <w:kern w:val="0"/>
          <w:sz w:val="24"/>
          <w:highlight w:val="none"/>
        </w:rPr>
      </w:pPr>
      <w:r>
        <w:rPr>
          <w:rFonts w:ascii="Calibri" w:hAnsi="Calibri" w:eastAsia="宋体" w:cs="Times New Roman"/>
          <w:color w:val="auto"/>
          <w:kern w:val="0"/>
          <w:sz w:val="24"/>
          <w:highlight w:val="none"/>
        </w:rPr>
        <w:t>日期：</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年</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月</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日</w:t>
      </w:r>
    </w:p>
    <w:p w14:paraId="5DFE75C4">
      <w:pPr>
        <w:pStyle w:val="6"/>
        <w:jc w:val="center"/>
        <w:rPr>
          <w:color w:val="auto"/>
          <w:highlight w:val="none"/>
        </w:rPr>
      </w:pPr>
      <w:r>
        <w:rPr>
          <w:rFonts w:hint="eastAsia" w:ascii="宋体" w:hAnsi="宋体" w:cs="宋体"/>
          <w:color w:val="auto"/>
          <w:szCs w:val="24"/>
          <w:highlight w:val="none"/>
        </w:rPr>
        <w:br w:type="page"/>
      </w:r>
      <w:bookmarkStart w:id="202" w:name="_Toc26862"/>
      <w:bookmarkEnd w:id="202"/>
      <w:r>
        <w:rPr>
          <w:rFonts w:hint="eastAsia"/>
          <w:color w:val="auto"/>
          <w:highlight w:val="none"/>
        </w:rPr>
        <w:t>二、法定代表人身份证明</w:t>
      </w:r>
    </w:p>
    <w:p w14:paraId="5C880B35">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供应商名称：</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 xml:space="preserve"> </w:t>
      </w:r>
    </w:p>
    <w:p w14:paraId="44FFEFD1">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单位性质：</w:t>
      </w:r>
      <w:r>
        <w:rPr>
          <w:rFonts w:hint="eastAsia" w:asciiTheme="minorEastAsia" w:hAnsiTheme="minorEastAsia" w:cstheme="minorEastAsia"/>
          <w:color w:val="auto"/>
          <w:sz w:val="24"/>
          <w:szCs w:val="28"/>
          <w:highlight w:val="none"/>
          <w:u w:val="single"/>
        </w:rPr>
        <w:t xml:space="preserve">                        </w:t>
      </w:r>
    </w:p>
    <w:p w14:paraId="5F292EDF">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地址：</w:t>
      </w:r>
      <w:r>
        <w:rPr>
          <w:rFonts w:hint="eastAsia" w:asciiTheme="minorEastAsia" w:hAnsiTheme="minorEastAsia" w:cstheme="minorEastAsia"/>
          <w:color w:val="auto"/>
          <w:sz w:val="24"/>
          <w:szCs w:val="28"/>
          <w:highlight w:val="none"/>
          <w:u w:val="single"/>
        </w:rPr>
        <w:t xml:space="preserve">                        </w:t>
      </w:r>
    </w:p>
    <w:p w14:paraId="5278AC46">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成立时间：</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年</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月</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日</w:t>
      </w:r>
    </w:p>
    <w:p w14:paraId="6E49DBD2">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经营期限：</w:t>
      </w:r>
      <w:r>
        <w:rPr>
          <w:rFonts w:hint="eastAsia" w:asciiTheme="minorEastAsia" w:hAnsiTheme="minorEastAsia" w:cstheme="minorEastAsia"/>
          <w:color w:val="auto"/>
          <w:sz w:val="24"/>
          <w:szCs w:val="28"/>
          <w:highlight w:val="none"/>
          <w:u w:val="single"/>
        </w:rPr>
        <w:t xml:space="preserve">                        </w:t>
      </w:r>
    </w:p>
    <w:p w14:paraId="72D82BBE">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姓名：</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；性别：</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w:t>
      </w:r>
    </w:p>
    <w:p w14:paraId="0151F046">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年龄：</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；职务：</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w:t>
      </w:r>
    </w:p>
    <w:p w14:paraId="56E64DEE">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身份证号码：</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，系</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sz w:val="24"/>
          <w:szCs w:val="28"/>
          <w:highlight w:val="none"/>
        </w:rPr>
        <w:t>（供应商名称）的法定代表人。</w:t>
      </w:r>
    </w:p>
    <w:p w14:paraId="3285E755">
      <w:pPr>
        <w:spacing w:line="560" w:lineRule="exact"/>
        <w:ind w:right="420" w:rightChars="200"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特此证明。</w:t>
      </w:r>
    </w:p>
    <w:p w14:paraId="491F8BAF">
      <w:pPr>
        <w:spacing w:line="500" w:lineRule="exact"/>
        <w:ind w:firstLine="480" w:firstLineChars="200"/>
        <w:rPr>
          <w:rFonts w:asciiTheme="minorEastAsia" w:hAnsiTheme="minorEastAsia" w:cstheme="minorEastAsia"/>
          <w:color w:val="auto"/>
          <w:sz w:val="24"/>
          <w:szCs w:val="28"/>
          <w:highlight w:val="none"/>
        </w:rPr>
      </w:pPr>
      <w:r>
        <w:rPr>
          <w:rFonts w:hint="eastAsia" w:asciiTheme="minorEastAsia" w:hAnsiTheme="minorEastAsia" w:cstheme="minorEastAsia"/>
          <w:color w:val="auto"/>
          <w:sz w:val="24"/>
          <w:szCs w:val="28"/>
          <w:highlight w:val="none"/>
        </w:rPr>
        <w:t>附：法定代表人身份证扫描件</w:t>
      </w:r>
      <w:r>
        <w:rPr>
          <w:rFonts w:hint="eastAsia" w:ascii="宋体" w:hAnsi="宋体" w:cs="宋体"/>
          <w:color w:val="auto"/>
          <w:sz w:val="24"/>
          <w:highlight w:val="none"/>
        </w:rPr>
        <w:t>正反面</w:t>
      </w:r>
      <w:r>
        <w:rPr>
          <w:rFonts w:hint="eastAsia" w:asciiTheme="minorEastAsia" w:hAnsiTheme="minorEastAsia" w:cstheme="minorEastAsia"/>
          <w:color w:val="auto"/>
          <w:sz w:val="24"/>
          <w:szCs w:val="28"/>
          <w:highlight w:val="none"/>
        </w:rPr>
        <w:t>。</w:t>
      </w:r>
    </w:p>
    <w:p w14:paraId="2E7E05D0">
      <w:pPr>
        <w:spacing w:line="560" w:lineRule="exact"/>
        <w:ind w:left="170" w:firstLine="480" w:firstLineChars="200"/>
        <w:rPr>
          <w:rFonts w:asciiTheme="minorEastAsia" w:hAnsiTheme="minorEastAsia" w:cstheme="minorEastAsia"/>
          <w:color w:val="auto"/>
          <w:sz w:val="24"/>
          <w:szCs w:val="28"/>
          <w:highlight w:val="none"/>
        </w:rPr>
      </w:pPr>
    </w:p>
    <w:p w14:paraId="6A559A49">
      <w:pPr>
        <w:autoSpaceDE w:val="0"/>
        <w:autoSpaceDN w:val="0"/>
        <w:adjustRightInd w:val="0"/>
        <w:spacing w:line="560" w:lineRule="exact"/>
        <w:ind w:firstLine="3084" w:firstLineChars="1285"/>
        <w:jc w:val="right"/>
        <w:rPr>
          <w:rFonts w:asciiTheme="minorEastAsia" w:hAnsiTheme="minorEastAsia" w:cstheme="minorEastAsia"/>
          <w:color w:val="auto"/>
          <w:kern w:val="0"/>
          <w:sz w:val="24"/>
          <w:szCs w:val="28"/>
          <w:highlight w:val="none"/>
        </w:rPr>
      </w:pPr>
    </w:p>
    <w:p w14:paraId="73EB3E34">
      <w:pPr>
        <w:autoSpaceDE w:val="0"/>
        <w:autoSpaceDN w:val="0"/>
        <w:adjustRightInd w:val="0"/>
        <w:spacing w:line="560" w:lineRule="exact"/>
        <w:ind w:firstLine="3084" w:firstLineChars="1285"/>
        <w:jc w:val="center"/>
        <w:rPr>
          <w:rFonts w:asciiTheme="minorEastAsia" w:hAnsiTheme="minorEastAsia" w:cstheme="minorEastAsia"/>
          <w:color w:val="auto"/>
          <w:kern w:val="0"/>
          <w:sz w:val="24"/>
          <w:szCs w:val="28"/>
          <w:highlight w:val="none"/>
        </w:rPr>
      </w:pPr>
      <w:r>
        <w:rPr>
          <w:rFonts w:hint="eastAsia" w:asciiTheme="minorEastAsia" w:hAnsiTheme="minorEastAsia" w:cstheme="minorEastAsia"/>
          <w:color w:val="auto"/>
          <w:kern w:val="0"/>
          <w:sz w:val="24"/>
          <w:szCs w:val="28"/>
          <w:highlight w:val="none"/>
        </w:rPr>
        <w:t>供应商名称：</w:t>
      </w:r>
      <w:r>
        <w:rPr>
          <w:rFonts w:hint="eastAsia" w:asciiTheme="minorEastAsia" w:hAnsiTheme="minorEastAsia" w:cstheme="minorEastAsia"/>
          <w:color w:val="auto"/>
          <w:sz w:val="24"/>
          <w:szCs w:val="28"/>
          <w:highlight w:val="none"/>
          <w:u w:val="single"/>
        </w:rPr>
        <w:t xml:space="preserve">                  </w:t>
      </w:r>
      <w:r>
        <w:rPr>
          <w:rFonts w:hint="eastAsia" w:asciiTheme="minorEastAsia" w:hAnsiTheme="minorEastAsia" w:cstheme="minorEastAsia"/>
          <w:color w:val="auto"/>
          <w:kern w:val="0"/>
          <w:sz w:val="24"/>
          <w:szCs w:val="28"/>
          <w:highlight w:val="none"/>
        </w:rPr>
        <w:t>（电子签章）</w:t>
      </w:r>
    </w:p>
    <w:p w14:paraId="1D53EB99">
      <w:pPr>
        <w:autoSpaceDE w:val="0"/>
        <w:autoSpaceDN w:val="0"/>
        <w:adjustRightInd w:val="0"/>
        <w:spacing w:line="560" w:lineRule="exact"/>
        <w:ind w:right="420" w:firstLine="3760" w:firstLineChars="1567"/>
        <w:rPr>
          <w:rFonts w:asciiTheme="minorEastAsia" w:hAnsiTheme="minorEastAsia" w:cstheme="minorEastAsia"/>
          <w:color w:val="auto"/>
          <w:kern w:val="0"/>
          <w:sz w:val="24"/>
          <w:szCs w:val="28"/>
          <w:highlight w:val="none"/>
        </w:rPr>
      </w:pPr>
      <w:r>
        <w:rPr>
          <w:rFonts w:hint="eastAsia" w:asciiTheme="minorEastAsia" w:hAnsiTheme="minorEastAsia" w:cstheme="minorEastAsia"/>
          <w:color w:val="auto"/>
          <w:kern w:val="0"/>
          <w:sz w:val="24"/>
          <w:szCs w:val="28"/>
          <w:highlight w:val="none"/>
        </w:rPr>
        <w:t>日期：</w:t>
      </w:r>
      <w:r>
        <w:rPr>
          <w:rFonts w:hint="eastAsia" w:asciiTheme="minorEastAsia" w:hAnsiTheme="minorEastAsia" w:cstheme="minorEastAsia"/>
          <w:color w:val="auto"/>
          <w:kern w:val="0"/>
          <w:sz w:val="24"/>
          <w:szCs w:val="28"/>
          <w:highlight w:val="none"/>
          <w:u w:val="single"/>
        </w:rPr>
        <w:t xml:space="preserve">      </w:t>
      </w:r>
      <w:r>
        <w:rPr>
          <w:rFonts w:hint="eastAsia" w:asciiTheme="minorEastAsia" w:hAnsiTheme="minorEastAsia" w:cstheme="minorEastAsia"/>
          <w:color w:val="auto"/>
          <w:kern w:val="0"/>
          <w:sz w:val="24"/>
          <w:szCs w:val="28"/>
          <w:highlight w:val="none"/>
        </w:rPr>
        <w:t>年</w:t>
      </w:r>
      <w:r>
        <w:rPr>
          <w:rFonts w:hint="eastAsia" w:asciiTheme="minorEastAsia" w:hAnsiTheme="minorEastAsia" w:cstheme="minorEastAsia"/>
          <w:color w:val="auto"/>
          <w:kern w:val="0"/>
          <w:sz w:val="24"/>
          <w:szCs w:val="28"/>
          <w:highlight w:val="none"/>
          <w:u w:val="single"/>
        </w:rPr>
        <w:t xml:space="preserve">       </w:t>
      </w:r>
      <w:r>
        <w:rPr>
          <w:rFonts w:hint="eastAsia" w:asciiTheme="minorEastAsia" w:hAnsiTheme="minorEastAsia" w:cstheme="minorEastAsia"/>
          <w:color w:val="auto"/>
          <w:kern w:val="0"/>
          <w:sz w:val="24"/>
          <w:szCs w:val="28"/>
          <w:highlight w:val="none"/>
        </w:rPr>
        <w:t>月</w:t>
      </w:r>
      <w:r>
        <w:rPr>
          <w:rFonts w:hint="eastAsia" w:asciiTheme="minorEastAsia" w:hAnsiTheme="minorEastAsia" w:cstheme="minorEastAsia"/>
          <w:color w:val="auto"/>
          <w:kern w:val="0"/>
          <w:sz w:val="24"/>
          <w:szCs w:val="28"/>
          <w:highlight w:val="none"/>
          <w:u w:val="single"/>
        </w:rPr>
        <w:t xml:space="preserve">      </w:t>
      </w:r>
      <w:r>
        <w:rPr>
          <w:rFonts w:hint="eastAsia" w:asciiTheme="minorEastAsia" w:hAnsiTheme="minorEastAsia" w:cstheme="minorEastAsia"/>
          <w:color w:val="auto"/>
          <w:kern w:val="0"/>
          <w:sz w:val="24"/>
          <w:szCs w:val="28"/>
          <w:highlight w:val="none"/>
        </w:rPr>
        <w:t>日</w:t>
      </w:r>
    </w:p>
    <w:p w14:paraId="57C18F4D">
      <w:pPr>
        <w:pStyle w:val="6"/>
        <w:jc w:val="center"/>
        <w:rPr>
          <w:color w:val="auto"/>
          <w:highlight w:val="none"/>
        </w:rPr>
      </w:pPr>
      <w:r>
        <w:rPr>
          <w:rFonts w:hint="eastAsia" w:ascii="宋体" w:hAnsi="宋体" w:cs="宋体"/>
          <w:color w:val="auto"/>
          <w:szCs w:val="24"/>
          <w:highlight w:val="none"/>
        </w:rPr>
        <w:br w:type="page"/>
      </w:r>
      <w:bookmarkStart w:id="203" w:name="_Toc528078069"/>
      <w:bookmarkEnd w:id="203"/>
      <w:bookmarkStart w:id="204" w:name="_Toc23204"/>
      <w:r>
        <w:rPr>
          <w:rFonts w:hint="eastAsia"/>
          <w:color w:val="auto"/>
          <w:highlight w:val="none"/>
        </w:rPr>
        <w:t>三、授权委托书</w:t>
      </w:r>
      <w:bookmarkEnd w:id="204"/>
    </w:p>
    <w:p w14:paraId="0F147F78">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本人</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（姓名）系</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（供应商名称）的法定代表人，现委托</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（姓名）为我方代理人。代理人根据授权，以我方名义签署、澄清、说明、补正、递交、撤回、修改</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（项目名称）响应文件、签订合同和处理有关事宜，其法律后果由我方承担。</w:t>
      </w:r>
    </w:p>
    <w:p w14:paraId="6D8D951F">
      <w:pPr>
        <w:spacing w:line="500" w:lineRule="exact"/>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委托期限：</w:t>
      </w:r>
      <w:r>
        <w:rPr>
          <w:rFonts w:hint="eastAsia" w:ascii="宋体" w:hAnsi="宋体" w:eastAsia="宋体" w:cs="Times New Roman"/>
          <w:color w:val="auto"/>
          <w:sz w:val="24"/>
          <w:szCs w:val="24"/>
          <w:highlight w:val="none"/>
          <w:u w:val="single"/>
        </w:rPr>
        <w:t xml:space="preserve">                        </w:t>
      </w:r>
    </w:p>
    <w:p w14:paraId="4CF023AD">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代理人无转委托权。</w:t>
      </w:r>
    </w:p>
    <w:p w14:paraId="30DBB27F">
      <w:pPr>
        <w:spacing w:line="50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附：法定代表人身份证复印件</w:t>
      </w:r>
      <w:r>
        <w:rPr>
          <w:rFonts w:hint="eastAsia" w:ascii="宋体" w:hAnsi="宋体" w:cs="宋体"/>
          <w:color w:val="auto"/>
          <w:sz w:val="24"/>
          <w:highlight w:val="none"/>
        </w:rPr>
        <w:t>正反面</w:t>
      </w:r>
      <w:r>
        <w:rPr>
          <w:rFonts w:hint="eastAsia" w:ascii="宋体" w:hAnsi="宋体" w:eastAsia="宋体" w:cs="Times New Roman"/>
          <w:color w:val="auto"/>
          <w:sz w:val="24"/>
          <w:szCs w:val="24"/>
          <w:highlight w:val="none"/>
        </w:rPr>
        <w:t>、被授权委托人身份证复印件</w:t>
      </w:r>
      <w:r>
        <w:rPr>
          <w:rFonts w:hint="eastAsia" w:ascii="宋体" w:hAnsi="宋体" w:cs="宋体"/>
          <w:color w:val="auto"/>
          <w:sz w:val="24"/>
          <w:highlight w:val="none"/>
        </w:rPr>
        <w:t>正反面</w:t>
      </w:r>
    </w:p>
    <w:p w14:paraId="42A3A3AF">
      <w:pPr>
        <w:spacing w:line="50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p>
    <w:p w14:paraId="49D1A3FD">
      <w:pPr>
        <w:suppressAutoHyphens/>
        <w:spacing w:line="360" w:lineRule="auto"/>
        <w:ind w:firstLine="3120" w:firstLineChars="1300"/>
        <w:rPr>
          <w:rFonts w:ascii="宋体" w:hAnsi="宋体" w:eastAsia="宋体" w:cs="Times New Roman"/>
          <w:color w:val="auto"/>
          <w:kern w:val="1"/>
          <w:sz w:val="24"/>
          <w:szCs w:val="24"/>
          <w:highlight w:val="none"/>
        </w:rPr>
      </w:pPr>
    </w:p>
    <w:p w14:paraId="0FC2B5D1">
      <w:pPr>
        <w:suppressAutoHyphens/>
        <w:spacing w:line="360" w:lineRule="auto"/>
        <w:ind w:firstLine="3120" w:firstLineChars="1300"/>
        <w:rPr>
          <w:rFonts w:ascii="宋体" w:hAnsi="宋体" w:eastAsia="宋体" w:cs="Times New Roman"/>
          <w:color w:val="auto"/>
          <w:kern w:val="1"/>
          <w:sz w:val="24"/>
          <w:szCs w:val="24"/>
          <w:highlight w:val="none"/>
        </w:rPr>
      </w:pPr>
    </w:p>
    <w:p w14:paraId="472BFEE1">
      <w:pPr>
        <w:suppressAutoHyphens/>
        <w:spacing w:line="360" w:lineRule="auto"/>
        <w:ind w:firstLine="3120" w:firstLineChars="1300"/>
        <w:rPr>
          <w:rFonts w:ascii="宋体" w:hAnsi="宋体" w:eastAsia="宋体" w:cs="Times New Roman"/>
          <w:color w:val="auto"/>
          <w:kern w:val="1"/>
          <w:sz w:val="24"/>
          <w:szCs w:val="24"/>
          <w:highlight w:val="none"/>
        </w:rPr>
      </w:pPr>
      <w:r>
        <w:rPr>
          <w:rFonts w:hint="eastAsia" w:ascii="宋体" w:hAnsi="宋体" w:eastAsia="宋体" w:cs="Times New Roman"/>
          <w:color w:val="auto"/>
          <w:kern w:val="1"/>
          <w:sz w:val="24"/>
          <w:szCs w:val="24"/>
          <w:highlight w:val="none"/>
        </w:rPr>
        <w:t>供应商：</w:t>
      </w:r>
      <w:r>
        <w:rPr>
          <w:rFonts w:hint="eastAsia" w:ascii="宋体" w:hAnsi="宋体" w:eastAsia="宋体" w:cs="Times New Roman"/>
          <w:color w:val="auto"/>
          <w:kern w:val="1"/>
          <w:sz w:val="24"/>
          <w:szCs w:val="24"/>
          <w:highlight w:val="none"/>
          <w:u w:val="single"/>
        </w:rPr>
        <w:t xml:space="preserve">                        </w:t>
      </w:r>
      <w:r>
        <w:rPr>
          <w:rFonts w:hint="eastAsia" w:ascii="宋体" w:hAnsi="宋体" w:eastAsia="宋体" w:cs="Times New Roman"/>
          <w:color w:val="auto"/>
          <w:kern w:val="1"/>
          <w:sz w:val="24"/>
          <w:szCs w:val="24"/>
          <w:highlight w:val="none"/>
        </w:rPr>
        <w:t>（</w:t>
      </w:r>
      <w:r>
        <w:rPr>
          <w:rFonts w:hint="eastAsia" w:ascii="宋体" w:hAnsi="宋体" w:eastAsia="宋体" w:cs="黑体"/>
          <w:bCs/>
          <w:color w:val="auto"/>
          <w:kern w:val="0"/>
          <w:sz w:val="24"/>
          <w:szCs w:val="21"/>
          <w:highlight w:val="none"/>
        </w:rPr>
        <w:t>电子签章</w:t>
      </w:r>
      <w:r>
        <w:rPr>
          <w:rFonts w:hint="eastAsia" w:ascii="宋体" w:hAnsi="宋体" w:eastAsia="宋体" w:cs="Times New Roman"/>
          <w:color w:val="auto"/>
          <w:kern w:val="1"/>
          <w:sz w:val="24"/>
          <w:szCs w:val="24"/>
          <w:highlight w:val="none"/>
        </w:rPr>
        <w:t>）</w:t>
      </w:r>
    </w:p>
    <w:p w14:paraId="408B1366">
      <w:pPr>
        <w:suppressAutoHyphens/>
        <w:spacing w:line="360" w:lineRule="auto"/>
        <w:ind w:firstLine="3120" w:firstLineChars="1300"/>
        <w:rPr>
          <w:rFonts w:ascii="宋体" w:hAnsi="宋体" w:eastAsia="宋体" w:cs="Times New Roman"/>
          <w:color w:val="auto"/>
          <w:kern w:val="1"/>
          <w:sz w:val="24"/>
          <w:szCs w:val="24"/>
          <w:highlight w:val="none"/>
        </w:rPr>
      </w:pPr>
      <w:r>
        <w:rPr>
          <w:rFonts w:hint="eastAsia" w:ascii="宋体" w:hAnsi="宋体" w:eastAsia="宋体" w:cs="Times New Roman"/>
          <w:color w:val="auto"/>
          <w:kern w:val="1"/>
          <w:sz w:val="24"/>
          <w:szCs w:val="24"/>
          <w:highlight w:val="none"/>
        </w:rPr>
        <w:t>法定代表人：</w:t>
      </w:r>
      <w:r>
        <w:rPr>
          <w:rFonts w:hint="eastAsia" w:ascii="宋体" w:hAnsi="宋体" w:eastAsia="宋体" w:cs="Times New Roman"/>
          <w:color w:val="auto"/>
          <w:kern w:val="1"/>
          <w:sz w:val="24"/>
          <w:szCs w:val="24"/>
          <w:highlight w:val="none"/>
          <w:u w:val="single"/>
        </w:rPr>
        <w:t xml:space="preserve">               </w:t>
      </w:r>
      <w:r>
        <w:rPr>
          <w:rFonts w:hint="eastAsia" w:ascii="宋体" w:hAnsi="宋体" w:eastAsia="宋体" w:cs="Times New Roman"/>
          <w:color w:val="auto"/>
          <w:kern w:val="1"/>
          <w:sz w:val="24"/>
          <w:szCs w:val="24"/>
          <w:highlight w:val="none"/>
        </w:rPr>
        <w:t>（</w:t>
      </w:r>
      <w:r>
        <w:rPr>
          <w:rFonts w:hint="eastAsia" w:ascii="宋体" w:hAnsi="宋体" w:eastAsia="宋体" w:cs="黑体"/>
          <w:bCs/>
          <w:color w:val="auto"/>
          <w:kern w:val="0"/>
          <w:sz w:val="24"/>
          <w:szCs w:val="21"/>
          <w:highlight w:val="none"/>
        </w:rPr>
        <w:t>电子签章</w:t>
      </w:r>
      <w:r>
        <w:rPr>
          <w:rFonts w:hint="eastAsia" w:ascii="宋体" w:hAnsi="宋体" w:eastAsia="宋体" w:cs="宋体"/>
          <w:color w:val="auto"/>
          <w:kern w:val="0"/>
          <w:sz w:val="24"/>
          <w:highlight w:val="none"/>
          <w:lang w:bidi="ar"/>
        </w:rPr>
        <w:t>或签字</w:t>
      </w:r>
      <w:r>
        <w:rPr>
          <w:rFonts w:hint="eastAsia" w:ascii="宋体" w:hAnsi="宋体" w:eastAsia="宋体" w:cs="Times New Roman"/>
          <w:color w:val="auto"/>
          <w:kern w:val="1"/>
          <w:sz w:val="24"/>
          <w:szCs w:val="24"/>
          <w:highlight w:val="none"/>
        </w:rPr>
        <w:t>）</w:t>
      </w:r>
    </w:p>
    <w:p w14:paraId="2DCCC70C">
      <w:pPr>
        <w:suppressAutoHyphens/>
        <w:spacing w:line="360" w:lineRule="auto"/>
        <w:ind w:firstLine="3120" w:firstLineChars="1300"/>
        <w:rPr>
          <w:rFonts w:ascii="宋体" w:hAnsi="宋体" w:eastAsia="宋体" w:cs="Times New Roman"/>
          <w:color w:val="auto"/>
          <w:kern w:val="1"/>
          <w:sz w:val="24"/>
          <w:szCs w:val="24"/>
          <w:highlight w:val="none"/>
        </w:rPr>
      </w:pPr>
      <w:r>
        <w:rPr>
          <w:rFonts w:hint="eastAsia" w:ascii="宋体" w:hAnsi="宋体" w:eastAsia="宋体" w:cs="仿宋_GB2312"/>
          <w:color w:val="auto"/>
          <w:kern w:val="0"/>
          <w:sz w:val="24"/>
          <w:szCs w:val="24"/>
          <w:highlight w:val="none"/>
        </w:rPr>
        <w:t>身份证号码：</w:t>
      </w:r>
      <w:r>
        <w:rPr>
          <w:rFonts w:hint="eastAsia" w:ascii="宋体" w:hAnsi="宋体" w:eastAsia="宋体" w:cs="仿宋_GB2312"/>
          <w:color w:val="auto"/>
          <w:kern w:val="0"/>
          <w:sz w:val="24"/>
          <w:szCs w:val="24"/>
          <w:highlight w:val="none"/>
          <w:u w:val="single"/>
        </w:rPr>
        <w:t xml:space="preserve">                  </w:t>
      </w:r>
      <w:r>
        <w:rPr>
          <w:rFonts w:hint="eastAsia" w:ascii="宋体" w:hAnsi="宋体" w:eastAsia="宋体" w:cs="Times New Roman"/>
          <w:color w:val="auto"/>
          <w:kern w:val="1"/>
          <w:sz w:val="24"/>
          <w:szCs w:val="24"/>
          <w:highlight w:val="none"/>
          <w:u w:val="single"/>
        </w:rPr>
        <w:t xml:space="preserve">   </w:t>
      </w:r>
    </w:p>
    <w:p w14:paraId="021354A8">
      <w:pPr>
        <w:suppressAutoHyphens/>
        <w:spacing w:line="360" w:lineRule="auto"/>
        <w:ind w:firstLine="3120" w:firstLineChars="1300"/>
        <w:rPr>
          <w:rFonts w:ascii="宋体" w:hAnsi="宋体" w:eastAsia="宋体" w:cs="Times New Roman"/>
          <w:color w:val="auto"/>
          <w:kern w:val="1"/>
          <w:sz w:val="24"/>
          <w:szCs w:val="24"/>
          <w:highlight w:val="none"/>
        </w:rPr>
      </w:pPr>
      <w:r>
        <w:rPr>
          <w:rFonts w:hint="eastAsia" w:ascii="宋体" w:hAnsi="宋体" w:eastAsia="宋体" w:cs="Times New Roman"/>
          <w:color w:val="auto"/>
          <w:kern w:val="1"/>
          <w:sz w:val="24"/>
          <w:szCs w:val="24"/>
          <w:highlight w:val="none"/>
        </w:rPr>
        <w:t>委托代理人：</w:t>
      </w:r>
      <w:r>
        <w:rPr>
          <w:rFonts w:hint="eastAsia" w:ascii="宋体" w:hAnsi="宋体" w:eastAsia="宋体" w:cs="Times New Roman"/>
          <w:color w:val="auto"/>
          <w:kern w:val="1"/>
          <w:sz w:val="24"/>
          <w:szCs w:val="24"/>
          <w:highlight w:val="none"/>
          <w:u w:val="single"/>
        </w:rPr>
        <w:t xml:space="preserve">                   </w:t>
      </w:r>
      <w:r>
        <w:rPr>
          <w:rFonts w:hint="eastAsia" w:ascii="宋体" w:hAnsi="宋体" w:eastAsia="宋体" w:cs="Times New Roman"/>
          <w:color w:val="auto"/>
          <w:kern w:val="1"/>
          <w:sz w:val="24"/>
          <w:szCs w:val="24"/>
          <w:highlight w:val="none"/>
        </w:rPr>
        <w:t xml:space="preserve">（签字） </w:t>
      </w:r>
    </w:p>
    <w:p w14:paraId="227FC020">
      <w:pPr>
        <w:suppressAutoHyphens/>
        <w:spacing w:line="360" w:lineRule="auto"/>
        <w:ind w:firstLine="3120" w:firstLineChars="1300"/>
        <w:rPr>
          <w:rFonts w:ascii="宋体" w:hAnsi="宋体" w:eastAsia="宋体" w:cs="Times New Roman"/>
          <w:color w:val="auto"/>
          <w:kern w:val="1"/>
          <w:sz w:val="24"/>
          <w:szCs w:val="24"/>
          <w:highlight w:val="none"/>
        </w:rPr>
      </w:pPr>
      <w:r>
        <w:rPr>
          <w:rFonts w:hint="eastAsia" w:ascii="宋体" w:hAnsi="宋体" w:eastAsia="宋体" w:cs="Times New Roman"/>
          <w:color w:val="auto"/>
          <w:kern w:val="1"/>
          <w:sz w:val="24"/>
          <w:szCs w:val="24"/>
          <w:highlight w:val="none"/>
        </w:rPr>
        <w:t>身份证号码：</w:t>
      </w:r>
      <w:r>
        <w:rPr>
          <w:rFonts w:hint="eastAsia" w:ascii="宋体" w:hAnsi="宋体" w:eastAsia="宋体" w:cs="Times New Roman"/>
          <w:color w:val="auto"/>
          <w:kern w:val="1"/>
          <w:sz w:val="24"/>
          <w:szCs w:val="24"/>
          <w:highlight w:val="none"/>
          <w:u w:val="single"/>
        </w:rPr>
        <w:t xml:space="preserve">                      </w:t>
      </w:r>
    </w:p>
    <w:p w14:paraId="1A679C66">
      <w:pPr>
        <w:suppressAutoHyphens/>
        <w:spacing w:line="360" w:lineRule="auto"/>
        <w:ind w:firstLine="4920" w:firstLineChars="2050"/>
        <w:rPr>
          <w:rFonts w:ascii="宋体" w:hAnsi="宋体" w:eastAsia="宋体" w:cs="Times New Roman"/>
          <w:color w:val="auto"/>
          <w:kern w:val="1"/>
          <w:sz w:val="24"/>
          <w:szCs w:val="24"/>
          <w:highlight w:val="none"/>
        </w:rPr>
      </w:pPr>
      <w:r>
        <w:rPr>
          <w:rFonts w:hint="eastAsia" w:ascii="宋体" w:hAnsi="宋体" w:eastAsia="宋体" w:cs="Times New Roman"/>
          <w:color w:val="auto"/>
          <w:kern w:val="1"/>
          <w:sz w:val="24"/>
          <w:szCs w:val="24"/>
          <w:highlight w:val="none"/>
          <w:u w:val="single"/>
        </w:rPr>
        <w:t xml:space="preserve">       </w:t>
      </w:r>
      <w:r>
        <w:rPr>
          <w:rFonts w:hint="eastAsia" w:ascii="宋体" w:hAnsi="宋体" w:eastAsia="宋体" w:cs="Times New Roman"/>
          <w:color w:val="auto"/>
          <w:kern w:val="1"/>
          <w:sz w:val="24"/>
          <w:szCs w:val="24"/>
          <w:highlight w:val="none"/>
        </w:rPr>
        <w:t>年</w:t>
      </w:r>
      <w:r>
        <w:rPr>
          <w:rFonts w:hint="eastAsia" w:ascii="宋体" w:hAnsi="宋体" w:eastAsia="宋体" w:cs="Times New Roman"/>
          <w:color w:val="auto"/>
          <w:kern w:val="1"/>
          <w:sz w:val="24"/>
          <w:szCs w:val="24"/>
          <w:highlight w:val="none"/>
          <w:u w:val="single"/>
        </w:rPr>
        <w:t xml:space="preserve">       </w:t>
      </w:r>
      <w:r>
        <w:rPr>
          <w:rFonts w:hint="eastAsia" w:ascii="宋体" w:hAnsi="宋体" w:eastAsia="宋体" w:cs="Times New Roman"/>
          <w:color w:val="auto"/>
          <w:kern w:val="1"/>
          <w:sz w:val="24"/>
          <w:szCs w:val="24"/>
          <w:highlight w:val="none"/>
        </w:rPr>
        <w:t>月</w:t>
      </w:r>
      <w:r>
        <w:rPr>
          <w:rFonts w:hint="eastAsia" w:ascii="宋体" w:hAnsi="宋体" w:eastAsia="宋体" w:cs="Times New Roman"/>
          <w:color w:val="auto"/>
          <w:kern w:val="1"/>
          <w:sz w:val="24"/>
          <w:szCs w:val="24"/>
          <w:highlight w:val="none"/>
          <w:u w:val="single"/>
        </w:rPr>
        <w:t xml:space="preserve">       </w:t>
      </w:r>
      <w:r>
        <w:rPr>
          <w:rFonts w:hint="eastAsia" w:ascii="宋体" w:hAnsi="宋体" w:eastAsia="宋体" w:cs="Times New Roman"/>
          <w:color w:val="auto"/>
          <w:kern w:val="1"/>
          <w:sz w:val="24"/>
          <w:szCs w:val="24"/>
          <w:highlight w:val="none"/>
        </w:rPr>
        <w:t>日</w:t>
      </w:r>
    </w:p>
    <w:p w14:paraId="0FA59CE4">
      <w:pPr>
        <w:widowControl/>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p>
    <w:p w14:paraId="5DFED421">
      <w:pPr>
        <w:widowControl/>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p>
    <w:p w14:paraId="7872C75D">
      <w:pPr>
        <w:widowControl/>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p>
    <w:p w14:paraId="3114BEA1">
      <w:pPr>
        <w:widowControl/>
        <w:ind w:firstLine="360"/>
        <w:jc w:val="left"/>
        <w:rPr>
          <w:rFonts w:ascii="宋体" w:hAnsi="宋体" w:eastAsia="宋体" w:cs="宋体"/>
          <w:b/>
          <w:bCs/>
          <w:color w:val="auto"/>
          <w:spacing w:val="10"/>
          <w:kern w:val="0"/>
          <w:sz w:val="24"/>
          <w:highlight w:val="none"/>
        </w:rPr>
      </w:pPr>
      <w:r>
        <w:rPr>
          <w:rFonts w:hint="eastAsia" w:ascii="宋体" w:hAnsi="宋体" w:eastAsia="宋体" w:cs="宋体"/>
          <w:b/>
          <w:bCs/>
          <w:color w:val="auto"/>
          <w:spacing w:val="10"/>
          <w:kern w:val="0"/>
          <w:sz w:val="24"/>
          <w:highlight w:val="none"/>
        </w:rPr>
        <w:t>注:因响应文件中授权委托书授权代理人无法手写签字，可以以印刷体代替(印刷体为电脑打出的字体)。委托代理人签字为手写签字的，以扫描件的形式上传。</w:t>
      </w:r>
    </w:p>
    <w:p w14:paraId="02D2AF66">
      <w:pPr>
        <w:spacing w:line="560" w:lineRule="exact"/>
        <w:rPr>
          <w:rFonts w:asciiTheme="minorEastAsia" w:hAnsiTheme="minorEastAsia" w:cstheme="minorEastAsia"/>
          <w:b/>
          <w:bCs/>
          <w:color w:val="auto"/>
          <w:kern w:val="0"/>
          <w:sz w:val="28"/>
          <w:szCs w:val="28"/>
          <w:highlight w:val="none"/>
        </w:rPr>
      </w:pPr>
    </w:p>
    <w:p w14:paraId="4BD43CF6">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55573286">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66F17D39">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18621686">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1C2E29BF">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320D3331">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1F7B7925">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0845216E">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273861FD">
      <w:pPr>
        <w:pStyle w:val="6"/>
        <w:jc w:val="center"/>
        <w:rPr>
          <w:color w:val="auto"/>
          <w:highlight w:val="none"/>
        </w:rPr>
      </w:pPr>
      <w:bookmarkStart w:id="205" w:name="_Toc10352"/>
      <w:bookmarkEnd w:id="205"/>
      <w:r>
        <w:rPr>
          <w:rFonts w:hint="eastAsia" w:ascii="宋体" w:hAnsi="宋体" w:cs="宋体"/>
          <w:color w:val="auto"/>
          <w:szCs w:val="24"/>
          <w:highlight w:val="none"/>
        </w:rPr>
        <w:br w:type="page"/>
      </w:r>
      <w:r>
        <w:rPr>
          <w:rFonts w:hint="eastAsia"/>
          <w:color w:val="auto"/>
          <w:highlight w:val="none"/>
        </w:rPr>
        <w:t>四、投标承诺函</w:t>
      </w:r>
    </w:p>
    <w:p w14:paraId="3740690A">
      <w:pPr>
        <w:spacing w:line="360" w:lineRule="auto"/>
        <w:ind w:firstLine="480" w:firstLineChars="200"/>
        <w:rPr>
          <w:color w:val="auto"/>
          <w:sz w:val="24"/>
          <w:szCs w:val="28"/>
          <w:highlight w:val="none"/>
        </w:rPr>
      </w:pPr>
      <w:r>
        <w:rPr>
          <w:rFonts w:hint="eastAsia"/>
          <w:color w:val="auto"/>
          <w:sz w:val="24"/>
          <w:szCs w:val="28"/>
          <w:highlight w:val="none"/>
        </w:rPr>
        <w:t>致 （采购人）：</w:t>
      </w:r>
      <w:r>
        <w:rPr>
          <w:rFonts w:hint="eastAsia"/>
          <w:color w:val="auto"/>
          <w:sz w:val="24"/>
          <w:szCs w:val="28"/>
          <w:highlight w:val="none"/>
          <w:u w:val="single"/>
        </w:rPr>
        <w:t xml:space="preserve">                     </w:t>
      </w:r>
    </w:p>
    <w:p w14:paraId="2F5FCD5C">
      <w:pPr>
        <w:spacing w:line="360" w:lineRule="auto"/>
        <w:ind w:firstLine="480" w:firstLineChars="200"/>
        <w:rPr>
          <w:color w:val="auto"/>
          <w:sz w:val="24"/>
          <w:szCs w:val="28"/>
          <w:highlight w:val="none"/>
        </w:rPr>
      </w:pPr>
      <w:r>
        <w:rPr>
          <w:rFonts w:hint="eastAsia"/>
          <w:color w:val="auto"/>
          <w:sz w:val="24"/>
          <w:szCs w:val="28"/>
          <w:highlight w:val="none"/>
        </w:rPr>
        <w:t>我公司作为本次采购项目的供应商，根据招标文件要求，现郑重承诺如下：</w:t>
      </w:r>
    </w:p>
    <w:p w14:paraId="3D695717">
      <w:pPr>
        <w:spacing w:line="360" w:lineRule="auto"/>
        <w:ind w:firstLine="480" w:firstLineChars="200"/>
        <w:rPr>
          <w:color w:val="auto"/>
          <w:sz w:val="24"/>
          <w:szCs w:val="28"/>
          <w:highlight w:val="none"/>
        </w:rPr>
      </w:pPr>
      <w:r>
        <w:rPr>
          <w:rFonts w:hint="eastAsia"/>
          <w:color w:val="auto"/>
          <w:sz w:val="24"/>
          <w:szCs w:val="28"/>
          <w:highlight w:val="none"/>
        </w:rPr>
        <w:t>一、具备《中华人民共和国政府采购法》第二十二条第一款和本项目规定的条件：</w:t>
      </w:r>
    </w:p>
    <w:p w14:paraId="4C8DD43D">
      <w:pPr>
        <w:spacing w:line="360" w:lineRule="auto"/>
        <w:ind w:firstLine="480" w:firstLineChars="200"/>
        <w:rPr>
          <w:color w:val="auto"/>
          <w:sz w:val="24"/>
          <w:szCs w:val="28"/>
          <w:highlight w:val="none"/>
        </w:rPr>
      </w:pPr>
      <w:r>
        <w:rPr>
          <w:rFonts w:hint="eastAsia"/>
          <w:color w:val="auto"/>
          <w:sz w:val="24"/>
          <w:szCs w:val="28"/>
          <w:highlight w:val="none"/>
        </w:rPr>
        <w:t>（一）具有独立承担民事责任的能力；</w:t>
      </w:r>
    </w:p>
    <w:p w14:paraId="7E396B42">
      <w:pPr>
        <w:spacing w:line="360" w:lineRule="auto"/>
        <w:ind w:firstLine="480" w:firstLineChars="200"/>
        <w:rPr>
          <w:color w:val="auto"/>
          <w:sz w:val="24"/>
          <w:szCs w:val="28"/>
          <w:highlight w:val="none"/>
        </w:rPr>
      </w:pPr>
      <w:r>
        <w:rPr>
          <w:rFonts w:hint="eastAsia"/>
          <w:color w:val="auto"/>
          <w:sz w:val="24"/>
          <w:szCs w:val="28"/>
          <w:highlight w:val="none"/>
        </w:rPr>
        <w:t>（二）具有良好的商业信誉和健全的财务会计制度；</w:t>
      </w:r>
    </w:p>
    <w:p w14:paraId="183AE1F2">
      <w:pPr>
        <w:spacing w:line="360" w:lineRule="auto"/>
        <w:ind w:firstLine="480" w:firstLineChars="200"/>
        <w:rPr>
          <w:color w:val="auto"/>
          <w:sz w:val="24"/>
          <w:szCs w:val="28"/>
          <w:highlight w:val="none"/>
        </w:rPr>
      </w:pPr>
      <w:r>
        <w:rPr>
          <w:rFonts w:hint="eastAsia"/>
          <w:color w:val="auto"/>
          <w:sz w:val="24"/>
          <w:szCs w:val="28"/>
          <w:highlight w:val="none"/>
        </w:rPr>
        <w:t>（三）具有履行合同所必需的设备和专业技术能力；</w:t>
      </w:r>
    </w:p>
    <w:p w14:paraId="0CE83203">
      <w:pPr>
        <w:spacing w:line="360" w:lineRule="auto"/>
        <w:ind w:firstLine="480" w:firstLineChars="200"/>
        <w:rPr>
          <w:color w:val="auto"/>
          <w:sz w:val="24"/>
          <w:szCs w:val="28"/>
          <w:highlight w:val="none"/>
        </w:rPr>
      </w:pPr>
      <w:r>
        <w:rPr>
          <w:rFonts w:hint="eastAsia"/>
          <w:color w:val="auto"/>
          <w:sz w:val="24"/>
          <w:szCs w:val="28"/>
          <w:highlight w:val="none"/>
        </w:rPr>
        <w:t>（四）有依法缴纳税收的良好记录；</w:t>
      </w:r>
    </w:p>
    <w:p w14:paraId="568781C8">
      <w:pPr>
        <w:spacing w:line="360" w:lineRule="auto"/>
        <w:ind w:firstLine="480" w:firstLineChars="200"/>
        <w:rPr>
          <w:color w:val="auto"/>
          <w:sz w:val="24"/>
          <w:szCs w:val="28"/>
          <w:highlight w:val="none"/>
        </w:rPr>
      </w:pPr>
      <w:r>
        <w:rPr>
          <w:rFonts w:hint="eastAsia"/>
          <w:color w:val="auto"/>
          <w:sz w:val="24"/>
          <w:szCs w:val="28"/>
          <w:highlight w:val="none"/>
        </w:rPr>
        <w:t>（五）参加政府采购活动前三年内，在经营活动中没有重大违法记录；</w:t>
      </w:r>
    </w:p>
    <w:p w14:paraId="1DA81E44">
      <w:pPr>
        <w:spacing w:line="360" w:lineRule="auto"/>
        <w:ind w:firstLine="480" w:firstLineChars="200"/>
        <w:rPr>
          <w:color w:val="auto"/>
          <w:sz w:val="24"/>
          <w:szCs w:val="28"/>
          <w:highlight w:val="none"/>
        </w:rPr>
      </w:pPr>
      <w:r>
        <w:rPr>
          <w:rFonts w:hint="eastAsia"/>
          <w:color w:val="auto"/>
          <w:sz w:val="24"/>
          <w:szCs w:val="28"/>
          <w:highlight w:val="none"/>
        </w:rPr>
        <w:t>（六）法律、行政法规规定的其他条件；</w:t>
      </w:r>
    </w:p>
    <w:p w14:paraId="641F338D">
      <w:pPr>
        <w:spacing w:line="360" w:lineRule="auto"/>
        <w:ind w:firstLine="480" w:firstLineChars="200"/>
        <w:rPr>
          <w:color w:val="auto"/>
          <w:sz w:val="24"/>
          <w:szCs w:val="28"/>
          <w:highlight w:val="none"/>
        </w:rPr>
      </w:pPr>
      <w:r>
        <w:rPr>
          <w:rFonts w:hint="eastAsia"/>
          <w:color w:val="auto"/>
          <w:sz w:val="24"/>
          <w:szCs w:val="28"/>
          <w:highlight w:val="none"/>
        </w:rPr>
        <w:t>（七）根据采购项目提出的特殊条件。</w:t>
      </w:r>
    </w:p>
    <w:p w14:paraId="3A68015A">
      <w:pPr>
        <w:spacing w:line="360" w:lineRule="auto"/>
        <w:ind w:firstLine="480" w:firstLineChars="200"/>
        <w:rPr>
          <w:color w:val="auto"/>
          <w:sz w:val="24"/>
          <w:szCs w:val="28"/>
          <w:highlight w:val="none"/>
        </w:rPr>
      </w:pPr>
      <w:r>
        <w:rPr>
          <w:rFonts w:hint="eastAsia"/>
          <w:color w:val="auto"/>
          <w:sz w:val="24"/>
          <w:szCs w:val="28"/>
          <w:highlight w:val="none"/>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0D73EDF6">
      <w:pPr>
        <w:spacing w:line="360" w:lineRule="auto"/>
        <w:ind w:firstLine="480" w:firstLineChars="200"/>
        <w:rPr>
          <w:color w:val="auto"/>
          <w:sz w:val="24"/>
          <w:szCs w:val="28"/>
          <w:highlight w:val="none"/>
        </w:rPr>
      </w:pPr>
      <w:r>
        <w:rPr>
          <w:rFonts w:hint="eastAsia"/>
          <w:color w:val="auto"/>
          <w:sz w:val="24"/>
          <w:szCs w:val="28"/>
          <w:highlight w:val="none"/>
        </w:rPr>
        <w:t>三、参加本次招标采购活动，不存在与单位负责人为同一人或者存在直接控股、管理关系的其他供应商参与同一合同项下的政府采购活动的行为。</w:t>
      </w:r>
    </w:p>
    <w:p w14:paraId="14BCE6D2">
      <w:pPr>
        <w:spacing w:line="360" w:lineRule="auto"/>
        <w:ind w:firstLine="480" w:firstLineChars="200"/>
        <w:rPr>
          <w:color w:val="auto"/>
          <w:sz w:val="24"/>
          <w:szCs w:val="28"/>
          <w:highlight w:val="none"/>
        </w:rPr>
      </w:pPr>
      <w:r>
        <w:rPr>
          <w:rFonts w:hint="eastAsia"/>
          <w:color w:val="auto"/>
          <w:sz w:val="24"/>
          <w:szCs w:val="28"/>
          <w:highlight w:val="none"/>
        </w:rPr>
        <w:t>四、参加本次招标采购活动，不存在为采购项目提供整体设计、规范编制或者项目管理、监理、检测等服务的行为。</w:t>
      </w:r>
    </w:p>
    <w:p w14:paraId="5590C924">
      <w:pPr>
        <w:spacing w:line="360" w:lineRule="auto"/>
        <w:ind w:firstLine="480" w:firstLineChars="200"/>
        <w:rPr>
          <w:color w:val="auto"/>
          <w:sz w:val="24"/>
          <w:szCs w:val="28"/>
          <w:highlight w:val="none"/>
        </w:rPr>
      </w:pPr>
      <w:r>
        <w:rPr>
          <w:rFonts w:hint="eastAsia"/>
          <w:color w:val="auto"/>
          <w:sz w:val="24"/>
          <w:szCs w:val="28"/>
          <w:highlight w:val="none"/>
        </w:rPr>
        <w:t>五、参加本次招标采购活动，不存在和其他供应商在同一合同项下的采购项目中，同时委托同一个自然人、同一家庭的人员、同一单位的人员作为代理人的行为。</w:t>
      </w:r>
    </w:p>
    <w:p w14:paraId="2F3B1F5A">
      <w:pPr>
        <w:spacing w:line="360" w:lineRule="auto"/>
        <w:ind w:firstLine="480" w:firstLineChars="200"/>
        <w:rPr>
          <w:color w:val="auto"/>
          <w:sz w:val="24"/>
          <w:szCs w:val="28"/>
          <w:highlight w:val="none"/>
        </w:rPr>
      </w:pPr>
      <w:r>
        <w:rPr>
          <w:rFonts w:hint="eastAsia"/>
          <w:color w:val="auto"/>
          <w:sz w:val="24"/>
          <w:szCs w:val="28"/>
          <w:highlight w:val="none"/>
        </w:rPr>
        <w:t>六、供应商参加本次政府采购活动要求在近三年内供应商和其法定代表人没有行贿犯罪行为。</w:t>
      </w:r>
    </w:p>
    <w:p w14:paraId="3F2837EA">
      <w:pPr>
        <w:spacing w:line="360" w:lineRule="auto"/>
        <w:ind w:firstLine="480" w:firstLineChars="200"/>
        <w:rPr>
          <w:color w:val="auto"/>
          <w:sz w:val="24"/>
          <w:szCs w:val="28"/>
          <w:highlight w:val="none"/>
        </w:rPr>
      </w:pPr>
      <w:r>
        <w:rPr>
          <w:rFonts w:hint="eastAsia"/>
          <w:color w:val="auto"/>
          <w:sz w:val="24"/>
          <w:szCs w:val="28"/>
          <w:highlight w:val="none"/>
        </w:rPr>
        <w:t>七、参加本次招标采购活动，不存在联合体投标。</w:t>
      </w:r>
    </w:p>
    <w:p w14:paraId="46327C25">
      <w:pPr>
        <w:spacing w:line="360" w:lineRule="auto"/>
        <w:ind w:firstLine="480" w:firstLineChars="200"/>
        <w:rPr>
          <w:color w:val="auto"/>
          <w:sz w:val="24"/>
          <w:szCs w:val="28"/>
          <w:highlight w:val="none"/>
        </w:rPr>
      </w:pPr>
      <w:r>
        <w:rPr>
          <w:rFonts w:hint="eastAsia"/>
          <w:color w:val="auto"/>
          <w:sz w:val="24"/>
          <w:szCs w:val="28"/>
          <w:highlight w:val="none"/>
        </w:rPr>
        <w:t>八、投标文件中提供的能够给予我公司带来优惠、好处的任何材料资料和技术、服务、商务等响应承诺情况都是真实的、有效的、合法的。</w:t>
      </w:r>
    </w:p>
    <w:p w14:paraId="0414DA33">
      <w:pPr>
        <w:spacing w:line="360" w:lineRule="auto"/>
        <w:ind w:firstLine="480" w:firstLineChars="200"/>
        <w:rPr>
          <w:color w:val="auto"/>
          <w:sz w:val="24"/>
          <w:szCs w:val="28"/>
          <w:highlight w:val="none"/>
        </w:rPr>
      </w:pPr>
      <w:r>
        <w:rPr>
          <w:rFonts w:hint="eastAsia"/>
          <w:color w:val="auto"/>
          <w:sz w:val="24"/>
          <w:szCs w:val="28"/>
          <w:highlight w:val="none"/>
        </w:rPr>
        <w:t>九、存在以下行为之一的愿意接受相关部门的处理：</w:t>
      </w:r>
    </w:p>
    <w:p w14:paraId="7F9530EF">
      <w:pPr>
        <w:spacing w:line="360" w:lineRule="auto"/>
        <w:ind w:firstLine="480" w:firstLineChars="200"/>
        <w:rPr>
          <w:color w:val="auto"/>
          <w:sz w:val="24"/>
          <w:szCs w:val="28"/>
          <w:highlight w:val="none"/>
        </w:rPr>
      </w:pPr>
      <w:r>
        <w:rPr>
          <w:rFonts w:hint="eastAsia"/>
          <w:color w:val="auto"/>
          <w:sz w:val="24"/>
          <w:szCs w:val="28"/>
          <w:highlight w:val="none"/>
        </w:rPr>
        <w:t>（一）磋商有效期内撤销投标文件的；</w:t>
      </w:r>
    </w:p>
    <w:p w14:paraId="195ABC68">
      <w:pPr>
        <w:spacing w:line="360" w:lineRule="auto"/>
        <w:ind w:firstLine="480" w:firstLineChars="200"/>
        <w:rPr>
          <w:color w:val="auto"/>
          <w:sz w:val="24"/>
          <w:szCs w:val="28"/>
          <w:highlight w:val="none"/>
        </w:rPr>
      </w:pPr>
      <w:r>
        <w:rPr>
          <w:rFonts w:hint="eastAsia"/>
          <w:color w:val="auto"/>
          <w:sz w:val="24"/>
          <w:szCs w:val="28"/>
          <w:highlight w:val="none"/>
        </w:rPr>
        <w:t>（二）在招标人确定中标人以前放弃中标候选资格的；</w:t>
      </w:r>
    </w:p>
    <w:p w14:paraId="5EB7BF5E">
      <w:pPr>
        <w:spacing w:line="360" w:lineRule="auto"/>
        <w:ind w:firstLine="480" w:firstLineChars="200"/>
        <w:rPr>
          <w:color w:val="auto"/>
          <w:sz w:val="24"/>
          <w:szCs w:val="28"/>
          <w:highlight w:val="none"/>
        </w:rPr>
      </w:pPr>
      <w:r>
        <w:rPr>
          <w:rFonts w:hint="eastAsia"/>
          <w:color w:val="auto"/>
          <w:sz w:val="24"/>
          <w:szCs w:val="28"/>
          <w:highlight w:val="none"/>
        </w:rPr>
        <w:t>（三）由于中标人的原因未能按照招标文件的规定与采购人签订合同；</w:t>
      </w:r>
    </w:p>
    <w:p w14:paraId="4B02F2DE">
      <w:pPr>
        <w:spacing w:line="360" w:lineRule="auto"/>
        <w:ind w:firstLine="480" w:firstLineChars="200"/>
        <w:rPr>
          <w:color w:val="auto"/>
          <w:sz w:val="24"/>
          <w:szCs w:val="28"/>
          <w:highlight w:val="none"/>
        </w:rPr>
      </w:pPr>
      <w:r>
        <w:rPr>
          <w:rFonts w:hint="eastAsia"/>
          <w:color w:val="auto"/>
          <w:sz w:val="24"/>
          <w:szCs w:val="28"/>
          <w:highlight w:val="none"/>
        </w:rPr>
        <w:t>（四）在响应文件中提供虚假材料谋取中标；</w:t>
      </w:r>
    </w:p>
    <w:p w14:paraId="42FBD4FF">
      <w:pPr>
        <w:spacing w:line="360" w:lineRule="auto"/>
        <w:ind w:firstLine="480" w:firstLineChars="200"/>
        <w:rPr>
          <w:color w:val="auto"/>
          <w:sz w:val="24"/>
          <w:szCs w:val="28"/>
          <w:highlight w:val="none"/>
        </w:rPr>
      </w:pPr>
      <w:r>
        <w:rPr>
          <w:rFonts w:hint="eastAsia"/>
          <w:color w:val="auto"/>
          <w:sz w:val="24"/>
          <w:szCs w:val="28"/>
          <w:highlight w:val="none"/>
        </w:rPr>
        <w:t>（五）与采购人、其他供应商或者招标代理机构恶意串通的；</w:t>
      </w:r>
    </w:p>
    <w:p w14:paraId="5A244B40">
      <w:pPr>
        <w:spacing w:line="360" w:lineRule="auto"/>
        <w:ind w:firstLine="480" w:firstLineChars="200"/>
        <w:rPr>
          <w:color w:val="auto"/>
          <w:sz w:val="24"/>
          <w:szCs w:val="28"/>
          <w:highlight w:val="none"/>
        </w:rPr>
      </w:pPr>
      <w:r>
        <w:rPr>
          <w:rFonts w:hint="eastAsia"/>
          <w:color w:val="auto"/>
          <w:sz w:val="24"/>
          <w:szCs w:val="28"/>
          <w:highlight w:val="none"/>
        </w:rPr>
        <w:t>（六）磋商有效期内，供应商在政府采购活动中有违法、违规、违纪行为。由此产生的一切法律后果和责任由我公司承担。我公司声明放弃对此提出任何异议和追索的权利。</w:t>
      </w:r>
    </w:p>
    <w:p w14:paraId="302D4E7C">
      <w:pPr>
        <w:spacing w:line="360" w:lineRule="auto"/>
        <w:ind w:firstLine="480" w:firstLineChars="200"/>
        <w:rPr>
          <w:color w:val="auto"/>
          <w:sz w:val="24"/>
          <w:szCs w:val="28"/>
          <w:highlight w:val="none"/>
        </w:rPr>
      </w:pPr>
      <w:r>
        <w:rPr>
          <w:rFonts w:hint="eastAsia"/>
          <w:color w:val="auto"/>
          <w:sz w:val="24"/>
          <w:szCs w:val="28"/>
          <w:highlight w:val="none"/>
        </w:rPr>
        <w:t>本公司对上述承诺的内容事项真实性负责。如经查实上述承诺的内容事项存在虚假，我公司愿意接受以提供虚假材料谋取中标追究法律责任。</w:t>
      </w:r>
    </w:p>
    <w:p w14:paraId="1C48C0F5">
      <w:pPr>
        <w:spacing w:line="360" w:lineRule="auto"/>
        <w:ind w:firstLine="480" w:firstLineChars="200"/>
        <w:rPr>
          <w:color w:val="auto"/>
          <w:sz w:val="24"/>
          <w:szCs w:val="28"/>
          <w:highlight w:val="none"/>
        </w:rPr>
      </w:pPr>
    </w:p>
    <w:p w14:paraId="344B5B2F">
      <w:pPr>
        <w:spacing w:line="360" w:lineRule="auto"/>
        <w:ind w:firstLine="480" w:firstLineChars="200"/>
        <w:rPr>
          <w:color w:val="auto"/>
          <w:sz w:val="24"/>
          <w:szCs w:val="28"/>
          <w:highlight w:val="none"/>
        </w:rPr>
      </w:pPr>
      <w:bookmarkStart w:id="206" w:name="五、磋商报价明细表"/>
      <w:bookmarkEnd w:id="206"/>
    </w:p>
    <w:p w14:paraId="53EFBD65">
      <w:pPr>
        <w:spacing w:line="360" w:lineRule="auto"/>
        <w:ind w:firstLine="480" w:firstLineChars="200"/>
        <w:rPr>
          <w:color w:val="auto"/>
          <w:sz w:val="24"/>
          <w:szCs w:val="28"/>
          <w:highlight w:val="none"/>
        </w:rPr>
      </w:pPr>
      <w:r>
        <w:rPr>
          <w:rFonts w:hint="eastAsia"/>
          <w:color w:val="auto"/>
          <w:sz w:val="24"/>
          <w:szCs w:val="28"/>
          <w:highlight w:val="none"/>
        </w:rPr>
        <w:t>供应商名称：</w:t>
      </w:r>
      <w:r>
        <w:rPr>
          <w:rFonts w:hint="eastAsia" w:ascii="宋体" w:hAnsi="宋体" w:eastAsia="宋体" w:cs="宋体"/>
          <w:color w:val="auto"/>
          <w:sz w:val="24"/>
          <w:szCs w:val="20"/>
          <w:highlight w:val="none"/>
          <w:u w:val="single"/>
        </w:rPr>
        <w:t xml:space="preserve">                  </w:t>
      </w:r>
      <w:r>
        <w:rPr>
          <w:rFonts w:hint="eastAsia"/>
          <w:color w:val="auto"/>
          <w:sz w:val="24"/>
          <w:szCs w:val="28"/>
          <w:highlight w:val="none"/>
        </w:rPr>
        <w:t xml:space="preserve"> （</w:t>
      </w:r>
      <w:r>
        <w:rPr>
          <w:rFonts w:hint="eastAsia" w:ascii="宋体" w:hAnsi="宋体" w:eastAsia="宋体" w:cs="黑体"/>
          <w:bCs/>
          <w:color w:val="auto"/>
          <w:kern w:val="0"/>
          <w:sz w:val="24"/>
          <w:szCs w:val="21"/>
          <w:highlight w:val="none"/>
        </w:rPr>
        <w:t>电子签章</w:t>
      </w:r>
      <w:r>
        <w:rPr>
          <w:rFonts w:hint="eastAsia"/>
          <w:color w:val="auto"/>
          <w:sz w:val="24"/>
          <w:szCs w:val="28"/>
          <w:highlight w:val="none"/>
        </w:rPr>
        <w:t>）</w:t>
      </w:r>
    </w:p>
    <w:p w14:paraId="0A21E21C">
      <w:pPr>
        <w:spacing w:line="360" w:lineRule="auto"/>
        <w:ind w:firstLine="480" w:firstLineChars="200"/>
        <w:rPr>
          <w:color w:val="auto"/>
          <w:sz w:val="24"/>
          <w:szCs w:val="28"/>
          <w:highlight w:val="none"/>
        </w:rPr>
      </w:pPr>
      <w:r>
        <w:rPr>
          <w:rFonts w:hint="eastAsia"/>
          <w:color w:val="auto"/>
          <w:sz w:val="24"/>
          <w:szCs w:val="28"/>
          <w:highlight w:val="none"/>
        </w:rPr>
        <w:t>法定代表人：</w:t>
      </w:r>
      <w:r>
        <w:rPr>
          <w:rFonts w:hint="eastAsia" w:ascii="宋体" w:hAnsi="宋体" w:eastAsia="宋体" w:cs="宋体"/>
          <w:color w:val="auto"/>
          <w:sz w:val="24"/>
          <w:szCs w:val="20"/>
          <w:highlight w:val="none"/>
          <w:u w:val="single"/>
        </w:rPr>
        <w:t xml:space="preserve">              </w:t>
      </w:r>
      <w:r>
        <w:rPr>
          <w:rFonts w:hint="eastAsia"/>
          <w:color w:val="auto"/>
          <w:sz w:val="24"/>
          <w:szCs w:val="28"/>
          <w:highlight w:val="none"/>
        </w:rPr>
        <w:t xml:space="preserve"> （电子签章</w:t>
      </w:r>
      <w:r>
        <w:rPr>
          <w:rFonts w:hint="eastAsia" w:ascii="宋体" w:hAnsi="宋体" w:eastAsia="宋体" w:cs="宋体"/>
          <w:color w:val="auto"/>
          <w:kern w:val="0"/>
          <w:sz w:val="24"/>
          <w:highlight w:val="none"/>
          <w:lang w:bidi="ar"/>
        </w:rPr>
        <w:t>或签字</w:t>
      </w:r>
      <w:r>
        <w:rPr>
          <w:rFonts w:hint="eastAsia"/>
          <w:color w:val="auto"/>
          <w:sz w:val="24"/>
          <w:szCs w:val="28"/>
          <w:highlight w:val="none"/>
        </w:rPr>
        <w:t>）</w:t>
      </w:r>
    </w:p>
    <w:p w14:paraId="5DCBBFF7">
      <w:pPr>
        <w:spacing w:line="360" w:lineRule="auto"/>
        <w:ind w:firstLine="480" w:firstLineChars="200"/>
        <w:rPr>
          <w:color w:val="auto"/>
          <w:sz w:val="24"/>
          <w:szCs w:val="28"/>
          <w:highlight w:val="none"/>
        </w:rPr>
      </w:pPr>
      <w:r>
        <w:rPr>
          <w:rFonts w:hint="eastAsia"/>
          <w:color w:val="auto"/>
          <w:sz w:val="24"/>
          <w:szCs w:val="28"/>
          <w:highlight w:val="none"/>
        </w:rPr>
        <w:t>日期：</w:t>
      </w:r>
      <w:r>
        <w:rPr>
          <w:rFonts w:hint="eastAsia"/>
          <w:color w:val="auto"/>
          <w:sz w:val="24"/>
          <w:szCs w:val="28"/>
          <w:highlight w:val="none"/>
          <w:u w:val="single"/>
        </w:rPr>
        <w:t xml:space="preserve">        </w:t>
      </w:r>
      <w:r>
        <w:rPr>
          <w:rFonts w:hint="eastAsia"/>
          <w:color w:val="auto"/>
          <w:sz w:val="24"/>
          <w:szCs w:val="28"/>
          <w:highlight w:val="none"/>
        </w:rPr>
        <w:t>年</w:t>
      </w:r>
      <w:r>
        <w:rPr>
          <w:rFonts w:hint="eastAsia"/>
          <w:color w:val="auto"/>
          <w:sz w:val="24"/>
          <w:szCs w:val="28"/>
          <w:highlight w:val="none"/>
          <w:u w:val="single"/>
        </w:rPr>
        <w:t xml:space="preserve">      </w:t>
      </w:r>
      <w:r>
        <w:rPr>
          <w:rFonts w:hint="eastAsia"/>
          <w:color w:val="auto"/>
          <w:sz w:val="24"/>
          <w:szCs w:val="28"/>
          <w:highlight w:val="none"/>
        </w:rPr>
        <w:t>月</w:t>
      </w:r>
      <w:r>
        <w:rPr>
          <w:rFonts w:hint="eastAsia"/>
          <w:color w:val="auto"/>
          <w:sz w:val="24"/>
          <w:szCs w:val="28"/>
          <w:highlight w:val="none"/>
          <w:u w:val="single"/>
        </w:rPr>
        <w:t xml:space="preserve">      </w:t>
      </w:r>
      <w:r>
        <w:rPr>
          <w:rFonts w:hint="eastAsia"/>
          <w:color w:val="auto"/>
          <w:sz w:val="24"/>
          <w:szCs w:val="28"/>
          <w:highlight w:val="none"/>
        </w:rPr>
        <w:t>日</w:t>
      </w:r>
    </w:p>
    <w:p w14:paraId="01749C9A">
      <w:pPr>
        <w:pStyle w:val="6"/>
        <w:jc w:val="center"/>
        <w:rPr>
          <w:color w:val="auto"/>
          <w:highlight w:val="none"/>
        </w:rPr>
      </w:pPr>
      <w:r>
        <w:rPr>
          <w:rFonts w:hint="eastAsia" w:ascii="宋体" w:hAnsi="宋体" w:cs="宋体"/>
          <w:color w:val="auto"/>
          <w:szCs w:val="24"/>
          <w:highlight w:val="none"/>
        </w:rPr>
        <w:br w:type="page"/>
      </w:r>
      <w:bookmarkStart w:id="207" w:name="_Toc361989462"/>
      <w:bookmarkEnd w:id="207"/>
      <w:bookmarkStart w:id="208" w:name="_Toc244934212"/>
      <w:bookmarkEnd w:id="208"/>
      <w:bookmarkStart w:id="209" w:name="_Toc528078071"/>
      <w:bookmarkEnd w:id="209"/>
      <w:bookmarkStart w:id="210" w:name="_Hlk3282331"/>
      <w:bookmarkEnd w:id="210"/>
      <w:bookmarkStart w:id="211" w:name="_Toc28663"/>
      <w:bookmarkStart w:id="212" w:name="_Toc23028"/>
      <w:bookmarkStart w:id="213" w:name="_Toc6985"/>
      <w:r>
        <w:rPr>
          <w:rFonts w:hint="eastAsia"/>
          <w:color w:val="auto"/>
          <w:highlight w:val="none"/>
        </w:rPr>
        <w:t>五、报价明细表</w:t>
      </w:r>
      <w:bookmarkEnd w:id="211"/>
      <w:bookmarkEnd w:id="212"/>
      <w:bookmarkEnd w:id="213"/>
    </w:p>
    <w:tbl>
      <w:tblPr>
        <w:tblStyle w:val="20"/>
        <w:tblW w:w="10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56"/>
        <w:gridCol w:w="786"/>
        <w:gridCol w:w="974"/>
        <w:gridCol w:w="828"/>
        <w:gridCol w:w="1416"/>
        <w:gridCol w:w="1108"/>
        <w:gridCol w:w="1275"/>
        <w:gridCol w:w="1119"/>
        <w:gridCol w:w="272"/>
        <w:gridCol w:w="981"/>
      </w:tblGrid>
      <w:tr w14:paraId="6C2A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532918E4">
            <w:pPr>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56" w:type="dxa"/>
            <w:tcBorders>
              <w:top w:val="single" w:color="auto" w:sz="4" w:space="0"/>
              <w:left w:val="nil"/>
              <w:bottom w:val="single" w:color="auto" w:sz="4" w:space="0"/>
              <w:right w:val="single" w:color="auto" w:sz="4" w:space="0"/>
            </w:tcBorders>
            <w:vAlign w:val="center"/>
          </w:tcPr>
          <w:p w14:paraId="1A5C89CD">
            <w:pPr>
              <w:rPr>
                <w:rFonts w:ascii="宋体" w:hAnsi="宋体" w:cs="宋体"/>
                <w:color w:val="auto"/>
                <w:sz w:val="24"/>
                <w:szCs w:val="24"/>
                <w:highlight w:val="none"/>
              </w:rPr>
            </w:pPr>
            <w:r>
              <w:rPr>
                <w:rFonts w:hint="eastAsia" w:ascii="宋体" w:hAnsi="宋体" w:eastAsia="宋体" w:cs="宋体"/>
                <w:color w:val="auto"/>
                <w:sz w:val="24"/>
                <w:szCs w:val="24"/>
                <w:highlight w:val="none"/>
              </w:rPr>
              <w:t>货物名称</w:t>
            </w:r>
          </w:p>
        </w:tc>
        <w:tc>
          <w:tcPr>
            <w:tcW w:w="786" w:type="dxa"/>
            <w:tcBorders>
              <w:top w:val="single" w:color="auto" w:sz="4" w:space="0"/>
              <w:left w:val="nil"/>
              <w:bottom w:val="single" w:color="auto" w:sz="4" w:space="0"/>
              <w:right w:val="single" w:color="auto" w:sz="4" w:space="0"/>
            </w:tcBorders>
            <w:vAlign w:val="center"/>
          </w:tcPr>
          <w:p w14:paraId="70FFDDFF">
            <w:pPr>
              <w:rPr>
                <w:rFonts w:ascii="宋体" w:hAnsi="宋体" w:cs="宋体"/>
                <w:color w:val="auto"/>
                <w:sz w:val="24"/>
                <w:szCs w:val="24"/>
                <w:highlight w:val="none"/>
              </w:rPr>
            </w:pPr>
            <w:r>
              <w:rPr>
                <w:rFonts w:hint="eastAsia" w:ascii="宋体" w:hAnsi="宋体" w:cs="宋体"/>
                <w:color w:val="auto"/>
                <w:sz w:val="24"/>
                <w:szCs w:val="24"/>
                <w:highlight w:val="none"/>
              </w:rPr>
              <w:t>品牌</w:t>
            </w:r>
          </w:p>
        </w:tc>
        <w:tc>
          <w:tcPr>
            <w:tcW w:w="974" w:type="dxa"/>
            <w:tcBorders>
              <w:top w:val="single" w:color="auto" w:sz="4" w:space="0"/>
              <w:left w:val="nil"/>
              <w:bottom w:val="single" w:color="auto" w:sz="4" w:space="0"/>
              <w:right w:val="single" w:color="auto" w:sz="4" w:space="0"/>
            </w:tcBorders>
            <w:vAlign w:val="center"/>
          </w:tcPr>
          <w:p w14:paraId="596BAE9C">
            <w:pPr>
              <w:rPr>
                <w:rFonts w:hint="eastAsia" w:ascii="宋体" w:hAnsi="宋体" w:cs="宋体"/>
                <w:color w:val="auto"/>
                <w:sz w:val="24"/>
                <w:szCs w:val="24"/>
                <w:highlight w:val="none"/>
              </w:rPr>
            </w:pPr>
            <w:r>
              <w:rPr>
                <w:rFonts w:hint="eastAsia" w:ascii="宋体" w:hAnsi="宋体" w:cs="宋体"/>
                <w:color w:val="auto"/>
                <w:sz w:val="24"/>
                <w:szCs w:val="24"/>
                <w:highlight w:val="none"/>
              </w:rPr>
              <w:t>制造商</w:t>
            </w:r>
          </w:p>
        </w:tc>
        <w:tc>
          <w:tcPr>
            <w:tcW w:w="828" w:type="dxa"/>
            <w:tcBorders>
              <w:top w:val="single" w:color="auto" w:sz="4" w:space="0"/>
              <w:left w:val="nil"/>
              <w:bottom w:val="single" w:color="auto" w:sz="4" w:space="0"/>
              <w:right w:val="single" w:color="auto" w:sz="4" w:space="0"/>
            </w:tcBorders>
            <w:vAlign w:val="center"/>
          </w:tcPr>
          <w:p w14:paraId="2FFADCAD">
            <w:pPr>
              <w:rPr>
                <w:rFonts w:ascii="宋体" w:hAnsi="宋体" w:cs="宋体"/>
                <w:color w:val="auto"/>
                <w:sz w:val="24"/>
                <w:highlight w:val="none"/>
              </w:rPr>
            </w:pPr>
            <w:r>
              <w:rPr>
                <w:rFonts w:hint="eastAsia" w:ascii="宋体" w:hAnsi="宋体" w:cs="宋体"/>
                <w:color w:val="auto"/>
                <w:sz w:val="24"/>
                <w:szCs w:val="24"/>
                <w:highlight w:val="none"/>
              </w:rPr>
              <w:t>型号</w:t>
            </w:r>
          </w:p>
        </w:tc>
        <w:tc>
          <w:tcPr>
            <w:tcW w:w="1416" w:type="dxa"/>
            <w:tcBorders>
              <w:top w:val="single" w:color="auto" w:sz="4" w:space="0"/>
              <w:left w:val="nil"/>
              <w:bottom w:val="single" w:color="auto" w:sz="4" w:space="0"/>
              <w:right w:val="single" w:color="auto" w:sz="4" w:space="0"/>
            </w:tcBorders>
            <w:vAlign w:val="center"/>
          </w:tcPr>
          <w:p w14:paraId="4C77C671">
            <w:pPr>
              <w:jc w:val="center"/>
              <w:rPr>
                <w:rFonts w:ascii="宋体" w:hAnsi="宋体" w:cs="黑体"/>
                <w:color w:val="auto"/>
                <w:sz w:val="24"/>
                <w:highlight w:val="none"/>
              </w:rPr>
            </w:pPr>
            <w:r>
              <w:rPr>
                <w:rFonts w:hint="eastAsia" w:ascii="宋体" w:hAnsi="宋体"/>
                <w:color w:val="auto"/>
                <w:sz w:val="24"/>
                <w:highlight w:val="none"/>
              </w:rPr>
              <w:t>单位</w:t>
            </w:r>
          </w:p>
        </w:tc>
        <w:tc>
          <w:tcPr>
            <w:tcW w:w="1108" w:type="dxa"/>
            <w:tcBorders>
              <w:top w:val="single" w:color="auto" w:sz="4" w:space="0"/>
              <w:left w:val="nil"/>
              <w:bottom w:val="single" w:color="auto" w:sz="4" w:space="0"/>
              <w:right w:val="single" w:color="auto" w:sz="4" w:space="0"/>
            </w:tcBorders>
            <w:vAlign w:val="center"/>
          </w:tcPr>
          <w:p w14:paraId="4C6803C6">
            <w:pPr>
              <w:jc w:val="center"/>
              <w:rPr>
                <w:rFonts w:ascii="宋体" w:hAnsi="宋体" w:cs="宋体"/>
                <w:color w:val="auto"/>
                <w:sz w:val="24"/>
                <w:highlight w:val="none"/>
              </w:rPr>
            </w:pPr>
            <w:r>
              <w:rPr>
                <w:rFonts w:hint="eastAsia" w:ascii="宋体" w:hAnsi="宋体" w:cs="宋体"/>
                <w:color w:val="auto"/>
                <w:sz w:val="24"/>
                <w:highlight w:val="none"/>
              </w:rPr>
              <w:t>数量</w:t>
            </w:r>
          </w:p>
        </w:tc>
        <w:tc>
          <w:tcPr>
            <w:tcW w:w="1275" w:type="dxa"/>
            <w:tcBorders>
              <w:top w:val="single" w:color="auto" w:sz="4" w:space="0"/>
              <w:left w:val="nil"/>
              <w:bottom w:val="single" w:color="auto" w:sz="4" w:space="0"/>
              <w:right w:val="single" w:color="auto" w:sz="4" w:space="0"/>
            </w:tcBorders>
            <w:vAlign w:val="center"/>
          </w:tcPr>
          <w:p w14:paraId="630D7E0F">
            <w:pPr>
              <w:jc w:val="center"/>
              <w:rPr>
                <w:rFonts w:ascii="宋体" w:hAnsi="宋体" w:cs="宋体"/>
                <w:color w:val="auto"/>
                <w:sz w:val="24"/>
                <w:highlight w:val="none"/>
              </w:rPr>
            </w:pPr>
            <w:r>
              <w:rPr>
                <w:rFonts w:hint="eastAsia" w:ascii="宋体" w:hAnsi="宋体" w:cs="宋体"/>
                <w:color w:val="auto"/>
                <w:sz w:val="24"/>
                <w:highlight w:val="none"/>
              </w:rPr>
              <w:t>单价（元）</w:t>
            </w:r>
          </w:p>
        </w:tc>
        <w:tc>
          <w:tcPr>
            <w:tcW w:w="1391" w:type="dxa"/>
            <w:gridSpan w:val="2"/>
            <w:tcBorders>
              <w:top w:val="single" w:color="auto" w:sz="4" w:space="0"/>
              <w:left w:val="nil"/>
              <w:bottom w:val="single" w:color="auto" w:sz="4" w:space="0"/>
              <w:right w:val="single" w:color="auto" w:sz="4" w:space="0"/>
            </w:tcBorders>
            <w:vAlign w:val="center"/>
          </w:tcPr>
          <w:p w14:paraId="01CEE467">
            <w:pPr>
              <w:jc w:val="center"/>
              <w:rPr>
                <w:rFonts w:ascii="宋体" w:hAnsi="宋体" w:cs="宋体"/>
                <w:color w:val="auto"/>
                <w:sz w:val="24"/>
                <w:highlight w:val="none"/>
              </w:rPr>
            </w:pPr>
            <w:r>
              <w:rPr>
                <w:rFonts w:hint="eastAsia" w:ascii="宋体" w:hAnsi="宋体" w:cs="宋体"/>
                <w:color w:val="auto"/>
                <w:sz w:val="24"/>
                <w:highlight w:val="none"/>
              </w:rPr>
              <w:t>合价（元）</w:t>
            </w:r>
          </w:p>
        </w:tc>
        <w:tc>
          <w:tcPr>
            <w:tcW w:w="981" w:type="dxa"/>
            <w:tcBorders>
              <w:top w:val="single" w:color="auto" w:sz="4" w:space="0"/>
              <w:left w:val="nil"/>
              <w:bottom w:val="single" w:color="auto" w:sz="4" w:space="0"/>
              <w:right w:val="single" w:color="auto" w:sz="4" w:space="0"/>
            </w:tcBorders>
            <w:vAlign w:val="center"/>
          </w:tcPr>
          <w:p w14:paraId="67DB1F9F">
            <w:pPr>
              <w:jc w:val="center"/>
              <w:rPr>
                <w:rFonts w:ascii="宋体" w:hAnsi="宋体" w:cs="宋体"/>
                <w:color w:val="auto"/>
                <w:sz w:val="24"/>
                <w:highlight w:val="none"/>
              </w:rPr>
            </w:pPr>
            <w:r>
              <w:rPr>
                <w:rFonts w:hint="eastAsia" w:ascii="宋体" w:hAnsi="宋体" w:cs="宋体"/>
                <w:color w:val="auto"/>
                <w:sz w:val="24"/>
                <w:highlight w:val="none"/>
              </w:rPr>
              <w:t>备注</w:t>
            </w:r>
          </w:p>
        </w:tc>
      </w:tr>
      <w:tr w14:paraId="57A1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653CF784">
            <w:pPr>
              <w:jc w:val="center"/>
              <w:rPr>
                <w:rFonts w:ascii="宋体" w:hAnsi="宋体" w:cs="宋体"/>
                <w:color w:val="auto"/>
                <w:sz w:val="24"/>
                <w:highlight w:val="none"/>
              </w:rPr>
            </w:pPr>
            <w:r>
              <w:rPr>
                <w:rFonts w:hint="eastAsia" w:ascii="宋体" w:hAnsi="宋体" w:cs="宋体"/>
                <w:color w:val="auto"/>
                <w:sz w:val="24"/>
                <w:highlight w:val="none"/>
              </w:rPr>
              <w:t>1</w:t>
            </w:r>
          </w:p>
        </w:tc>
        <w:tc>
          <w:tcPr>
            <w:tcW w:w="1256" w:type="dxa"/>
            <w:tcBorders>
              <w:top w:val="single" w:color="auto" w:sz="4" w:space="0"/>
              <w:left w:val="nil"/>
              <w:bottom w:val="single" w:color="auto" w:sz="4" w:space="0"/>
              <w:right w:val="single" w:color="auto" w:sz="4" w:space="0"/>
            </w:tcBorders>
            <w:vAlign w:val="center"/>
          </w:tcPr>
          <w:p w14:paraId="5A9CA977">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7E030927">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6D7360F6">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41C7ADCB">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3668A3F5">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71450747">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58CFEFC6">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422AEE13">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46EB9F73">
            <w:pPr>
              <w:jc w:val="center"/>
              <w:rPr>
                <w:rFonts w:ascii="宋体" w:hAnsi="宋体" w:cs="宋体"/>
                <w:color w:val="auto"/>
                <w:sz w:val="24"/>
                <w:highlight w:val="none"/>
              </w:rPr>
            </w:pPr>
          </w:p>
        </w:tc>
      </w:tr>
      <w:tr w14:paraId="36A2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686A1221">
            <w:pPr>
              <w:jc w:val="center"/>
              <w:rPr>
                <w:rFonts w:ascii="宋体" w:hAnsi="宋体" w:cs="宋体"/>
                <w:color w:val="auto"/>
                <w:sz w:val="24"/>
                <w:highlight w:val="none"/>
              </w:rPr>
            </w:pPr>
            <w:r>
              <w:rPr>
                <w:rFonts w:hint="eastAsia" w:ascii="宋体" w:hAnsi="宋体" w:cs="宋体"/>
                <w:color w:val="auto"/>
                <w:sz w:val="24"/>
                <w:highlight w:val="none"/>
              </w:rPr>
              <w:t>2</w:t>
            </w:r>
          </w:p>
        </w:tc>
        <w:tc>
          <w:tcPr>
            <w:tcW w:w="1256" w:type="dxa"/>
            <w:tcBorders>
              <w:top w:val="single" w:color="auto" w:sz="4" w:space="0"/>
              <w:left w:val="nil"/>
              <w:bottom w:val="single" w:color="auto" w:sz="4" w:space="0"/>
              <w:right w:val="single" w:color="auto" w:sz="4" w:space="0"/>
            </w:tcBorders>
            <w:vAlign w:val="center"/>
          </w:tcPr>
          <w:p w14:paraId="51061027">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0C0D4A69">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142A18C3">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03F63DCA">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6B524687">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5ACC608C">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32074D83">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50FA04D8">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518FEF9B">
            <w:pPr>
              <w:jc w:val="center"/>
              <w:rPr>
                <w:rFonts w:ascii="宋体" w:hAnsi="宋体" w:cs="宋体"/>
                <w:color w:val="auto"/>
                <w:sz w:val="24"/>
                <w:highlight w:val="none"/>
              </w:rPr>
            </w:pPr>
          </w:p>
        </w:tc>
      </w:tr>
      <w:tr w14:paraId="6F35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1EBF2DD5">
            <w:pPr>
              <w:jc w:val="center"/>
              <w:rPr>
                <w:rFonts w:ascii="宋体" w:hAnsi="宋体" w:cs="宋体"/>
                <w:color w:val="auto"/>
                <w:sz w:val="24"/>
                <w:highlight w:val="none"/>
              </w:rPr>
            </w:pPr>
            <w:r>
              <w:rPr>
                <w:rFonts w:hint="eastAsia" w:ascii="宋体" w:hAnsi="宋体" w:cs="宋体"/>
                <w:color w:val="auto"/>
                <w:sz w:val="24"/>
                <w:highlight w:val="none"/>
              </w:rPr>
              <w:t>3</w:t>
            </w:r>
          </w:p>
        </w:tc>
        <w:tc>
          <w:tcPr>
            <w:tcW w:w="1256" w:type="dxa"/>
            <w:tcBorders>
              <w:top w:val="single" w:color="auto" w:sz="4" w:space="0"/>
              <w:left w:val="nil"/>
              <w:bottom w:val="single" w:color="auto" w:sz="4" w:space="0"/>
              <w:right w:val="single" w:color="auto" w:sz="4" w:space="0"/>
            </w:tcBorders>
            <w:vAlign w:val="center"/>
          </w:tcPr>
          <w:p w14:paraId="4998EE28">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09F83C8C">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2ABE5FA2">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17711341">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74D9D503">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13F79762">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7F45B841">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5C59D2A7">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5981AECC">
            <w:pPr>
              <w:jc w:val="center"/>
              <w:rPr>
                <w:rFonts w:ascii="宋体" w:hAnsi="宋体" w:cs="宋体"/>
                <w:color w:val="auto"/>
                <w:sz w:val="24"/>
                <w:highlight w:val="none"/>
              </w:rPr>
            </w:pPr>
          </w:p>
        </w:tc>
      </w:tr>
      <w:tr w14:paraId="56D9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146190AF">
            <w:pPr>
              <w:jc w:val="center"/>
              <w:rPr>
                <w:rFonts w:ascii="宋体" w:hAnsi="宋体" w:cs="宋体"/>
                <w:color w:val="auto"/>
                <w:sz w:val="24"/>
                <w:highlight w:val="none"/>
              </w:rPr>
            </w:pPr>
            <w:r>
              <w:rPr>
                <w:rFonts w:hint="eastAsia" w:ascii="宋体" w:hAnsi="宋体" w:cs="宋体"/>
                <w:color w:val="auto"/>
                <w:sz w:val="24"/>
                <w:highlight w:val="none"/>
              </w:rPr>
              <w:t>4</w:t>
            </w:r>
          </w:p>
        </w:tc>
        <w:tc>
          <w:tcPr>
            <w:tcW w:w="1256" w:type="dxa"/>
            <w:tcBorders>
              <w:top w:val="single" w:color="auto" w:sz="4" w:space="0"/>
              <w:left w:val="nil"/>
              <w:bottom w:val="single" w:color="auto" w:sz="4" w:space="0"/>
              <w:right w:val="single" w:color="auto" w:sz="4" w:space="0"/>
            </w:tcBorders>
            <w:vAlign w:val="center"/>
          </w:tcPr>
          <w:p w14:paraId="4F72D8E0">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351ADF50">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3940BA2E">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68549814">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16664D9C">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27B8BD07">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29A041E0">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4AEA2E82">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1836FE43">
            <w:pPr>
              <w:jc w:val="center"/>
              <w:rPr>
                <w:rFonts w:ascii="宋体" w:hAnsi="宋体" w:cs="宋体"/>
                <w:color w:val="auto"/>
                <w:sz w:val="24"/>
                <w:highlight w:val="none"/>
              </w:rPr>
            </w:pPr>
          </w:p>
        </w:tc>
      </w:tr>
      <w:tr w14:paraId="4A46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4CD278CF">
            <w:pPr>
              <w:jc w:val="center"/>
              <w:rPr>
                <w:rFonts w:ascii="宋体" w:hAnsi="宋体" w:cs="宋体"/>
                <w:color w:val="auto"/>
                <w:sz w:val="24"/>
                <w:highlight w:val="none"/>
              </w:rPr>
            </w:pPr>
            <w:r>
              <w:rPr>
                <w:rFonts w:hint="eastAsia" w:ascii="宋体" w:hAnsi="宋体" w:cs="宋体"/>
                <w:color w:val="auto"/>
                <w:sz w:val="24"/>
                <w:highlight w:val="none"/>
              </w:rPr>
              <w:t>5</w:t>
            </w:r>
          </w:p>
        </w:tc>
        <w:tc>
          <w:tcPr>
            <w:tcW w:w="1256" w:type="dxa"/>
            <w:tcBorders>
              <w:top w:val="single" w:color="auto" w:sz="4" w:space="0"/>
              <w:left w:val="nil"/>
              <w:bottom w:val="single" w:color="auto" w:sz="4" w:space="0"/>
              <w:right w:val="single" w:color="auto" w:sz="4" w:space="0"/>
            </w:tcBorders>
            <w:vAlign w:val="center"/>
          </w:tcPr>
          <w:p w14:paraId="09C08C73">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736EA67E">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1E4830C4">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37E44ABF">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376F6107">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67D58094">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5F9A2D61">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3E09AC14">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1CF0AE32">
            <w:pPr>
              <w:jc w:val="center"/>
              <w:rPr>
                <w:rFonts w:ascii="宋体" w:hAnsi="宋体" w:cs="宋体"/>
                <w:color w:val="auto"/>
                <w:sz w:val="24"/>
                <w:highlight w:val="none"/>
              </w:rPr>
            </w:pPr>
          </w:p>
        </w:tc>
      </w:tr>
      <w:tr w14:paraId="27DB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032BF2A7">
            <w:pPr>
              <w:jc w:val="center"/>
              <w:rPr>
                <w:rFonts w:ascii="宋体" w:hAnsi="宋体" w:cs="宋体"/>
                <w:color w:val="auto"/>
                <w:sz w:val="24"/>
                <w:highlight w:val="none"/>
              </w:rPr>
            </w:pPr>
            <w:r>
              <w:rPr>
                <w:rFonts w:hint="eastAsia" w:ascii="宋体" w:hAnsi="宋体" w:cs="宋体"/>
                <w:color w:val="auto"/>
                <w:sz w:val="24"/>
                <w:highlight w:val="none"/>
              </w:rPr>
              <w:t>6</w:t>
            </w:r>
          </w:p>
        </w:tc>
        <w:tc>
          <w:tcPr>
            <w:tcW w:w="1256" w:type="dxa"/>
            <w:tcBorders>
              <w:top w:val="single" w:color="auto" w:sz="4" w:space="0"/>
              <w:left w:val="nil"/>
              <w:bottom w:val="single" w:color="auto" w:sz="4" w:space="0"/>
              <w:right w:val="single" w:color="auto" w:sz="4" w:space="0"/>
            </w:tcBorders>
            <w:vAlign w:val="center"/>
          </w:tcPr>
          <w:p w14:paraId="647D3F05">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58C0154F">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12D42121">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1C2DC476">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46598B18">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34F7759C">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0828D364">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2FA8CF75">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529066E1">
            <w:pPr>
              <w:jc w:val="center"/>
              <w:rPr>
                <w:rFonts w:ascii="宋体" w:hAnsi="宋体" w:cs="宋体"/>
                <w:color w:val="auto"/>
                <w:sz w:val="24"/>
                <w:highlight w:val="none"/>
              </w:rPr>
            </w:pPr>
          </w:p>
        </w:tc>
      </w:tr>
      <w:tr w14:paraId="6DDC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5D70E1E2">
            <w:pPr>
              <w:jc w:val="center"/>
              <w:rPr>
                <w:rFonts w:ascii="宋体" w:hAnsi="宋体" w:cs="宋体"/>
                <w:color w:val="auto"/>
                <w:sz w:val="24"/>
                <w:highlight w:val="none"/>
              </w:rPr>
            </w:pPr>
            <w:r>
              <w:rPr>
                <w:rFonts w:hint="eastAsia" w:ascii="宋体" w:hAnsi="宋体" w:cs="宋体"/>
                <w:color w:val="auto"/>
                <w:sz w:val="24"/>
                <w:highlight w:val="none"/>
              </w:rPr>
              <w:t>7</w:t>
            </w:r>
          </w:p>
        </w:tc>
        <w:tc>
          <w:tcPr>
            <w:tcW w:w="1256" w:type="dxa"/>
            <w:tcBorders>
              <w:top w:val="single" w:color="auto" w:sz="4" w:space="0"/>
              <w:left w:val="nil"/>
              <w:bottom w:val="single" w:color="auto" w:sz="4" w:space="0"/>
              <w:right w:val="single" w:color="auto" w:sz="4" w:space="0"/>
            </w:tcBorders>
            <w:vAlign w:val="center"/>
          </w:tcPr>
          <w:p w14:paraId="7E92FC6E">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3F0D0AF0">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12DD1644">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145DE82C">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14200B84">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68EE11B0">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0A55B045">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2041B8CC">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30FB236B">
            <w:pPr>
              <w:jc w:val="center"/>
              <w:rPr>
                <w:rFonts w:ascii="宋体" w:hAnsi="宋体" w:cs="宋体"/>
                <w:color w:val="auto"/>
                <w:sz w:val="24"/>
                <w:highlight w:val="none"/>
              </w:rPr>
            </w:pPr>
          </w:p>
        </w:tc>
      </w:tr>
      <w:tr w14:paraId="1BE4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2CB1E0B5">
            <w:pPr>
              <w:jc w:val="center"/>
              <w:rPr>
                <w:rFonts w:ascii="宋体" w:hAnsi="宋体" w:cs="宋体"/>
                <w:color w:val="auto"/>
                <w:sz w:val="24"/>
                <w:highlight w:val="none"/>
              </w:rPr>
            </w:pPr>
            <w:r>
              <w:rPr>
                <w:rFonts w:hint="eastAsia" w:ascii="宋体" w:hAnsi="宋体" w:cs="宋体"/>
                <w:color w:val="auto"/>
                <w:sz w:val="24"/>
                <w:highlight w:val="none"/>
              </w:rPr>
              <w:t>8</w:t>
            </w:r>
          </w:p>
        </w:tc>
        <w:tc>
          <w:tcPr>
            <w:tcW w:w="1256" w:type="dxa"/>
            <w:tcBorders>
              <w:top w:val="single" w:color="auto" w:sz="4" w:space="0"/>
              <w:left w:val="nil"/>
              <w:bottom w:val="single" w:color="auto" w:sz="4" w:space="0"/>
              <w:right w:val="single" w:color="auto" w:sz="4" w:space="0"/>
            </w:tcBorders>
            <w:vAlign w:val="center"/>
          </w:tcPr>
          <w:p w14:paraId="496795FD">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508F8FE2">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3A2B956E">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44A92F3B">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45C68215">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2E085EB6">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215BD477">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44522555">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1159FB91">
            <w:pPr>
              <w:jc w:val="center"/>
              <w:rPr>
                <w:rFonts w:ascii="宋体" w:hAnsi="宋体" w:cs="宋体"/>
                <w:color w:val="auto"/>
                <w:sz w:val="24"/>
                <w:highlight w:val="none"/>
              </w:rPr>
            </w:pPr>
          </w:p>
        </w:tc>
      </w:tr>
      <w:tr w14:paraId="67D5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1AE0E757">
            <w:pPr>
              <w:jc w:val="center"/>
              <w:rPr>
                <w:color w:val="auto"/>
                <w:highlight w:val="none"/>
              </w:rPr>
            </w:pPr>
            <w:r>
              <w:rPr>
                <w:rFonts w:hint="eastAsia"/>
                <w:color w:val="auto"/>
                <w:highlight w:val="none"/>
              </w:rPr>
              <w:t>...</w:t>
            </w:r>
          </w:p>
          <w:p w14:paraId="11627494">
            <w:pPr>
              <w:jc w:val="center"/>
              <w:rPr>
                <w:color w:val="auto"/>
                <w:highlight w:val="none"/>
              </w:rPr>
            </w:pPr>
            <w:r>
              <w:rPr>
                <w:rFonts w:hint="eastAsia" w:ascii="宋体" w:hAnsi="宋体" w:eastAsia="宋体" w:cs="宋体"/>
                <w:color w:val="auto"/>
                <w:sz w:val="24"/>
                <w:szCs w:val="24"/>
                <w:highlight w:val="none"/>
              </w:rPr>
              <w:t>自行补充</w:t>
            </w:r>
          </w:p>
        </w:tc>
        <w:tc>
          <w:tcPr>
            <w:tcW w:w="1256" w:type="dxa"/>
            <w:tcBorders>
              <w:top w:val="single" w:color="auto" w:sz="4" w:space="0"/>
              <w:left w:val="nil"/>
              <w:bottom w:val="single" w:color="auto" w:sz="4" w:space="0"/>
              <w:right w:val="single" w:color="auto" w:sz="4" w:space="0"/>
            </w:tcBorders>
            <w:vAlign w:val="center"/>
          </w:tcPr>
          <w:p w14:paraId="6DF5D3C6">
            <w:pPr>
              <w:jc w:val="center"/>
              <w:rPr>
                <w:rFonts w:ascii="宋体" w:hAnsi="宋体" w:cs="宋体"/>
                <w:color w:val="auto"/>
                <w:sz w:val="24"/>
                <w:highlight w:val="none"/>
              </w:rPr>
            </w:pPr>
          </w:p>
        </w:tc>
        <w:tc>
          <w:tcPr>
            <w:tcW w:w="786" w:type="dxa"/>
            <w:tcBorders>
              <w:top w:val="single" w:color="auto" w:sz="4" w:space="0"/>
              <w:left w:val="nil"/>
              <w:bottom w:val="single" w:color="auto" w:sz="4" w:space="0"/>
              <w:right w:val="single" w:color="auto" w:sz="4" w:space="0"/>
            </w:tcBorders>
            <w:vAlign w:val="center"/>
          </w:tcPr>
          <w:p w14:paraId="682EFA16">
            <w:pPr>
              <w:jc w:val="center"/>
              <w:rPr>
                <w:rFonts w:ascii="宋体" w:hAnsi="宋体" w:cs="宋体"/>
                <w:color w:val="auto"/>
                <w:sz w:val="24"/>
                <w:highlight w:val="none"/>
              </w:rPr>
            </w:pPr>
          </w:p>
        </w:tc>
        <w:tc>
          <w:tcPr>
            <w:tcW w:w="974" w:type="dxa"/>
            <w:tcBorders>
              <w:top w:val="single" w:color="auto" w:sz="4" w:space="0"/>
              <w:left w:val="nil"/>
              <w:bottom w:val="single" w:color="auto" w:sz="4" w:space="0"/>
              <w:right w:val="single" w:color="auto" w:sz="4" w:space="0"/>
            </w:tcBorders>
            <w:vAlign w:val="center"/>
          </w:tcPr>
          <w:p w14:paraId="1C282401">
            <w:pPr>
              <w:jc w:val="center"/>
              <w:rPr>
                <w:rFonts w:ascii="宋体" w:hAnsi="宋体" w:cs="宋体"/>
                <w:color w:val="auto"/>
                <w:sz w:val="24"/>
                <w:highlight w:val="none"/>
              </w:rPr>
            </w:pPr>
          </w:p>
        </w:tc>
        <w:tc>
          <w:tcPr>
            <w:tcW w:w="828" w:type="dxa"/>
            <w:tcBorders>
              <w:top w:val="single" w:color="auto" w:sz="4" w:space="0"/>
              <w:left w:val="nil"/>
              <w:bottom w:val="single" w:color="auto" w:sz="4" w:space="0"/>
              <w:right w:val="single" w:color="auto" w:sz="4" w:space="0"/>
            </w:tcBorders>
            <w:vAlign w:val="center"/>
          </w:tcPr>
          <w:p w14:paraId="0F2D45BB">
            <w:pPr>
              <w:jc w:val="center"/>
              <w:rPr>
                <w:rFonts w:ascii="宋体" w:hAnsi="宋体" w:cs="宋体"/>
                <w:color w:val="auto"/>
                <w:sz w:val="24"/>
                <w:highlight w:val="none"/>
              </w:rPr>
            </w:pPr>
          </w:p>
        </w:tc>
        <w:tc>
          <w:tcPr>
            <w:tcW w:w="1416" w:type="dxa"/>
            <w:tcBorders>
              <w:top w:val="single" w:color="auto" w:sz="4" w:space="0"/>
              <w:left w:val="nil"/>
              <w:bottom w:val="single" w:color="auto" w:sz="4" w:space="0"/>
              <w:right w:val="single" w:color="auto" w:sz="4" w:space="0"/>
            </w:tcBorders>
            <w:vAlign w:val="center"/>
          </w:tcPr>
          <w:p w14:paraId="2F556ED9">
            <w:pPr>
              <w:jc w:val="center"/>
              <w:rPr>
                <w:rFonts w:ascii="宋体" w:hAnsi="宋体" w:cs="宋体"/>
                <w:color w:val="auto"/>
                <w:sz w:val="24"/>
                <w:highlight w:val="none"/>
              </w:rPr>
            </w:pPr>
          </w:p>
        </w:tc>
        <w:tc>
          <w:tcPr>
            <w:tcW w:w="1108" w:type="dxa"/>
            <w:tcBorders>
              <w:top w:val="single" w:color="auto" w:sz="4" w:space="0"/>
              <w:left w:val="nil"/>
              <w:bottom w:val="single" w:color="auto" w:sz="4" w:space="0"/>
              <w:right w:val="single" w:color="auto" w:sz="4" w:space="0"/>
            </w:tcBorders>
            <w:vAlign w:val="center"/>
          </w:tcPr>
          <w:p w14:paraId="00694E43">
            <w:pPr>
              <w:jc w:val="center"/>
              <w:rPr>
                <w:rFonts w:ascii="宋体" w:hAnsi="宋体" w:cs="宋体"/>
                <w:color w:val="auto"/>
                <w:sz w:val="24"/>
                <w:highlight w:val="none"/>
              </w:rPr>
            </w:pPr>
          </w:p>
        </w:tc>
        <w:tc>
          <w:tcPr>
            <w:tcW w:w="1275" w:type="dxa"/>
            <w:tcBorders>
              <w:top w:val="single" w:color="auto" w:sz="4" w:space="0"/>
              <w:left w:val="nil"/>
              <w:bottom w:val="single" w:color="auto" w:sz="4" w:space="0"/>
              <w:right w:val="single" w:color="auto" w:sz="4" w:space="0"/>
            </w:tcBorders>
            <w:vAlign w:val="center"/>
          </w:tcPr>
          <w:p w14:paraId="70A2AC0D">
            <w:pPr>
              <w:jc w:val="center"/>
              <w:rPr>
                <w:rFonts w:ascii="宋体" w:hAnsi="宋体" w:cs="宋体"/>
                <w:color w:val="auto"/>
                <w:sz w:val="24"/>
                <w:highlight w:val="none"/>
              </w:rPr>
            </w:pPr>
          </w:p>
        </w:tc>
        <w:tc>
          <w:tcPr>
            <w:tcW w:w="1391" w:type="dxa"/>
            <w:gridSpan w:val="2"/>
            <w:tcBorders>
              <w:top w:val="single" w:color="auto" w:sz="4" w:space="0"/>
              <w:left w:val="nil"/>
              <w:bottom w:val="single" w:color="auto" w:sz="4" w:space="0"/>
              <w:right w:val="single" w:color="auto" w:sz="4" w:space="0"/>
            </w:tcBorders>
            <w:vAlign w:val="center"/>
          </w:tcPr>
          <w:p w14:paraId="75854330">
            <w:pPr>
              <w:jc w:val="center"/>
              <w:rPr>
                <w:rFonts w:ascii="宋体" w:hAnsi="宋体" w:cs="宋体"/>
                <w:color w:val="auto"/>
                <w:sz w:val="24"/>
                <w:highlight w:val="none"/>
              </w:rPr>
            </w:pPr>
          </w:p>
        </w:tc>
        <w:tc>
          <w:tcPr>
            <w:tcW w:w="981" w:type="dxa"/>
            <w:tcBorders>
              <w:top w:val="single" w:color="auto" w:sz="4" w:space="0"/>
              <w:left w:val="nil"/>
              <w:bottom w:val="single" w:color="auto" w:sz="4" w:space="0"/>
              <w:right w:val="single" w:color="auto" w:sz="4" w:space="0"/>
            </w:tcBorders>
            <w:vAlign w:val="center"/>
          </w:tcPr>
          <w:p w14:paraId="006AA06E">
            <w:pPr>
              <w:jc w:val="center"/>
              <w:rPr>
                <w:rFonts w:ascii="宋体" w:hAnsi="宋体" w:cs="宋体"/>
                <w:color w:val="auto"/>
                <w:sz w:val="24"/>
                <w:highlight w:val="none"/>
              </w:rPr>
            </w:pPr>
          </w:p>
        </w:tc>
      </w:tr>
      <w:tr w14:paraId="2FD1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75" w:type="dxa"/>
            <w:gridSpan w:val="2"/>
            <w:tcBorders>
              <w:top w:val="single" w:color="auto" w:sz="4" w:space="0"/>
              <w:left w:val="single" w:color="auto" w:sz="4" w:space="0"/>
              <w:bottom w:val="single" w:color="auto" w:sz="4" w:space="0"/>
              <w:right w:val="single" w:color="auto" w:sz="4" w:space="0"/>
            </w:tcBorders>
            <w:vAlign w:val="center"/>
          </w:tcPr>
          <w:p w14:paraId="33D62B39">
            <w:pPr>
              <w:jc w:val="center"/>
              <w:rPr>
                <w:rFonts w:ascii="宋体" w:hAnsi="宋体" w:cs="宋体"/>
                <w:color w:val="auto"/>
                <w:sz w:val="24"/>
                <w:highlight w:val="none"/>
              </w:rPr>
            </w:pPr>
            <w:r>
              <w:rPr>
                <w:rFonts w:hint="eastAsia" w:ascii="宋体" w:hAnsi="宋体" w:cs="宋体"/>
                <w:color w:val="auto"/>
                <w:sz w:val="24"/>
                <w:highlight w:val="none"/>
              </w:rPr>
              <w:t>总价</w:t>
            </w:r>
          </w:p>
        </w:tc>
        <w:tc>
          <w:tcPr>
            <w:tcW w:w="7506" w:type="dxa"/>
            <w:gridSpan w:val="7"/>
            <w:tcBorders>
              <w:top w:val="single" w:color="auto" w:sz="4" w:space="0"/>
              <w:left w:val="nil"/>
              <w:bottom w:val="single" w:color="auto" w:sz="4" w:space="0"/>
              <w:right w:val="single" w:color="auto" w:sz="4" w:space="0"/>
            </w:tcBorders>
            <w:vAlign w:val="center"/>
          </w:tcPr>
          <w:p w14:paraId="05A7D82D">
            <w:pPr>
              <w:rPr>
                <w:rFonts w:ascii="宋体" w:hAnsi="宋体" w:cs="宋体"/>
                <w:color w:val="auto"/>
                <w:sz w:val="24"/>
                <w:highlight w:val="none"/>
              </w:rPr>
            </w:pPr>
            <w:r>
              <w:rPr>
                <w:rFonts w:hint="eastAsia" w:ascii="宋体" w:hAnsi="宋体"/>
                <w:b/>
                <w:color w:val="auto"/>
                <w:sz w:val="24"/>
                <w:highlight w:val="none"/>
              </w:rPr>
              <w:t>大写：</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小写：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w:t>
            </w:r>
          </w:p>
        </w:tc>
        <w:tc>
          <w:tcPr>
            <w:tcW w:w="1253" w:type="dxa"/>
            <w:gridSpan w:val="2"/>
            <w:tcBorders>
              <w:top w:val="single" w:color="auto" w:sz="4" w:space="0"/>
              <w:left w:val="nil"/>
              <w:bottom w:val="single" w:color="auto" w:sz="4" w:space="0"/>
              <w:right w:val="single" w:color="auto" w:sz="4" w:space="0"/>
            </w:tcBorders>
            <w:vAlign w:val="center"/>
          </w:tcPr>
          <w:p w14:paraId="0DDB5ADD">
            <w:pPr>
              <w:rPr>
                <w:rFonts w:hint="eastAsia" w:ascii="宋体" w:hAnsi="宋体"/>
                <w:b/>
                <w:color w:val="auto"/>
                <w:sz w:val="24"/>
                <w:highlight w:val="none"/>
              </w:rPr>
            </w:pPr>
          </w:p>
        </w:tc>
      </w:tr>
    </w:tbl>
    <w:p w14:paraId="5ABB5DA1">
      <w:pPr>
        <w:spacing w:line="480" w:lineRule="exact"/>
        <w:outlineLvl w:val="2"/>
        <w:rPr>
          <w:rFonts w:ascii="宋体" w:hAnsi="宋体" w:cs="宋体"/>
          <w:b/>
          <w:bCs/>
          <w:color w:val="auto"/>
          <w:sz w:val="24"/>
          <w:highlight w:val="none"/>
        </w:rPr>
      </w:pPr>
      <w:r>
        <w:rPr>
          <w:rFonts w:hint="eastAsia" w:ascii="宋体" w:hAnsi="宋体" w:cs="宋体"/>
          <w:b/>
          <w:bCs/>
          <w:color w:val="auto"/>
          <w:sz w:val="24"/>
          <w:highlight w:val="none"/>
        </w:rPr>
        <w:t xml:space="preserve"> 注：1.供应商根据需要可在本表中自行增加更为详细的报价说明</w:t>
      </w:r>
    </w:p>
    <w:p w14:paraId="141F3484">
      <w:pPr>
        <w:spacing w:line="480" w:lineRule="exact"/>
        <w:rPr>
          <w:rFonts w:ascii="宋体" w:hAnsi="宋体" w:cs="宋体"/>
          <w:b/>
          <w:bCs/>
          <w:color w:val="auto"/>
          <w:sz w:val="24"/>
          <w:highlight w:val="none"/>
        </w:rPr>
      </w:pPr>
      <w:r>
        <w:rPr>
          <w:rFonts w:hint="eastAsia" w:ascii="宋体" w:hAnsi="宋体" w:cs="宋体"/>
          <w:b/>
          <w:bCs/>
          <w:color w:val="auto"/>
          <w:sz w:val="24"/>
          <w:highlight w:val="none"/>
        </w:rPr>
        <w:t>2.包含设备价、备品备件价、包装费、装卸费、运输费、税金（含关税、增值税）、安装费、检测验收费、培训费及其他所有费用，均包含在投标报价中。</w:t>
      </w:r>
    </w:p>
    <w:p w14:paraId="65CE73B1">
      <w:pPr>
        <w:spacing w:line="480" w:lineRule="exact"/>
        <w:ind w:firstLine="2738" w:firstLineChars="1141"/>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eastAsia="宋体" w:cs="宋体"/>
          <w:color w:val="auto"/>
          <w:sz w:val="24"/>
          <w:szCs w:val="20"/>
          <w:highlight w:val="none"/>
          <w:u w:val="single"/>
        </w:rPr>
        <w:t xml:space="preserve">              </w:t>
      </w:r>
      <w:r>
        <w:rPr>
          <w:rFonts w:hint="eastAsia" w:ascii="宋体" w:hAnsi="宋体" w:cs="宋体"/>
          <w:color w:val="auto"/>
          <w:sz w:val="24"/>
          <w:highlight w:val="none"/>
        </w:rPr>
        <w:t>（电子签章）</w:t>
      </w:r>
      <w:bookmarkStart w:id="214" w:name="_Hlk522286805"/>
      <w:bookmarkEnd w:id="214"/>
    </w:p>
    <w:p w14:paraId="323EE925">
      <w:pPr>
        <w:spacing w:line="480" w:lineRule="exact"/>
        <w:ind w:firstLine="2738" w:firstLineChars="1141"/>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eastAsia="宋体" w:cs="宋体"/>
          <w:color w:val="auto"/>
          <w:sz w:val="24"/>
          <w:szCs w:val="20"/>
          <w:highlight w:val="none"/>
          <w:u w:val="single"/>
        </w:rPr>
        <w:t xml:space="preserve">              </w:t>
      </w:r>
      <w:r>
        <w:rPr>
          <w:rFonts w:hint="eastAsia" w:ascii="宋体" w:hAnsi="宋体" w:cs="宋体"/>
          <w:color w:val="auto"/>
          <w:sz w:val="24"/>
          <w:highlight w:val="none"/>
        </w:rPr>
        <w:t>（电子签章</w:t>
      </w:r>
      <w:r>
        <w:rPr>
          <w:rFonts w:hint="eastAsia" w:ascii="宋体" w:hAnsi="宋体" w:eastAsia="宋体" w:cs="宋体"/>
          <w:color w:val="auto"/>
          <w:kern w:val="0"/>
          <w:sz w:val="24"/>
          <w:highlight w:val="none"/>
          <w:lang w:bidi="ar"/>
        </w:rPr>
        <w:t>或签字</w:t>
      </w:r>
      <w:r>
        <w:rPr>
          <w:rFonts w:hint="eastAsia" w:ascii="宋体" w:hAnsi="宋体" w:cs="宋体"/>
          <w:color w:val="auto"/>
          <w:sz w:val="24"/>
          <w:highlight w:val="none"/>
        </w:rPr>
        <w:t>）</w:t>
      </w:r>
    </w:p>
    <w:p w14:paraId="35FEBD3F">
      <w:pPr>
        <w:widowControl/>
        <w:spacing w:line="540" w:lineRule="exact"/>
        <w:ind w:firstLine="2738" w:firstLineChars="1141"/>
        <w:rPr>
          <w:rFonts w:ascii="Calibri" w:hAnsi="Calibri" w:eastAsia="宋体" w:cs="Times New Roman"/>
          <w:color w:val="auto"/>
          <w:kern w:val="0"/>
          <w:sz w:val="24"/>
          <w:highlight w:val="none"/>
        </w:rPr>
      </w:pPr>
      <w:r>
        <w:rPr>
          <w:rFonts w:hint="eastAsia" w:ascii="宋体" w:hAnsi="宋体" w:cs="宋体"/>
          <w:color w:val="auto"/>
          <w:sz w:val="24"/>
          <w:highlight w:val="none"/>
        </w:rPr>
        <w:t>日期：</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年</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月</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日</w:t>
      </w:r>
    </w:p>
    <w:p w14:paraId="16765937">
      <w:pPr>
        <w:spacing w:line="480" w:lineRule="exact"/>
        <w:rPr>
          <w:rFonts w:ascii="宋体" w:hAnsi="宋体" w:cs="宋体"/>
          <w:color w:val="auto"/>
          <w:sz w:val="24"/>
          <w:highlight w:val="none"/>
        </w:rPr>
      </w:pPr>
    </w:p>
    <w:p w14:paraId="71EAB176">
      <w:pPr>
        <w:pStyle w:val="6"/>
        <w:jc w:val="center"/>
        <w:rPr>
          <w:color w:val="auto"/>
          <w:highlight w:val="none"/>
        </w:rPr>
      </w:pPr>
      <w:bookmarkStart w:id="215" w:name="_Toc361989463"/>
      <w:bookmarkEnd w:id="215"/>
      <w:bookmarkStart w:id="216" w:name="_Toc244934213"/>
      <w:bookmarkEnd w:id="216"/>
      <w:bookmarkStart w:id="217" w:name="_Toc25298"/>
      <w:bookmarkStart w:id="218" w:name="_Toc17010"/>
      <w:bookmarkStart w:id="219" w:name="_Toc10655"/>
      <w:r>
        <w:rPr>
          <w:rFonts w:ascii="宋体" w:hAnsi="宋体" w:cs="宋体"/>
          <w:color w:val="auto"/>
          <w:szCs w:val="24"/>
          <w:highlight w:val="none"/>
        </w:rPr>
        <w:br w:type="page"/>
      </w:r>
      <w:r>
        <w:rPr>
          <w:rFonts w:hint="eastAsia"/>
          <w:color w:val="auto"/>
          <w:highlight w:val="none"/>
        </w:rPr>
        <w:t>六、技术规格偏离表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805"/>
        <w:gridCol w:w="2348"/>
        <w:gridCol w:w="1585"/>
        <w:gridCol w:w="1182"/>
        <w:gridCol w:w="900"/>
      </w:tblGrid>
      <w:tr w14:paraId="5433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41235E9">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序号</w:t>
            </w:r>
          </w:p>
        </w:tc>
        <w:tc>
          <w:tcPr>
            <w:tcW w:w="1805" w:type="dxa"/>
            <w:tcBorders>
              <w:top w:val="single" w:color="auto" w:sz="4" w:space="0"/>
              <w:left w:val="nil"/>
              <w:bottom w:val="single" w:color="auto" w:sz="4" w:space="0"/>
              <w:right w:val="single" w:color="auto" w:sz="4" w:space="0"/>
            </w:tcBorders>
            <w:vAlign w:val="center"/>
          </w:tcPr>
          <w:p w14:paraId="6ED8039F">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货物名称</w:t>
            </w:r>
          </w:p>
        </w:tc>
        <w:tc>
          <w:tcPr>
            <w:tcW w:w="2348" w:type="dxa"/>
            <w:tcBorders>
              <w:top w:val="single" w:color="auto" w:sz="4" w:space="0"/>
              <w:left w:val="nil"/>
              <w:bottom w:val="single" w:color="auto" w:sz="4" w:space="0"/>
              <w:right w:val="single" w:color="auto" w:sz="4" w:space="0"/>
            </w:tcBorders>
            <w:vAlign w:val="center"/>
          </w:tcPr>
          <w:p w14:paraId="343F20EC">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竞争性磋商文件要求规格或参数</w:t>
            </w:r>
          </w:p>
        </w:tc>
        <w:tc>
          <w:tcPr>
            <w:tcW w:w="1585" w:type="dxa"/>
            <w:tcBorders>
              <w:top w:val="single" w:color="auto" w:sz="4" w:space="0"/>
              <w:left w:val="nil"/>
              <w:bottom w:val="single" w:color="auto" w:sz="4" w:space="0"/>
              <w:right w:val="single" w:color="auto" w:sz="4" w:space="0"/>
            </w:tcBorders>
            <w:vAlign w:val="center"/>
          </w:tcPr>
          <w:p w14:paraId="6B43E28C">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响应货物规格或参数</w:t>
            </w:r>
          </w:p>
        </w:tc>
        <w:tc>
          <w:tcPr>
            <w:tcW w:w="1182" w:type="dxa"/>
            <w:tcBorders>
              <w:top w:val="single" w:color="auto" w:sz="4" w:space="0"/>
              <w:left w:val="nil"/>
              <w:bottom w:val="single" w:color="auto" w:sz="4" w:space="0"/>
              <w:right w:val="single" w:color="auto" w:sz="4" w:space="0"/>
            </w:tcBorders>
            <w:vAlign w:val="center"/>
          </w:tcPr>
          <w:p w14:paraId="2B0F5DDF">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偏离</w:t>
            </w:r>
          </w:p>
          <w:p w14:paraId="63FF559A">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(正/负)</w:t>
            </w:r>
          </w:p>
        </w:tc>
        <w:tc>
          <w:tcPr>
            <w:tcW w:w="900" w:type="dxa"/>
            <w:tcBorders>
              <w:top w:val="single" w:color="auto" w:sz="4" w:space="0"/>
              <w:left w:val="nil"/>
              <w:bottom w:val="single" w:color="auto" w:sz="4" w:space="0"/>
              <w:right w:val="single" w:color="auto" w:sz="4" w:space="0"/>
            </w:tcBorders>
            <w:vAlign w:val="center"/>
          </w:tcPr>
          <w:p w14:paraId="07B41AEA">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说明</w:t>
            </w:r>
          </w:p>
        </w:tc>
      </w:tr>
      <w:tr w14:paraId="1EB6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0B14172A">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1</w:t>
            </w:r>
          </w:p>
        </w:tc>
        <w:tc>
          <w:tcPr>
            <w:tcW w:w="1805" w:type="dxa"/>
            <w:tcBorders>
              <w:top w:val="single" w:color="auto" w:sz="4" w:space="0"/>
              <w:left w:val="nil"/>
              <w:bottom w:val="single" w:color="auto" w:sz="4" w:space="0"/>
              <w:right w:val="single" w:color="auto" w:sz="4" w:space="0"/>
            </w:tcBorders>
            <w:vAlign w:val="center"/>
          </w:tcPr>
          <w:p w14:paraId="43B446EE">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27043310">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0EFA3355">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7D1C325">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589070EB">
            <w:pPr>
              <w:spacing w:line="360" w:lineRule="auto"/>
              <w:jc w:val="center"/>
              <w:rPr>
                <w:rFonts w:ascii="宋体" w:hAnsi="宋体" w:eastAsia="宋体" w:cs="宋体"/>
                <w:color w:val="auto"/>
                <w:sz w:val="24"/>
                <w:szCs w:val="20"/>
                <w:highlight w:val="none"/>
              </w:rPr>
            </w:pPr>
          </w:p>
        </w:tc>
      </w:tr>
      <w:tr w14:paraId="2E43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D25DB5A">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2</w:t>
            </w:r>
          </w:p>
        </w:tc>
        <w:tc>
          <w:tcPr>
            <w:tcW w:w="1805" w:type="dxa"/>
            <w:tcBorders>
              <w:top w:val="single" w:color="auto" w:sz="4" w:space="0"/>
              <w:left w:val="nil"/>
              <w:bottom w:val="single" w:color="auto" w:sz="4" w:space="0"/>
              <w:right w:val="single" w:color="auto" w:sz="4" w:space="0"/>
            </w:tcBorders>
            <w:vAlign w:val="center"/>
          </w:tcPr>
          <w:p w14:paraId="12306CC4">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32A686C5">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7363421D">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744C22F0">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1ABBB125">
            <w:pPr>
              <w:spacing w:line="360" w:lineRule="auto"/>
              <w:jc w:val="center"/>
              <w:rPr>
                <w:rFonts w:ascii="宋体" w:hAnsi="宋体" w:eastAsia="宋体" w:cs="宋体"/>
                <w:color w:val="auto"/>
                <w:sz w:val="24"/>
                <w:szCs w:val="20"/>
                <w:highlight w:val="none"/>
              </w:rPr>
            </w:pPr>
          </w:p>
        </w:tc>
      </w:tr>
      <w:tr w14:paraId="55E0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92A1E60">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3</w:t>
            </w:r>
          </w:p>
        </w:tc>
        <w:tc>
          <w:tcPr>
            <w:tcW w:w="1805" w:type="dxa"/>
            <w:tcBorders>
              <w:top w:val="single" w:color="auto" w:sz="4" w:space="0"/>
              <w:left w:val="nil"/>
              <w:bottom w:val="single" w:color="auto" w:sz="4" w:space="0"/>
              <w:right w:val="single" w:color="auto" w:sz="4" w:space="0"/>
            </w:tcBorders>
            <w:vAlign w:val="center"/>
          </w:tcPr>
          <w:p w14:paraId="6FAAD9B0">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B543493">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A9E2F3E">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10AAF484">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F910A94">
            <w:pPr>
              <w:spacing w:line="360" w:lineRule="auto"/>
              <w:jc w:val="center"/>
              <w:rPr>
                <w:rFonts w:ascii="宋体" w:hAnsi="宋体" w:eastAsia="宋体" w:cs="宋体"/>
                <w:color w:val="auto"/>
                <w:sz w:val="24"/>
                <w:szCs w:val="20"/>
                <w:highlight w:val="none"/>
              </w:rPr>
            </w:pPr>
          </w:p>
        </w:tc>
      </w:tr>
      <w:tr w14:paraId="4F76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E8441D3">
            <w:pPr>
              <w:spacing w:line="360" w:lineRule="auto"/>
              <w:jc w:val="center"/>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w:t>
            </w:r>
          </w:p>
        </w:tc>
        <w:tc>
          <w:tcPr>
            <w:tcW w:w="1805" w:type="dxa"/>
            <w:tcBorders>
              <w:top w:val="single" w:color="auto" w:sz="4" w:space="0"/>
              <w:left w:val="nil"/>
              <w:bottom w:val="single" w:color="auto" w:sz="4" w:space="0"/>
              <w:right w:val="single" w:color="auto" w:sz="4" w:space="0"/>
            </w:tcBorders>
            <w:vAlign w:val="center"/>
          </w:tcPr>
          <w:p w14:paraId="4AFD6626">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0777FF21">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3AF0A016">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165723AC">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192D1B9A">
            <w:pPr>
              <w:spacing w:line="360" w:lineRule="auto"/>
              <w:jc w:val="center"/>
              <w:rPr>
                <w:rFonts w:ascii="宋体" w:hAnsi="宋体" w:eastAsia="宋体" w:cs="宋体"/>
                <w:color w:val="auto"/>
                <w:sz w:val="24"/>
                <w:szCs w:val="20"/>
                <w:highlight w:val="none"/>
              </w:rPr>
            </w:pPr>
          </w:p>
        </w:tc>
      </w:tr>
      <w:tr w14:paraId="138D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535EFFA6">
            <w:pPr>
              <w:spacing w:line="360" w:lineRule="auto"/>
              <w:jc w:val="center"/>
              <w:rPr>
                <w:rFonts w:ascii="宋体" w:hAnsi="宋体" w:eastAsia="宋体" w:cs="宋体"/>
                <w:color w:val="auto"/>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2728046A">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369FF89A">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74383A9C">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69DC33ED">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3B0260E1">
            <w:pPr>
              <w:spacing w:line="360" w:lineRule="auto"/>
              <w:jc w:val="center"/>
              <w:rPr>
                <w:rFonts w:ascii="宋体" w:hAnsi="宋体" w:eastAsia="宋体" w:cs="宋体"/>
                <w:color w:val="auto"/>
                <w:sz w:val="24"/>
                <w:szCs w:val="20"/>
                <w:highlight w:val="none"/>
              </w:rPr>
            </w:pPr>
          </w:p>
        </w:tc>
      </w:tr>
      <w:tr w14:paraId="6C61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0A73F2EB">
            <w:pPr>
              <w:spacing w:line="360" w:lineRule="auto"/>
              <w:jc w:val="center"/>
              <w:rPr>
                <w:rFonts w:ascii="宋体" w:hAnsi="宋体" w:eastAsia="宋体" w:cs="宋体"/>
                <w:color w:val="auto"/>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4673EC95">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B2C1649">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3B18EC71">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4C11FED2">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9017A51">
            <w:pPr>
              <w:spacing w:line="360" w:lineRule="auto"/>
              <w:jc w:val="center"/>
              <w:rPr>
                <w:rFonts w:ascii="宋体" w:hAnsi="宋体" w:eastAsia="宋体" w:cs="宋体"/>
                <w:color w:val="auto"/>
                <w:sz w:val="24"/>
                <w:szCs w:val="20"/>
                <w:highlight w:val="none"/>
              </w:rPr>
            </w:pPr>
          </w:p>
        </w:tc>
      </w:tr>
      <w:tr w14:paraId="2DAB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7C8AC650">
            <w:pPr>
              <w:spacing w:line="360" w:lineRule="auto"/>
              <w:jc w:val="center"/>
              <w:rPr>
                <w:rFonts w:ascii="宋体" w:hAnsi="宋体" w:eastAsia="宋体" w:cs="宋体"/>
                <w:color w:val="auto"/>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704C5DD8">
            <w:pPr>
              <w:spacing w:line="360" w:lineRule="auto"/>
              <w:jc w:val="center"/>
              <w:rPr>
                <w:rFonts w:ascii="宋体" w:hAnsi="宋体" w:eastAsia="宋体" w:cs="宋体"/>
                <w:color w:val="auto"/>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1C52FDD5">
            <w:pPr>
              <w:spacing w:line="360" w:lineRule="auto"/>
              <w:jc w:val="center"/>
              <w:rPr>
                <w:rFonts w:ascii="宋体" w:hAnsi="宋体" w:eastAsia="宋体" w:cs="宋体"/>
                <w:color w:val="auto"/>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7BE0F859">
            <w:pPr>
              <w:spacing w:line="360" w:lineRule="auto"/>
              <w:jc w:val="center"/>
              <w:rPr>
                <w:rFonts w:ascii="宋体" w:hAnsi="宋体" w:eastAsia="宋体" w:cs="宋体"/>
                <w:color w:val="auto"/>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0F07CCE0">
            <w:pPr>
              <w:spacing w:line="360" w:lineRule="auto"/>
              <w:jc w:val="center"/>
              <w:rPr>
                <w:rFonts w:ascii="宋体" w:hAnsi="宋体" w:eastAsia="宋体" w:cs="宋体"/>
                <w:color w:val="auto"/>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C3804E8">
            <w:pPr>
              <w:spacing w:line="360" w:lineRule="auto"/>
              <w:jc w:val="center"/>
              <w:rPr>
                <w:rFonts w:ascii="宋体" w:hAnsi="宋体" w:eastAsia="宋体" w:cs="宋体"/>
                <w:color w:val="auto"/>
                <w:sz w:val="24"/>
                <w:szCs w:val="20"/>
                <w:highlight w:val="none"/>
              </w:rPr>
            </w:pPr>
          </w:p>
        </w:tc>
      </w:tr>
    </w:tbl>
    <w:p w14:paraId="54BDF559">
      <w:pPr>
        <w:spacing w:line="360" w:lineRule="auto"/>
        <w:rPr>
          <w:rFonts w:ascii="宋体" w:hAnsi="宋体" w:eastAsia="宋体" w:cs="宋体"/>
          <w:b/>
          <w:bCs/>
          <w:color w:val="auto"/>
          <w:sz w:val="24"/>
          <w:szCs w:val="20"/>
          <w:highlight w:val="none"/>
        </w:rPr>
      </w:pPr>
      <w:r>
        <w:rPr>
          <w:rFonts w:hint="eastAsia" w:ascii="宋体" w:hAnsi="宋体" w:eastAsia="宋体" w:cs="宋体"/>
          <w:b/>
          <w:bCs/>
          <w:color w:val="auto"/>
          <w:sz w:val="24"/>
          <w:szCs w:val="20"/>
          <w:highlight w:val="none"/>
        </w:rPr>
        <w:t>注：响应人应对照竞争性磋商文件技术规格要求，反映所提供货物和服务对竞争性磋商文件的技术规格要求的全部正/负偏离（优于竞争性磋商文件要求的为正偏离、低于竞争性磋商文件要求得为负偏离）情况。未在本表中做出偏离说明的项目，视为与竞争性磋商文件要求一致；在本表中做出偏离说明的项目，响应人必须提供所投设备的具体参数值，并在技术标中提供详细资料。</w:t>
      </w:r>
    </w:p>
    <w:p w14:paraId="4934901E">
      <w:pPr>
        <w:spacing w:line="360" w:lineRule="auto"/>
        <w:ind w:firstLine="3360" w:firstLineChars="1400"/>
        <w:rPr>
          <w:rFonts w:ascii="宋体" w:hAnsi="宋体" w:eastAsia="宋体" w:cs="宋体"/>
          <w:color w:val="auto"/>
          <w:sz w:val="24"/>
          <w:szCs w:val="20"/>
          <w:highlight w:val="none"/>
        </w:rPr>
      </w:pPr>
    </w:p>
    <w:p w14:paraId="064A28FB">
      <w:pPr>
        <w:spacing w:line="360" w:lineRule="auto"/>
        <w:ind w:firstLine="3360" w:firstLineChars="1400"/>
        <w:rPr>
          <w:rFonts w:ascii="宋体" w:hAnsi="宋体" w:eastAsia="宋体" w:cs="宋体"/>
          <w:color w:val="auto"/>
          <w:sz w:val="24"/>
          <w:szCs w:val="20"/>
          <w:highlight w:val="none"/>
          <w:u w:val="single"/>
        </w:rPr>
      </w:pPr>
      <w:r>
        <w:rPr>
          <w:rFonts w:hint="eastAsia" w:ascii="宋体" w:hAnsi="宋体" w:eastAsia="宋体" w:cs="宋体"/>
          <w:color w:val="auto"/>
          <w:sz w:val="24"/>
          <w:szCs w:val="20"/>
          <w:highlight w:val="none"/>
        </w:rPr>
        <w:t>供应商名称：</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（电子签章）</w:t>
      </w:r>
    </w:p>
    <w:p w14:paraId="138F827E">
      <w:pPr>
        <w:spacing w:line="360" w:lineRule="auto"/>
        <w:ind w:right="-340" w:rightChars="-162" w:firstLine="3360" w:firstLineChars="1400"/>
        <w:rPr>
          <w:rFonts w:ascii="宋体" w:hAnsi="宋体" w:eastAsia="宋体" w:cs="宋体"/>
          <w:color w:val="auto"/>
          <w:sz w:val="24"/>
          <w:szCs w:val="20"/>
          <w:highlight w:val="none"/>
        </w:rPr>
      </w:pPr>
      <w:r>
        <w:rPr>
          <w:rFonts w:hint="eastAsia" w:ascii="宋体" w:hAnsi="宋体" w:eastAsia="宋体" w:cs="宋体"/>
          <w:color w:val="auto"/>
          <w:sz w:val="24"/>
          <w:szCs w:val="20"/>
          <w:highlight w:val="none"/>
        </w:rPr>
        <w:t>日    期：</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年</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月</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日</w:t>
      </w:r>
    </w:p>
    <w:p w14:paraId="60AF955D">
      <w:pPr>
        <w:widowControl/>
        <w:jc w:val="left"/>
        <w:rPr>
          <w:rFonts w:ascii="宋体" w:hAnsi="宋体" w:cs="宋体"/>
          <w:color w:val="auto"/>
          <w:szCs w:val="24"/>
          <w:highlight w:val="none"/>
        </w:rPr>
      </w:pPr>
    </w:p>
    <w:p w14:paraId="574363FB">
      <w:pPr>
        <w:widowControl/>
        <w:jc w:val="left"/>
        <w:rPr>
          <w:color w:val="auto"/>
          <w:highlight w:val="none"/>
        </w:rPr>
      </w:pPr>
    </w:p>
    <w:p w14:paraId="7B7527EF">
      <w:pPr>
        <w:widowControl/>
        <w:jc w:val="left"/>
        <w:rPr>
          <w:color w:val="auto"/>
          <w:highlight w:val="none"/>
        </w:rPr>
      </w:pPr>
    </w:p>
    <w:p w14:paraId="1862D6A4">
      <w:pPr>
        <w:widowControl/>
        <w:jc w:val="left"/>
        <w:rPr>
          <w:color w:val="auto"/>
          <w:highlight w:val="none"/>
        </w:rPr>
      </w:pPr>
    </w:p>
    <w:p w14:paraId="1372CA9D">
      <w:pPr>
        <w:jc w:val="center"/>
        <w:rPr>
          <w:b/>
          <w:bCs/>
          <w:color w:val="auto"/>
          <w:sz w:val="32"/>
          <w:szCs w:val="32"/>
          <w:highlight w:val="none"/>
        </w:rPr>
      </w:pPr>
      <w:r>
        <w:rPr>
          <w:rFonts w:hint="eastAsia"/>
          <w:b/>
          <w:bCs/>
          <w:color w:val="auto"/>
          <w:sz w:val="32"/>
          <w:szCs w:val="32"/>
          <w:highlight w:val="none"/>
        </w:rPr>
        <w:t>七、技术标部分</w:t>
      </w:r>
      <w:bookmarkEnd w:id="217"/>
      <w:bookmarkEnd w:id="218"/>
      <w:bookmarkEnd w:id="219"/>
    </w:p>
    <w:p w14:paraId="20AD7D79">
      <w:pPr>
        <w:spacing w:line="500" w:lineRule="exact"/>
        <w:jc w:val="center"/>
        <w:rPr>
          <w:rFonts w:ascii="宋体" w:hAnsi="宋体" w:cs="宋体"/>
          <w:color w:val="auto"/>
          <w:sz w:val="22"/>
          <w:highlight w:val="none"/>
        </w:rPr>
      </w:pPr>
      <w:r>
        <w:rPr>
          <w:rFonts w:hint="eastAsia" w:ascii="宋体" w:hAnsi="宋体" w:cs="宋体"/>
          <w:color w:val="auto"/>
          <w:sz w:val="22"/>
          <w:highlight w:val="none"/>
        </w:rPr>
        <w:t>（格式自拟）</w:t>
      </w:r>
    </w:p>
    <w:p w14:paraId="1EA431A0">
      <w:pPr>
        <w:rPr>
          <w:color w:val="auto"/>
          <w:highlight w:val="none"/>
        </w:rPr>
      </w:pPr>
      <w:bookmarkStart w:id="220" w:name="_Toc12073"/>
      <w:bookmarkEnd w:id="220"/>
      <w:r>
        <w:rPr>
          <w:rFonts w:hint="eastAsia"/>
          <w:color w:val="auto"/>
          <w:highlight w:val="none"/>
        </w:rPr>
        <w:br w:type="page"/>
      </w:r>
      <w:bookmarkStart w:id="221" w:name="_Toc2770"/>
      <w:bookmarkEnd w:id="221"/>
      <w:bookmarkStart w:id="222" w:name="_Toc4724"/>
      <w:bookmarkStart w:id="223" w:name="_Toc20210"/>
    </w:p>
    <w:p w14:paraId="5D7DB55C">
      <w:pPr>
        <w:pStyle w:val="6"/>
        <w:jc w:val="center"/>
        <w:rPr>
          <w:rFonts w:hint="eastAsia"/>
          <w:color w:val="auto"/>
          <w:highlight w:val="none"/>
        </w:rPr>
      </w:pPr>
      <w:r>
        <w:rPr>
          <w:rFonts w:hint="eastAsia"/>
          <w:color w:val="auto"/>
          <w:highlight w:val="none"/>
        </w:rPr>
        <w:t>八、供应商资格证明</w:t>
      </w:r>
      <w:bookmarkEnd w:id="222"/>
      <w:bookmarkEnd w:id="223"/>
      <w:r>
        <w:rPr>
          <w:rFonts w:hint="eastAsia"/>
          <w:color w:val="auto"/>
          <w:highlight w:val="none"/>
        </w:rPr>
        <w:t>材料</w:t>
      </w:r>
    </w:p>
    <w:p w14:paraId="4CF7CF1E">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cstheme="minorEastAsia"/>
          <w:color w:val="auto"/>
          <w:sz w:val="24"/>
          <w:szCs w:val="24"/>
          <w:highlight w:val="none"/>
        </w:rPr>
        <w:t>供应商具有有效的营业执照；</w:t>
      </w:r>
    </w:p>
    <w:p w14:paraId="425278D6">
      <w:pPr>
        <w:spacing w:line="360" w:lineRule="auto"/>
        <w:ind w:firstLine="480" w:firstLineChars="200"/>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cstheme="minorEastAsia"/>
          <w:color w:val="auto"/>
          <w:sz w:val="24"/>
          <w:szCs w:val="24"/>
          <w:highlight w:val="none"/>
        </w:rPr>
        <w:t>提供供应商企业、法定代表人无行贿犯罪记录，在中国裁判文书网查询（提供网页查询截图）或供应商自行承诺；</w:t>
      </w:r>
    </w:p>
    <w:p w14:paraId="00607DA4">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cstheme="minorEastAsia"/>
          <w:color w:val="auto"/>
          <w:sz w:val="24"/>
          <w:szCs w:val="24"/>
          <w:highlight w:val="none"/>
        </w:rPr>
        <w:t>供应商需提供无商业贿赂及无不正当竞争行为的承诺书</w:t>
      </w:r>
      <w:r>
        <w:rPr>
          <w:rFonts w:hint="eastAsia" w:ascii="宋体" w:hAnsi="宋体" w:cs="宋体"/>
          <w:color w:val="auto"/>
          <w:sz w:val="24"/>
          <w:highlight w:val="none"/>
        </w:rPr>
        <w:t>（格式自拟）</w:t>
      </w:r>
      <w:r>
        <w:rPr>
          <w:rFonts w:hint="eastAsia" w:asciiTheme="minorEastAsia" w:hAnsiTheme="minorEastAsia" w:cstheme="minorEastAsia"/>
          <w:color w:val="auto"/>
          <w:sz w:val="24"/>
          <w:szCs w:val="24"/>
          <w:highlight w:val="none"/>
        </w:rPr>
        <w:t>；</w:t>
      </w:r>
    </w:p>
    <w:p w14:paraId="44781F13">
      <w:pPr>
        <w:spacing w:line="360" w:lineRule="auto"/>
        <w:ind w:firstLine="566" w:firstLineChars="236"/>
        <w:rPr>
          <w:rFonts w:asciiTheme="minorEastAsia" w:hAnsiTheme="minorEastAsia" w:cstheme="minorEastAsia"/>
          <w:color w:val="auto"/>
          <w:sz w:val="24"/>
          <w:szCs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具有履行合同所必需的设备和专业技术能力（自行作出承诺，格式自拟）；</w:t>
      </w:r>
    </w:p>
    <w:p w14:paraId="6B561A93">
      <w:pPr>
        <w:spacing w:line="360" w:lineRule="auto"/>
        <w:ind w:firstLine="566" w:firstLineChars="236"/>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cstheme="minorEastAsia"/>
          <w:color w:val="auto"/>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p>
    <w:p w14:paraId="5F284CE4">
      <w:pPr>
        <w:widowControl/>
        <w:spacing w:line="500" w:lineRule="exact"/>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6</w:t>
      </w:r>
      <w:r>
        <w:rPr>
          <w:rFonts w:hint="eastAsia" w:ascii="宋体" w:hAnsi="宋体" w:eastAsia="宋体" w:cs="宋体"/>
          <w:color w:val="auto"/>
          <w:sz w:val="24"/>
          <w:highlight w:val="none"/>
          <w:lang w:val="en-US" w:eastAsia="zh-CN"/>
        </w:rPr>
        <w:t>.</w:t>
      </w:r>
      <w:r>
        <w:rPr>
          <w:rFonts w:hint="eastAsia" w:ascii="宋体" w:hAnsi="宋体" w:cs="宋体"/>
          <w:color w:val="auto"/>
          <w:sz w:val="24"/>
          <w:szCs w:val="24"/>
          <w:highlight w:val="none"/>
        </w:rPr>
        <w:t>单位负责人为同一人或者存在直接控股、管理关系的不同投标人，不得参加同一合同项下的采购活动；（提供“国家企业信用信息公示系统”中查询打印的相关信息（查询信息需包含公司基本信息、股东信息及股权变更信息等相关信息，查询日期为本项目公告发布之后至开标截止时间止））</w:t>
      </w:r>
      <w:r>
        <w:rPr>
          <w:rFonts w:hint="eastAsia" w:ascii="宋体" w:hAnsi="宋体" w:cs="宋体"/>
          <w:color w:val="auto"/>
          <w:sz w:val="24"/>
          <w:highlight w:val="none"/>
        </w:rPr>
        <w:t>；</w:t>
      </w:r>
    </w:p>
    <w:p w14:paraId="218559B6">
      <w:pPr>
        <w:widowControl/>
        <w:spacing w:line="500" w:lineRule="exact"/>
        <w:ind w:firstLine="480" w:firstLineChars="200"/>
        <w:outlineLvl w:val="2"/>
        <w:rPr>
          <w:rFonts w:ascii="宋体" w:hAnsi="宋体" w:cs="宋体"/>
          <w:color w:val="auto"/>
          <w:sz w:val="24"/>
          <w:highlight w:val="none"/>
        </w:rPr>
      </w:pPr>
      <w:r>
        <w:rPr>
          <w:rFonts w:hint="eastAsia" w:ascii="宋体" w:hAnsi="宋体" w:eastAsia="宋体" w:cs="宋体"/>
          <w:color w:val="auto"/>
          <w:sz w:val="24"/>
          <w:highlight w:val="none"/>
        </w:rPr>
        <w:t>7</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rPr>
        <w:t>本项目不接受联合体投标，</w:t>
      </w:r>
      <w:r>
        <w:rPr>
          <w:rFonts w:hint="eastAsia" w:asciiTheme="minorEastAsia" w:hAnsiTheme="minorEastAsia" w:cstheme="minorEastAsia"/>
          <w:color w:val="auto"/>
          <w:sz w:val="24"/>
          <w:szCs w:val="24"/>
          <w:highlight w:val="none"/>
        </w:rPr>
        <w:t>提供非联合体投标承诺，格式自拟</w:t>
      </w:r>
      <w:r>
        <w:rPr>
          <w:rFonts w:hint="eastAsia" w:ascii="宋体" w:hAnsi="宋体" w:cs="宋体"/>
          <w:color w:val="auto"/>
          <w:sz w:val="24"/>
          <w:highlight w:val="none"/>
        </w:rPr>
        <w:t>。</w:t>
      </w:r>
    </w:p>
    <w:p w14:paraId="54231DB0">
      <w:pPr>
        <w:rPr>
          <w:rFonts w:hint="eastAsia"/>
        </w:rPr>
      </w:pPr>
    </w:p>
    <w:p w14:paraId="6FD96643">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04141466">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6D9FCA10">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2EFE786A">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108D31B6">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0B9AADFF">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0CC6994C">
      <w:pPr>
        <w:pStyle w:val="2"/>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6E3DAEEF">
      <w:pPr>
        <w:pStyle w:val="3"/>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46F1E670">
      <w:pPr>
        <w:pStyle w:val="3"/>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5B7254DF">
      <w:pPr>
        <w:pStyle w:val="3"/>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23E6700B">
      <w:pPr>
        <w:pStyle w:val="3"/>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063A2B22">
      <w:pPr>
        <w:widowControl/>
        <w:spacing w:line="360" w:lineRule="auto"/>
        <w:jc w:val="center"/>
        <w:rPr>
          <w:rFonts w:hint="eastAsia" w:ascii="宋体" w:hAnsi="宋体" w:eastAsia="宋体" w:cs="Times New Roman"/>
          <w:b/>
          <w:bCs/>
          <w:color w:val="000000" w:themeColor="text1"/>
          <w:kern w:val="0"/>
          <w:sz w:val="24"/>
          <w:szCs w:val="24"/>
          <w:highlight w:val="none"/>
          <w14:textFill>
            <w14:solidFill>
              <w14:schemeClr w14:val="tx1"/>
            </w14:solidFill>
          </w14:textFill>
        </w:rPr>
      </w:pPr>
    </w:p>
    <w:p w14:paraId="7FA09F29">
      <w:pPr>
        <w:widowControl/>
        <w:spacing w:line="360" w:lineRule="auto"/>
        <w:jc w:val="center"/>
        <w:rPr>
          <w:rFonts w:ascii="宋体" w:hAnsi="宋体" w:eastAsia="宋体" w:cs="Times New Roman"/>
          <w:b/>
          <w:bCs/>
          <w:color w:val="000000" w:themeColor="text1"/>
          <w:kern w:val="0"/>
          <w:sz w:val="24"/>
          <w:szCs w:val="24"/>
          <w:highlight w:val="none"/>
          <w14:textFill>
            <w14:solidFill>
              <w14:schemeClr w14:val="tx1"/>
            </w14:solidFill>
          </w14:textFill>
        </w:rPr>
      </w:pPr>
      <w:r>
        <w:rPr>
          <w:rFonts w:hint="eastAsia" w:ascii="宋体" w:hAnsi="宋体" w:eastAsia="宋体" w:cs="Times New Roman"/>
          <w:b/>
          <w:bCs/>
          <w:color w:val="000000" w:themeColor="text1"/>
          <w:kern w:val="0"/>
          <w:sz w:val="24"/>
          <w:szCs w:val="24"/>
          <w:highlight w:val="none"/>
          <w14:textFill>
            <w14:solidFill>
              <w14:schemeClr w14:val="tx1"/>
            </w14:solidFill>
          </w14:textFill>
        </w:rPr>
        <w:t xml:space="preserve"> </w:t>
      </w:r>
      <w:r>
        <w:rPr>
          <w:rFonts w:hint="eastAsia" w:ascii="宋体" w:hAnsi="宋体" w:eastAsia="宋体" w:cs="Times New Roman"/>
          <w:b/>
          <w:bCs/>
          <w:color w:val="000000" w:themeColor="text1"/>
          <w:kern w:val="0"/>
          <w:sz w:val="24"/>
          <w:szCs w:val="24"/>
          <w:highlight w:val="none"/>
          <w:lang w:eastAsia="zh-CN"/>
          <w14:textFill>
            <w14:solidFill>
              <w14:schemeClr w14:val="tx1"/>
            </w14:solidFill>
          </w14:textFill>
        </w:rPr>
        <w:t>供应商</w:t>
      </w:r>
      <w:r>
        <w:rPr>
          <w:rFonts w:hint="eastAsia" w:ascii="宋体" w:hAnsi="宋体" w:eastAsia="宋体" w:cs="Times New Roman"/>
          <w:b/>
          <w:bCs/>
          <w:color w:val="000000" w:themeColor="text1"/>
          <w:kern w:val="0"/>
          <w:sz w:val="24"/>
          <w:szCs w:val="24"/>
          <w:highlight w:val="none"/>
          <w14:textFill>
            <w14:solidFill>
              <w14:schemeClr w14:val="tx1"/>
            </w14:solidFill>
          </w14:textFill>
        </w:rPr>
        <w:t>资格声明函</w:t>
      </w:r>
    </w:p>
    <w:p w14:paraId="286DB3B3">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14:textFill>
            <w14:solidFill>
              <w14:schemeClr w14:val="tx1"/>
            </w14:solidFill>
          </w14:textFill>
        </w:rPr>
        <w:t>致</w:t>
      </w:r>
      <w:r>
        <w:rPr>
          <w:rFonts w:hint="eastAsia"/>
          <w:color w:val="auto"/>
          <w:sz w:val="24"/>
          <w:szCs w:val="28"/>
          <w:highlight w:val="none"/>
          <w:u w:val="none"/>
        </w:rPr>
        <w:t>（采购人</w:t>
      </w:r>
      <w:r>
        <w:rPr>
          <w:rFonts w:hint="eastAsia"/>
          <w:color w:val="auto"/>
          <w:sz w:val="24"/>
          <w:szCs w:val="28"/>
          <w:highlight w:val="none"/>
        </w:rPr>
        <w:t>）</w:t>
      </w:r>
      <w:r>
        <w:rPr>
          <w:rFonts w:hint="eastAsia"/>
          <w:color w:val="auto"/>
          <w:sz w:val="24"/>
          <w:szCs w:val="28"/>
          <w:highlight w:val="none"/>
          <w:u w:val="single"/>
          <w:lang w:val="en-US" w:eastAsia="zh-CN"/>
        </w:rPr>
        <w:t xml:space="preserve">          </w:t>
      </w:r>
      <w:r>
        <w:rPr>
          <w:rFonts w:hint="eastAsia"/>
          <w:color w:val="auto"/>
          <w:sz w:val="24"/>
          <w:szCs w:val="28"/>
          <w:highlight w:val="none"/>
          <w:lang w:val="en-US" w:eastAsia="zh-CN"/>
        </w:rPr>
        <w:t xml:space="preserve"> </w:t>
      </w:r>
      <w:r>
        <w:rPr>
          <w:rFonts w:hint="eastAsia" w:ascii="Times New Roman" w:hAnsi="Times New Roman" w:eastAsia="宋体" w:cs="Times New Roman"/>
          <w:color w:val="000000" w:themeColor="text1"/>
          <w:sz w:val="24"/>
          <w:szCs w:val="24"/>
          <w:highlight w:val="none"/>
          <w14:textFill>
            <w14:solidFill>
              <w14:schemeClr w14:val="tx1"/>
            </w14:solidFill>
          </w14:textFill>
        </w:rPr>
        <w:t>：</w:t>
      </w:r>
    </w:p>
    <w:p w14:paraId="0D3ED5C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我方自愿参与（项目名称：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）项目的投标，提供的投标文件资料均保证来源渠道合法、材料真实，若提供的材料有虚假内容，我方愿意承担一切与之项目有关的责任。 </w:t>
      </w:r>
    </w:p>
    <w:p w14:paraId="5BB9C241">
      <w:pPr>
        <w:spacing w:line="360" w:lineRule="auto"/>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我方在此声明，我方具备并满足《中华人民共和国政府采购法》二十二条所规定的条件：</w:t>
      </w:r>
    </w:p>
    <w:p w14:paraId="1A402E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(一)具有独立承担民事责任的能力；</w:t>
      </w:r>
    </w:p>
    <w:p w14:paraId="57D71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(二)具有良好的商业信誉和健全的财务会计制度；</w:t>
      </w:r>
    </w:p>
    <w:p w14:paraId="7DEFF4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(三)具有履行合同所必需的设备和专业技术能力；</w:t>
      </w:r>
    </w:p>
    <w:p w14:paraId="3B17DA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(四)有依法缴纳税收和社会保障资金的良好记录；</w:t>
      </w:r>
    </w:p>
    <w:p w14:paraId="41E15D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(五)参加政府采购活动前三年内，在经营活动中没有重大违法记录；</w:t>
      </w:r>
    </w:p>
    <w:p w14:paraId="519C2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(六)法律、行政法规规定的其他条件。</w:t>
      </w:r>
    </w:p>
    <w:p w14:paraId="624967B7">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我方保证上述信息的真实和准确，并愿意承担因我方就此弄虚作假所引起的一切法律后果。</w:t>
      </w:r>
    </w:p>
    <w:p w14:paraId="6BAD19BA">
      <w:pPr>
        <w:pStyle w:val="3"/>
        <w:rPr>
          <w:rFonts w:hint="eastAsia" w:eastAsia="宋体"/>
          <w:lang w:val="en-US" w:eastAsia="zh-CN"/>
        </w:rPr>
      </w:pPr>
    </w:p>
    <w:p w14:paraId="3B10CD84">
      <w:pPr>
        <w:spacing w:line="360" w:lineRule="auto"/>
        <w:rPr>
          <w:rFonts w:ascii="宋体" w:hAnsi="宋体" w:eastAsia="宋体" w:cs="宋体"/>
          <w:color w:val="000000" w:themeColor="text1"/>
          <w:sz w:val="24"/>
          <w:szCs w:val="24"/>
          <w:highlight w:val="none"/>
          <w14:textFill>
            <w14:solidFill>
              <w14:schemeClr w14:val="tx1"/>
            </w14:solidFill>
          </w14:textFill>
        </w:rPr>
      </w:pPr>
    </w:p>
    <w:p w14:paraId="51BC60F4">
      <w:pPr>
        <w:spacing w:line="360" w:lineRule="auto"/>
        <w:rPr>
          <w:rFonts w:ascii="宋体" w:hAnsi="宋体" w:eastAsia="宋体" w:cs="宋体"/>
          <w:color w:val="000000" w:themeColor="text1"/>
          <w:sz w:val="24"/>
          <w:szCs w:val="24"/>
          <w:highlight w:val="none"/>
          <w14:textFill>
            <w14:solidFill>
              <w14:schemeClr w14:val="tx1"/>
            </w14:solidFill>
          </w14:textFill>
        </w:rPr>
      </w:pPr>
    </w:p>
    <w:p w14:paraId="7BCC8F70">
      <w:pPr>
        <w:spacing w:line="360" w:lineRule="auto"/>
        <w:rPr>
          <w:rFonts w:ascii="宋体" w:hAnsi="宋体" w:eastAsia="宋体" w:cs="Times New Roman"/>
          <w:color w:val="000000" w:themeColor="text1"/>
          <w:sz w:val="24"/>
          <w:szCs w:val="24"/>
          <w:highlight w:val="none"/>
          <w14:textFill>
            <w14:solidFill>
              <w14:schemeClr w14:val="tx1"/>
            </w14:solidFill>
          </w14:textFill>
        </w:rPr>
      </w:pPr>
    </w:p>
    <w:p w14:paraId="5265C27F">
      <w:pPr>
        <w:spacing w:line="540" w:lineRule="exact"/>
        <w:jc w:val="right"/>
        <w:rPr>
          <w:rFonts w:ascii="Calibri" w:hAnsi="Calibri" w:eastAsia="宋体" w:cs="Times New Roman"/>
          <w:color w:val="auto"/>
          <w:kern w:val="0"/>
          <w:sz w:val="24"/>
          <w:highlight w:val="none"/>
          <w:u w:val="single"/>
        </w:rPr>
      </w:pPr>
      <w:r>
        <w:rPr>
          <w:rFonts w:hint="eastAsia" w:ascii="Calibri" w:hAnsi="Calibri" w:eastAsia="宋体" w:cs="Times New Roman"/>
          <w:color w:val="auto"/>
          <w:kern w:val="0"/>
          <w:sz w:val="24"/>
          <w:highlight w:val="none"/>
        </w:rPr>
        <w:t>供应商名称</w:t>
      </w:r>
      <w:r>
        <w:rPr>
          <w:rFonts w:ascii="Calibri" w:hAnsi="Calibri" w:eastAsia="宋体" w:cs="Times New Roman"/>
          <w:color w:val="auto"/>
          <w:kern w:val="0"/>
          <w:sz w:val="24"/>
          <w:highlight w:val="none"/>
        </w:rPr>
        <w:t>：</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w:t>
      </w:r>
      <w:r>
        <w:rPr>
          <w:rFonts w:hint="eastAsia" w:ascii="Calibri" w:hAnsi="Calibri" w:eastAsia="宋体" w:cs="Times New Roman"/>
          <w:color w:val="auto"/>
          <w:kern w:val="0"/>
          <w:sz w:val="24"/>
          <w:highlight w:val="none"/>
        </w:rPr>
        <w:t>电子签章</w:t>
      </w:r>
      <w:r>
        <w:rPr>
          <w:rFonts w:ascii="Calibri" w:hAnsi="Calibri" w:eastAsia="宋体" w:cs="Times New Roman"/>
          <w:color w:val="auto"/>
          <w:kern w:val="0"/>
          <w:sz w:val="24"/>
          <w:highlight w:val="none"/>
        </w:rPr>
        <w:t>）</w:t>
      </w:r>
    </w:p>
    <w:p w14:paraId="1C816D64">
      <w:pPr>
        <w:widowControl/>
        <w:spacing w:line="540" w:lineRule="exact"/>
        <w:ind w:firstLine="360"/>
        <w:jc w:val="right"/>
        <w:rPr>
          <w:rFonts w:ascii="Calibri" w:hAnsi="Calibri" w:eastAsia="宋体" w:cs="Times New Roman"/>
          <w:color w:val="auto"/>
          <w:kern w:val="0"/>
          <w:sz w:val="24"/>
          <w:highlight w:val="none"/>
          <w:u w:val="single"/>
        </w:rPr>
      </w:pPr>
      <w:r>
        <w:rPr>
          <w:rFonts w:ascii="Calibri" w:hAnsi="Calibri" w:eastAsia="宋体" w:cs="Times New Roman"/>
          <w:color w:val="auto"/>
          <w:kern w:val="0"/>
          <w:sz w:val="24"/>
          <w:highlight w:val="none"/>
        </w:rPr>
        <w:t xml:space="preserve">法定代表人： </w:t>
      </w:r>
      <w:r>
        <w:rPr>
          <w:rFonts w:ascii="Calibri" w:hAnsi="Calibri" w:eastAsia="宋体" w:cs="Times New Roman"/>
          <w:color w:val="auto"/>
          <w:kern w:val="0"/>
          <w:sz w:val="24"/>
          <w:highlight w:val="none"/>
          <w:u w:val="single"/>
        </w:rPr>
        <w:t xml:space="preserve">             </w:t>
      </w:r>
      <w:r>
        <w:rPr>
          <w:rFonts w:ascii="Calibri" w:hAnsi="Calibri" w:eastAsia="宋体" w:cs="Times New Roman"/>
          <w:color w:val="auto"/>
          <w:kern w:val="0"/>
          <w:sz w:val="24"/>
          <w:highlight w:val="none"/>
        </w:rPr>
        <w:t>（</w:t>
      </w:r>
      <w:r>
        <w:rPr>
          <w:rFonts w:hint="eastAsia" w:ascii="Calibri" w:hAnsi="Calibri" w:eastAsia="宋体" w:cs="Times New Roman"/>
          <w:color w:val="auto"/>
          <w:kern w:val="0"/>
          <w:sz w:val="24"/>
          <w:highlight w:val="none"/>
        </w:rPr>
        <w:t>电子签章或签字</w:t>
      </w:r>
      <w:r>
        <w:rPr>
          <w:rFonts w:ascii="Calibri" w:hAnsi="Calibri" w:eastAsia="宋体" w:cs="Times New Roman"/>
          <w:color w:val="auto"/>
          <w:kern w:val="0"/>
          <w:sz w:val="24"/>
          <w:highlight w:val="none"/>
        </w:rPr>
        <w:t>）</w:t>
      </w:r>
    </w:p>
    <w:p w14:paraId="67ABCFD3">
      <w:pPr>
        <w:spacing w:line="540" w:lineRule="exact"/>
        <w:jc w:val="right"/>
        <w:rPr>
          <w:rFonts w:hint="eastAsia" w:ascii="宋体" w:hAnsi="宋体" w:eastAsia="宋体" w:cs="Times New Roman"/>
          <w:b/>
          <w:bCs/>
          <w:color w:val="000000" w:themeColor="text1"/>
          <w:kern w:val="0"/>
          <w:sz w:val="28"/>
          <w:szCs w:val="28"/>
          <w:highlight w:val="none"/>
          <w14:textFill>
            <w14:solidFill>
              <w14:schemeClr w14:val="tx1"/>
            </w14:solidFill>
          </w14:textFill>
        </w:rPr>
      </w:pPr>
      <w:r>
        <w:rPr>
          <w:rFonts w:hint="eastAsia" w:ascii="Calibri" w:hAnsi="Calibri" w:eastAsia="宋体" w:cs="Times New Roman"/>
          <w:color w:val="auto"/>
          <w:kern w:val="0"/>
          <w:sz w:val="24"/>
          <w:highlight w:val="none"/>
        </w:rPr>
        <w:t>日期：</w:t>
      </w:r>
      <w:r>
        <w:rPr>
          <w:rFonts w:hint="eastAsia" w:ascii="Calibri" w:hAnsi="Calibri" w:eastAsia="宋体" w:cs="Times New Roman"/>
          <w:color w:val="auto"/>
          <w:kern w:val="0"/>
          <w:sz w:val="24"/>
          <w:highlight w:val="none"/>
          <w:u w:val="single"/>
        </w:rPr>
        <w:t xml:space="preserve">        </w:t>
      </w:r>
      <w:r>
        <w:rPr>
          <w:rFonts w:hint="eastAsia" w:ascii="Calibri" w:hAnsi="Calibri" w:eastAsia="宋体" w:cs="Times New Roman"/>
          <w:color w:val="auto"/>
          <w:kern w:val="0"/>
          <w:sz w:val="24"/>
          <w:highlight w:val="none"/>
        </w:rPr>
        <w:t>年</w:t>
      </w:r>
      <w:r>
        <w:rPr>
          <w:rFonts w:hint="eastAsia" w:ascii="Calibri" w:hAnsi="Calibri" w:eastAsia="宋体" w:cs="Times New Roman"/>
          <w:color w:val="auto"/>
          <w:kern w:val="0"/>
          <w:sz w:val="24"/>
          <w:highlight w:val="none"/>
          <w:u w:val="single"/>
        </w:rPr>
        <w:t xml:space="preserve">      </w:t>
      </w:r>
      <w:r>
        <w:rPr>
          <w:rFonts w:hint="eastAsia" w:ascii="Calibri" w:hAnsi="Calibri" w:eastAsia="宋体" w:cs="Times New Roman"/>
          <w:color w:val="auto"/>
          <w:kern w:val="0"/>
          <w:sz w:val="24"/>
          <w:highlight w:val="none"/>
        </w:rPr>
        <w:t>月</w:t>
      </w:r>
      <w:r>
        <w:rPr>
          <w:rFonts w:hint="eastAsia" w:ascii="Calibri" w:hAnsi="Calibri" w:eastAsia="宋体" w:cs="Times New Roman"/>
          <w:color w:val="auto"/>
          <w:kern w:val="0"/>
          <w:sz w:val="24"/>
          <w:highlight w:val="none"/>
          <w:u w:val="single"/>
        </w:rPr>
        <w:t xml:space="preserve">      </w:t>
      </w:r>
      <w:r>
        <w:rPr>
          <w:rFonts w:hint="eastAsia" w:ascii="Calibri" w:hAnsi="Calibri" w:eastAsia="宋体" w:cs="Times New Roman"/>
          <w:color w:val="auto"/>
          <w:kern w:val="0"/>
          <w:sz w:val="24"/>
          <w:highlight w:val="none"/>
        </w:rPr>
        <w:t>日</w:t>
      </w:r>
      <w:r>
        <w:rPr>
          <w:rFonts w:hint="eastAsia" w:ascii="宋体" w:hAnsi="宋体" w:eastAsia="宋体" w:cs="Times New Roman"/>
          <w:b/>
          <w:bCs/>
          <w:color w:val="000000" w:themeColor="text1"/>
          <w:kern w:val="0"/>
          <w:sz w:val="28"/>
          <w:szCs w:val="28"/>
          <w:highlight w:val="none"/>
          <w14:textFill>
            <w14:solidFill>
              <w14:schemeClr w14:val="tx1"/>
            </w14:solidFill>
          </w14:textFill>
        </w:rPr>
        <w:br w:type="page"/>
      </w:r>
    </w:p>
    <w:p w14:paraId="36B2119A"/>
    <w:p w14:paraId="0875616F">
      <w:pPr>
        <w:jc w:val="center"/>
        <w:rPr>
          <w:rFonts w:hint="eastAsia" w:asciiTheme="minorHAnsi" w:hAnsiTheme="minorHAnsi" w:eastAsiaTheme="minorEastAsia" w:cstheme="minorBidi"/>
          <w:b/>
          <w:bCs/>
          <w:color w:val="auto"/>
          <w:kern w:val="2"/>
          <w:sz w:val="32"/>
          <w:szCs w:val="32"/>
          <w:highlight w:val="none"/>
          <w:lang w:val="en-US" w:eastAsia="zh-CN" w:bidi="ar-SA"/>
        </w:rPr>
      </w:pPr>
      <w:bookmarkStart w:id="224" w:name="_Toc234213567"/>
      <w:bookmarkEnd w:id="224"/>
      <w:bookmarkStart w:id="225" w:name="_Toc361989464"/>
      <w:bookmarkEnd w:id="225"/>
      <w:bookmarkStart w:id="226" w:name="_Toc361989467"/>
      <w:bookmarkEnd w:id="226"/>
      <w:bookmarkStart w:id="227" w:name="_Toc244934216"/>
      <w:bookmarkEnd w:id="227"/>
      <w:bookmarkStart w:id="228" w:name="_Toc361989466"/>
      <w:bookmarkEnd w:id="228"/>
      <w:bookmarkStart w:id="229" w:name="_Toc528078075"/>
      <w:bookmarkEnd w:id="229"/>
      <w:bookmarkStart w:id="230" w:name="_Toc7868"/>
      <w:r>
        <w:rPr>
          <w:rFonts w:hint="eastAsia" w:asciiTheme="minorHAnsi" w:hAnsiTheme="minorHAnsi" w:eastAsiaTheme="minorEastAsia" w:cstheme="minorBidi"/>
          <w:b/>
          <w:bCs/>
          <w:color w:val="auto"/>
          <w:kern w:val="2"/>
          <w:sz w:val="32"/>
          <w:szCs w:val="32"/>
          <w:highlight w:val="none"/>
          <w:lang w:val="en-US" w:eastAsia="zh-CN" w:bidi="ar-SA"/>
        </w:rPr>
        <w:t>九、</w:t>
      </w:r>
      <w:bookmarkEnd w:id="230"/>
      <w:r>
        <w:rPr>
          <w:rFonts w:hint="eastAsia" w:asciiTheme="minorHAnsi" w:hAnsiTheme="minorHAnsi" w:eastAsiaTheme="minorEastAsia" w:cstheme="minorBidi"/>
          <w:b/>
          <w:bCs/>
          <w:color w:val="auto"/>
          <w:kern w:val="2"/>
          <w:sz w:val="32"/>
          <w:szCs w:val="32"/>
          <w:highlight w:val="none"/>
          <w:lang w:val="en-US" w:eastAsia="zh-CN" w:bidi="ar-SA"/>
        </w:rPr>
        <w:t>商务标部分</w:t>
      </w:r>
    </w:p>
    <w:p w14:paraId="38BF987F">
      <w:pPr>
        <w:jc w:val="center"/>
        <w:outlineLvl w:val="2"/>
        <w:rPr>
          <w:rFonts w:ascii="宋体" w:hAnsi="宋体" w:cs="宋体"/>
          <w:b/>
          <w:bCs/>
          <w:color w:val="auto"/>
          <w:sz w:val="24"/>
          <w:highlight w:val="none"/>
        </w:rPr>
      </w:pPr>
      <w:r>
        <w:rPr>
          <w:rFonts w:hint="eastAsia" w:ascii="宋体" w:hAnsi="宋体" w:cs="宋体"/>
          <w:b/>
          <w:bCs/>
          <w:color w:val="auto"/>
          <w:sz w:val="24"/>
          <w:highlight w:val="none"/>
        </w:rPr>
        <w:t>（格式自拟）</w:t>
      </w:r>
    </w:p>
    <w:p w14:paraId="27AEF64B">
      <w:pPr>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14:paraId="738A6DB2">
      <w:pPr>
        <w:pStyle w:val="6"/>
        <w:jc w:val="center"/>
        <w:rPr>
          <w:color w:val="auto"/>
          <w:highlight w:val="none"/>
        </w:rPr>
      </w:pPr>
      <w:bookmarkStart w:id="231" w:name="_Toc244934217"/>
      <w:bookmarkEnd w:id="231"/>
      <w:bookmarkStart w:id="232" w:name="_Toc528078076"/>
      <w:bookmarkEnd w:id="232"/>
      <w:bookmarkStart w:id="233" w:name="_Toc361989468"/>
      <w:bookmarkEnd w:id="233"/>
      <w:bookmarkStart w:id="234" w:name="_Toc23775"/>
      <w:r>
        <w:rPr>
          <w:rFonts w:hint="eastAsia"/>
          <w:color w:val="auto"/>
          <w:highlight w:val="none"/>
        </w:rPr>
        <w:t>十、其他资料</w:t>
      </w:r>
      <w:bookmarkEnd w:id="234"/>
    </w:p>
    <w:p w14:paraId="1C1A90CD">
      <w:pPr>
        <w:jc w:val="center"/>
        <w:rPr>
          <w:rFonts w:ascii="宋体" w:hAnsi="宋体" w:cs="宋体"/>
          <w:b/>
          <w:bCs/>
          <w:color w:val="auto"/>
          <w:sz w:val="24"/>
          <w:highlight w:val="none"/>
        </w:rPr>
      </w:pPr>
    </w:p>
    <w:p w14:paraId="6CB4542E">
      <w:pPr>
        <w:jc w:val="center"/>
        <w:outlineLvl w:val="2"/>
        <w:rPr>
          <w:rFonts w:hint="eastAsia" w:ascii="宋体" w:hAnsi="宋体" w:cs="宋体"/>
          <w:b/>
          <w:bCs/>
          <w:color w:val="auto"/>
          <w:sz w:val="24"/>
          <w:highlight w:val="none"/>
        </w:rPr>
      </w:pPr>
      <w:bookmarkStart w:id="235" w:name="_Toc24855"/>
      <w:bookmarkStart w:id="236" w:name="_Toc30780"/>
      <w:r>
        <w:rPr>
          <w:rFonts w:hint="eastAsia" w:ascii="宋体" w:hAnsi="宋体" w:cs="宋体"/>
          <w:b/>
          <w:bCs/>
          <w:color w:val="auto"/>
          <w:sz w:val="24"/>
          <w:highlight w:val="none"/>
        </w:rPr>
        <w:t>（供应商认为应该提交的资料）</w:t>
      </w:r>
      <w:bookmarkEnd w:id="235"/>
      <w:bookmarkEnd w:id="236"/>
    </w:p>
    <w:p w14:paraId="6F47CF12">
      <w:pPr>
        <w:jc w:val="center"/>
        <w:rPr>
          <w:rFonts w:ascii="宋体" w:hAnsi="宋体" w:cs="宋体"/>
          <w:b/>
          <w:bCs/>
          <w:color w:val="auto"/>
          <w:sz w:val="24"/>
          <w:highlight w:val="none"/>
        </w:rPr>
      </w:pPr>
    </w:p>
    <w:p w14:paraId="52F8C3F2">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2AF970F8">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1DDBA36D">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0E7E25AC">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6B19996B">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553E0869">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679E92A0">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7C257394">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16146A8A">
      <w:pPr>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34AB3844">
      <w:pPr>
        <w:rPr>
          <w:rFonts w:ascii="宋体" w:hAnsi="宋体" w:cs="宋体"/>
          <w:color w:val="auto"/>
          <w:sz w:val="24"/>
          <w:highlight w:val="none"/>
        </w:rPr>
      </w:pPr>
      <w:r>
        <w:rPr>
          <w:rFonts w:hint="eastAsia" w:ascii="宋体" w:hAnsi="宋体" w:cs="宋体"/>
          <w:color w:val="auto"/>
          <w:sz w:val="24"/>
          <w:highlight w:val="none"/>
        </w:rPr>
        <w:t xml:space="preserve"> </w:t>
      </w:r>
    </w:p>
    <w:p w14:paraId="1C6B0373">
      <w:pPr>
        <w:rPr>
          <w:rFonts w:ascii="宋体" w:hAnsi="宋体" w:cs="宋体"/>
          <w:color w:val="auto"/>
          <w:sz w:val="24"/>
          <w:highlight w:val="none"/>
        </w:rPr>
      </w:pPr>
      <w:r>
        <w:rPr>
          <w:rFonts w:hint="eastAsia" w:ascii="宋体" w:hAnsi="宋体" w:cs="宋体"/>
          <w:color w:val="auto"/>
          <w:sz w:val="24"/>
          <w:highlight w:val="none"/>
        </w:rPr>
        <w:t xml:space="preserve"> </w:t>
      </w:r>
    </w:p>
    <w:p w14:paraId="11C238AA">
      <w:pPr>
        <w:rPr>
          <w:rFonts w:ascii="宋体" w:hAnsi="宋体" w:cs="宋体"/>
          <w:color w:val="auto"/>
          <w:sz w:val="24"/>
          <w:highlight w:val="none"/>
        </w:rPr>
      </w:pPr>
    </w:p>
    <w:p w14:paraId="61CE91EB">
      <w:pPr>
        <w:rPr>
          <w:rFonts w:ascii="宋体" w:hAnsi="宋体" w:cs="宋体"/>
          <w:color w:val="auto"/>
          <w:sz w:val="24"/>
          <w:highlight w:val="none"/>
        </w:rPr>
      </w:pPr>
    </w:p>
    <w:p w14:paraId="05DD4AD2">
      <w:pPr>
        <w:rPr>
          <w:rFonts w:ascii="宋体" w:hAnsi="宋体" w:cs="宋体"/>
          <w:color w:val="auto"/>
          <w:sz w:val="24"/>
          <w:highlight w:val="none"/>
        </w:rPr>
      </w:pPr>
    </w:p>
    <w:p w14:paraId="14045457">
      <w:pPr>
        <w:rPr>
          <w:rFonts w:ascii="宋体" w:hAnsi="宋体" w:eastAsia="宋体" w:cs="宋体"/>
          <w:color w:val="auto"/>
          <w:sz w:val="24"/>
          <w:szCs w:val="24"/>
          <w:highlight w:val="none"/>
        </w:rPr>
      </w:pPr>
    </w:p>
    <w:p w14:paraId="5D644510">
      <w:pPr>
        <w:widowControl/>
        <w:jc w:val="left"/>
        <w:rPr>
          <w:color w:val="auto"/>
          <w:highlight w:val="none"/>
        </w:rPr>
      </w:pPr>
      <w:r>
        <w:rPr>
          <w:color w:val="auto"/>
          <w:highlight w:val="none"/>
        </w:rPr>
        <w:br w:type="page"/>
      </w:r>
    </w:p>
    <w:p w14:paraId="24BF90E8">
      <w:pPr>
        <w:wordWrap w:val="0"/>
        <w:topLinePunct/>
        <w:adjustRightInd w:val="0"/>
        <w:spacing w:line="360" w:lineRule="auto"/>
        <w:ind w:left="63" w:leftChars="30" w:right="63" w:rightChars="30"/>
        <w:jc w:val="center"/>
        <w:textAlignment w:val="baseline"/>
        <w:rPr>
          <w:rFonts w:hint="eastAsia" w:ascii="宋体" w:hAnsi="宋体" w:eastAsia="宋体" w:cs="宋体"/>
          <w:b/>
          <w:color w:val="auto"/>
          <w:sz w:val="28"/>
          <w:szCs w:val="28"/>
          <w:highlight w:val="none"/>
        </w:rPr>
      </w:pPr>
      <w:bookmarkStart w:id="237" w:name="_Toc16401"/>
      <w:bookmarkStart w:id="238" w:name="_Toc24738"/>
      <w:bookmarkStart w:id="239" w:name="_Toc3644"/>
      <w:r>
        <w:rPr>
          <w:rFonts w:hint="eastAsia" w:ascii="宋体" w:hAnsi="宋体" w:eastAsia="宋体" w:cs="宋体"/>
          <w:b/>
          <w:color w:val="auto"/>
          <w:sz w:val="28"/>
          <w:szCs w:val="28"/>
          <w:highlight w:val="none"/>
        </w:rPr>
        <w:t>附件一：中小企业声明函</w:t>
      </w:r>
      <w:bookmarkEnd w:id="237"/>
      <w:bookmarkEnd w:id="238"/>
      <w:bookmarkEnd w:id="239"/>
    </w:p>
    <w:p w14:paraId="78282D12">
      <w:pPr>
        <w:wordWrap w:val="0"/>
        <w:topLinePunct/>
        <w:adjustRightInd w:val="0"/>
        <w:spacing w:line="360" w:lineRule="auto"/>
        <w:ind w:left="63" w:leftChars="30" w:right="63" w:rightChars="30"/>
        <w:textAlignment w:val="baseline"/>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附件1</w:t>
      </w:r>
    </w:p>
    <w:p w14:paraId="788461F4">
      <w:pPr>
        <w:wordWrap w:val="0"/>
        <w:topLinePunct/>
        <w:adjustRightInd w:val="0"/>
        <w:spacing w:line="360" w:lineRule="auto"/>
        <w:ind w:left="63" w:leftChars="30" w:right="63" w:rightChars="30"/>
        <w:jc w:val="center"/>
        <w:textAlignment w:val="baseline"/>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中小企业声明函（货物）</w:t>
      </w:r>
    </w:p>
    <w:p w14:paraId="731764E0">
      <w:pPr>
        <w:wordWrap w:val="0"/>
        <w:topLinePunct/>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采购活动，提供的货物全部为符合政策要求的中小企业。相关企业（含联合体中的中小企业、签订分包意向协议的中小企业）的具体情况如下：</w:t>
      </w:r>
    </w:p>
    <w:p w14:paraId="3FFC7C5D">
      <w:pPr>
        <w:wordWrap w:val="0"/>
        <w:topLinePunct/>
        <w:adjustRightInd w:val="0"/>
        <w:snapToGrid w:val="0"/>
        <w:spacing w:line="360" w:lineRule="auto"/>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w:t>
      </w:r>
      <w:r>
        <w:rPr>
          <w:rFonts w:hint="eastAsia" w:ascii="宋体" w:hAnsi="宋体" w:eastAsia="宋体" w:cs="宋体"/>
          <w:color w:val="auto"/>
          <w:sz w:val="24"/>
          <w:szCs w:val="24"/>
          <w:highlight w:val="none"/>
        </w:rPr>
        <w:t>；制造商为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17710E18">
      <w:pPr>
        <w:wordWrap w:val="0"/>
        <w:topLinePunct/>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w:t>
      </w:r>
      <w:r>
        <w:rPr>
          <w:rFonts w:hint="eastAsia" w:ascii="宋体" w:hAnsi="宋体" w:eastAsia="宋体" w:cs="宋体"/>
          <w:color w:val="auto"/>
          <w:sz w:val="24"/>
          <w:szCs w:val="24"/>
          <w:highlight w:val="none"/>
        </w:rPr>
        <w:t>；制造商为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1D2F5C01">
      <w:pPr>
        <w:wordWrap w:val="0"/>
        <w:topLinePunct/>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EDB86D7">
      <w:pPr>
        <w:wordWrap w:val="0"/>
        <w:topLinePunct/>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4A5B1D89">
      <w:pPr>
        <w:wordWrap w:val="0"/>
        <w:topLinePunct/>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66AF366F">
      <w:pPr>
        <w:wordWrap w:val="0"/>
        <w:topLinePunct/>
        <w:spacing w:after="120" w:line="360" w:lineRule="auto"/>
        <w:ind w:left="420" w:leftChars="200" w:firstLine="480" w:firstLineChars="200"/>
        <w:rPr>
          <w:rFonts w:ascii="宋体" w:hAnsi="宋体" w:eastAsia="宋体" w:cs="宋体"/>
          <w:color w:val="auto"/>
          <w:sz w:val="24"/>
          <w:szCs w:val="24"/>
          <w:highlight w:val="none"/>
        </w:rPr>
      </w:pPr>
    </w:p>
    <w:p w14:paraId="71D68C62">
      <w:pPr>
        <w:spacing w:line="360" w:lineRule="auto"/>
        <w:ind w:firstLine="480" w:firstLineChars="200"/>
        <w:rPr>
          <w:color w:val="auto"/>
          <w:sz w:val="24"/>
          <w:szCs w:val="28"/>
          <w:highlight w:val="none"/>
        </w:rPr>
      </w:pPr>
      <w:r>
        <w:rPr>
          <w:rFonts w:hint="eastAsia" w:ascii="宋体" w:hAnsi="宋体" w:eastAsia="宋体" w:cs="宋体"/>
          <w:color w:val="auto"/>
          <w:sz w:val="24"/>
          <w:szCs w:val="24"/>
          <w:highlight w:val="none"/>
        </w:rPr>
        <w:t xml:space="preserve">                    </w:t>
      </w:r>
      <w:r>
        <w:rPr>
          <w:rFonts w:hint="eastAsia"/>
          <w:color w:val="auto"/>
          <w:sz w:val="24"/>
          <w:szCs w:val="28"/>
          <w:highlight w:val="none"/>
        </w:rPr>
        <w:t>供应商名称：</w:t>
      </w:r>
      <w:r>
        <w:rPr>
          <w:rFonts w:hint="eastAsia" w:ascii="宋体" w:hAnsi="宋体" w:eastAsia="宋体" w:cs="宋体"/>
          <w:color w:val="auto"/>
          <w:sz w:val="24"/>
          <w:szCs w:val="20"/>
          <w:highlight w:val="none"/>
          <w:u w:val="single"/>
        </w:rPr>
        <w:t xml:space="preserve">              </w:t>
      </w:r>
      <w:r>
        <w:rPr>
          <w:rFonts w:hint="eastAsia"/>
          <w:color w:val="auto"/>
          <w:sz w:val="24"/>
          <w:szCs w:val="28"/>
          <w:highlight w:val="none"/>
        </w:rPr>
        <w:t>（电子签章）</w:t>
      </w:r>
    </w:p>
    <w:p w14:paraId="38CD3DED">
      <w:pPr>
        <w:spacing w:line="360" w:lineRule="auto"/>
        <w:ind w:firstLine="2880" w:firstLineChars="1200"/>
        <w:rPr>
          <w:color w:val="auto"/>
          <w:sz w:val="24"/>
          <w:szCs w:val="28"/>
          <w:highlight w:val="none"/>
        </w:rPr>
      </w:pPr>
      <w:r>
        <w:rPr>
          <w:rFonts w:hint="eastAsia"/>
          <w:color w:val="auto"/>
          <w:sz w:val="24"/>
          <w:szCs w:val="28"/>
          <w:highlight w:val="none"/>
        </w:rPr>
        <w:t>法定代表人：</w:t>
      </w:r>
      <w:r>
        <w:rPr>
          <w:rFonts w:hint="eastAsia" w:ascii="宋体" w:hAnsi="宋体" w:eastAsia="宋体" w:cs="宋体"/>
          <w:color w:val="auto"/>
          <w:sz w:val="24"/>
          <w:szCs w:val="20"/>
          <w:highlight w:val="none"/>
          <w:u w:val="single"/>
        </w:rPr>
        <w:t xml:space="preserve">              </w:t>
      </w:r>
      <w:r>
        <w:rPr>
          <w:rFonts w:hint="eastAsia"/>
          <w:color w:val="auto"/>
          <w:sz w:val="24"/>
          <w:szCs w:val="28"/>
          <w:highlight w:val="none"/>
        </w:rPr>
        <w:t>（电子签章</w:t>
      </w:r>
      <w:r>
        <w:rPr>
          <w:rFonts w:hint="eastAsia" w:ascii="宋体" w:hAnsi="宋体" w:eastAsia="宋体" w:cs="宋体"/>
          <w:color w:val="auto"/>
          <w:kern w:val="0"/>
          <w:sz w:val="24"/>
          <w:highlight w:val="none"/>
          <w:lang w:bidi="ar"/>
        </w:rPr>
        <w:t>或签字</w:t>
      </w:r>
      <w:r>
        <w:rPr>
          <w:rFonts w:hint="eastAsia"/>
          <w:color w:val="auto"/>
          <w:sz w:val="24"/>
          <w:szCs w:val="28"/>
          <w:highlight w:val="none"/>
        </w:rPr>
        <w:t>）</w:t>
      </w:r>
    </w:p>
    <w:p w14:paraId="2D8072BE">
      <w:pPr>
        <w:wordWrap w:val="0"/>
        <w:topLinePunct/>
        <w:adjustRightInd w:val="0"/>
        <w:snapToGrid w:val="0"/>
        <w:spacing w:line="360" w:lineRule="auto"/>
        <w:jc w:val="center"/>
        <w:rPr>
          <w:rFonts w:ascii="宋体" w:hAnsi="宋体" w:eastAsia="宋体" w:cs="宋体"/>
          <w:color w:val="auto"/>
          <w:sz w:val="24"/>
          <w:szCs w:val="24"/>
          <w:highlight w:val="none"/>
        </w:rPr>
      </w:pPr>
    </w:p>
    <w:p w14:paraId="7A648565">
      <w:pPr>
        <w:wordWrap w:val="0"/>
        <w:topLinePunct/>
        <w:adjustRightInd w:val="0"/>
        <w:snapToGrid w:val="0"/>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 期：</w:t>
      </w:r>
      <w:r>
        <w:rPr>
          <w:rFonts w:hint="eastAsia"/>
          <w:color w:val="auto"/>
          <w:sz w:val="24"/>
          <w:szCs w:val="28"/>
          <w:highlight w:val="none"/>
          <w:u w:val="single"/>
        </w:rPr>
        <w:t xml:space="preserve">         </w:t>
      </w:r>
      <w:r>
        <w:rPr>
          <w:rFonts w:hint="eastAsia"/>
          <w:color w:val="auto"/>
          <w:sz w:val="24"/>
          <w:szCs w:val="28"/>
          <w:highlight w:val="none"/>
        </w:rPr>
        <w:t>年</w:t>
      </w:r>
      <w:r>
        <w:rPr>
          <w:rFonts w:hint="eastAsia"/>
          <w:color w:val="auto"/>
          <w:sz w:val="24"/>
          <w:szCs w:val="28"/>
          <w:highlight w:val="none"/>
          <w:u w:val="single"/>
        </w:rPr>
        <w:t xml:space="preserve">      </w:t>
      </w:r>
      <w:r>
        <w:rPr>
          <w:rFonts w:hint="eastAsia"/>
          <w:color w:val="auto"/>
          <w:sz w:val="24"/>
          <w:szCs w:val="28"/>
          <w:highlight w:val="none"/>
        </w:rPr>
        <w:t>月</w:t>
      </w:r>
      <w:r>
        <w:rPr>
          <w:rFonts w:hint="eastAsia"/>
          <w:color w:val="auto"/>
          <w:sz w:val="24"/>
          <w:szCs w:val="28"/>
          <w:highlight w:val="none"/>
          <w:u w:val="single"/>
        </w:rPr>
        <w:t xml:space="preserve">      </w:t>
      </w:r>
      <w:r>
        <w:rPr>
          <w:rFonts w:hint="eastAsia"/>
          <w:color w:val="auto"/>
          <w:sz w:val="24"/>
          <w:szCs w:val="28"/>
          <w:highlight w:val="none"/>
        </w:rPr>
        <w:t>日</w:t>
      </w:r>
    </w:p>
    <w:p w14:paraId="274D32DF">
      <w:pPr>
        <w:wordWrap w:val="0"/>
        <w:topLinePunct/>
        <w:spacing w:after="120" w:line="360" w:lineRule="auto"/>
        <w:ind w:left="420" w:leftChars="200" w:firstLine="480" w:firstLineChars="200"/>
        <w:rPr>
          <w:rFonts w:ascii="宋体" w:hAnsi="宋体" w:eastAsia="宋体" w:cs="宋体"/>
          <w:color w:val="auto"/>
          <w:sz w:val="24"/>
          <w:szCs w:val="24"/>
          <w:highlight w:val="none"/>
        </w:rPr>
      </w:pPr>
    </w:p>
    <w:p w14:paraId="5E359526">
      <w:pPr>
        <w:wordWrap w:val="0"/>
        <w:topLinePunct/>
        <w:adjustRightInd w:val="0"/>
        <w:snapToGrid w:val="0"/>
        <w:spacing w:line="360" w:lineRule="auto"/>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说明：</w:t>
      </w:r>
    </w:p>
    <w:p w14:paraId="6329FCB7">
      <w:pPr>
        <w:spacing w:line="360" w:lineRule="auto"/>
        <w:ind w:firstLine="168" w:firstLineChars="67"/>
        <w:rPr>
          <w:rFonts w:ascii="宋体" w:hAnsi="宋体" w:cs="仿宋"/>
          <w:color w:val="auto"/>
          <w:sz w:val="24"/>
          <w:szCs w:val="24"/>
          <w:highlight w:val="none"/>
        </w:rPr>
      </w:pPr>
      <w:r>
        <w:rPr>
          <w:rFonts w:hint="eastAsia" w:ascii="宋体" w:hAnsi="宋体" w:eastAsia="宋体" w:cs="宋体"/>
          <w:color w:val="auto"/>
          <w:spacing w:val="6"/>
          <w:sz w:val="24"/>
          <w:szCs w:val="24"/>
          <w:highlight w:val="none"/>
        </w:rPr>
        <w:t>1、从业人员、营业收入、资产总额填报上一年度数据，无上一年度数据的新成立企业可不填报。</w:t>
      </w:r>
    </w:p>
    <w:p w14:paraId="6368589D">
      <w:pPr>
        <w:spacing w:line="400" w:lineRule="exact"/>
        <w:ind w:firstLine="480" w:firstLineChars="200"/>
        <w:rPr>
          <w:rFonts w:ascii="宋体" w:hAnsi="宋体" w:cs="宋体"/>
          <w:color w:val="auto"/>
          <w:sz w:val="24"/>
          <w:highlight w:val="none"/>
        </w:rPr>
      </w:pPr>
      <w:r>
        <w:rPr>
          <w:rFonts w:hint="eastAsia" w:ascii="宋体" w:hAnsi="宋体" w:cs="宋体"/>
          <w:bCs/>
          <w:color w:val="auto"/>
          <w:sz w:val="24"/>
          <w:highlight w:val="none"/>
        </w:rPr>
        <w:t>注：如果投标人不满足中小微企业的认定标准，或所投产品的制造商不符合小型微型企业认定标准的，需在横线部分填写“/”。</w:t>
      </w:r>
    </w:p>
    <w:p w14:paraId="1EF64C8F">
      <w:pPr>
        <w:widowControl/>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14:paraId="05667926">
      <w:pPr>
        <w:wordWrap w:val="0"/>
        <w:topLinePunct/>
        <w:adjustRightInd w:val="0"/>
        <w:spacing w:line="360" w:lineRule="auto"/>
        <w:ind w:left="63" w:leftChars="30" w:right="63" w:rightChars="30"/>
        <w:textAlignment w:val="baseline"/>
        <w:rPr>
          <w:rFonts w:hint="eastAsia" w:ascii="宋体" w:hAnsi="宋体" w:eastAsia="宋体" w:cs="宋体"/>
          <w:color w:val="auto"/>
          <w:sz w:val="24"/>
          <w:szCs w:val="24"/>
          <w:highlight w:val="none"/>
        </w:rPr>
      </w:pPr>
      <w:bookmarkStart w:id="240" w:name="_Toc28455"/>
      <w:bookmarkStart w:id="241" w:name="_Toc2102"/>
      <w:r>
        <w:rPr>
          <w:rFonts w:hint="eastAsia" w:ascii="宋体" w:hAnsi="宋体" w:eastAsia="宋体" w:cs="宋体"/>
          <w:color w:val="auto"/>
          <w:sz w:val="24"/>
          <w:szCs w:val="24"/>
          <w:highlight w:val="none"/>
        </w:rPr>
        <w:t>附件2</w:t>
      </w:r>
      <w:bookmarkEnd w:id="240"/>
      <w:bookmarkEnd w:id="241"/>
    </w:p>
    <w:p w14:paraId="50A0B2C4">
      <w:pPr>
        <w:wordWrap w:val="0"/>
        <w:topLinePunct/>
        <w:adjustRightInd w:val="0"/>
        <w:snapToGrid w:val="0"/>
        <w:ind w:firstLine="480" w:firstLineChars="200"/>
        <w:rPr>
          <w:rFonts w:ascii="宋体" w:hAnsi="宋体" w:eastAsia="宋体" w:cs="宋体"/>
          <w:color w:val="auto"/>
          <w:sz w:val="24"/>
          <w:szCs w:val="24"/>
          <w:highlight w:val="none"/>
        </w:rPr>
      </w:pPr>
    </w:p>
    <w:p w14:paraId="2E99BCBB">
      <w:pPr>
        <w:wordWrap w:val="0"/>
        <w:topLinePunct/>
        <w:adjustRightInd w:val="0"/>
        <w:snapToGrid w:val="0"/>
        <w:ind w:firstLine="360" w:firstLineChars="150"/>
        <w:rPr>
          <w:rFonts w:ascii="宋体" w:hAnsi="宋体" w:eastAsia="宋体" w:cs="宋体"/>
          <w:color w:val="auto"/>
          <w:sz w:val="24"/>
          <w:szCs w:val="24"/>
          <w:highlight w:val="none"/>
        </w:rPr>
      </w:pPr>
    </w:p>
    <w:p w14:paraId="624D8CC4">
      <w:pPr>
        <w:wordWrap w:val="0"/>
        <w:topLinePunct/>
        <w:adjustRightInd w:val="0"/>
        <w:spacing w:line="360" w:lineRule="auto"/>
        <w:ind w:left="63" w:leftChars="30" w:right="63" w:rightChars="30"/>
        <w:jc w:val="center"/>
        <w:textAlignment w:val="baseline"/>
        <w:rPr>
          <w:rFonts w:hint="eastAsia" w:ascii="宋体" w:hAnsi="宋体" w:eastAsia="宋体" w:cs="宋体"/>
          <w:b/>
          <w:color w:val="auto"/>
          <w:sz w:val="24"/>
          <w:szCs w:val="24"/>
          <w:highlight w:val="none"/>
          <w:lang w:val="zh-CN"/>
        </w:rPr>
      </w:pPr>
      <w:bookmarkStart w:id="242" w:name="_Toc20491"/>
      <w:bookmarkStart w:id="243" w:name="_Toc30785"/>
      <w:r>
        <w:rPr>
          <w:rFonts w:hint="eastAsia" w:ascii="宋体" w:hAnsi="宋体" w:eastAsia="宋体" w:cs="宋体"/>
          <w:b/>
          <w:color w:val="auto"/>
          <w:sz w:val="24"/>
          <w:szCs w:val="24"/>
          <w:highlight w:val="none"/>
          <w:lang w:val="zh-CN"/>
        </w:rPr>
        <w:t>监狱企业证明文件</w:t>
      </w:r>
      <w:bookmarkEnd w:id="242"/>
      <w:bookmarkEnd w:id="243"/>
      <w:r>
        <w:rPr>
          <w:rFonts w:hint="eastAsia" w:ascii="宋体" w:hAnsi="宋体" w:eastAsia="宋体" w:cs="宋体"/>
          <w:b/>
          <w:color w:val="auto"/>
          <w:sz w:val="24"/>
          <w:szCs w:val="24"/>
          <w:highlight w:val="none"/>
        </w:rPr>
        <w:t>（如有）</w:t>
      </w:r>
    </w:p>
    <w:p w14:paraId="2801924C">
      <w:pPr>
        <w:wordWrap w:val="0"/>
        <w:topLinePunct/>
        <w:jc w:val="center"/>
        <w:rPr>
          <w:rFonts w:ascii="宋体" w:hAnsi="宋体" w:eastAsia="宋体" w:cs="宋体"/>
          <w:b/>
          <w:bCs/>
          <w:color w:val="auto"/>
          <w:sz w:val="24"/>
          <w:szCs w:val="24"/>
          <w:highlight w:val="none"/>
        </w:rPr>
      </w:pPr>
    </w:p>
    <w:p w14:paraId="44B25D9A">
      <w:pPr>
        <w:wordWrap w:val="0"/>
        <w:topLinePunct/>
        <w:spacing w:line="500" w:lineRule="exact"/>
        <w:rPr>
          <w:rFonts w:ascii="宋体" w:hAnsi="宋体" w:eastAsia="宋体" w:cs="宋体"/>
          <w:color w:val="auto"/>
          <w:spacing w:val="6"/>
          <w:sz w:val="24"/>
          <w:szCs w:val="24"/>
          <w:highlight w:val="none"/>
        </w:rPr>
      </w:pPr>
    </w:p>
    <w:p w14:paraId="726EC233">
      <w:pPr>
        <w:wordWrap w:val="0"/>
        <w:topLinePunct/>
        <w:spacing w:line="500" w:lineRule="exact"/>
        <w:ind w:firstLine="42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（监狱企业参加政府采购活动时，应当提供由省级以上监狱管理局、戒毒管理局(含新疆生产建设兵团)出具的属于监狱企业的证明文件。</w:t>
      </w:r>
    </w:p>
    <w:p w14:paraId="73F04BEB">
      <w:pPr>
        <w:wordWrap w:val="0"/>
        <w:topLinePunct/>
        <w:spacing w:line="500" w:lineRule="exact"/>
        <w:ind w:firstLine="504" w:firstLineChars="200"/>
        <w:rPr>
          <w:rFonts w:ascii="宋体" w:hAnsi="宋体" w:eastAsia="宋体" w:cs="宋体"/>
          <w:color w:val="auto"/>
          <w:spacing w:val="6"/>
          <w:sz w:val="24"/>
          <w:szCs w:val="24"/>
          <w:highlight w:val="none"/>
        </w:rPr>
      </w:pPr>
    </w:p>
    <w:p w14:paraId="73405A1B">
      <w:pPr>
        <w:wordWrap w:val="0"/>
        <w:topLinePunct/>
        <w:spacing w:line="500" w:lineRule="exact"/>
        <w:ind w:firstLine="504" w:firstLineChars="200"/>
        <w:rPr>
          <w:rFonts w:ascii="宋体" w:hAnsi="宋体" w:eastAsia="宋体" w:cs="宋体"/>
          <w:color w:val="auto"/>
          <w:spacing w:val="6"/>
          <w:sz w:val="24"/>
          <w:szCs w:val="24"/>
          <w:highlight w:val="none"/>
        </w:rPr>
      </w:pPr>
    </w:p>
    <w:p w14:paraId="70019DB0">
      <w:pPr>
        <w:wordWrap w:val="0"/>
        <w:topLinePunct/>
        <w:spacing w:line="500" w:lineRule="exact"/>
        <w:ind w:firstLine="504" w:firstLineChars="20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注：在投标文件中附扫描件</w:t>
      </w:r>
    </w:p>
    <w:p w14:paraId="747C3E59">
      <w:pPr>
        <w:wordWrap w:val="0"/>
        <w:topLinePunct/>
        <w:spacing w:line="500" w:lineRule="exact"/>
        <w:rPr>
          <w:rFonts w:ascii="宋体" w:hAnsi="宋体" w:eastAsia="宋体" w:cs="宋体"/>
          <w:color w:val="auto"/>
          <w:sz w:val="24"/>
          <w:szCs w:val="24"/>
          <w:highlight w:val="none"/>
        </w:rPr>
      </w:pPr>
    </w:p>
    <w:p w14:paraId="44E1A11D">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1ECEB9EE">
      <w:pPr>
        <w:wordWrap w:val="0"/>
        <w:topLinePunct/>
        <w:spacing w:line="360" w:lineRule="auto"/>
        <w:ind w:firstLine="480" w:firstLineChars="200"/>
        <w:rPr>
          <w:rFonts w:ascii="宋体" w:hAnsi="宋体" w:eastAsia="宋体" w:cs="宋体"/>
          <w:color w:val="auto"/>
          <w:sz w:val="24"/>
          <w:szCs w:val="24"/>
          <w:highlight w:val="none"/>
        </w:rPr>
      </w:pPr>
    </w:p>
    <w:p w14:paraId="557EBF73">
      <w:pPr>
        <w:wordWrap w:val="0"/>
        <w:topLinePunct/>
        <w:spacing w:line="360" w:lineRule="auto"/>
        <w:ind w:firstLine="480" w:firstLineChars="200"/>
        <w:rPr>
          <w:rFonts w:ascii="宋体" w:hAnsi="宋体" w:eastAsia="宋体" w:cs="宋体"/>
          <w:color w:val="auto"/>
          <w:sz w:val="24"/>
          <w:szCs w:val="24"/>
          <w:highlight w:val="none"/>
        </w:rPr>
      </w:pPr>
      <w:r>
        <w:rPr>
          <w:rFonts w:hint="eastAsia"/>
          <w:color w:val="auto"/>
          <w:sz w:val="24"/>
          <w:szCs w:val="28"/>
          <w:highlight w:val="none"/>
        </w:rPr>
        <w:t>供应商名称：</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4"/>
          <w:highlight w:val="none"/>
        </w:rPr>
        <w:t>（</w:t>
      </w:r>
      <w:r>
        <w:rPr>
          <w:rFonts w:hint="eastAsia"/>
          <w:color w:val="auto"/>
          <w:sz w:val="24"/>
          <w:szCs w:val="28"/>
          <w:highlight w:val="none"/>
        </w:rPr>
        <w:t>电子签章</w:t>
      </w:r>
      <w:r>
        <w:rPr>
          <w:rFonts w:hint="eastAsia" w:ascii="宋体" w:hAnsi="宋体" w:eastAsia="宋体" w:cs="宋体"/>
          <w:color w:val="auto"/>
          <w:sz w:val="24"/>
          <w:szCs w:val="24"/>
          <w:highlight w:val="none"/>
        </w:rPr>
        <w:t>）：</w:t>
      </w:r>
    </w:p>
    <w:p w14:paraId="589DD8A8">
      <w:pPr>
        <w:wordWrap w:val="0"/>
        <w:topLinePunct/>
        <w:spacing w:line="360" w:lineRule="auto"/>
        <w:ind w:firstLine="480" w:firstLineChars="200"/>
        <w:rPr>
          <w:rFonts w:ascii="宋体" w:hAnsi="宋体" w:eastAsia="宋体" w:cs="宋体"/>
          <w:color w:val="auto"/>
          <w:sz w:val="24"/>
          <w:szCs w:val="24"/>
          <w:highlight w:val="none"/>
        </w:rPr>
      </w:pPr>
      <w:r>
        <w:rPr>
          <w:rFonts w:hint="eastAsia"/>
          <w:color w:val="auto"/>
          <w:sz w:val="24"/>
          <w:szCs w:val="28"/>
          <w:highlight w:val="none"/>
        </w:rPr>
        <w:t>法定代表人：</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4"/>
          <w:highlight w:val="none"/>
        </w:rPr>
        <w:t>（</w:t>
      </w:r>
      <w:r>
        <w:rPr>
          <w:rFonts w:hint="eastAsia"/>
          <w:color w:val="auto"/>
          <w:sz w:val="24"/>
          <w:szCs w:val="28"/>
          <w:highlight w:val="none"/>
        </w:rPr>
        <w:t>电子签章</w:t>
      </w:r>
      <w:r>
        <w:rPr>
          <w:rFonts w:hint="eastAsia" w:ascii="宋体" w:hAnsi="宋体" w:eastAsia="宋体" w:cs="宋体"/>
          <w:color w:val="auto"/>
          <w:kern w:val="0"/>
          <w:sz w:val="24"/>
          <w:highlight w:val="none"/>
          <w:lang w:bidi="ar"/>
        </w:rPr>
        <w:t>或签字</w:t>
      </w:r>
      <w:r>
        <w:rPr>
          <w:rFonts w:hint="eastAsia" w:ascii="宋体" w:hAnsi="宋体" w:eastAsia="宋体" w:cs="宋体"/>
          <w:color w:val="auto"/>
          <w:sz w:val="24"/>
          <w:szCs w:val="24"/>
          <w:highlight w:val="none"/>
        </w:rPr>
        <w:t xml:space="preserve">）： </w:t>
      </w:r>
    </w:p>
    <w:p w14:paraId="34979EA0">
      <w:pPr>
        <w:wordWrap w:val="0"/>
        <w:topLinePunct/>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color w:val="auto"/>
          <w:sz w:val="24"/>
          <w:szCs w:val="28"/>
          <w:highlight w:val="none"/>
          <w:u w:val="single"/>
        </w:rPr>
        <w:t xml:space="preserve">         </w:t>
      </w:r>
      <w:r>
        <w:rPr>
          <w:rFonts w:hint="eastAsia"/>
          <w:color w:val="auto"/>
          <w:sz w:val="24"/>
          <w:szCs w:val="28"/>
          <w:highlight w:val="none"/>
        </w:rPr>
        <w:t>年</w:t>
      </w:r>
      <w:r>
        <w:rPr>
          <w:rFonts w:hint="eastAsia"/>
          <w:color w:val="auto"/>
          <w:sz w:val="24"/>
          <w:szCs w:val="28"/>
          <w:highlight w:val="none"/>
          <w:u w:val="single"/>
        </w:rPr>
        <w:t xml:space="preserve">      </w:t>
      </w:r>
      <w:r>
        <w:rPr>
          <w:rFonts w:hint="eastAsia"/>
          <w:color w:val="auto"/>
          <w:sz w:val="24"/>
          <w:szCs w:val="28"/>
          <w:highlight w:val="none"/>
        </w:rPr>
        <w:t>月</w:t>
      </w:r>
      <w:r>
        <w:rPr>
          <w:rFonts w:hint="eastAsia"/>
          <w:color w:val="auto"/>
          <w:sz w:val="24"/>
          <w:szCs w:val="28"/>
          <w:highlight w:val="none"/>
          <w:u w:val="single"/>
        </w:rPr>
        <w:t xml:space="preserve">      </w:t>
      </w:r>
      <w:r>
        <w:rPr>
          <w:rFonts w:hint="eastAsia"/>
          <w:color w:val="auto"/>
          <w:sz w:val="24"/>
          <w:szCs w:val="28"/>
          <w:highlight w:val="none"/>
        </w:rPr>
        <w:t>日</w:t>
      </w:r>
      <w:r>
        <w:rPr>
          <w:rFonts w:hint="eastAsia" w:ascii="宋体" w:hAnsi="宋体" w:eastAsia="宋体" w:cs="宋体"/>
          <w:color w:val="auto"/>
          <w:sz w:val="24"/>
          <w:szCs w:val="24"/>
          <w:highlight w:val="none"/>
        </w:rPr>
        <w:t xml:space="preserve"> </w:t>
      </w:r>
    </w:p>
    <w:p w14:paraId="4C6F5F82">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7CCFC7CF">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15484EE2">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6D5198A9">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63BF43EB">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02BD14FA">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68A3D7F2">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23AFE0D5">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6775D3F0">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540BE717">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0EC30CF2">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09185538">
      <w:pPr>
        <w:rPr>
          <w:rFonts w:hint="eastAsia" w:ascii="宋体" w:hAnsi="宋体" w:eastAsia="宋体" w:cs="宋体"/>
          <w:color w:val="auto"/>
          <w:sz w:val="24"/>
          <w:szCs w:val="24"/>
          <w:highlight w:val="none"/>
        </w:rPr>
      </w:pPr>
      <w:bookmarkStart w:id="244" w:name="_Toc6264"/>
      <w:bookmarkStart w:id="245" w:name="_Toc11345"/>
      <w:r>
        <w:rPr>
          <w:rFonts w:hint="eastAsia" w:ascii="宋体" w:hAnsi="宋体" w:eastAsia="宋体" w:cs="宋体"/>
          <w:color w:val="auto"/>
          <w:sz w:val="24"/>
          <w:szCs w:val="24"/>
          <w:highlight w:val="none"/>
        </w:rPr>
        <w:br w:type="page"/>
      </w:r>
    </w:p>
    <w:p w14:paraId="0904856A">
      <w:pPr>
        <w:wordWrap w:val="0"/>
        <w:topLinePunct/>
        <w:adjustRightInd w:val="0"/>
        <w:spacing w:line="360" w:lineRule="auto"/>
        <w:ind w:left="63" w:leftChars="30" w:right="63" w:rightChars="3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w:t>
      </w:r>
      <w:bookmarkEnd w:id="244"/>
      <w:bookmarkEnd w:id="245"/>
    </w:p>
    <w:p w14:paraId="04E60FAF">
      <w:pPr>
        <w:wordWrap w:val="0"/>
        <w:spacing w:after="120" w:line="480" w:lineRule="exact"/>
        <w:jc w:val="center"/>
        <w:outlineLvl w:val="0"/>
        <w:rPr>
          <w:rFonts w:ascii="宋体" w:hAnsi="宋体" w:eastAsia="宋体" w:cs="宋体"/>
          <w:b/>
          <w:bCs/>
          <w:color w:val="auto"/>
          <w:kern w:val="36"/>
          <w:sz w:val="24"/>
          <w:szCs w:val="24"/>
          <w:highlight w:val="none"/>
        </w:rPr>
      </w:pPr>
      <w:bookmarkStart w:id="246" w:name="_Toc32130"/>
      <w:bookmarkStart w:id="247" w:name="_Toc27930"/>
    </w:p>
    <w:p w14:paraId="6569D890">
      <w:pPr>
        <w:wordWrap w:val="0"/>
        <w:topLinePunct/>
        <w:adjustRightInd w:val="0"/>
        <w:spacing w:line="360" w:lineRule="auto"/>
        <w:ind w:left="63" w:leftChars="30" w:right="63" w:rightChars="30"/>
        <w:jc w:val="center"/>
        <w:textAlignment w:val="baseline"/>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残疾人福利性单位声明函（如有）</w:t>
      </w:r>
      <w:bookmarkEnd w:id="246"/>
      <w:bookmarkEnd w:id="247"/>
    </w:p>
    <w:p w14:paraId="52CFC72D">
      <w:pPr>
        <w:wordWrap w:val="0"/>
        <w:spacing w:after="120" w:line="480" w:lineRule="exact"/>
        <w:ind w:firstLine="480" w:firstLineChars="200"/>
        <w:rPr>
          <w:rFonts w:ascii="宋体" w:hAnsi="宋体" w:eastAsia="宋体" w:cs="宋体"/>
          <w:color w:val="auto"/>
          <w:kern w:val="36"/>
          <w:sz w:val="24"/>
          <w:szCs w:val="24"/>
          <w:highlight w:val="none"/>
        </w:rPr>
      </w:pPr>
    </w:p>
    <w:p w14:paraId="59E5984C">
      <w:pPr>
        <w:wordWrap w:val="0"/>
        <w:spacing w:after="120" w:line="480" w:lineRule="exact"/>
        <w:ind w:firstLine="480" w:firstLineChars="200"/>
        <w:rPr>
          <w:rFonts w:ascii="宋体" w:hAnsi="宋体" w:eastAsia="宋体" w:cs="宋体"/>
          <w:color w:val="auto"/>
          <w:kern w:val="36"/>
          <w:sz w:val="24"/>
          <w:szCs w:val="24"/>
          <w:highlight w:val="none"/>
        </w:rPr>
      </w:pPr>
      <w:r>
        <w:rPr>
          <w:rFonts w:hint="eastAsia" w:ascii="宋体" w:hAnsi="宋体" w:eastAsia="宋体" w:cs="宋体"/>
          <w:color w:val="auto"/>
          <w:kern w:val="36"/>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kern w:val="36"/>
          <w:sz w:val="24"/>
          <w:szCs w:val="24"/>
          <w:highlight w:val="none"/>
          <w:u w:val="single"/>
        </w:rPr>
        <w:t xml:space="preserve">       </w:t>
      </w:r>
      <w:r>
        <w:rPr>
          <w:rFonts w:hint="eastAsia" w:ascii="宋体" w:hAnsi="宋体" w:eastAsia="宋体" w:cs="宋体"/>
          <w:color w:val="auto"/>
          <w:kern w:val="36"/>
          <w:sz w:val="24"/>
          <w:szCs w:val="24"/>
          <w:highlight w:val="none"/>
        </w:rPr>
        <w:t xml:space="preserve">单位的 </w:t>
      </w:r>
      <w:r>
        <w:rPr>
          <w:rFonts w:hint="eastAsia" w:ascii="宋体" w:hAnsi="宋体" w:eastAsia="宋体" w:cs="宋体"/>
          <w:color w:val="auto"/>
          <w:kern w:val="36"/>
          <w:sz w:val="24"/>
          <w:szCs w:val="24"/>
          <w:highlight w:val="none"/>
          <w:u w:val="single"/>
        </w:rPr>
        <w:t xml:space="preserve">     </w:t>
      </w:r>
      <w:r>
        <w:rPr>
          <w:rFonts w:hint="eastAsia" w:ascii="宋体" w:hAnsi="宋体" w:eastAsia="宋体" w:cs="宋体"/>
          <w:color w:val="auto"/>
          <w:kern w:val="36"/>
          <w:sz w:val="24"/>
          <w:szCs w:val="24"/>
          <w:highlight w:val="none"/>
        </w:rPr>
        <w:t>项目采购活动提供本单位制造的货物（由本单位承担工程/提供服务），或者提供其他残疾人福利性单位制造的货物（不包括使用非残疾人福利性单位注册商标的货物）。</w:t>
      </w:r>
    </w:p>
    <w:p w14:paraId="0432AF60">
      <w:pPr>
        <w:wordWrap w:val="0"/>
        <w:spacing w:after="120" w:line="480" w:lineRule="exact"/>
        <w:ind w:firstLine="480" w:firstLineChars="200"/>
        <w:rPr>
          <w:rFonts w:ascii="宋体" w:hAnsi="宋体" w:eastAsia="宋体" w:cs="宋体"/>
          <w:color w:val="auto"/>
          <w:kern w:val="36"/>
          <w:sz w:val="24"/>
          <w:szCs w:val="24"/>
          <w:highlight w:val="none"/>
        </w:rPr>
      </w:pPr>
      <w:r>
        <w:rPr>
          <w:rFonts w:hint="eastAsia" w:ascii="宋体" w:hAnsi="宋体" w:eastAsia="宋体" w:cs="宋体"/>
          <w:color w:val="auto"/>
          <w:kern w:val="36"/>
          <w:sz w:val="24"/>
          <w:szCs w:val="24"/>
          <w:highlight w:val="none"/>
        </w:rPr>
        <w:t>本单位对上述声明的真实性负责。如有虚假，将依法承担相应责任。</w:t>
      </w:r>
    </w:p>
    <w:p w14:paraId="7AE520B4">
      <w:pPr>
        <w:wordWrap w:val="0"/>
        <w:spacing w:line="480" w:lineRule="exact"/>
        <w:ind w:firstLine="480" w:firstLineChars="200"/>
        <w:jc w:val="right"/>
        <w:rPr>
          <w:rFonts w:ascii="宋体" w:hAnsi="宋体" w:eastAsia="宋体" w:cs="宋体"/>
          <w:color w:val="auto"/>
          <w:sz w:val="24"/>
          <w:szCs w:val="24"/>
          <w:highlight w:val="none"/>
        </w:rPr>
      </w:pPr>
    </w:p>
    <w:p w14:paraId="0D3BC98C">
      <w:pPr>
        <w:wordWrap w:val="0"/>
        <w:topLinePunct/>
        <w:spacing w:line="360" w:lineRule="auto"/>
        <w:rPr>
          <w:rFonts w:ascii="宋体" w:hAnsi="宋体" w:eastAsia="宋体" w:cs="宋体"/>
          <w:color w:val="auto"/>
          <w:kern w:val="0"/>
          <w:sz w:val="24"/>
          <w:szCs w:val="24"/>
          <w:highlight w:val="none"/>
        </w:rPr>
      </w:pPr>
    </w:p>
    <w:p w14:paraId="0DDABF79">
      <w:pPr>
        <w:wordWrap w:val="0"/>
        <w:topLinePunct/>
        <w:spacing w:line="360" w:lineRule="auto"/>
        <w:ind w:firstLine="480" w:firstLineChars="200"/>
        <w:rPr>
          <w:rFonts w:ascii="宋体" w:hAnsi="宋体" w:eastAsia="宋体" w:cs="宋体"/>
          <w:color w:val="auto"/>
          <w:sz w:val="24"/>
          <w:szCs w:val="24"/>
          <w:highlight w:val="none"/>
        </w:rPr>
      </w:pPr>
    </w:p>
    <w:p w14:paraId="2E41B9A7">
      <w:pPr>
        <w:wordWrap w:val="0"/>
        <w:topLinePunct/>
        <w:spacing w:line="360" w:lineRule="auto"/>
        <w:ind w:firstLine="480" w:firstLineChars="200"/>
        <w:rPr>
          <w:rFonts w:ascii="宋体" w:hAnsi="宋体" w:eastAsia="宋体" w:cs="宋体"/>
          <w:color w:val="auto"/>
          <w:sz w:val="24"/>
          <w:szCs w:val="24"/>
          <w:highlight w:val="none"/>
        </w:rPr>
      </w:pPr>
      <w:r>
        <w:rPr>
          <w:rFonts w:hint="eastAsia"/>
          <w:color w:val="auto"/>
          <w:sz w:val="24"/>
          <w:szCs w:val="28"/>
          <w:highlight w:val="none"/>
        </w:rPr>
        <w:t>供应商名称：</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4"/>
          <w:highlight w:val="none"/>
        </w:rPr>
        <w:t>（</w:t>
      </w:r>
      <w:r>
        <w:rPr>
          <w:rFonts w:hint="eastAsia"/>
          <w:color w:val="auto"/>
          <w:sz w:val="24"/>
          <w:szCs w:val="28"/>
          <w:highlight w:val="none"/>
        </w:rPr>
        <w:t>电子签章</w:t>
      </w:r>
      <w:r>
        <w:rPr>
          <w:rFonts w:hint="eastAsia" w:ascii="宋体" w:hAnsi="宋体" w:eastAsia="宋体" w:cs="宋体"/>
          <w:color w:val="auto"/>
          <w:sz w:val="24"/>
          <w:szCs w:val="24"/>
          <w:highlight w:val="none"/>
        </w:rPr>
        <w:t>）：</w:t>
      </w:r>
    </w:p>
    <w:p w14:paraId="2BD36348">
      <w:pPr>
        <w:wordWrap w:val="0"/>
        <w:topLinePunct/>
        <w:spacing w:line="360" w:lineRule="auto"/>
        <w:ind w:firstLine="480" w:firstLineChars="200"/>
        <w:rPr>
          <w:rFonts w:ascii="宋体" w:hAnsi="宋体" w:eastAsia="宋体" w:cs="宋体"/>
          <w:color w:val="auto"/>
          <w:sz w:val="24"/>
          <w:szCs w:val="24"/>
          <w:highlight w:val="none"/>
        </w:rPr>
      </w:pPr>
      <w:r>
        <w:rPr>
          <w:rFonts w:hint="eastAsia"/>
          <w:color w:val="auto"/>
          <w:sz w:val="24"/>
          <w:szCs w:val="28"/>
          <w:highlight w:val="none"/>
        </w:rPr>
        <w:t>法定代表人：</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4"/>
          <w:highlight w:val="none"/>
        </w:rPr>
        <w:t>（</w:t>
      </w:r>
      <w:r>
        <w:rPr>
          <w:rFonts w:hint="eastAsia"/>
          <w:color w:val="auto"/>
          <w:sz w:val="24"/>
          <w:szCs w:val="28"/>
          <w:highlight w:val="none"/>
        </w:rPr>
        <w:t>电子签章</w:t>
      </w:r>
      <w:r>
        <w:rPr>
          <w:rFonts w:hint="eastAsia" w:ascii="宋体" w:hAnsi="宋体" w:eastAsia="宋体" w:cs="宋体"/>
          <w:color w:val="auto"/>
          <w:kern w:val="0"/>
          <w:sz w:val="24"/>
          <w:highlight w:val="none"/>
          <w:lang w:bidi="ar"/>
        </w:rPr>
        <w:t>或签字</w:t>
      </w:r>
      <w:r>
        <w:rPr>
          <w:rFonts w:hint="eastAsia" w:ascii="宋体" w:hAnsi="宋体" w:eastAsia="宋体" w:cs="宋体"/>
          <w:color w:val="auto"/>
          <w:sz w:val="24"/>
          <w:szCs w:val="24"/>
          <w:highlight w:val="none"/>
        </w:rPr>
        <w:t xml:space="preserve">）： </w:t>
      </w:r>
    </w:p>
    <w:p w14:paraId="468C9C85">
      <w:pPr>
        <w:wordWrap w:val="0"/>
        <w:topLinePunct/>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color w:val="auto"/>
          <w:sz w:val="24"/>
          <w:szCs w:val="28"/>
          <w:highlight w:val="none"/>
          <w:u w:val="single"/>
        </w:rPr>
        <w:t xml:space="preserve">         </w:t>
      </w:r>
      <w:r>
        <w:rPr>
          <w:rFonts w:hint="eastAsia"/>
          <w:color w:val="auto"/>
          <w:sz w:val="24"/>
          <w:szCs w:val="28"/>
          <w:highlight w:val="none"/>
        </w:rPr>
        <w:t>年</w:t>
      </w:r>
      <w:r>
        <w:rPr>
          <w:rFonts w:hint="eastAsia"/>
          <w:color w:val="auto"/>
          <w:sz w:val="24"/>
          <w:szCs w:val="28"/>
          <w:highlight w:val="none"/>
          <w:u w:val="single"/>
        </w:rPr>
        <w:t xml:space="preserve">      </w:t>
      </w:r>
      <w:r>
        <w:rPr>
          <w:rFonts w:hint="eastAsia"/>
          <w:color w:val="auto"/>
          <w:sz w:val="24"/>
          <w:szCs w:val="28"/>
          <w:highlight w:val="none"/>
        </w:rPr>
        <w:t>月</w:t>
      </w:r>
      <w:r>
        <w:rPr>
          <w:rFonts w:hint="eastAsia"/>
          <w:color w:val="auto"/>
          <w:sz w:val="24"/>
          <w:szCs w:val="28"/>
          <w:highlight w:val="none"/>
          <w:u w:val="single"/>
        </w:rPr>
        <w:t xml:space="preserve">      </w:t>
      </w:r>
      <w:r>
        <w:rPr>
          <w:rFonts w:hint="eastAsia"/>
          <w:color w:val="auto"/>
          <w:sz w:val="24"/>
          <w:szCs w:val="28"/>
          <w:highlight w:val="none"/>
        </w:rPr>
        <w:t>日</w:t>
      </w:r>
      <w:r>
        <w:rPr>
          <w:rFonts w:hint="eastAsia" w:ascii="宋体" w:hAnsi="宋体" w:eastAsia="宋体" w:cs="宋体"/>
          <w:color w:val="auto"/>
          <w:sz w:val="24"/>
          <w:szCs w:val="24"/>
          <w:highlight w:val="none"/>
        </w:rPr>
        <w:t xml:space="preserve"> </w:t>
      </w:r>
    </w:p>
    <w:p w14:paraId="41BB3D12">
      <w:pPr>
        <w:rPr>
          <w:rFonts w:ascii="Calibri" w:hAnsi="Calibri" w:eastAsia="宋体" w:cs="Times New Roman"/>
          <w:color w:val="auto"/>
          <w:sz w:val="22"/>
          <w:highlight w:val="none"/>
        </w:rPr>
      </w:pPr>
    </w:p>
    <w:p w14:paraId="76EF895B">
      <w:pPr>
        <w:wordWrap w:val="0"/>
        <w:jc w:val="center"/>
        <w:rPr>
          <w:rFonts w:ascii="宋体" w:hAnsi="宋体" w:eastAsia="宋体" w:cs="宋体"/>
          <w:b/>
          <w:bCs/>
          <w:color w:val="auto"/>
          <w:sz w:val="24"/>
          <w:szCs w:val="24"/>
          <w:highlight w:val="none"/>
        </w:rPr>
      </w:pPr>
    </w:p>
    <w:p w14:paraId="700EF56A">
      <w:pPr>
        <w:wordWrap w:val="0"/>
        <w:jc w:val="center"/>
        <w:rPr>
          <w:rFonts w:ascii="宋体" w:hAnsi="宋体" w:eastAsia="宋体" w:cs="宋体"/>
          <w:b/>
          <w:bCs/>
          <w:color w:val="auto"/>
          <w:sz w:val="24"/>
          <w:szCs w:val="24"/>
          <w:highlight w:val="none"/>
        </w:rPr>
      </w:pPr>
    </w:p>
    <w:p w14:paraId="2B8E189F">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7AB29DA9">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46C6C108">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6B30D28A">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69BCBDC2">
      <w:pPr>
        <w:topLinePunct/>
        <w:jc w:val="center"/>
        <w:rPr>
          <w:rFonts w:ascii="宋体" w:hAnsi="宋体" w:eastAsia="宋体" w:cs="宋体"/>
          <w:b/>
          <w:bCs/>
          <w:color w:val="auto"/>
          <w:sz w:val="24"/>
          <w:szCs w:val="24"/>
          <w:highlight w:val="none"/>
        </w:rPr>
      </w:pPr>
    </w:p>
    <w:p w14:paraId="0BC800C2">
      <w:pPr>
        <w:topLinePunct/>
        <w:jc w:val="center"/>
        <w:rPr>
          <w:rFonts w:ascii="宋体" w:hAnsi="宋体" w:eastAsia="宋体" w:cs="宋体"/>
          <w:b/>
          <w:bCs/>
          <w:color w:val="auto"/>
          <w:sz w:val="24"/>
          <w:szCs w:val="24"/>
          <w:highlight w:val="none"/>
        </w:rPr>
      </w:pPr>
    </w:p>
    <w:p w14:paraId="459E9815">
      <w:pPr>
        <w:rPr>
          <w:color w:val="auto"/>
          <w:highlight w:val="none"/>
        </w:rPr>
      </w:pPr>
    </w:p>
    <w:p w14:paraId="40F5D698">
      <w:pPr>
        <w:rPr>
          <w:color w:val="auto"/>
          <w:highlight w:val="none"/>
        </w:rPr>
      </w:pPr>
    </w:p>
    <w:p w14:paraId="1252420D">
      <w:pPr>
        <w:rPr>
          <w:color w:val="auto"/>
          <w:highlight w:val="none"/>
        </w:rPr>
      </w:pPr>
    </w:p>
    <w:p w14:paraId="491AF940">
      <w:pPr>
        <w:rPr>
          <w:color w:val="auto"/>
          <w:highlight w:val="none"/>
        </w:rPr>
      </w:pPr>
    </w:p>
    <w:p w14:paraId="37137D30">
      <w:pPr>
        <w:rPr>
          <w:color w:val="auto"/>
          <w:highlight w:val="none"/>
        </w:rPr>
      </w:pPr>
    </w:p>
    <w:p w14:paraId="084D4C5A">
      <w:pPr>
        <w:rPr>
          <w:color w:val="auto"/>
          <w:highlight w:val="none"/>
        </w:rPr>
      </w:pPr>
    </w:p>
    <w:p w14:paraId="47AA7006">
      <w:pPr>
        <w:rPr>
          <w:color w:val="auto"/>
          <w:highlight w:val="none"/>
        </w:rPr>
      </w:pPr>
    </w:p>
    <w:p w14:paraId="7840B46E">
      <w:pPr>
        <w:rPr>
          <w:color w:val="auto"/>
          <w:highlight w:val="none"/>
        </w:rPr>
      </w:pPr>
    </w:p>
    <w:p w14:paraId="1EA7B129">
      <w:pPr>
        <w:rPr>
          <w:color w:val="auto"/>
          <w:highlight w:val="none"/>
        </w:rPr>
      </w:pPr>
    </w:p>
    <w:p w14:paraId="456500F5">
      <w:pPr>
        <w:rPr>
          <w:color w:val="auto"/>
          <w:highlight w:val="none"/>
        </w:rPr>
      </w:pPr>
    </w:p>
    <w:p w14:paraId="5F80CCD7">
      <w:pPr>
        <w:rPr>
          <w:color w:val="auto"/>
          <w:highlight w:val="none"/>
        </w:rPr>
      </w:pPr>
    </w:p>
    <w:p w14:paraId="14C1A26C">
      <w:pPr>
        <w:rPr>
          <w:color w:val="auto"/>
          <w:highlight w:val="none"/>
        </w:rPr>
      </w:pPr>
    </w:p>
    <w:p w14:paraId="6EAF40DA">
      <w:pPr>
        <w:rPr>
          <w:color w:val="auto"/>
          <w:highlight w:val="none"/>
        </w:rPr>
      </w:pPr>
    </w:p>
    <w:p w14:paraId="3B889EC0">
      <w:pPr>
        <w:rPr>
          <w:color w:val="auto"/>
          <w:highlight w:val="none"/>
        </w:rPr>
      </w:pPr>
    </w:p>
    <w:p w14:paraId="53BA47C9">
      <w:pPr>
        <w:spacing w:line="360" w:lineRule="auto"/>
        <w:jc w:val="center"/>
        <w:rPr>
          <w:rFonts w:ascii="宋体" w:hAnsi="宋体" w:cs="仿宋"/>
          <w:b/>
          <w:bCs/>
          <w:color w:val="auto"/>
          <w:sz w:val="28"/>
          <w:szCs w:val="28"/>
          <w:highlight w:val="none"/>
        </w:rPr>
      </w:pPr>
      <w:r>
        <w:rPr>
          <w:rFonts w:hint="eastAsia" w:ascii="宋体" w:hAnsi="宋体" w:cs="仿宋"/>
          <w:b/>
          <w:bCs/>
          <w:color w:val="auto"/>
          <w:sz w:val="28"/>
          <w:szCs w:val="28"/>
          <w:highlight w:val="none"/>
        </w:rPr>
        <w:t>附件二、关于符合本国产品标准的声明函</w:t>
      </w:r>
    </w:p>
    <w:p w14:paraId="6A308258">
      <w:pPr>
        <w:spacing w:line="360" w:lineRule="auto"/>
        <w:ind w:firstLine="480" w:firstLineChars="200"/>
        <w:rPr>
          <w:color w:val="auto"/>
          <w:sz w:val="24"/>
          <w:szCs w:val="24"/>
          <w:highlight w:val="none"/>
        </w:rPr>
      </w:pPr>
      <w:r>
        <w:rPr>
          <w:rFonts w:hint="eastAsia"/>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2A372E21">
      <w:pPr>
        <w:spacing w:line="360" w:lineRule="auto"/>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u w:val="single"/>
        </w:rPr>
        <w:t>（产品名称1）</w:t>
      </w:r>
      <w:r>
        <w:rPr>
          <w:rFonts w:hint="eastAsia"/>
          <w:color w:val="auto"/>
          <w:sz w:val="24"/>
          <w:szCs w:val="24"/>
          <w:highlight w:val="none"/>
          <w:vertAlign w:val="superscript"/>
        </w:rPr>
        <w:t>1</w:t>
      </w:r>
      <w:r>
        <w:rPr>
          <w:rFonts w:hint="eastAsia"/>
          <w:color w:val="auto"/>
          <w:sz w:val="24"/>
          <w:szCs w:val="24"/>
          <w:highlight w:val="none"/>
        </w:rPr>
        <w:t>，生产厂为</w:t>
      </w:r>
      <w:r>
        <w:rPr>
          <w:rFonts w:hint="eastAsia"/>
          <w:color w:val="auto"/>
          <w:sz w:val="24"/>
          <w:szCs w:val="24"/>
          <w:highlight w:val="none"/>
          <w:u w:val="single"/>
        </w:rPr>
        <w:t>（厂名）</w:t>
      </w:r>
      <w:r>
        <w:rPr>
          <w:rFonts w:hint="eastAsia"/>
          <w:color w:val="auto"/>
          <w:sz w:val="24"/>
          <w:szCs w:val="24"/>
          <w:highlight w:val="none"/>
          <w:vertAlign w:val="superscript"/>
        </w:rPr>
        <w:t>2</w:t>
      </w:r>
      <w:r>
        <w:rPr>
          <w:rFonts w:hint="eastAsia"/>
          <w:color w:val="auto"/>
          <w:sz w:val="24"/>
          <w:szCs w:val="24"/>
          <w:highlight w:val="none"/>
        </w:rPr>
        <w:t>，厂址为</w:t>
      </w:r>
      <w:r>
        <w:rPr>
          <w:rFonts w:hint="eastAsia"/>
          <w:color w:val="auto"/>
          <w:sz w:val="24"/>
          <w:szCs w:val="24"/>
          <w:highlight w:val="none"/>
          <w:u w:val="single"/>
        </w:rPr>
        <w:t>（生产厂址）</w:t>
      </w:r>
      <w:r>
        <w:rPr>
          <w:rFonts w:hint="eastAsia"/>
          <w:color w:val="auto"/>
          <w:sz w:val="24"/>
          <w:szCs w:val="24"/>
          <w:highlight w:val="none"/>
        </w:rPr>
        <w:t>。</w:t>
      </w:r>
      <w:r>
        <w:rPr>
          <w:rFonts w:hint="eastAsia"/>
          <w:color w:val="auto"/>
          <w:sz w:val="24"/>
          <w:szCs w:val="24"/>
          <w:highlight w:val="none"/>
          <w:u w:val="single"/>
        </w:rPr>
        <w:t>（产品名称1）</w:t>
      </w:r>
      <w:r>
        <w:rPr>
          <w:rFonts w:hint="eastAsia"/>
          <w:color w:val="auto"/>
          <w:sz w:val="24"/>
          <w:szCs w:val="24"/>
          <w:highlight w:val="none"/>
        </w:rPr>
        <w:t>的中国境内生产的组件成本占比≥</w:t>
      </w:r>
      <w:r>
        <w:rPr>
          <w:rFonts w:hint="eastAsia"/>
          <w:color w:val="auto"/>
          <w:sz w:val="24"/>
          <w:szCs w:val="24"/>
          <w:highlight w:val="none"/>
          <w:u w:val="single"/>
        </w:rPr>
        <w:t>（规定比例）</w:t>
      </w:r>
      <w:r>
        <w:rPr>
          <w:rFonts w:hint="eastAsia"/>
          <w:color w:val="auto"/>
          <w:sz w:val="24"/>
          <w:szCs w:val="24"/>
          <w:highlight w:val="none"/>
          <w:vertAlign w:val="superscript"/>
        </w:rPr>
        <w:t>3</w:t>
      </w:r>
      <w:r>
        <w:rPr>
          <w:rFonts w:hint="eastAsia"/>
          <w:color w:val="auto"/>
          <w:sz w:val="24"/>
          <w:szCs w:val="24"/>
          <w:highlight w:val="none"/>
        </w:rPr>
        <w:t>。</w:t>
      </w:r>
      <w:r>
        <w:rPr>
          <w:rFonts w:hint="eastAsia"/>
          <w:color w:val="auto"/>
          <w:sz w:val="24"/>
          <w:szCs w:val="24"/>
          <w:highlight w:val="none"/>
          <w:u w:val="single"/>
        </w:rPr>
        <w:t>（产品名称1）</w:t>
      </w:r>
      <w:r>
        <w:rPr>
          <w:rFonts w:hint="eastAsia"/>
          <w:color w:val="auto"/>
          <w:sz w:val="24"/>
          <w:szCs w:val="24"/>
          <w:highlight w:val="none"/>
        </w:rPr>
        <w:t>的</w:t>
      </w:r>
      <w:r>
        <w:rPr>
          <w:rFonts w:hint="eastAsia"/>
          <w:color w:val="auto"/>
          <w:sz w:val="24"/>
          <w:szCs w:val="24"/>
          <w:highlight w:val="none"/>
          <w:u w:val="single"/>
        </w:rPr>
        <w:t>（关键组件）</w:t>
      </w:r>
      <w:r>
        <w:rPr>
          <w:rFonts w:hint="eastAsia"/>
          <w:color w:val="auto"/>
          <w:sz w:val="24"/>
          <w:szCs w:val="24"/>
          <w:highlight w:val="none"/>
          <w:vertAlign w:val="superscript"/>
        </w:rPr>
        <w:t>4</w:t>
      </w:r>
      <w:r>
        <w:rPr>
          <w:rFonts w:hint="eastAsia"/>
          <w:color w:val="auto"/>
          <w:sz w:val="24"/>
          <w:szCs w:val="24"/>
          <w:highlight w:val="none"/>
        </w:rPr>
        <w:t>在中国境内生产。</w:t>
      </w:r>
      <w:r>
        <w:rPr>
          <w:rFonts w:hint="eastAsia"/>
          <w:color w:val="auto"/>
          <w:sz w:val="24"/>
          <w:szCs w:val="24"/>
          <w:highlight w:val="none"/>
          <w:u w:val="single"/>
        </w:rPr>
        <w:t>（产品名称1）</w:t>
      </w:r>
      <w:r>
        <w:rPr>
          <w:rFonts w:hint="eastAsia"/>
          <w:color w:val="auto"/>
          <w:sz w:val="24"/>
          <w:szCs w:val="24"/>
          <w:highlight w:val="none"/>
        </w:rPr>
        <w:t>的</w:t>
      </w:r>
      <w:r>
        <w:rPr>
          <w:rFonts w:hint="eastAsia"/>
          <w:color w:val="auto"/>
          <w:sz w:val="24"/>
          <w:szCs w:val="24"/>
          <w:highlight w:val="none"/>
          <w:u w:val="single"/>
        </w:rPr>
        <w:t>（关键工序）</w:t>
      </w:r>
      <w:r>
        <w:rPr>
          <w:rFonts w:hint="eastAsia"/>
          <w:color w:val="auto"/>
          <w:sz w:val="24"/>
          <w:szCs w:val="24"/>
          <w:highlight w:val="none"/>
          <w:vertAlign w:val="superscript"/>
        </w:rPr>
        <w:t>5</w:t>
      </w:r>
      <w:r>
        <w:rPr>
          <w:rFonts w:hint="eastAsia"/>
          <w:color w:val="auto"/>
          <w:sz w:val="24"/>
          <w:szCs w:val="24"/>
          <w:highlight w:val="none"/>
        </w:rPr>
        <w:t>在中国境内完成。</w:t>
      </w:r>
    </w:p>
    <w:p w14:paraId="3C2D7361">
      <w:pPr>
        <w:spacing w:line="360" w:lineRule="auto"/>
        <w:ind w:firstLine="480" w:firstLineChars="200"/>
        <w:rPr>
          <w:color w:val="auto"/>
          <w:sz w:val="24"/>
          <w:szCs w:val="24"/>
          <w:highlight w:val="none"/>
        </w:rPr>
      </w:pPr>
      <w:r>
        <w:rPr>
          <w:rFonts w:hint="eastAsia"/>
          <w:color w:val="auto"/>
          <w:sz w:val="24"/>
          <w:szCs w:val="24"/>
          <w:highlight w:val="none"/>
        </w:rPr>
        <w:t>2.</w:t>
      </w:r>
      <w:r>
        <w:rPr>
          <w:rFonts w:hint="eastAsia"/>
          <w:color w:val="auto"/>
          <w:sz w:val="24"/>
          <w:szCs w:val="24"/>
          <w:highlight w:val="none"/>
          <w:u w:val="single"/>
        </w:rPr>
        <w:t>（产品名称2）</w:t>
      </w:r>
      <w:r>
        <w:rPr>
          <w:rFonts w:hint="eastAsia"/>
          <w:color w:val="auto"/>
          <w:sz w:val="24"/>
          <w:szCs w:val="24"/>
          <w:highlight w:val="none"/>
        </w:rPr>
        <w:t>，生产厂为</w:t>
      </w:r>
      <w:r>
        <w:rPr>
          <w:rFonts w:hint="eastAsia"/>
          <w:color w:val="auto"/>
          <w:sz w:val="24"/>
          <w:szCs w:val="24"/>
          <w:highlight w:val="none"/>
          <w:u w:val="single"/>
        </w:rPr>
        <w:t>（厂名）</w:t>
      </w:r>
      <w:r>
        <w:rPr>
          <w:rFonts w:hint="eastAsia"/>
          <w:color w:val="auto"/>
          <w:sz w:val="24"/>
          <w:szCs w:val="24"/>
          <w:highlight w:val="none"/>
        </w:rPr>
        <w:t>，厂址为</w:t>
      </w:r>
      <w:r>
        <w:rPr>
          <w:rFonts w:hint="eastAsia"/>
          <w:color w:val="auto"/>
          <w:sz w:val="24"/>
          <w:szCs w:val="24"/>
          <w:highlight w:val="none"/>
          <w:u w:val="single"/>
        </w:rPr>
        <w:t>（生产厂址）</w:t>
      </w:r>
      <w:r>
        <w:rPr>
          <w:rFonts w:hint="eastAsia"/>
          <w:color w:val="auto"/>
          <w:sz w:val="24"/>
          <w:szCs w:val="24"/>
          <w:highlight w:val="none"/>
        </w:rPr>
        <w:t>。（</w:t>
      </w:r>
      <w:r>
        <w:rPr>
          <w:rFonts w:hint="eastAsia"/>
          <w:color w:val="auto"/>
          <w:sz w:val="24"/>
          <w:szCs w:val="24"/>
          <w:highlight w:val="none"/>
          <w:u w:val="single"/>
        </w:rPr>
        <w:t>产品名称2）</w:t>
      </w:r>
      <w:r>
        <w:rPr>
          <w:rFonts w:hint="eastAsia"/>
          <w:color w:val="auto"/>
          <w:sz w:val="24"/>
          <w:szCs w:val="24"/>
          <w:highlight w:val="none"/>
        </w:rPr>
        <w:t>的中国境内生产的组件成本占比≥</w:t>
      </w:r>
      <w:r>
        <w:rPr>
          <w:rFonts w:hint="eastAsia"/>
          <w:color w:val="auto"/>
          <w:sz w:val="24"/>
          <w:szCs w:val="24"/>
          <w:highlight w:val="none"/>
          <w:u w:val="single"/>
        </w:rPr>
        <w:t>（规定比例）</w:t>
      </w:r>
      <w:r>
        <w:rPr>
          <w:rFonts w:hint="eastAsia"/>
          <w:color w:val="auto"/>
          <w:sz w:val="24"/>
          <w:szCs w:val="24"/>
          <w:highlight w:val="none"/>
        </w:rPr>
        <w:t>。</w:t>
      </w:r>
      <w:r>
        <w:rPr>
          <w:rFonts w:hint="eastAsia"/>
          <w:color w:val="auto"/>
          <w:sz w:val="24"/>
          <w:szCs w:val="24"/>
          <w:highlight w:val="none"/>
          <w:u w:val="single"/>
        </w:rPr>
        <w:t>（产品名称2）</w:t>
      </w:r>
      <w:r>
        <w:rPr>
          <w:rFonts w:hint="eastAsia"/>
          <w:color w:val="auto"/>
          <w:sz w:val="24"/>
          <w:szCs w:val="24"/>
          <w:highlight w:val="none"/>
        </w:rPr>
        <w:t>的</w:t>
      </w:r>
      <w:r>
        <w:rPr>
          <w:rFonts w:hint="eastAsia"/>
          <w:color w:val="auto"/>
          <w:sz w:val="24"/>
          <w:szCs w:val="24"/>
          <w:highlight w:val="none"/>
          <w:u w:val="single"/>
        </w:rPr>
        <w:t>（关键组件）</w:t>
      </w:r>
      <w:r>
        <w:rPr>
          <w:rFonts w:hint="eastAsia"/>
          <w:color w:val="auto"/>
          <w:sz w:val="24"/>
          <w:szCs w:val="24"/>
          <w:highlight w:val="none"/>
        </w:rPr>
        <w:t>在中国境内生产。</w:t>
      </w:r>
      <w:r>
        <w:rPr>
          <w:rFonts w:hint="eastAsia"/>
          <w:color w:val="auto"/>
          <w:sz w:val="24"/>
          <w:szCs w:val="24"/>
          <w:highlight w:val="none"/>
          <w:u w:val="single"/>
        </w:rPr>
        <w:t>（产品名称2）</w:t>
      </w:r>
      <w:r>
        <w:rPr>
          <w:rFonts w:hint="eastAsia"/>
          <w:color w:val="auto"/>
          <w:sz w:val="24"/>
          <w:szCs w:val="24"/>
          <w:highlight w:val="none"/>
        </w:rPr>
        <w:t>的</w:t>
      </w:r>
      <w:r>
        <w:rPr>
          <w:rFonts w:hint="eastAsia"/>
          <w:color w:val="auto"/>
          <w:sz w:val="24"/>
          <w:szCs w:val="24"/>
          <w:highlight w:val="none"/>
          <w:u w:val="single"/>
        </w:rPr>
        <w:t>（关键工序）</w:t>
      </w:r>
      <w:r>
        <w:rPr>
          <w:rFonts w:hint="eastAsia"/>
          <w:color w:val="auto"/>
          <w:sz w:val="24"/>
          <w:szCs w:val="24"/>
          <w:highlight w:val="none"/>
        </w:rPr>
        <w:t>在中国境内完成。</w:t>
      </w:r>
    </w:p>
    <w:p w14:paraId="493C67C6">
      <w:pPr>
        <w:spacing w:line="360" w:lineRule="auto"/>
        <w:ind w:firstLine="480" w:firstLineChars="200"/>
        <w:rPr>
          <w:color w:val="auto"/>
          <w:sz w:val="24"/>
          <w:szCs w:val="24"/>
          <w:highlight w:val="none"/>
        </w:rPr>
      </w:pPr>
      <w:r>
        <w:rPr>
          <w:rFonts w:hint="eastAsia"/>
          <w:color w:val="auto"/>
          <w:sz w:val="24"/>
          <w:szCs w:val="24"/>
          <w:highlight w:val="none"/>
        </w:rPr>
        <w:t>……</w:t>
      </w:r>
    </w:p>
    <w:p w14:paraId="335593E6">
      <w:pPr>
        <w:spacing w:line="360" w:lineRule="auto"/>
        <w:ind w:firstLine="480" w:firstLineChars="200"/>
        <w:rPr>
          <w:color w:val="auto"/>
          <w:sz w:val="24"/>
          <w:szCs w:val="24"/>
          <w:highlight w:val="none"/>
        </w:rPr>
      </w:pPr>
      <w:r>
        <w:rPr>
          <w:rFonts w:hint="eastAsia"/>
          <w:color w:val="auto"/>
          <w:sz w:val="24"/>
          <w:szCs w:val="24"/>
          <w:highlight w:val="none"/>
        </w:rPr>
        <w:t>本公司（单位）对上述声明内容的真实性负责。如有虚假，愿承担相应法律责任。</w:t>
      </w:r>
    </w:p>
    <w:p w14:paraId="7B458296">
      <w:pPr>
        <w:spacing w:line="360" w:lineRule="auto"/>
        <w:rPr>
          <w:color w:val="auto"/>
          <w:sz w:val="24"/>
          <w:szCs w:val="24"/>
          <w:highlight w:val="none"/>
        </w:rPr>
      </w:pPr>
    </w:p>
    <w:p w14:paraId="58643555">
      <w:pPr>
        <w:spacing w:line="360" w:lineRule="auto"/>
        <w:ind w:firstLine="2880" w:firstLineChars="1200"/>
        <w:rPr>
          <w:color w:val="auto"/>
          <w:sz w:val="24"/>
          <w:szCs w:val="24"/>
          <w:highlight w:val="none"/>
        </w:rPr>
      </w:pPr>
      <w:r>
        <w:rPr>
          <w:rFonts w:hint="eastAsia"/>
          <w:color w:val="auto"/>
          <w:sz w:val="24"/>
          <w:szCs w:val="24"/>
          <w:highlight w:val="none"/>
        </w:rPr>
        <w:t>公司（单位）名称（</w:t>
      </w:r>
      <w:r>
        <w:rPr>
          <w:rFonts w:hint="eastAsia"/>
          <w:color w:val="auto"/>
          <w:sz w:val="24"/>
          <w:szCs w:val="28"/>
          <w:highlight w:val="none"/>
        </w:rPr>
        <w:t>电子签章</w:t>
      </w:r>
      <w:r>
        <w:rPr>
          <w:rFonts w:hint="eastAsia"/>
          <w:color w:val="auto"/>
          <w:sz w:val="24"/>
          <w:szCs w:val="24"/>
          <w:highlight w:val="none"/>
        </w:rPr>
        <w:t>）：</w:t>
      </w:r>
    </w:p>
    <w:p w14:paraId="50D414DF">
      <w:pPr>
        <w:spacing w:line="360" w:lineRule="auto"/>
        <w:ind w:firstLine="3120" w:firstLineChars="1300"/>
        <w:rPr>
          <w:color w:val="auto"/>
          <w:sz w:val="28"/>
          <w:szCs w:val="36"/>
          <w:highlight w:val="none"/>
        </w:rPr>
      </w:pPr>
      <w:r>
        <w:rPr>
          <w:rFonts w:hint="eastAsia"/>
          <w:color w:val="auto"/>
          <w:sz w:val="24"/>
          <w:szCs w:val="24"/>
          <w:highlight w:val="none"/>
        </w:rPr>
        <w:t>日期：</w:t>
      </w:r>
      <w:r>
        <w:rPr>
          <w:rFonts w:hint="eastAsia"/>
          <w:color w:val="auto"/>
          <w:sz w:val="24"/>
          <w:szCs w:val="28"/>
          <w:highlight w:val="none"/>
          <w:u w:val="single"/>
        </w:rPr>
        <w:t xml:space="preserve">         </w:t>
      </w:r>
      <w:r>
        <w:rPr>
          <w:rFonts w:hint="eastAsia"/>
          <w:color w:val="auto"/>
          <w:sz w:val="24"/>
          <w:szCs w:val="28"/>
          <w:highlight w:val="none"/>
        </w:rPr>
        <w:t>年</w:t>
      </w:r>
      <w:r>
        <w:rPr>
          <w:rFonts w:hint="eastAsia"/>
          <w:color w:val="auto"/>
          <w:sz w:val="24"/>
          <w:szCs w:val="28"/>
          <w:highlight w:val="none"/>
          <w:u w:val="single"/>
        </w:rPr>
        <w:t xml:space="preserve">      </w:t>
      </w:r>
      <w:r>
        <w:rPr>
          <w:rFonts w:hint="eastAsia"/>
          <w:color w:val="auto"/>
          <w:sz w:val="24"/>
          <w:szCs w:val="28"/>
          <w:highlight w:val="none"/>
        </w:rPr>
        <w:t>月</w:t>
      </w:r>
      <w:r>
        <w:rPr>
          <w:rFonts w:hint="eastAsia"/>
          <w:color w:val="auto"/>
          <w:sz w:val="24"/>
          <w:szCs w:val="28"/>
          <w:highlight w:val="none"/>
          <w:u w:val="single"/>
        </w:rPr>
        <w:t xml:space="preserve">      </w:t>
      </w:r>
      <w:r>
        <w:rPr>
          <w:rFonts w:hint="eastAsia"/>
          <w:color w:val="auto"/>
          <w:sz w:val="24"/>
          <w:szCs w:val="28"/>
          <w:highlight w:val="none"/>
        </w:rPr>
        <w:t>日</w:t>
      </w:r>
    </w:p>
    <w:p w14:paraId="25C52F5D">
      <w:pPr>
        <w:widowControl/>
        <w:jc w:val="left"/>
        <w:rPr>
          <w:rFonts w:ascii="宋体" w:hAnsi="宋体" w:eastAsia="宋体" w:cs="宋体"/>
          <w:color w:val="auto"/>
          <w:kern w:val="0"/>
          <w:sz w:val="22"/>
          <w:highlight w:val="none"/>
          <w:lang w:bidi="ar"/>
        </w:rPr>
      </w:pPr>
    </w:p>
    <w:p w14:paraId="1510D2E6">
      <w:pPr>
        <w:widowControl/>
        <w:jc w:val="left"/>
        <w:rPr>
          <w:rFonts w:ascii="宋体" w:hAnsi="宋体" w:eastAsia="宋体" w:cs="宋体"/>
          <w:color w:val="auto"/>
          <w:kern w:val="0"/>
          <w:sz w:val="22"/>
          <w:highlight w:val="none"/>
          <w:lang w:bidi="ar"/>
        </w:rPr>
      </w:pPr>
    </w:p>
    <w:p w14:paraId="57795593">
      <w:pPr>
        <w:widowControl/>
        <w:ind w:firstLine="420" w:firstLineChars="200"/>
        <w:jc w:val="left"/>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1.产品如有型号，请在“产品名称”栏一并填写。</w:t>
      </w:r>
    </w:p>
    <w:p w14:paraId="37536EDD">
      <w:pPr>
        <w:widowControl/>
        <w:ind w:firstLine="420" w:firstLineChars="200"/>
        <w:jc w:val="left"/>
        <w:rPr>
          <w:color w:val="auto"/>
          <w:szCs w:val="21"/>
          <w:highlight w:val="none"/>
        </w:rPr>
      </w:pPr>
      <w:r>
        <w:rPr>
          <w:rFonts w:hint="eastAsia" w:ascii="宋体" w:hAnsi="宋体" w:eastAsia="宋体" w:cs="宋体"/>
          <w:color w:val="auto"/>
          <w:kern w:val="0"/>
          <w:szCs w:val="21"/>
          <w:highlight w:val="none"/>
          <w:lang w:bidi="ar"/>
        </w:rPr>
        <w:t xml:space="preserve">2.生产厂名与厂址应与生产厂营业执照载明的相关信息保持一致。 </w:t>
      </w:r>
    </w:p>
    <w:p w14:paraId="5202E51E">
      <w:pPr>
        <w:widowControl/>
        <w:ind w:firstLine="420" w:firstLineChars="200"/>
        <w:jc w:val="left"/>
        <w:rPr>
          <w:color w:val="auto"/>
          <w:szCs w:val="21"/>
          <w:highlight w:val="none"/>
        </w:rPr>
      </w:pPr>
      <w:r>
        <w:rPr>
          <w:rFonts w:hint="eastAsia" w:ascii="宋体" w:hAnsi="宋体" w:eastAsia="宋体" w:cs="宋体"/>
          <w:color w:val="auto"/>
          <w:kern w:val="0"/>
          <w:szCs w:val="21"/>
          <w:highlight w:val="none"/>
          <w:lang w:bidi="ar"/>
        </w:rPr>
        <w:t xml:space="preserve">3.该产品的中国境内生产的组件成本占比相关要求实施前，“规定比例”栏可不填，下同。 </w:t>
      </w:r>
    </w:p>
    <w:p w14:paraId="6A6108AB">
      <w:pPr>
        <w:widowControl/>
        <w:ind w:firstLine="420" w:firstLineChars="200"/>
        <w:jc w:val="left"/>
        <w:rPr>
          <w:color w:val="auto"/>
          <w:szCs w:val="21"/>
          <w:highlight w:val="none"/>
        </w:rPr>
      </w:pPr>
      <w:r>
        <w:rPr>
          <w:rFonts w:hint="eastAsia" w:ascii="宋体" w:hAnsi="宋体" w:eastAsia="宋体" w:cs="宋体"/>
          <w:color w:val="auto"/>
          <w:kern w:val="0"/>
          <w:szCs w:val="21"/>
          <w:highlight w:val="none"/>
          <w:lang w:bidi="ar"/>
        </w:rPr>
        <w:t xml:space="preserve">4.该产品的关键组件要求实施前，“关键组件”栏可不填，下同。 </w:t>
      </w:r>
    </w:p>
    <w:p w14:paraId="58CE6ABF">
      <w:pPr>
        <w:widowControl/>
        <w:ind w:firstLine="420" w:firstLineChars="200"/>
        <w:jc w:val="left"/>
        <w:rPr>
          <w:color w:val="auto"/>
          <w:szCs w:val="21"/>
          <w:highlight w:val="none"/>
        </w:rPr>
      </w:pPr>
      <w:r>
        <w:rPr>
          <w:rFonts w:hint="eastAsia" w:ascii="宋体" w:hAnsi="宋体" w:eastAsia="宋体" w:cs="宋体"/>
          <w:color w:val="auto"/>
          <w:kern w:val="0"/>
          <w:szCs w:val="21"/>
          <w:highlight w:val="none"/>
          <w:lang w:bidi="ar"/>
        </w:rPr>
        <w:t>5.该产品的关键工序要求实施前，“关键工序”栏可不填，下同。</w:t>
      </w:r>
    </w:p>
    <w:p w14:paraId="5B9E106B">
      <w:pPr>
        <w:rPr>
          <w:color w:val="auto"/>
          <w:sz w:val="28"/>
          <w:szCs w:val="36"/>
          <w:highlight w:val="none"/>
        </w:rPr>
      </w:pPr>
    </w:p>
    <w:p w14:paraId="3FEC3CF3">
      <w:pPr>
        <w:rPr>
          <w:color w:val="auto"/>
          <w:sz w:val="24"/>
          <w:szCs w:val="24"/>
          <w:highlight w:val="none"/>
        </w:rPr>
      </w:pPr>
    </w:p>
    <w:sectPr>
      <w:footerReference r:id="rId12" w:type="first"/>
      <w:footerReference r:id="rId11" w:type="default"/>
      <w:pgSz w:w="11906" w:h="16838"/>
      <w:pgMar w:top="1440" w:right="1803" w:bottom="1440" w:left="1803" w:header="851" w:footer="850" w:gutter="0"/>
      <w:pgNumType w:start="43"/>
      <w:cols w:space="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CD232">
    <w:pPr>
      <w:rPr>
        <w:b/>
        <w:bCs/>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1DE23">
    <w:pPr>
      <w:framePr w:wrap="around" w:vAnchor="text" w:hAnchor="margin" w:xAlign="right" w:y="1"/>
    </w:pPr>
    <w:r>
      <w:fldChar w:fldCharType="begin"/>
    </w:r>
    <w:r>
      <w:instrText xml:space="preserve">PAGE  </w:instrText>
    </w:r>
    <w:r>
      <w:fldChar w:fldCharType="end"/>
    </w:r>
  </w:p>
  <w:p w14:paraId="051A0D22">
    <w:pPr>
      <w:ind w:right="360"/>
    </w:pPr>
  </w:p>
  <w:p w14:paraId="28B3873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185C5">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F261F">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29779">
                          <w:pPr>
                            <w:pStyle w:val="1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1029779">
                    <w:pPr>
                      <w:pStyle w:val="1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815DB">
    <w:pPr>
      <w:rPr>
        <w:b/>
        <w:bCs/>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64C70">
                          <w:pPr>
                            <w:pStyle w:val="1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6264C70">
                    <w:pPr>
                      <w:pStyle w:val="1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8B7B3">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8FB7B">
                          <w:pPr>
                            <w:pStyle w:val="1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458FB7B">
                    <w:pPr>
                      <w:pStyle w:val="1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CA0E3">
    <w:pPr>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B11E">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5397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E0324">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DDECD3BC"/>
    <w:multiLevelType w:val="singleLevel"/>
    <w:tmpl w:val="DDECD3BC"/>
    <w:lvl w:ilvl="0" w:tentative="0">
      <w:start w:val="6"/>
      <w:numFmt w:val="decimal"/>
      <w:suff w:val="space"/>
      <w:lvlText w:val="%1."/>
      <w:lvlJc w:val="left"/>
    </w:lvl>
  </w:abstractNum>
  <w:abstractNum w:abstractNumId="2">
    <w:nsid w:val="DE759F4B"/>
    <w:multiLevelType w:val="singleLevel"/>
    <w:tmpl w:val="DE759F4B"/>
    <w:lvl w:ilvl="0" w:tentative="0">
      <w:start w:val="2"/>
      <w:numFmt w:val="decimal"/>
      <w:suff w:val="space"/>
      <w:lvlText w:val="%1."/>
      <w:lvlJc w:val="left"/>
    </w:lvl>
  </w:abstractNum>
  <w:abstractNum w:abstractNumId="3">
    <w:nsid w:val="DEABE1DB"/>
    <w:multiLevelType w:val="singleLevel"/>
    <w:tmpl w:val="DEABE1DB"/>
    <w:lvl w:ilvl="0" w:tentative="0">
      <w:start w:val="23"/>
      <w:numFmt w:val="decimal"/>
      <w:suff w:val="space"/>
      <w:lvlText w:val="%1."/>
      <w:lvlJc w:val="left"/>
    </w:lvl>
  </w:abstractNum>
  <w:abstractNum w:abstractNumId="4">
    <w:nsid w:val="15CF0D0F"/>
    <w:multiLevelType w:val="singleLevel"/>
    <w:tmpl w:val="15CF0D0F"/>
    <w:lvl w:ilvl="0" w:tentative="0">
      <w:start w:val="1"/>
      <w:numFmt w:val="chineseCounting"/>
      <w:suff w:val="nothing"/>
      <w:lvlText w:val="%1、"/>
      <w:lvlJc w:val="left"/>
      <w:rPr>
        <w:rFonts w:hint="eastAsia"/>
      </w:rPr>
    </w:lvl>
  </w:abstractNum>
  <w:abstractNum w:abstractNumId="5">
    <w:nsid w:val="7A0F6431"/>
    <w:multiLevelType w:val="singleLevel"/>
    <w:tmpl w:val="7A0F6431"/>
    <w:lvl w:ilvl="0" w:tentative="0">
      <w:start w:val="1"/>
      <w:numFmt w:val="decimal"/>
      <w:suff w:val="space"/>
      <w:lvlText w:val="%1."/>
      <w:lvlJc w:val="left"/>
    </w:lvl>
  </w:abstractNum>
  <w:num w:numId="1">
    <w:abstractNumId w:val="5"/>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25E2"/>
    <w:rsid w:val="00093575"/>
    <w:rsid w:val="0009390E"/>
    <w:rsid w:val="00097BE7"/>
    <w:rsid w:val="000C7F28"/>
    <w:rsid w:val="000D1B14"/>
    <w:rsid w:val="000D4D8F"/>
    <w:rsid w:val="000E74F3"/>
    <w:rsid w:val="0010046E"/>
    <w:rsid w:val="0011114C"/>
    <w:rsid w:val="001370B6"/>
    <w:rsid w:val="00161AB7"/>
    <w:rsid w:val="00161DAA"/>
    <w:rsid w:val="0022200B"/>
    <w:rsid w:val="00226EAE"/>
    <w:rsid w:val="002415D5"/>
    <w:rsid w:val="00267AE9"/>
    <w:rsid w:val="002C0385"/>
    <w:rsid w:val="002C501C"/>
    <w:rsid w:val="002C707C"/>
    <w:rsid w:val="00326578"/>
    <w:rsid w:val="00393D0A"/>
    <w:rsid w:val="00470E38"/>
    <w:rsid w:val="004B4143"/>
    <w:rsid w:val="004B7ADB"/>
    <w:rsid w:val="004C2020"/>
    <w:rsid w:val="0050461E"/>
    <w:rsid w:val="00524DD1"/>
    <w:rsid w:val="005640F8"/>
    <w:rsid w:val="00567F9A"/>
    <w:rsid w:val="0057746F"/>
    <w:rsid w:val="00583AC5"/>
    <w:rsid w:val="00584B2A"/>
    <w:rsid w:val="00595B10"/>
    <w:rsid w:val="005960E2"/>
    <w:rsid w:val="005B5E5D"/>
    <w:rsid w:val="005F0238"/>
    <w:rsid w:val="005F6D4A"/>
    <w:rsid w:val="00606EE1"/>
    <w:rsid w:val="0063064B"/>
    <w:rsid w:val="00633D2B"/>
    <w:rsid w:val="0064479E"/>
    <w:rsid w:val="006D1822"/>
    <w:rsid w:val="00702DE5"/>
    <w:rsid w:val="00713204"/>
    <w:rsid w:val="007351D8"/>
    <w:rsid w:val="00742876"/>
    <w:rsid w:val="00781CA0"/>
    <w:rsid w:val="007E0AD6"/>
    <w:rsid w:val="00847A75"/>
    <w:rsid w:val="00977FE2"/>
    <w:rsid w:val="00A122AC"/>
    <w:rsid w:val="00A80ADF"/>
    <w:rsid w:val="00A90B80"/>
    <w:rsid w:val="00A93C9D"/>
    <w:rsid w:val="00A95834"/>
    <w:rsid w:val="00AA38F8"/>
    <w:rsid w:val="00AC3038"/>
    <w:rsid w:val="00B36D3A"/>
    <w:rsid w:val="00BC1BF0"/>
    <w:rsid w:val="00BE7366"/>
    <w:rsid w:val="00C03AE0"/>
    <w:rsid w:val="00C056DE"/>
    <w:rsid w:val="00C361BF"/>
    <w:rsid w:val="00C65221"/>
    <w:rsid w:val="00CD339A"/>
    <w:rsid w:val="00CE72AE"/>
    <w:rsid w:val="00CE7BB1"/>
    <w:rsid w:val="00D16646"/>
    <w:rsid w:val="00D5128D"/>
    <w:rsid w:val="00DD7918"/>
    <w:rsid w:val="00E014C2"/>
    <w:rsid w:val="00E225C8"/>
    <w:rsid w:val="00E66F98"/>
    <w:rsid w:val="00E9122D"/>
    <w:rsid w:val="00E919EF"/>
    <w:rsid w:val="00EC664B"/>
    <w:rsid w:val="00EE662F"/>
    <w:rsid w:val="00F051AD"/>
    <w:rsid w:val="00FA174C"/>
    <w:rsid w:val="00FE11F4"/>
    <w:rsid w:val="00FF3195"/>
    <w:rsid w:val="00FF56BA"/>
    <w:rsid w:val="01B841E6"/>
    <w:rsid w:val="01F47117"/>
    <w:rsid w:val="024C7750"/>
    <w:rsid w:val="02714395"/>
    <w:rsid w:val="039B5B6E"/>
    <w:rsid w:val="03D64DF8"/>
    <w:rsid w:val="03EC461B"/>
    <w:rsid w:val="044E2BE0"/>
    <w:rsid w:val="04B769D7"/>
    <w:rsid w:val="04E43544"/>
    <w:rsid w:val="050140F6"/>
    <w:rsid w:val="05A30D0A"/>
    <w:rsid w:val="062736E9"/>
    <w:rsid w:val="06562220"/>
    <w:rsid w:val="06C947A0"/>
    <w:rsid w:val="0802032B"/>
    <w:rsid w:val="089332B7"/>
    <w:rsid w:val="089518A9"/>
    <w:rsid w:val="08F17FDE"/>
    <w:rsid w:val="08F71A98"/>
    <w:rsid w:val="099512B1"/>
    <w:rsid w:val="09D37F6F"/>
    <w:rsid w:val="0A5B6282"/>
    <w:rsid w:val="0ACE4A7B"/>
    <w:rsid w:val="0B03120E"/>
    <w:rsid w:val="0B212DFC"/>
    <w:rsid w:val="0B632A85"/>
    <w:rsid w:val="0C607954"/>
    <w:rsid w:val="0C776A4C"/>
    <w:rsid w:val="0CB739F3"/>
    <w:rsid w:val="0D1A1A71"/>
    <w:rsid w:val="0DD00B0A"/>
    <w:rsid w:val="0DDA3736"/>
    <w:rsid w:val="0DF86F39"/>
    <w:rsid w:val="0EB977F0"/>
    <w:rsid w:val="0F144A26"/>
    <w:rsid w:val="0F6C4F5D"/>
    <w:rsid w:val="0FCC498E"/>
    <w:rsid w:val="100D7DF3"/>
    <w:rsid w:val="101518E8"/>
    <w:rsid w:val="1096681D"/>
    <w:rsid w:val="10F87487"/>
    <w:rsid w:val="111B6540"/>
    <w:rsid w:val="112A6783"/>
    <w:rsid w:val="114B43E9"/>
    <w:rsid w:val="11673533"/>
    <w:rsid w:val="119A3A6A"/>
    <w:rsid w:val="12555A81"/>
    <w:rsid w:val="12575356"/>
    <w:rsid w:val="127E0B66"/>
    <w:rsid w:val="132C67E2"/>
    <w:rsid w:val="13FF5CA5"/>
    <w:rsid w:val="14151024"/>
    <w:rsid w:val="146B333A"/>
    <w:rsid w:val="147541B9"/>
    <w:rsid w:val="14A8633C"/>
    <w:rsid w:val="1525173B"/>
    <w:rsid w:val="1528122B"/>
    <w:rsid w:val="15391146"/>
    <w:rsid w:val="15C947BC"/>
    <w:rsid w:val="15EE6D18"/>
    <w:rsid w:val="15FD4466"/>
    <w:rsid w:val="164125A5"/>
    <w:rsid w:val="167554E8"/>
    <w:rsid w:val="16A91FB8"/>
    <w:rsid w:val="16D056D6"/>
    <w:rsid w:val="16E82A20"/>
    <w:rsid w:val="17A76437"/>
    <w:rsid w:val="17BA007A"/>
    <w:rsid w:val="18664544"/>
    <w:rsid w:val="18784278"/>
    <w:rsid w:val="196842EC"/>
    <w:rsid w:val="199926F8"/>
    <w:rsid w:val="1A0C111B"/>
    <w:rsid w:val="1A4A39F2"/>
    <w:rsid w:val="1A7016AA"/>
    <w:rsid w:val="1ACD08AB"/>
    <w:rsid w:val="1ADA2FC8"/>
    <w:rsid w:val="1B0167A6"/>
    <w:rsid w:val="1C4178D3"/>
    <w:rsid w:val="1CA05B4B"/>
    <w:rsid w:val="1CD51C99"/>
    <w:rsid w:val="1E01086B"/>
    <w:rsid w:val="1E0D1C70"/>
    <w:rsid w:val="1E1E141D"/>
    <w:rsid w:val="207928CF"/>
    <w:rsid w:val="21C047A5"/>
    <w:rsid w:val="21E12E8E"/>
    <w:rsid w:val="21EF04B1"/>
    <w:rsid w:val="21EF55AB"/>
    <w:rsid w:val="2412732E"/>
    <w:rsid w:val="242A28CA"/>
    <w:rsid w:val="24373239"/>
    <w:rsid w:val="24412ABA"/>
    <w:rsid w:val="249935AC"/>
    <w:rsid w:val="268D7140"/>
    <w:rsid w:val="27180014"/>
    <w:rsid w:val="27286E69"/>
    <w:rsid w:val="28C36E49"/>
    <w:rsid w:val="29EB2AFB"/>
    <w:rsid w:val="2AAF37B9"/>
    <w:rsid w:val="2AC944BF"/>
    <w:rsid w:val="2B7B5D84"/>
    <w:rsid w:val="2C3D33B6"/>
    <w:rsid w:val="2D173C07"/>
    <w:rsid w:val="2D497F94"/>
    <w:rsid w:val="2DBF5D7B"/>
    <w:rsid w:val="2EA339A5"/>
    <w:rsid w:val="2FC276E4"/>
    <w:rsid w:val="2FFA3A98"/>
    <w:rsid w:val="2FFB7730"/>
    <w:rsid w:val="30C220DC"/>
    <w:rsid w:val="310F1F07"/>
    <w:rsid w:val="314174A5"/>
    <w:rsid w:val="31C3435E"/>
    <w:rsid w:val="327F0285"/>
    <w:rsid w:val="32E26A66"/>
    <w:rsid w:val="3321758E"/>
    <w:rsid w:val="336F07F8"/>
    <w:rsid w:val="339F64E0"/>
    <w:rsid w:val="344D6161"/>
    <w:rsid w:val="34627E5E"/>
    <w:rsid w:val="34C70555"/>
    <w:rsid w:val="34CE1050"/>
    <w:rsid w:val="34DA79F4"/>
    <w:rsid w:val="35221D38"/>
    <w:rsid w:val="359B63CF"/>
    <w:rsid w:val="35CF507F"/>
    <w:rsid w:val="37375D11"/>
    <w:rsid w:val="37983B97"/>
    <w:rsid w:val="37ED5C91"/>
    <w:rsid w:val="383C2774"/>
    <w:rsid w:val="397F4D5E"/>
    <w:rsid w:val="399F1E35"/>
    <w:rsid w:val="3B5F6EA5"/>
    <w:rsid w:val="3B950B19"/>
    <w:rsid w:val="3BBF57ED"/>
    <w:rsid w:val="3C1934F8"/>
    <w:rsid w:val="3C2F4ACA"/>
    <w:rsid w:val="3C3E2F5F"/>
    <w:rsid w:val="3F27588A"/>
    <w:rsid w:val="3F8E5FAB"/>
    <w:rsid w:val="3FC01EDD"/>
    <w:rsid w:val="3FE454D6"/>
    <w:rsid w:val="41B63597"/>
    <w:rsid w:val="424E1A22"/>
    <w:rsid w:val="42A81132"/>
    <w:rsid w:val="42C83582"/>
    <w:rsid w:val="42DC0504"/>
    <w:rsid w:val="433D39EB"/>
    <w:rsid w:val="43A85162"/>
    <w:rsid w:val="43C864C1"/>
    <w:rsid w:val="44562E10"/>
    <w:rsid w:val="45C27E31"/>
    <w:rsid w:val="45EA1A61"/>
    <w:rsid w:val="46430BED"/>
    <w:rsid w:val="484C255F"/>
    <w:rsid w:val="493C259C"/>
    <w:rsid w:val="4941408E"/>
    <w:rsid w:val="495518E8"/>
    <w:rsid w:val="4A0A53EF"/>
    <w:rsid w:val="4A78588E"/>
    <w:rsid w:val="4A8F716B"/>
    <w:rsid w:val="4B2A5604"/>
    <w:rsid w:val="4C465518"/>
    <w:rsid w:val="4CA9190D"/>
    <w:rsid w:val="4D333CEE"/>
    <w:rsid w:val="4D4B54DB"/>
    <w:rsid w:val="4DDC25D7"/>
    <w:rsid w:val="4DFB41B7"/>
    <w:rsid w:val="4EDE09E1"/>
    <w:rsid w:val="4F302B9F"/>
    <w:rsid w:val="4F89148D"/>
    <w:rsid w:val="50B623D4"/>
    <w:rsid w:val="50E33C7D"/>
    <w:rsid w:val="51065A0E"/>
    <w:rsid w:val="512E314A"/>
    <w:rsid w:val="51D04201"/>
    <w:rsid w:val="51E1640E"/>
    <w:rsid w:val="528657ED"/>
    <w:rsid w:val="52E37F64"/>
    <w:rsid w:val="530879CB"/>
    <w:rsid w:val="53CE651E"/>
    <w:rsid w:val="53DC50DF"/>
    <w:rsid w:val="549324C0"/>
    <w:rsid w:val="54E029AD"/>
    <w:rsid w:val="54FC355F"/>
    <w:rsid w:val="55EB160A"/>
    <w:rsid w:val="566E223B"/>
    <w:rsid w:val="57032983"/>
    <w:rsid w:val="57382936"/>
    <w:rsid w:val="57883FBE"/>
    <w:rsid w:val="579C3DD5"/>
    <w:rsid w:val="579D4148"/>
    <w:rsid w:val="57D32355"/>
    <w:rsid w:val="57F06BBF"/>
    <w:rsid w:val="581806B0"/>
    <w:rsid w:val="583354EA"/>
    <w:rsid w:val="58C44394"/>
    <w:rsid w:val="590D5D3B"/>
    <w:rsid w:val="5A07278A"/>
    <w:rsid w:val="5A53777D"/>
    <w:rsid w:val="5BA51384"/>
    <w:rsid w:val="5BF95B87"/>
    <w:rsid w:val="5C566D9D"/>
    <w:rsid w:val="5CF3349A"/>
    <w:rsid w:val="5CFF3BED"/>
    <w:rsid w:val="5D120C2C"/>
    <w:rsid w:val="5D177188"/>
    <w:rsid w:val="5D6F2B20"/>
    <w:rsid w:val="5DB648FD"/>
    <w:rsid w:val="5FEE2FED"/>
    <w:rsid w:val="605B3830"/>
    <w:rsid w:val="607448F1"/>
    <w:rsid w:val="60F03F78"/>
    <w:rsid w:val="61410DD1"/>
    <w:rsid w:val="624327CD"/>
    <w:rsid w:val="6299063F"/>
    <w:rsid w:val="63260125"/>
    <w:rsid w:val="6389617A"/>
    <w:rsid w:val="63BA086D"/>
    <w:rsid w:val="63F56961"/>
    <w:rsid w:val="63FC0E86"/>
    <w:rsid w:val="649E018F"/>
    <w:rsid w:val="652C2F4C"/>
    <w:rsid w:val="666D0FF2"/>
    <w:rsid w:val="66A932A5"/>
    <w:rsid w:val="672723A8"/>
    <w:rsid w:val="675F3C06"/>
    <w:rsid w:val="678F3DBF"/>
    <w:rsid w:val="68E317FD"/>
    <w:rsid w:val="69110F2F"/>
    <w:rsid w:val="6A184540"/>
    <w:rsid w:val="6B2018FE"/>
    <w:rsid w:val="6B9145AA"/>
    <w:rsid w:val="6BAE01B1"/>
    <w:rsid w:val="6BBB5183"/>
    <w:rsid w:val="6E974DA4"/>
    <w:rsid w:val="6F49035C"/>
    <w:rsid w:val="6F6A1399"/>
    <w:rsid w:val="6F8A4C47"/>
    <w:rsid w:val="6FE949B4"/>
    <w:rsid w:val="6FF7158D"/>
    <w:rsid w:val="711F4749"/>
    <w:rsid w:val="715045BF"/>
    <w:rsid w:val="726E378D"/>
    <w:rsid w:val="72C02E02"/>
    <w:rsid w:val="737C5B3F"/>
    <w:rsid w:val="73873CCD"/>
    <w:rsid w:val="74D13C69"/>
    <w:rsid w:val="75556648"/>
    <w:rsid w:val="75907680"/>
    <w:rsid w:val="761F4B20"/>
    <w:rsid w:val="76283D5C"/>
    <w:rsid w:val="762A3631"/>
    <w:rsid w:val="76524935"/>
    <w:rsid w:val="767E397C"/>
    <w:rsid w:val="77635563"/>
    <w:rsid w:val="77C51BC9"/>
    <w:rsid w:val="7847160A"/>
    <w:rsid w:val="788D434B"/>
    <w:rsid w:val="78B8118C"/>
    <w:rsid w:val="78B813C8"/>
    <w:rsid w:val="78D9133E"/>
    <w:rsid w:val="78ED0E74"/>
    <w:rsid w:val="79F857F4"/>
    <w:rsid w:val="7A8A6D94"/>
    <w:rsid w:val="7AA53BCD"/>
    <w:rsid w:val="7AFC44A6"/>
    <w:rsid w:val="7AFD7F8F"/>
    <w:rsid w:val="7B1448AF"/>
    <w:rsid w:val="7B22521E"/>
    <w:rsid w:val="7BB61A1F"/>
    <w:rsid w:val="7C013085"/>
    <w:rsid w:val="7C4D1E27"/>
    <w:rsid w:val="7C63789C"/>
    <w:rsid w:val="7C80044E"/>
    <w:rsid w:val="7C9E08D4"/>
    <w:rsid w:val="7CD662C0"/>
    <w:rsid w:val="7D0135D0"/>
    <w:rsid w:val="7DC46119"/>
    <w:rsid w:val="7DE22A43"/>
    <w:rsid w:val="7F3379FA"/>
    <w:rsid w:val="7F5D4A77"/>
    <w:rsid w:val="7F9F74BD"/>
    <w:rsid w:val="7FFC1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footnote text"/>
    <w:basedOn w:val="1"/>
    <w:qFormat/>
    <w:uiPriority w:val="0"/>
    <w:rPr>
      <w:sz w:val="20"/>
      <w:szCs w:val="20"/>
    </w:rPr>
  </w:style>
  <w:style w:type="paragraph" w:styleId="7">
    <w:name w:val="Body Text"/>
    <w:basedOn w:val="1"/>
    <w:qFormat/>
    <w:uiPriority w:val="0"/>
    <w:pPr>
      <w:adjustRightInd w:val="0"/>
      <w:snapToGrid w:val="0"/>
      <w:spacing w:line="520" w:lineRule="exact"/>
      <w:ind w:firstLine="595"/>
    </w:pPr>
    <w:rPr>
      <w:kern w:val="0"/>
      <w:sz w:val="28"/>
      <w:szCs w:val="20"/>
    </w:rPr>
  </w:style>
  <w:style w:type="paragraph" w:styleId="8">
    <w:name w:val="Body Text Indent"/>
    <w:basedOn w:val="1"/>
    <w:qFormat/>
    <w:uiPriority w:val="0"/>
    <w:pPr>
      <w:ind w:firstLine="430"/>
    </w:pPr>
    <w:rPr>
      <w:rFonts w:ascii="仿宋_GB2312" w:eastAsia="仿宋_GB2312"/>
      <w:kern w:val="0"/>
      <w:sz w:val="32"/>
    </w:rPr>
  </w:style>
  <w:style w:type="paragraph" w:styleId="9">
    <w:name w:val="toc 5"/>
    <w:basedOn w:val="1"/>
    <w:next w:val="1"/>
    <w:qFormat/>
    <w:uiPriority w:val="0"/>
    <w:pPr>
      <w:ind w:left="400" w:leftChars="400"/>
    </w:pPr>
    <w:rPr>
      <w:rFonts w:ascii="Times New Roman" w:hAnsi="Times New Roman"/>
      <w:szCs w:val="24"/>
    </w:rPr>
  </w:style>
  <w:style w:type="paragraph" w:styleId="10">
    <w:name w:val="Plain Text"/>
    <w:basedOn w:val="1"/>
    <w:next w:val="9"/>
    <w:qFormat/>
    <w:uiPriority w:val="0"/>
    <w:rPr>
      <w:rFonts w:ascii="宋体" w:hAnsi="Courier New"/>
      <w:szCs w:val="20"/>
    </w:rPr>
  </w:style>
  <w:style w:type="paragraph" w:styleId="11">
    <w:name w:val="Body Text Indent 2"/>
    <w:basedOn w:val="1"/>
    <w:next w:val="10"/>
    <w:qFormat/>
    <w:uiPriority w:val="0"/>
    <w:pPr>
      <w:spacing w:line="360" w:lineRule="auto"/>
      <w:ind w:left="1140"/>
    </w:pPr>
    <w:rPr>
      <w:rFonts w:ascii="宋体"/>
      <w:sz w:val="24"/>
      <w:szCs w:val="20"/>
    </w:rPr>
  </w:style>
  <w:style w:type="paragraph" w:styleId="12">
    <w:name w:val="Balloon Text"/>
    <w:basedOn w:val="1"/>
    <w:link w:val="42"/>
    <w:qFormat/>
    <w:uiPriority w:val="0"/>
    <w:rPr>
      <w:sz w:val="18"/>
      <w:szCs w:val="18"/>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semiHidden/>
    <w:unhideWhenUsed/>
    <w:qFormat/>
    <w:uiPriority w:val="39"/>
  </w:style>
  <w:style w:type="paragraph" w:styleId="16">
    <w:name w:val="Subtitle"/>
    <w:basedOn w:val="1"/>
    <w:next w:val="1"/>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Normal (Web)"/>
    <w:basedOn w:val="1"/>
    <w:unhideWhenUsed/>
    <w:qFormat/>
    <w:uiPriority w:val="99"/>
    <w:rPr>
      <w:rFonts w:ascii="Times New Roman" w:hAnsi="Times New Roman" w:cs="Times New Roman"/>
      <w:sz w:val="24"/>
      <w:szCs w:val="24"/>
    </w:rPr>
  </w:style>
  <w:style w:type="paragraph" w:styleId="18">
    <w:name w:val="Body Text First Indent"/>
    <w:basedOn w:val="1"/>
    <w:next w:val="19"/>
    <w:qFormat/>
    <w:uiPriority w:val="99"/>
    <w:pPr>
      <w:spacing w:after="120"/>
      <w:ind w:firstLine="420" w:firstLineChars="100"/>
    </w:pPr>
    <w:rPr>
      <w:rFonts w:ascii="Times New Roman" w:hAnsi="Times New Roman" w:cs="Times New Roman"/>
      <w:szCs w:val="21"/>
    </w:rPr>
  </w:style>
  <w:style w:type="paragraph" w:styleId="19">
    <w:name w:val="Body Text First Indent 2"/>
    <w:basedOn w:val="8"/>
    <w:next w:val="7"/>
    <w:unhideWhenUsed/>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character" w:styleId="24">
    <w:name w:val="FollowedHyperlink"/>
    <w:basedOn w:val="22"/>
    <w:qFormat/>
    <w:uiPriority w:val="0"/>
    <w:rPr>
      <w:color w:val="800080"/>
      <w:u w:val="none"/>
    </w:rPr>
  </w:style>
  <w:style w:type="character" w:styleId="25">
    <w:name w:val="Emphasis"/>
    <w:basedOn w:val="22"/>
    <w:qFormat/>
    <w:uiPriority w:val="0"/>
    <w:rPr>
      <w:b/>
      <w:bCs/>
    </w:rPr>
  </w:style>
  <w:style w:type="character" w:styleId="26">
    <w:name w:val="HTML Definition"/>
    <w:basedOn w:val="22"/>
    <w:qFormat/>
    <w:uiPriority w:val="0"/>
  </w:style>
  <w:style w:type="character" w:styleId="27">
    <w:name w:val="HTML Typewriter"/>
    <w:basedOn w:val="22"/>
    <w:qFormat/>
    <w:uiPriority w:val="0"/>
    <w:rPr>
      <w:rFonts w:hint="default" w:ascii="monospace" w:hAnsi="monospace" w:eastAsia="monospace" w:cs="monospace"/>
      <w:sz w:val="20"/>
    </w:rPr>
  </w:style>
  <w:style w:type="character" w:styleId="28">
    <w:name w:val="HTML Acronym"/>
    <w:basedOn w:val="22"/>
    <w:qFormat/>
    <w:uiPriority w:val="0"/>
  </w:style>
  <w:style w:type="character" w:styleId="29">
    <w:name w:val="HTML Variable"/>
    <w:basedOn w:val="22"/>
    <w:qFormat/>
    <w:uiPriority w:val="0"/>
    <w:rPr>
      <w:sz w:val="0"/>
      <w:szCs w:val="0"/>
      <w:bdr w:val="single" w:color="auto" w:sz="2" w:space="0"/>
    </w:rPr>
  </w:style>
  <w:style w:type="character" w:styleId="30">
    <w:name w:val="Hyperlink"/>
    <w:basedOn w:val="22"/>
    <w:qFormat/>
    <w:uiPriority w:val="0"/>
    <w:rPr>
      <w:color w:val="0000FF"/>
      <w:u w:val="none"/>
    </w:rPr>
  </w:style>
  <w:style w:type="character" w:styleId="31">
    <w:name w:val="HTML Code"/>
    <w:basedOn w:val="22"/>
    <w:qFormat/>
    <w:uiPriority w:val="0"/>
    <w:rPr>
      <w:rFonts w:hint="default" w:ascii="monospace" w:hAnsi="monospace" w:eastAsia="monospace" w:cs="monospace"/>
      <w:sz w:val="20"/>
    </w:rPr>
  </w:style>
  <w:style w:type="character" w:styleId="32">
    <w:name w:val="HTML Cite"/>
    <w:basedOn w:val="22"/>
    <w:qFormat/>
    <w:uiPriority w:val="0"/>
  </w:style>
  <w:style w:type="character" w:styleId="33">
    <w:name w:val="HTML Keyboard"/>
    <w:basedOn w:val="22"/>
    <w:qFormat/>
    <w:uiPriority w:val="0"/>
    <w:rPr>
      <w:rFonts w:ascii="monospace" w:hAnsi="monospace" w:eastAsia="monospace" w:cs="monospace"/>
      <w:sz w:val="20"/>
    </w:rPr>
  </w:style>
  <w:style w:type="character" w:styleId="34">
    <w:name w:val="HTML Sample"/>
    <w:basedOn w:val="22"/>
    <w:qFormat/>
    <w:uiPriority w:val="0"/>
    <w:rPr>
      <w:rFonts w:hint="default" w:ascii="monospace" w:hAnsi="monospace" w:eastAsia="monospace" w:cs="monospace"/>
    </w:rPr>
  </w:style>
  <w:style w:type="paragraph" w:customStyle="1" w:styleId="3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6">
    <w:name w:val="WPSOffice手动目录 1"/>
    <w:qFormat/>
    <w:uiPriority w:val="0"/>
    <w:rPr>
      <w:rFonts w:ascii="Times New Roman" w:hAnsi="Times New Roman" w:eastAsia="宋体" w:cs="Times New Roman"/>
      <w:lang w:val="en-US" w:eastAsia="zh-CN" w:bidi="ar-SA"/>
    </w:rPr>
  </w:style>
  <w:style w:type="character" w:customStyle="1" w:styleId="37">
    <w:name w:val="font01"/>
    <w:basedOn w:val="22"/>
    <w:qFormat/>
    <w:uiPriority w:val="0"/>
    <w:rPr>
      <w:rFonts w:hint="eastAsia" w:ascii="宋体" w:hAnsi="宋体" w:eastAsia="宋体" w:cs="宋体"/>
      <w:color w:val="000000"/>
      <w:sz w:val="22"/>
      <w:szCs w:val="22"/>
      <w:u w:val="none"/>
    </w:rPr>
  </w:style>
  <w:style w:type="character" w:customStyle="1" w:styleId="38">
    <w:name w:val="font31"/>
    <w:basedOn w:val="22"/>
    <w:qFormat/>
    <w:uiPriority w:val="0"/>
    <w:rPr>
      <w:rFonts w:ascii="宋体" w:hAnsi="宋体" w:eastAsia="宋体" w:cs="宋体"/>
      <w:color w:val="000000"/>
      <w:sz w:val="22"/>
      <w:szCs w:val="22"/>
      <w:u w:val="none"/>
    </w:rPr>
  </w:style>
  <w:style w:type="paragraph" w:customStyle="1" w:styleId="39">
    <w:name w:val="Table Text"/>
    <w:basedOn w:val="1"/>
    <w:semiHidden/>
    <w:qFormat/>
    <w:uiPriority w:val="0"/>
    <w:rPr>
      <w:rFonts w:ascii="宋体" w:hAnsi="宋体" w:eastAsia="宋体" w:cs="宋体"/>
      <w:sz w:val="24"/>
      <w:szCs w:val="24"/>
    </w:rPr>
  </w:style>
  <w:style w:type="table" w:customStyle="1" w:styleId="40">
    <w:name w:val="Table Normal"/>
    <w:semiHidden/>
    <w:unhideWhenUsed/>
    <w:qFormat/>
    <w:uiPriority w:val="0"/>
    <w:tblPr>
      <w:tblCellMar>
        <w:top w:w="0" w:type="dxa"/>
        <w:left w:w="0" w:type="dxa"/>
        <w:bottom w:w="0" w:type="dxa"/>
        <w:right w:w="0" w:type="dxa"/>
      </w:tblCellMar>
    </w:tblPr>
  </w:style>
  <w:style w:type="paragraph" w:customStyle="1" w:styleId="41">
    <w:name w:val="列出段落1"/>
    <w:basedOn w:val="1"/>
    <w:qFormat/>
    <w:uiPriority w:val="34"/>
    <w:pPr>
      <w:ind w:firstLine="420" w:firstLineChars="200"/>
    </w:pPr>
    <w:rPr>
      <w:rFonts w:ascii="Calibri" w:hAnsi="Calibri"/>
    </w:rPr>
  </w:style>
  <w:style w:type="character" w:customStyle="1" w:styleId="42">
    <w:name w:val="批注框文本 Char"/>
    <w:basedOn w:val="22"/>
    <w:link w:val="12"/>
    <w:qFormat/>
    <w:uiPriority w:val="0"/>
    <w:rPr>
      <w:rFonts w:asciiTheme="minorHAnsi" w:hAnsiTheme="minorHAnsi" w:eastAsiaTheme="minorEastAsia" w:cstheme="minorBidi"/>
      <w:kern w:val="2"/>
      <w:sz w:val="18"/>
      <w:szCs w:val="18"/>
    </w:rPr>
  </w:style>
  <w:style w:type="character" w:customStyle="1" w:styleId="43">
    <w:name w:val="hover"/>
    <w:basedOn w:val="22"/>
    <w:qFormat/>
    <w:uiPriority w:val="0"/>
    <w:rPr>
      <w:color w:val="2590EB"/>
    </w:rPr>
  </w:style>
  <w:style w:type="character" w:customStyle="1" w:styleId="44">
    <w:name w:val="hover1"/>
    <w:basedOn w:val="22"/>
    <w:qFormat/>
    <w:uiPriority w:val="0"/>
  </w:style>
  <w:style w:type="character" w:customStyle="1" w:styleId="45">
    <w:name w:val="hover2"/>
    <w:basedOn w:val="22"/>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72</Pages>
  <Words>15216</Words>
  <Characters>16980</Characters>
  <Lines>347</Lines>
  <Paragraphs>97</Paragraphs>
  <TotalTime>2</TotalTime>
  <ScaleCrop>false</ScaleCrop>
  <LinksUpToDate>false</LinksUpToDate>
  <CharactersWithSpaces>17141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2026-03-23T02:54:00Z</dcterms:created>
  <dc:creator>Administrator</dc:creator>
  <cp:lastModifiedBy>微信用户</cp:lastModifiedBy>
  <dcterms:modified xsi:type="dcterms:W3CDTF">2026-09-17T03:28:09Z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eyJoZGlkIjoiZWEwODEwODRjYjMxNDVjMDFiZmY0NzdkMTQxODg4YTgiLCJ1c2VySWQiOiIxMzUwMTUyOTkxIn0=</vt:lpwstr>
  </property>
  <property fmtid="{D5CDD505-2E9C-101B-9397-08002B2CF9AE}" pid="4" name="ICV">
    <vt:lpwstr>C21C9CD65E8742879EFD80D65D19338B_12</vt:lpwstr>
  </property>
</Properties>
</file>