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7B1C92A">
      <w:pPr>
        <w:pStyle w:val="60"/>
        <w:spacing w:line="360" w:lineRule="auto"/>
        <w:jc w:val="center"/>
        <w:rPr>
          <w:rFonts w:hint="eastAsia" w:ascii="方正小标宋简体" w:hAnsi="方正小标宋简体" w:eastAsia="方正小标宋简体" w:cs="方正小标宋简体"/>
          <w:b w:val="0"/>
          <w:bCs w:val="0"/>
          <w:sz w:val="44"/>
          <w:szCs w:val="44"/>
          <w:highlight w:val="none"/>
          <w:lang w:val="en-US" w:eastAsia="zh-CN"/>
        </w:rPr>
      </w:pPr>
      <w:bookmarkStart w:id="334" w:name="_GoBack"/>
      <w:bookmarkStart w:id="0" w:name="_Toc12347"/>
      <w:bookmarkStart w:id="1" w:name="_Toc15236"/>
      <w:bookmarkStart w:id="2" w:name="_Toc13814"/>
    </w:p>
    <w:p w14:paraId="337B2C9F">
      <w:pPr>
        <w:pStyle w:val="60"/>
        <w:spacing w:line="360" w:lineRule="auto"/>
        <w:jc w:val="center"/>
        <w:rPr>
          <w:rFonts w:hint="eastAsia" w:ascii="方正小标宋简体" w:hAnsi="方正小标宋简体" w:eastAsia="方正小标宋简体" w:cs="方正小标宋简体"/>
          <w:b w:val="0"/>
          <w:bCs w:val="0"/>
          <w:sz w:val="48"/>
          <w:szCs w:val="48"/>
          <w:highlight w:val="none"/>
          <w:lang w:val="en-US" w:eastAsia="zh-CN"/>
        </w:rPr>
      </w:pPr>
      <w:r>
        <w:rPr>
          <w:rFonts w:hint="eastAsia" w:ascii="方正小标宋简体" w:hAnsi="方正小标宋简体" w:eastAsia="方正小标宋简体" w:cs="方正小标宋简体"/>
          <w:b w:val="0"/>
          <w:bCs w:val="0"/>
          <w:sz w:val="48"/>
          <w:szCs w:val="48"/>
          <w:highlight w:val="none"/>
          <w:lang w:val="en-US" w:eastAsia="zh-CN"/>
        </w:rPr>
        <w:t>渑池县农业农村局2026年玉米“一喷多促”项目</w:t>
      </w:r>
    </w:p>
    <w:p w14:paraId="675A44A3">
      <w:pPr>
        <w:pStyle w:val="60"/>
        <w:spacing w:line="360" w:lineRule="auto"/>
        <w:jc w:val="center"/>
        <w:rPr>
          <w:rFonts w:hint="eastAsia" w:ascii="方正小标宋简体" w:hAnsi="方正小标宋简体" w:eastAsia="方正小标宋简体" w:cs="方正小标宋简体"/>
          <w:b w:val="0"/>
          <w:bCs w:val="0"/>
          <w:kern w:val="2"/>
          <w:sz w:val="60"/>
          <w:szCs w:val="60"/>
          <w:highlight w:val="none"/>
          <w:lang w:val="en-US" w:eastAsia="zh-CN" w:bidi="ar-SA"/>
        </w:rPr>
      </w:pPr>
      <w:r>
        <w:rPr>
          <w:rFonts w:hint="eastAsia" w:ascii="方正小标宋简体" w:hAnsi="方正小标宋简体" w:eastAsia="方正小标宋简体" w:cs="方正小标宋简体"/>
          <w:b w:val="0"/>
          <w:bCs w:val="0"/>
          <w:kern w:val="2"/>
          <w:sz w:val="60"/>
          <w:szCs w:val="60"/>
          <w:highlight w:val="none"/>
          <w:lang w:val="en-US" w:eastAsia="zh-CN" w:bidi="ar-SA"/>
        </w:rPr>
        <w:t>竞争性磋商文件</w:t>
      </w:r>
    </w:p>
    <w:p w14:paraId="27BECE05">
      <w:pPr>
        <w:snapToGrid w:val="0"/>
        <w:spacing w:line="420" w:lineRule="auto"/>
        <w:jc w:val="center"/>
        <w:rPr>
          <w:rFonts w:hint="default" w:ascii="Times New Roman" w:hAnsi="Times New Roman" w:eastAsia="方正小标宋简体" w:cs="Times New Roman"/>
          <w:b w:val="0"/>
          <w:bCs/>
          <w:sz w:val="32"/>
          <w:szCs w:val="32"/>
          <w:highlight w:val="none"/>
          <w:lang w:val="en-US"/>
        </w:rPr>
      </w:pPr>
    </w:p>
    <w:p w14:paraId="60B13FBF">
      <w:pPr>
        <w:snapToGrid w:val="0"/>
        <w:spacing w:line="420" w:lineRule="auto"/>
        <w:jc w:val="center"/>
        <w:rPr>
          <w:rFonts w:hint="default" w:ascii="Times New Roman" w:hAnsi="Times New Roman" w:eastAsia="方正小标宋简体" w:cs="Times New Roman"/>
          <w:b w:val="0"/>
          <w:bCs/>
          <w:sz w:val="32"/>
          <w:szCs w:val="32"/>
          <w:highlight w:val="none"/>
          <w:lang w:val="en-US"/>
        </w:rPr>
      </w:pPr>
      <w:r>
        <w:rPr>
          <w:rFonts w:hint="default" w:ascii="Times New Roman" w:hAnsi="Times New Roman" w:eastAsia="方正小标宋简体" w:cs="Times New Roman"/>
          <w:b w:val="0"/>
          <w:bCs/>
          <w:sz w:val="32"/>
          <w:szCs w:val="32"/>
          <w:highlight w:val="none"/>
          <w:lang w:val="en-US"/>
        </w:rPr>
        <w:t>采购编号：</w:t>
      </w:r>
      <w:r>
        <w:rPr>
          <w:rFonts w:hint="eastAsia" w:ascii="Times New Roman" w:hAnsi="Times New Roman" w:eastAsia="方正小标宋简体" w:cs="Times New Roman"/>
          <w:b w:val="0"/>
          <w:bCs/>
          <w:sz w:val="32"/>
          <w:szCs w:val="32"/>
          <w:highlight w:val="none"/>
          <w:lang w:val="en-US" w:eastAsia="zh-CN"/>
        </w:rPr>
        <w:t>渑池竞磋采购-2026-142</w:t>
      </w:r>
    </w:p>
    <w:p w14:paraId="6DE29035">
      <w:pPr>
        <w:snapToGrid w:val="0"/>
        <w:spacing w:line="420" w:lineRule="auto"/>
        <w:jc w:val="center"/>
        <w:rPr>
          <w:rFonts w:hint="eastAsia" w:ascii="Times New Roman" w:hAnsi="Times New Roman" w:eastAsia="方正小标宋简体" w:cs="Times New Roman"/>
          <w:b w:val="0"/>
          <w:bCs/>
          <w:sz w:val="32"/>
          <w:szCs w:val="32"/>
          <w:highlight w:val="none"/>
          <w:lang w:val="en-US" w:eastAsia="zh-CN"/>
        </w:rPr>
      </w:pPr>
      <w:r>
        <w:rPr>
          <w:rFonts w:hint="default" w:ascii="Times New Roman" w:hAnsi="Times New Roman" w:eastAsia="方正小标宋简体" w:cs="Times New Roman"/>
          <w:b w:val="0"/>
          <w:bCs/>
          <w:sz w:val="32"/>
          <w:szCs w:val="32"/>
          <w:highlight w:val="none"/>
          <w:lang w:val="en-US"/>
        </w:rPr>
        <w:t>项目编号：MCGZ[2026]215-ZC194</w:t>
      </w:r>
    </w:p>
    <w:p w14:paraId="430E5C08">
      <w:pPr>
        <w:snapToGrid w:val="0"/>
        <w:spacing w:line="420" w:lineRule="auto"/>
        <w:jc w:val="both"/>
        <w:rPr>
          <w:rFonts w:hint="eastAsia" w:ascii="仿宋" w:hAnsi="仿宋" w:eastAsia="仿宋" w:cs="仿宋"/>
          <w:b/>
          <w:sz w:val="28"/>
          <w:szCs w:val="28"/>
          <w:highlight w:val="none"/>
        </w:rPr>
      </w:pPr>
    </w:p>
    <w:p w14:paraId="6D5DE61D">
      <w:pPr>
        <w:snapToGrid w:val="0"/>
        <w:spacing w:line="420" w:lineRule="auto"/>
        <w:jc w:val="center"/>
        <w:rPr>
          <w:rFonts w:hint="eastAsia"/>
          <w:highlight w:val="none"/>
        </w:rPr>
      </w:pPr>
      <w:r>
        <w:rPr>
          <w:rFonts w:hint="eastAsia" w:ascii="仿宋" w:hAnsi="仿宋" w:eastAsia="仿宋" w:cs="仿宋"/>
          <w:b/>
          <w:sz w:val="28"/>
          <w:szCs w:val="28"/>
          <w:highlight w:val="none"/>
        </w:rPr>
        <w:drawing>
          <wp:inline distT="0" distB="0" distL="114300" distR="114300">
            <wp:extent cx="1800860" cy="1800225"/>
            <wp:effectExtent l="0" t="0" r="8890" b="9525"/>
            <wp:docPr id="4" name="图片 4" descr="fba76317300c443a4650c784eb4865a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ba76317300c443a4650c784eb4865a3"/>
                    <pic:cNvPicPr>
                      <a:picLocks noChangeAspect="1"/>
                    </pic:cNvPicPr>
                  </pic:nvPicPr>
                  <pic:blipFill>
                    <a:blip r:embed="rId13"/>
                    <a:srcRect l="9438" t="2925" r="9149" b="12828"/>
                    <a:stretch>
                      <a:fillRect/>
                    </a:stretch>
                  </pic:blipFill>
                  <pic:spPr>
                    <a:xfrm>
                      <a:off x="0" y="0"/>
                      <a:ext cx="1800860" cy="1800225"/>
                    </a:xfrm>
                    <a:prstGeom prst="rect">
                      <a:avLst/>
                    </a:prstGeom>
                  </pic:spPr>
                </pic:pic>
              </a:graphicData>
            </a:graphic>
          </wp:inline>
        </w:drawing>
      </w:r>
    </w:p>
    <w:tbl>
      <w:tblPr>
        <w:tblStyle w:val="25"/>
        <w:tblpPr w:leftFromText="180" w:rightFromText="180" w:vertAnchor="text" w:horzAnchor="page" w:tblpXSpec="center" w:tblpY="612"/>
        <w:tblOverlap w:val="never"/>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910"/>
        <w:gridCol w:w="4331"/>
      </w:tblGrid>
      <w:tr w14:paraId="5AA841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910" w:type="dxa"/>
          </w:tcPr>
          <w:p w14:paraId="131C623D">
            <w:pPr>
              <w:snapToGrid w:val="0"/>
              <w:spacing w:line="420" w:lineRule="auto"/>
              <w:jc w:val="distribute"/>
              <w:rPr>
                <w:rFonts w:hint="eastAsia" w:ascii="方正小标宋简体" w:hAnsi="方正小标宋简体" w:eastAsia="方正小标宋简体" w:cs="方正小标宋简体"/>
                <w:b w:val="0"/>
                <w:bCs/>
                <w:sz w:val="28"/>
                <w:szCs w:val="28"/>
                <w:highlight w:val="none"/>
                <w:vertAlign w:val="baseline"/>
                <w:lang w:eastAsia="zh-CN"/>
              </w:rPr>
            </w:pPr>
            <w:r>
              <w:rPr>
                <w:rFonts w:hint="eastAsia" w:ascii="方正小标宋简体" w:hAnsi="方正小标宋简体" w:eastAsia="方正小标宋简体" w:cs="方正小标宋简体"/>
                <w:b w:val="0"/>
                <w:bCs/>
                <w:sz w:val="32"/>
                <w:szCs w:val="32"/>
                <w:highlight w:val="none"/>
                <w:lang w:val="en-US" w:eastAsia="zh-CN"/>
              </w:rPr>
              <w:t>采购人</w:t>
            </w:r>
            <w:r>
              <w:rPr>
                <w:rFonts w:hint="eastAsia" w:ascii="方正小标宋简体" w:hAnsi="方正小标宋简体" w:eastAsia="方正小标宋简体" w:cs="方正小标宋简体"/>
                <w:b w:val="0"/>
                <w:bCs/>
                <w:sz w:val="32"/>
                <w:szCs w:val="32"/>
                <w:highlight w:val="none"/>
                <w:lang w:eastAsia="zh-CN"/>
              </w:rPr>
              <w:t>：</w:t>
            </w:r>
          </w:p>
        </w:tc>
        <w:tc>
          <w:tcPr>
            <w:tcW w:w="4331" w:type="dxa"/>
          </w:tcPr>
          <w:p w14:paraId="6DFF8CE8">
            <w:pPr>
              <w:snapToGrid w:val="0"/>
              <w:spacing w:line="420" w:lineRule="auto"/>
              <w:jc w:val="distribute"/>
              <w:rPr>
                <w:rFonts w:hint="default" w:ascii="方正小标宋简体" w:hAnsi="方正小标宋简体" w:eastAsia="方正小标宋简体" w:cs="方正小标宋简体"/>
                <w:b w:val="0"/>
                <w:bCs/>
                <w:sz w:val="28"/>
                <w:szCs w:val="28"/>
                <w:highlight w:val="none"/>
                <w:vertAlign w:val="baseline"/>
                <w:lang w:val="en-US" w:eastAsia="zh-CN"/>
              </w:rPr>
            </w:pPr>
            <w:r>
              <w:rPr>
                <w:rFonts w:hint="eastAsia" w:ascii="方正小标宋简体" w:hAnsi="方正小标宋简体" w:eastAsia="方正小标宋简体" w:cs="方正小标宋简体"/>
                <w:b w:val="0"/>
                <w:bCs/>
                <w:sz w:val="32"/>
                <w:szCs w:val="32"/>
                <w:highlight w:val="none"/>
                <w:lang w:val="en-US" w:eastAsia="zh-CN"/>
              </w:rPr>
              <w:t>渑池县农业农村局</w:t>
            </w:r>
          </w:p>
        </w:tc>
      </w:tr>
      <w:tr w14:paraId="1734A9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910" w:type="dxa"/>
          </w:tcPr>
          <w:p w14:paraId="53DEE064">
            <w:pPr>
              <w:snapToGrid w:val="0"/>
              <w:spacing w:line="420" w:lineRule="auto"/>
              <w:jc w:val="distribute"/>
              <w:rPr>
                <w:rFonts w:hint="eastAsia" w:ascii="方正小标宋简体" w:hAnsi="方正小标宋简体" w:eastAsia="方正小标宋简体" w:cs="方正小标宋简体"/>
                <w:b w:val="0"/>
                <w:bCs/>
                <w:sz w:val="28"/>
                <w:szCs w:val="28"/>
                <w:highlight w:val="none"/>
                <w:vertAlign w:val="baseline"/>
              </w:rPr>
            </w:pPr>
            <w:r>
              <w:rPr>
                <w:rFonts w:hint="eastAsia" w:ascii="方正小标宋简体" w:hAnsi="方正小标宋简体" w:eastAsia="方正小标宋简体" w:cs="方正小标宋简体"/>
                <w:b w:val="0"/>
                <w:bCs/>
                <w:sz w:val="32"/>
                <w:szCs w:val="32"/>
                <w:highlight w:val="none"/>
                <w:lang w:val="en-US" w:eastAsia="zh-CN"/>
              </w:rPr>
              <w:t>代理机构：</w:t>
            </w:r>
          </w:p>
        </w:tc>
        <w:tc>
          <w:tcPr>
            <w:tcW w:w="4331" w:type="dxa"/>
          </w:tcPr>
          <w:p w14:paraId="5FD3AB2B">
            <w:pPr>
              <w:snapToGrid w:val="0"/>
              <w:spacing w:line="420" w:lineRule="auto"/>
              <w:jc w:val="distribute"/>
              <w:rPr>
                <w:rFonts w:hint="eastAsia" w:ascii="方正小标宋简体" w:hAnsi="方正小标宋简体" w:eastAsia="方正小标宋简体" w:cs="方正小标宋简体"/>
                <w:b w:val="0"/>
                <w:bCs/>
                <w:sz w:val="28"/>
                <w:szCs w:val="28"/>
                <w:highlight w:val="none"/>
                <w:vertAlign w:val="baseline"/>
              </w:rPr>
            </w:pPr>
            <w:r>
              <w:rPr>
                <w:rFonts w:hint="eastAsia" w:ascii="方正小标宋简体" w:hAnsi="方正小标宋简体" w:eastAsia="方正小标宋简体" w:cs="方正小标宋简体"/>
                <w:b w:val="0"/>
                <w:bCs/>
                <w:sz w:val="32"/>
                <w:szCs w:val="32"/>
                <w:highlight w:val="none"/>
              </w:rPr>
              <w:t>河南昱通工程管理有限公司</w:t>
            </w:r>
          </w:p>
        </w:tc>
      </w:tr>
      <w:tr w14:paraId="01866C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910" w:type="dxa"/>
          </w:tcPr>
          <w:p w14:paraId="3102A644">
            <w:pPr>
              <w:snapToGrid w:val="0"/>
              <w:spacing w:line="420" w:lineRule="auto"/>
              <w:jc w:val="distribute"/>
              <w:rPr>
                <w:rFonts w:hint="eastAsia" w:ascii="方正小标宋简体" w:hAnsi="方正小标宋简体" w:eastAsia="方正小标宋简体" w:cs="方正小标宋简体"/>
                <w:b w:val="0"/>
                <w:bCs/>
                <w:sz w:val="32"/>
                <w:szCs w:val="32"/>
                <w:highlight w:val="none"/>
                <w:lang w:val="en-US" w:eastAsia="zh-CN"/>
              </w:rPr>
            </w:pPr>
            <w:r>
              <w:rPr>
                <w:rFonts w:hint="eastAsia" w:ascii="方正小标宋简体" w:hAnsi="方正小标宋简体" w:eastAsia="方正小标宋简体" w:cs="方正小标宋简体"/>
                <w:b w:val="0"/>
                <w:bCs/>
                <w:sz w:val="32"/>
                <w:szCs w:val="32"/>
                <w:highlight w:val="none"/>
                <w:lang w:val="en-US" w:eastAsia="zh-CN"/>
              </w:rPr>
              <w:t>日期：</w:t>
            </w:r>
          </w:p>
        </w:tc>
        <w:tc>
          <w:tcPr>
            <w:tcW w:w="4331" w:type="dxa"/>
          </w:tcPr>
          <w:p w14:paraId="041E81D0">
            <w:pPr>
              <w:snapToGrid w:val="0"/>
              <w:spacing w:line="420" w:lineRule="auto"/>
              <w:jc w:val="distribute"/>
              <w:rPr>
                <w:rFonts w:hint="eastAsia" w:ascii="方正小标宋简体" w:hAnsi="方正小标宋简体" w:eastAsia="方正小标宋简体" w:cs="方正小标宋简体"/>
                <w:b w:val="0"/>
                <w:bCs/>
                <w:sz w:val="32"/>
                <w:szCs w:val="32"/>
                <w:highlight w:val="none"/>
              </w:rPr>
            </w:pPr>
            <w:r>
              <w:rPr>
                <w:rFonts w:hint="eastAsia" w:ascii="方正小标宋简体" w:hAnsi="方正小标宋简体" w:eastAsia="方正小标宋简体" w:cs="方正小标宋简体"/>
                <w:b w:val="0"/>
                <w:bCs/>
                <w:sz w:val="32"/>
                <w:szCs w:val="32"/>
                <w:highlight w:val="none"/>
              </w:rPr>
              <w:t>二〇二六年</w:t>
            </w:r>
            <w:r>
              <w:rPr>
                <w:rFonts w:hint="eastAsia" w:ascii="方正小标宋简体" w:hAnsi="方正小标宋简体" w:eastAsia="方正小标宋简体" w:cs="方正小标宋简体"/>
                <w:b w:val="0"/>
                <w:bCs/>
                <w:sz w:val="32"/>
                <w:szCs w:val="32"/>
                <w:highlight w:val="none"/>
                <w:lang w:val="en-US" w:eastAsia="zh-CN"/>
              </w:rPr>
              <w:t>九</w:t>
            </w:r>
            <w:r>
              <w:rPr>
                <w:rFonts w:hint="eastAsia" w:ascii="方正小标宋简体" w:hAnsi="方正小标宋简体" w:eastAsia="方正小标宋简体" w:cs="方正小标宋简体"/>
                <w:b w:val="0"/>
                <w:bCs/>
                <w:sz w:val="32"/>
                <w:szCs w:val="32"/>
                <w:highlight w:val="none"/>
              </w:rPr>
              <w:t>月</w:t>
            </w:r>
          </w:p>
        </w:tc>
      </w:tr>
    </w:tbl>
    <w:p w14:paraId="6B1BC613">
      <w:pPr>
        <w:spacing w:line="720" w:lineRule="auto"/>
        <w:jc w:val="center"/>
        <w:rPr>
          <w:rFonts w:hint="eastAsia" w:eastAsiaTheme="minorEastAsia"/>
          <w:b/>
          <w:bCs/>
          <w:sz w:val="44"/>
          <w:szCs w:val="48"/>
          <w:highlight w:val="none"/>
          <w:lang w:eastAsia="zh-CN"/>
        </w:rPr>
      </w:pPr>
    </w:p>
    <w:p w14:paraId="4C6E5E40">
      <w:pPr>
        <w:spacing w:line="720" w:lineRule="auto"/>
        <w:jc w:val="both"/>
        <w:rPr>
          <w:rFonts w:hint="eastAsia"/>
          <w:b/>
          <w:bCs/>
          <w:sz w:val="44"/>
          <w:szCs w:val="48"/>
          <w:highlight w:val="none"/>
          <w:lang w:eastAsia="zh-CN"/>
        </w:rPr>
      </w:pPr>
    </w:p>
    <w:bookmarkEnd w:id="0"/>
    <w:bookmarkEnd w:id="1"/>
    <w:bookmarkEnd w:id="2"/>
    <w:p w14:paraId="7857ED1B">
      <w:pPr>
        <w:spacing w:line="360" w:lineRule="auto"/>
        <w:ind w:firstLine="73"/>
        <w:jc w:val="center"/>
        <w:rPr>
          <w:rFonts w:hint="eastAsia" w:ascii="宋体" w:hAnsi="宋体" w:cs="宋体"/>
          <w:b/>
          <w:bCs/>
          <w:sz w:val="36"/>
          <w:szCs w:val="36"/>
          <w:highlight w:val="none"/>
        </w:rPr>
      </w:pPr>
    </w:p>
    <w:p w14:paraId="1F4B52AD">
      <w:pPr>
        <w:spacing w:line="360" w:lineRule="auto"/>
        <w:ind w:firstLine="73"/>
        <w:jc w:val="center"/>
        <w:rPr>
          <w:rFonts w:hint="eastAsia" w:ascii="宋体" w:hAnsi="宋体" w:cs="宋体"/>
          <w:b/>
          <w:bCs/>
          <w:sz w:val="36"/>
          <w:szCs w:val="36"/>
          <w:highlight w:val="none"/>
        </w:rPr>
      </w:pPr>
      <w:r>
        <w:rPr>
          <w:rFonts w:hint="eastAsia" w:ascii="宋体" w:hAnsi="宋体" w:cs="宋体"/>
          <w:b/>
          <w:bCs/>
          <w:sz w:val="36"/>
          <w:szCs w:val="36"/>
          <w:highlight w:val="none"/>
        </w:rPr>
        <w:t>目  录</w:t>
      </w:r>
    </w:p>
    <w:sdt>
      <w:sdtPr>
        <w:rPr>
          <w:rFonts w:ascii="宋体" w:hAnsi="宋体" w:eastAsia="宋体" w:cstheme="minorBidi"/>
          <w:kern w:val="2"/>
          <w:sz w:val="21"/>
          <w:szCs w:val="22"/>
          <w:highlight w:val="none"/>
          <w:lang w:val="en-US" w:eastAsia="zh-CN" w:bidi="ar-SA"/>
        </w:rPr>
        <w:id w:val="147467391"/>
        <w15:color w:val="DBDBDB"/>
        <w:docPartObj>
          <w:docPartGallery w:val="Table of Contents"/>
          <w:docPartUnique/>
        </w:docPartObj>
      </w:sdtPr>
      <w:sdtEndPr>
        <w:rPr>
          <w:rFonts w:asciiTheme="minorHAnsi" w:hAnsiTheme="minorHAnsi" w:eastAsiaTheme="minorEastAsia" w:cstheme="minorBidi"/>
          <w:kern w:val="2"/>
          <w:sz w:val="21"/>
          <w:szCs w:val="22"/>
          <w:highlight w:val="none"/>
          <w:lang w:val="en-US" w:eastAsia="zh-CN" w:bidi="ar-SA"/>
        </w:rPr>
      </w:sdtEndPr>
      <w:sdtContent>
        <w:p w14:paraId="0A5DDC59">
          <w:pPr>
            <w:spacing w:before="0" w:beforeLines="0" w:after="0" w:afterLines="0" w:line="240" w:lineRule="auto"/>
            <w:ind w:left="0" w:leftChars="0" w:right="0" w:rightChars="0" w:firstLine="0" w:firstLineChars="0"/>
            <w:jc w:val="center"/>
            <w:rPr>
              <w:highlight w:val="none"/>
            </w:rPr>
          </w:pPr>
        </w:p>
        <w:p w14:paraId="174D1FF8">
          <w:pPr>
            <w:pStyle w:val="11"/>
            <w:keepNext w:val="0"/>
            <w:keepLines w:val="0"/>
            <w:pageBreakBefore w:val="0"/>
            <w:widowControl w:val="0"/>
            <w:tabs>
              <w:tab w:val="right" w:leader="dot" w:pos="8306"/>
            </w:tabs>
            <w:kinsoku/>
            <w:wordWrap/>
            <w:overflowPunct/>
            <w:topLinePunct w:val="0"/>
            <w:autoSpaceDE/>
            <w:autoSpaceDN/>
            <w:bidi w:val="0"/>
            <w:adjustRightInd/>
            <w:snapToGrid/>
            <w:spacing w:line="480" w:lineRule="auto"/>
            <w:ind w:left="0" w:leftChars="0"/>
            <w:textAlignment w:val="auto"/>
            <w:rPr>
              <w:rFonts w:hint="eastAsia" w:asciiTheme="minorEastAsia" w:hAnsiTheme="minorEastAsia" w:eastAsiaTheme="minorEastAsia" w:cstheme="minorEastAsia"/>
              <w:sz w:val="28"/>
              <w:szCs w:val="32"/>
              <w:highlight w:val="none"/>
            </w:rPr>
          </w:pPr>
          <w:r>
            <w:rPr>
              <w:highlight w:val="none"/>
            </w:rPr>
            <w:fldChar w:fldCharType="begin"/>
          </w:r>
          <w:r>
            <w:rPr>
              <w:highlight w:val="none"/>
            </w:rPr>
            <w:instrText xml:space="preserve">TOC \o "1-3" \h \u </w:instrText>
          </w:r>
          <w:r>
            <w:rPr>
              <w:highlight w:val="none"/>
            </w:rPr>
            <w:fldChar w:fldCharType="separate"/>
          </w:r>
          <w:r>
            <w:rPr>
              <w:rFonts w:hint="eastAsia" w:asciiTheme="minorEastAsia" w:hAnsiTheme="minorEastAsia" w:eastAsiaTheme="minorEastAsia" w:cstheme="minorEastAsia"/>
              <w:sz w:val="28"/>
              <w:szCs w:val="32"/>
              <w:highlight w:val="none"/>
            </w:rPr>
            <w:fldChar w:fldCharType="begin"/>
          </w:r>
          <w:r>
            <w:rPr>
              <w:rFonts w:hint="eastAsia" w:asciiTheme="minorEastAsia" w:hAnsiTheme="minorEastAsia" w:eastAsiaTheme="minorEastAsia" w:cstheme="minorEastAsia"/>
              <w:sz w:val="28"/>
              <w:szCs w:val="32"/>
              <w:highlight w:val="none"/>
            </w:rPr>
            <w:instrText xml:space="preserve"> HYPERLINK \l _Toc1060 </w:instrText>
          </w:r>
          <w:r>
            <w:rPr>
              <w:rFonts w:hint="eastAsia" w:asciiTheme="minorEastAsia" w:hAnsiTheme="minorEastAsia" w:eastAsiaTheme="minorEastAsia" w:cstheme="minorEastAsia"/>
              <w:sz w:val="28"/>
              <w:szCs w:val="32"/>
              <w:highlight w:val="none"/>
            </w:rPr>
            <w:fldChar w:fldCharType="separate"/>
          </w:r>
          <w:r>
            <w:rPr>
              <w:rFonts w:hint="eastAsia" w:asciiTheme="minorEastAsia" w:hAnsiTheme="minorEastAsia" w:eastAsiaTheme="minorEastAsia" w:cstheme="minorEastAsia"/>
              <w:sz w:val="28"/>
              <w:szCs w:val="32"/>
              <w:highlight w:val="none"/>
            </w:rPr>
            <w:t>第一章  竞争性磋商公告</w:t>
          </w:r>
          <w:r>
            <w:rPr>
              <w:rFonts w:hint="eastAsia" w:asciiTheme="minorEastAsia" w:hAnsiTheme="minorEastAsia" w:eastAsiaTheme="minorEastAsia" w:cstheme="minorEastAsia"/>
              <w:sz w:val="28"/>
              <w:szCs w:val="32"/>
              <w:highlight w:val="none"/>
            </w:rPr>
            <w:tab/>
          </w:r>
          <w:r>
            <w:rPr>
              <w:rFonts w:hint="eastAsia" w:asciiTheme="minorEastAsia" w:hAnsiTheme="minorEastAsia" w:eastAsiaTheme="minorEastAsia" w:cstheme="minorEastAsia"/>
              <w:sz w:val="28"/>
              <w:szCs w:val="32"/>
              <w:highlight w:val="none"/>
            </w:rPr>
            <w:fldChar w:fldCharType="begin"/>
          </w:r>
          <w:r>
            <w:rPr>
              <w:rFonts w:hint="eastAsia" w:asciiTheme="minorEastAsia" w:hAnsiTheme="minorEastAsia" w:eastAsiaTheme="minorEastAsia" w:cstheme="minorEastAsia"/>
              <w:sz w:val="28"/>
              <w:szCs w:val="32"/>
              <w:highlight w:val="none"/>
            </w:rPr>
            <w:instrText xml:space="preserve"> PAGEREF _Toc1060 \h </w:instrText>
          </w:r>
          <w:r>
            <w:rPr>
              <w:rFonts w:hint="eastAsia" w:asciiTheme="minorEastAsia" w:hAnsiTheme="minorEastAsia" w:eastAsiaTheme="minorEastAsia" w:cstheme="minorEastAsia"/>
              <w:sz w:val="28"/>
              <w:szCs w:val="32"/>
              <w:highlight w:val="none"/>
            </w:rPr>
            <w:fldChar w:fldCharType="separate"/>
          </w:r>
          <w:r>
            <w:rPr>
              <w:rFonts w:hint="eastAsia" w:asciiTheme="minorEastAsia" w:hAnsiTheme="minorEastAsia" w:eastAsiaTheme="minorEastAsia" w:cstheme="minorEastAsia"/>
              <w:sz w:val="28"/>
              <w:szCs w:val="32"/>
              <w:highlight w:val="none"/>
            </w:rPr>
            <w:t>1</w:t>
          </w:r>
          <w:r>
            <w:rPr>
              <w:rFonts w:hint="eastAsia" w:asciiTheme="minorEastAsia" w:hAnsiTheme="minorEastAsia" w:eastAsiaTheme="minorEastAsia" w:cstheme="minorEastAsia"/>
              <w:sz w:val="28"/>
              <w:szCs w:val="32"/>
              <w:highlight w:val="none"/>
            </w:rPr>
            <w:fldChar w:fldCharType="end"/>
          </w:r>
          <w:r>
            <w:rPr>
              <w:rFonts w:hint="eastAsia" w:asciiTheme="minorEastAsia" w:hAnsiTheme="minorEastAsia" w:eastAsiaTheme="minorEastAsia" w:cstheme="minorEastAsia"/>
              <w:sz w:val="28"/>
              <w:szCs w:val="32"/>
              <w:highlight w:val="none"/>
            </w:rPr>
            <w:fldChar w:fldCharType="end"/>
          </w:r>
        </w:p>
        <w:p w14:paraId="0A3A1B17">
          <w:pPr>
            <w:pStyle w:val="11"/>
            <w:keepNext w:val="0"/>
            <w:keepLines w:val="0"/>
            <w:pageBreakBefore w:val="0"/>
            <w:widowControl w:val="0"/>
            <w:tabs>
              <w:tab w:val="right" w:leader="dot" w:pos="8306"/>
            </w:tabs>
            <w:kinsoku/>
            <w:wordWrap/>
            <w:overflowPunct/>
            <w:topLinePunct w:val="0"/>
            <w:autoSpaceDE/>
            <w:autoSpaceDN/>
            <w:bidi w:val="0"/>
            <w:adjustRightInd/>
            <w:snapToGrid/>
            <w:spacing w:line="480" w:lineRule="auto"/>
            <w:ind w:left="0" w:leftChars="0"/>
            <w:textAlignment w:val="auto"/>
            <w:rPr>
              <w:rFonts w:hint="eastAsia" w:asciiTheme="minorEastAsia" w:hAnsiTheme="minorEastAsia" w:eastAsiaTheme="minorEastAsia" w:cstheme="minorEastAsia"/>
              <w:sz w:val="28"/>
              <w:szCs w:val="32"/>
              <w:highlight w:val="none"/>
            </w:rPr>
          </w:pPr>
          <w:r>
            <w:rPr>
              <w:rFonts w:hint="eastAsia" w:asciiTheme="minorEastAsia" w:hAnsiTheme="minorEastAsia" w:eastAsiaTheme="minorEastAsia" w:cstheme="minorEastAsia"/>
              <w:sz w:val="28"/>
              <w:szCs w:val="32"/>
              <w:highlight w:val="none"/>
            </w:rPr>
            <w:fldChar w:fldCharType="begin"/>
          </w:r>
          <w:r>
            <w:rPr>
              <w:rFonts w:hint="eastAsia" w:asciiTheme="minorEastAsia" w:hAnsiTheme="minorEastAsia" w:eastAsiaTheme="minorEastAsia" w:cstheme="minorEastAsia"/>
              <w:sz w:val="28"/>
              <w:szCs w:val="32"/>
              <w:highlight w:val="none"/>
            </w:rPr>
            <w:instrText xml:space="preserve"> HYPERLINK \l _Toc20926 </w:instrText>
          </w:r>
          <w:r>
            <w:rPr>
              <w:rFonts w:hint="eastAsia" w:asciiTheme="minorEastAsia" w:hAnsiTheme="minorEastAsia" w:eastAsiaTheme="minorEastAsia" w:cstheme="minorEastAsia"/>
              <w:sz w:val="28"/>
              <w:szCs w:val="32"/>
              <w:highlight w:val="none"/>
            </w:rPr>
            <w:fldChar w:fldCharType="separate"/>
          </w:r>
          <w:r>
            <w:rPr>
              <w:rFonts w:hint="eastAsia" w:asciiTheme="minorEastAsia" w:hAnsiTheme="minorEastAsia" w:eastAsiaTheme="minorEastAsia" w:cstheme="minorEastAsia"/>
              <w:sz w:val="28"/>
              <w:szCs w:val="32"/>
              <w:highlight w:val="none"/>
            </w:rPr>
            <w:t>第二章  供应商须知</w:t>
          </w:r>
          <w:r>
            <w:rPr>
              <w:rFonts w:hint="eastAsia" w:asciiTheme="minorEastAsia" w:hAnsiTheme="minorEastAsia" w:eastAsiaTheme="minorEastAsia" w:cstheme="minorEastAsia"/>
              <w:sz w:val="28"/>
              <w:szCs w:val="32"/>
              <w:highlight w:val="none"/>
            </w:rPr>
            <w:tab/>
          </w:r>
          <w:r>
            <w:rPr>
              <w:rFonts w:hint="eastAsia" w:asciiTheme="minorEastAsia" w:hAnsiTheme="minorEastAsia" w:eastAsiaTheme="minorEastAsia" w:cstheme="minorEastAsia"/>
              <w:sz w:val="28"/>
              <w:szCs w:val="32"/>
              <w:highlight w:val="none"/>
            </w:rPr>
            <w:fldChar w:fldCharType="begin"/>
          </w:r>
          <w:r>
            <w:rPr>
              <w:rFonts w:hint="eastAsia" w:asciiTheme="minorEastAsia" w:hAnsiTheme="minorEastAsia" w:eastAsiaTheme="minorEastAsia" w:cstheme="minorEastAsia"/>
              <w:sz w:val="28"/>
              <w:szCs w:val="32"/>
              <w:highlight w:val="none"/>
            </w:rPr>
            <w:instrText xml:space="preserve"> PAGEREF _Toc20926 \h </w:instrText>
          </w:r>
          <w:r>
            <w:rPr>
              <w:rFonts w:hint="eastAsia" w:asciiTheme="minorEastAsia" w:hAnsiTheme="minorEastAsia" w:eastAsiaTheme="minorEastAsia" w:cstheme="minorEastAsia"/>
              <w:sz w:val="28"/>
              <w:szCs w:val="32"/>
              <w:highlight w:val="none"/>
            </w:rPr>
            <w:fldChar w:fldCharType="separate"/>
          </w:r>
          <w:r>
            <w:rPr>
              <w:rFonts w:hint="eastAsia" w:asciiTheme="minorEastAsia" w:hAnsiTheme="minorEastAsia" w:eastAsiaTheme="minorEastAsia" w:cstheme="minorEastAsia"/>
              <w:sz w:val="28"/>
              <w:szCs w:val="32"/>
              <w:highlight w:val="none"/>
            </w:rPr>
            <w:t>5</w:t>
          </w:r>
          <w:r>
            <w:rPr>
              <w:rFonts w:hint="eastAsia" w:asciiTheme="minorEastAsia" w:hAnsiTheme="minorEastAsia" w:eastAsiaTheme="minorEastAsia" w:cstheme="minorEastAsia"/>
              <w:sz w:val="28"/>
              <w:szCs w:val="32"/>
              <w:highlight w:val="none"/>
            </w:rPr>
            <w:fldChar w:fldCharType="end"/>
          </w:r>
          <w:r>
            <w:rPr>
              <w:rFonts w:hint="eastAsia" w:asciiTheme="minorEastAsia" w:hAnsiTheme="minorEastAsia" w:eastAsiaTheme="minorEastAsia" w:cstheme="minorEastAsia"/>
              <w:sz w:val="28"/>
              <w:szCs w:val="32"/>
              <w:highlight w:val="none"/>
            </w:rPr>
            <w:fldChar w:fldCharType="end"/>
          </w:r>
        </w:p>
        <w:p w14:paraId="3BCA56DA">
          <w:pPr>
            <w:pStyle w:val="11"/>
            <w:keepNext w:val="0"/>
            <w:keepLines w:val="0"/>
            <w:pageBreakBefore w:val="0"/>
            <w:widowControl w:val="0"/>
            <w:tabs>
              <w:tab w:val="right" w:leader="dot" w:pos="8306"/>
            </w:tabs>
            <w:kinsoku/>
            <w:wordWrap/>
            <w:overflowPunct/>
            <w:topLinePunct w:val="0"/>
            <w:autoSpaceDE/>
            <w:autoSpaceDN/>
            <w:bidi w:val="0"/>
            <w:adjustRightInd/>
            <w:snapToGrid/>
            <w:spacing w:line="480" w:lineRule="auto"/>
            <w:ind w:left="0" w:leftChars="0"/>
            <w:textAlignment w:val="auto"/>
            <w:rPr>
              <w:rFonts w:hint="eastAsia" w:asciiTheme="minorEastAsia" w:hAnsiTheme="minorEastAsia" w:eastAsiaTheme="minorEastAsia" w:cstheme="minorEastAsia"/>
              <w:sz w:val="28"/>
              <w:szCs w:val="32"/>
              <w:highlight w:val="none"/>
            </w:rPr>
          </w:pPr>
          <w:r>
            <w:rPr>
              <w:rFonts w:hint="eastAsia" w:asciiTheme="minorEastAsia" w:hAnsiTheme="minorEastAsia" w:eastAsiaTheme="minorEastAsia" w:cstheme="minorEastAsia"/>
              <w:sz w:val="28"/>
              <w:szCs w:val="32"/>
              <w:highlight w:val="none"/>
            </w:rPr>
            <w:fldChar w:fldCharType="begin"/>
          </w:r>
          <w:r>
            <w:rPr>
              <w:rFonts w:hint="eastAsia" w:asciiTheme="minorEastAsia" w:hAnsiTheme="minorEastAsia" w:eastAsiaTheme="minorEastAsia" w:cstheme="minorEastAsia"/>
              <w:sz w:val="28"/>
              <w:szCs w:val="32"/>
              <w:highlight w:val="none"/>
            </w:rPr>
            <w:instrText xml:space="preserve"> HYPERLINK \l _Toc21295 </w:instrText>
          </w:r>
          <w:r>
            <w:rPr>
              <w:rFonts w:hint="eastAsia" w:asciiTheme="minorEastAsia" w:hAnsiTheme="minorEastAsia" w:eastAsiaTheme="minorEastAsia" w:cstheme="minorEastAsia"/>
              <w:sz w:val="28"/>
              <w:szCs w:val="32"/>
              <w:highlight w:val="none"/>
            </w:rPr>
            <w:fldChar w:fldCharType="separate"/>
          </w:r>
          <w:r>
            <w:rPr>
              <w:rFonts w:hint="eastAsia" w:asciiTheme="minorEastAsia" w:hAnsiTheme="minorEastAsia" w:eastAsiaTheme="minorEastAsia" w:cstheme="minorEastAsia"/>
              <w:sz w:val="28"/>
              <w:szCs w:val="32"/>
              <w:highlight w:val="none"/>
            </w:rPr>
            <w:t>第三章  评标办法（综合评估法）</w:t>
          </w:r>
          <w:r>
            <w:rPr>
              <w:rFonts w:hint="eastAsia" w:asciiTheme="minorEastAsia" w:hAnsiTheme="minorEastAsia" w:eastAsiaTheme="minorEastAsia" w:cstheme="minorEastAsia"/>
              <w:sz w:val="28"/>
              <w:szCs w:val="32"/>
              <w:highlight w:val="none"/>
            </w:rPr>
            <w:tab/>
          </w:r>
          <w:r>
            <w:rPr>
              <w:rFonts w:hint="eastAsia" w:asciiTheme="minorEastAsia" w:hAnsiTheme="minorEastAsia" w:eastAsiaTheme="minorEastAsia" w:cstheme="minorEastAsia"/>
              <w:sz w:val="28"/>
              <w:szCs w:val="32"/>
              <w:highlight w:val="none"/>
            </w:rPr>
            <w:fldChar w:fldCharType="begin"/>
          </w:r>
          <w:r>
            <w:rPr>
              <w:rFonts w:hint="eastAsia" w:asciiTheme="minorEastAsia" w:hAnsiTheme="minorEastAsia" w:eastAsiaTheme="minorEastAsia" w:cstheme="minorEastAsia"/>
              <w:sz w:val="28"/>
              <w:szCs w:val="32"/>
              <w:highlight w:val="none"/>
            </w:rPr>
            <w:instrText xml:space="preserve"> PAGEREF _Toc21295 \h </w:instrText>
          </w:r>
          <w:r>
            <w:rPr>
              <w:rFonts w:hint="eastAsia" w:asciiTheme="minorEastAsia" w:hAnsiTheme="minorEastAsia" w:eastAsiaTheme="minorEastAsia" w:cstheme="minorEastAsia"/>
              <w:sz w:val="28"/>
              <w:szCs w:val="32"/>
              <w:highlight w:val="none"/>
            </w:rPr>
            <w:fldChar w:fldCharType="separate"/>
          </w:r>
          <w:r>
            <w:rPr>
              <w:rFonts w:hint="eastAsia" w:asciiTheme="minorEastAsia" w:hAnsiTheme="minorEastAsia" w:eastAsiaTheme="minorEastAsia" w:cstheme="minorEastAsia"/>
              <w:sz w:val="28"/>
              <w:szCs w:val="32"/>
              <w:highlight w:val="none"/>
            </w:rPr>
            <w:t>21</w:t>
          </w:r>
          <w:r>
            <w:rPr>
              <w:rFonts w:hint="eastAsia" w:asciiTheme="minorEastAsia" w:hAnsiTheme="minorEastAsia" w:eastAsiaTheme="minorEastAsia" w:cstheme="minorEastAsia"/>
              <w:sz w:val="28"/>
              <w:szCs w:val="32"/>
              <w:highlight w:val="none"/>
            </w:rPr>
            <w:fldChar w:fldCharType="end"/>
          </w:r>
          <w:r>
            <w:rPr>
              <w:rFonts w:hint="eastAsia" w:asciiTheme="minorEastAsia" w:hAnsiTheme="minorEastAsia" w:eastAsiaTheme="minorEastAsia" w:cstheme="minorEastAsia"/>
              <w:sz w:val="28"/>
              <w:szCs w:val="32"/>
              <w:highlight w:val="none"/>
            </w:rPr>
            <w:fldChar w:fldCharType="end"/>
          </w:r>
        </w:p>
        <w:p w14:paraId="66FE026E">
          <w:pPr>
            <w:pStyle w:val="11"/>
            <w:keepNext w:val="0"/>
            <w:keepLines w:val="0"/>
            <w:pageBreakBefore w:val="0"/>
            <w:widowControl w:val="0"/>
            <w:tabs>
              <w:tab w:val="right" w:leader="dot" w:pos="8306"/>
            </w:tabs>
            <w:kinsoku/>
            <w:wordWrap/>
            <w:overflowPunct/>
            <w:topLinePunct w:val="0"/>
            <w:autoSpaceDE/>
            <w:autoSpaceDN/>
            <w:bidi w:val="0"/>
            <w:adjustRightInd/>
            <w:snapToGrid/>
            <w:spacing w:line="480" w:lineRule="auto"/>
            <w:ind w:left="0" w:leftChars="0"/>
            <w:textAlignment w:val="auto"/>
            <w:rPr>
              <w:rFonts w:hint="eastAsia" w:asciiTheme="minorEastAsia" w:hAnsiTheme="minorEastAsia" w:eastAsiaTheme="minorEastAsia" w:cstheme="minorEastAsia"/>
              <w:sz w:val="28"/>
              <w:szCs w:val="32"/>
              <w:highlight w:val="none"/>
            </w:rPr>
          </w:pPr>
          <w:r>
            <w:rPr>
              <w:rFonts w:hint="eastAsia" w:asciiTheme="minorEastAsia" w:hAnsiTheme="minorEastAsia" w:eastAsiaTheme="minorEastAsia" w:cstheme="minorEastAsia"/>
              <w:sz w:val="28"/>
              <w:szCs w:val="32"/>
              <w:highlight w:val="none"/>
            </w:rPr>
            <w:fldChar w:fldCharType="begin"/>
          </w:r>
          <w:r>
            <w:rPr>
              <w:rFonts w:hint="eastAsia" w:asciiTheme="minorEastAsia" w:hAnsiTheme="minorEastAsia" w:eastAsiaTheme="minorEastAsia" w:cstheme="minorEastAsia"/>
              <w:sz w:val="28"/>
              <w:szCs w:val="32"/>
              <w:highlight w:val="none"/>
            </w:rPr>
            <w:instrText xml:space="preserve"> HYPERLINK \l _Toc9767 </w:instrText>
          </w:r>
          <w:r>
            <w:rPr>
              <w:rFonts w:hint="eastAsia" w:asciiTheme="minorEastAsia" w:hAnsiTheme="minorEastAsia" w:eastAsiaTheme="minorEastAsia" w:cstheme="minorEastAsia"/>
              <w:sz w:val="28"/>
              <w:szCs w:val="32"/>
              <w:highlight w:val="none"/>
            </w:rPr>
            <w:fldChar w:fldCharType="separate"/>
          </w:r>
          <w:r>
            <w:rPr>
              <w:rFonts w:hint="eastAsia" w:asciiTheme="minorEastAsia" w:hAnsiTheme="minorEastAsia" w:eastAsiaTheme="minorEastAsia" w:cstheme="minorEastAsia"/>
              <w:sz w:val="28"/>
              <w:szCs w:val="32"/>
              <w:highlight w:val="none"/>
            </w:rPr>
            <w:t>第四章  合同主要条款及格式</w:t>
          </w:r>
          <w:r>
            <w:rPr>
              <w:rFonts w:hint="eastAsia" w:asciiTheme="minorEastAsia" w:hAnsiTheme="minorEastAsia" w:eastAsiaTheme="minorEastAsia" w:cstheme="minorEastAsia"/>
              <w:sz w:val="28"/>
              <w:szCs w:val="32"/>
              <w:highlight w:val="none"/>
            </w:rPr>
            <w:tab/>
          </w:r>
          <w:r>
            <w:rPr>
              <w:rFonts w:hint="eastAsia" w:asciiTheme="minorEastAsia" w:hAnsiTheme="minorEastAsia" w:eastAsiaTheme="minorEastAsia" w:cstheme="minorEastAsia"/>
              <w:sz w:val="28"/>
              <w:szCs w:val="32"/>
              <w:highlight w:val="none"/>
            </w:rPr>
            <w:fldChar w:fldCharType="begin"/>
          </w:r>
          <w:r>
            <w:rPr>
              <w:rFonts w:hint="eastAsia" w:asciiTheme="minorEastAsia" w:hAnsiTheme="minorEastAsia" w:eastAsiaTheme="minorEastAsia" w:cstheme="minorEastAsia"/>
              <w:sz w:val="28"/>
              <w:szCs w:val="32"/>
              <w:highlight w:val="none"/>
            </w:rPr>
            <w:instrText xml:space="preserve"> PAGEREF _Toc9767 \h </w:instrText>
          </w:r>
          <w:r>
            <w:rPr>
              <w:rFonts w:hint="eastAsia" w:asciiTheme="minorEastAsia" w:hAnsiTheme="minorEastAsia" w:eastAsiaTheme="minorEastAsia" w:cstheme="minorEastAsia"/>
              <w:sz w:val="28"/>
              <w:szCs w:val="32"/>
              <w:highlight w:val="none"/>
            </w:rPr>
            <w:fldChar w:fldCharType="separate"/>
          </w:r>
          <w:r>
            <w:rPr>
              <w:rFonts w:hint="eastAsia" w:asciiTheme="minorEastAsia" w:hAnsiTheme="minorEastAsia" w:eastAsiaTheme="minorEastAsia" w:cstheme="minorEastAsia"/>
              <w:sz w:val="28"/>
              <w:szCs w:val="32"/>
              <w:highlight w:val="none"/>
            </w:rPr>
            <w:t>29</w:t>
          </w:r>
          <w:r>
            <w:rPr>
              <w:rFonts w:hint="eastAsia" w:asciiTheme="minorEastAsia" w:hAnsiTheme="minorEastAsia" w:eastAsiaTheme="minorEastAsia" w:cstheme="minorEastAsia"/>
              <w:sz w:val="28"/>
              <w:szCs w:val="32"/>
              <w:highlight w:val="none"/>
            </w:rPr>
            <w:fldChar w:fldCharType="end"/>
          </w:r>
          <w:r>
            <w:rPr>
              <w:rFonts w:hint="eastAsia" w:asciiTheme="minorEastAsia" w:hAnsiTheme="minorEastAsia" w:eastAsiaTheme="minorEastAsia" w:cstheme="minorEastAsia"/>
              <w:sz w:val="28"/>
              <w:szCs w:val="32"/>
              <w:highlight w:val="none"/>
            </w:rPr>
            <w:fldChar w:fldCharType="end"/>
          </w:r>
        </w:p>
        <w:p w14:paraId="7B3791E7">
          <w:pPr>
            <w:pStyle w:val="11"/>
            <w:keepNext w:val="0"/>
            <w:keepLines w:val="0"/>
            <w:pageBreakBefore w:val="0"/>
            <w:widowControl w:val="0"/>
            <w:tabs>
              <w:tab w:val="right" w:leader="dot" w:pos="8306"/>
            </w:tabs>
            <w:kinsoku/>
            <w:wordWrap/>
            <w:overflowPunct/>
            <w:topLinePunct w:val="0"/>
            <w:autoSpaceDE/>
            <w:autoSpaceDN/>
            <w:bidi w:val="0"/>
            <w:adjustRightInd/>
            <w:snapToGrid/>
            <w:spacing w:line="480" w:lineRule="auto"/>
            <w:ind w:left="0" w:leftChars="0"/>
            <w:textAlignment w:val="auto"/>
            <w:rPr>
              <w:rFonts w:hint="eastAsia" w:asciiTheme="minorEastAsia" w:hAnsiTheme="minorEastAsia" w:eastAsiaTheme="minorEastAsia" w:cstheme="minorEastAsia"/>
              <w:sz w:val="28"/>
              <w:szCs w:val="32"/>
              <w:highlight w:val="none"/>
            </w:rPr>
          </w:pPr>
          <w:r>
            <w:rPr>
              <w:rFonts w:hint="eastAsia" w:asciiTheme="minorEastAsia" w:hAnsiTheme="minorEastAsia" w:eastAsiaTheme="minorEastAsia" w:cstheme="minorEastAsia"/>
              <w:sz w:val="28"/>
              <w:szCs w:val="32"/>
              <w:highlight w:val="none"/>
            </w:rPr>
            <w:fldChar w:fldCharType="begin"/>
          </w:r>
          <w:r>
            <w:rPr>
              <w:rFonts w:hint="eastAsia" w:asciiTheme="minorEastAsia" w:hAnsiTheme="minorEastAsia" w:eastAsiaTheme="minorEastAsia" w:cstheme="minorEastAsia"/>
              <w:sz w:val="28"/>
              <w:szCs w:val="32"/>
              <w:highlight w:val="none"/>
            </w:rPr>
            <w:instrText xml:space="preserve"> HYPERLINK \l _Toc28413 </w:instrText>
          </w:r>
          <w:r>
            <w:rPr>
              <w:rFonts w:hint="eastAsia" w:asciiTheme="minorEastAsia" w:hAnsiTheme="minorEastAsia" w:eastAsiaTheme="minorEastAsia" w:cstheme="minorEastAsia"/>
              <w:sz w:val="28"/>
              <w:szCs w:val="32"/>
              <w:highlight w:val="none"/>
            </w:rPr>
            <w:fldChar w:fldCharType="separate"/>
          </w:r>
          <w:r>
            <w:rPr>
              <w:rFonts w:hint="eastAsia" w:asciiTheme="minorEastAsia" w:hAnsiTheme="minorEastAsia" w:eastAsiaTheme="minorEastAsia" w:cstheme="minorEastAsia"/>
              <w:bCs/>
              <w:kern w:val="2"/>
              <w:sz w:val="28"/>
              <w:szCs w:val="44"/>
              <w:highlight w:val="none"/>
              <w:lang w:val="en-US" w:eastAsia="zh-CN" w:bidi="ar-SA"/>
            </w:rPr>
            <w:t xml:space="preserve">第五章  </w:t>
          </w:r>
          <w:r>
            <w:rPr>
              <w:rFonts w:hint="eastAsia" w:asciiTheme="minorEastAsia" w:hAnsiTheme="minorEastAsia" w:eastAsiaTheme="minorEastAsia" w:cstheme="minorEastAsia"/>
              <w:sz w:val="28"/>
              <w:szCs w:val="32"/>
              <w:highlight w:val="none"/>
            </w:rPr>
            <w:t>技术参数</w:t>
          </w:r>
          <w:r>
            <w:rPr>
              <w:rFonts w:hint="eastAsia" w:asciiTheme="minorEastAsia" w:hAnsiTheme="minorEastAsia" w:eastAsiaTheme="minorEastAsia" w:cstheme="minorEastAsia"/>
              <w:sz w:val="28"/>
              <w:szCs w:val="32"/>
              <w:highlight w:val="none"/>
            </w:rPr>
            <w:tab/>
          </w:r>
          <w:r>
            <w:rPr>
              <w:rFonts w:hint="eastAsia" w:asciiTheme="minorEastAsia" w:hAnsiTheme="minorEastAsia" w:eastAsiaTheme="minorEastAsia" w:cstheme="minorEastAsia"/>
              <w:sz w:val="28"/>
              <w:szCs w:val="32"/>
              <w:highlight w:val="none"/>
            </w:rPr>
            <w:fldChar w:fldCharType="begin"/>
          </w:r>
          <w:r>
            <w:rPr>
              <w:rFonts w:hint="eastAsia" w:asciiTheme="minorEastAsia" w:hAnsiTheme="minorEastAsia" w:eastAsiaTheme="minorEastAsia" w:cstheme="minorEastAsia"/>
              <w:sz w:val="28"/>
              <w:szCs w:val="32"/>
              <w:highlight w:val="none"/>
            </w:rPr>
            <w:instrText xml:space="preserve"> PAGEREF _Toc28413 \h </w:instrText>
          </w:r>
          <w:r>
            <w:rPr>
              <w:rFonts w:hint="eastAsia" w:asciiTheme="minorEastAsia" w:hAnsiTheme="minorEastAsia" w:eastAsiaTheme="minorEastAsia" w:cstheme="minorEastAsia"/>
              <w:sz w:val="28"/>
              <w:szCs w:val="32"/>
              <w:highlight w:val="none"/>
            </w:rPr>
            <w:fldChar w:fldCharType="separate"/>
          </w:r>
          <w:r>
            <w:rPr>
              <w:rFonts w:hint="eastAsia" w:asciiTheme="minorEastAsia" w:hAnsiTheme="minorEastAsia" w:eastAsiaTheme="minorEastAsia" w:cstheme="minorEastAsia"/>
              <w:sz w:val="28"/>
              <w:szCs w:val="32"/>
              <w:highlight w:val="none"/>
            </w:rPr>
            <w:t>42</w:t>
          </w:r>
          <w:r>
            <w:rPr>
              <w:rFonts w:hint="eastAsia" w:asciiTheme="minorEastAsia" w:hAnsiTheme="minorEastAsia" w:eastAsiaTheme="minorEastAsia" w:cstheme="minorEastAsia"/>
              <w:sz w:val="28"/>
              <w:szCs w:val="32"/>
              <w:highlight w:val="none"/>
            </w:rPr>
            <w:fldChar w:fldCharType="end"/>
          </w:r>
          <w:r>
            <w:rPr>
              <w:rFonts w:hint="eastAsia" w:asciiTheme="minorEastAsia" w:hAnsiTheme="minorEastAsia" w:eastAsiaTheme="minorEastAsia" w:cstheme="minorEastAsia"/>
              <w:sz w:val="28"/>
              <w:szCs w:val="32"/>
              <w:highlight w:val="none"/>
            </w:rPr>
            <w:fldChar w:fldCharType="end"/>
          </w:r>
        </w:p>
        <w:p w14:paraId="3DCD45BA">
          <w:pPr>
            <w:pStyle w:val="11"/>
            <w:keepNext w:val="0"/>
            <w:keepLines w:val="0"/>
            <w:pageBreakBefore w:val="0"/>
            <w:widowControl w:val="0"/>
            <w:tabs>
              <w:tab w:val="right" w:leader="dot" w:pos="8306"/>
            </w:tabs>
            <w:kinsoku/>
            <w:wordWrap/>
            <w:overflowPunct/>
            <w:topLinePunct w:val="0"/>
            <w:autoSpaceDE/>
            <w:autoSpaceDN/>
            <w:bidi w:val="0"/>
            <w:adjustRightInd/>
            <w:snapToGrid/>
            <w:spacing w:line="480" w:lineRule="auto"/>
            <w:ind w:left="0" w:leftChars="0"/>
            <w:textAlignment w:val="auto"/>
            <w:rPr>
              <w:highlight w:val="none"/>
            </w:rPr>
          </w:pPr>
          <w:r>
            <w:rPr>
              <w:rFonts w:hint="eastAsia" w:asciiTheme="minorEastAsia" w:hAnsiTheme="minorEastAsia" w:eastAsiaTheme="minorEastAsia" w:cstheme="minorEastAsia"/>
              <w:sz w:val="28"/>
              <w:szCs w:val="32"/>
              <w:highlight w:val="none"/>
            </w:rPr>
            <w:fldChar w:fldCharType="begin"/>
          </w:r>
          <w:r>
            <w:rPr>
              <w:rFonts w:hint="eastAsia" w:asciiTheme="minorEastAsia" w:hAnsiTheme="minorEastAsia" w:eastAsiaTheme="minorEastAsia" w:cstheme="minorEastAsia"/>
              <w:sz w:val="28"/>
              <w:szCs w:val="32"/>
              <w:highlight w:val="none"/>
            </w:rPr>
            <w:instrText xml:space="preserve"> HYPERLINK \l _Toc9749 </w:instrText>
          </w:r>
          <w:r>
            <w:rPr>
              <w:rFonts w:hint="eastAsia" w:asciiTheme="minorEastAsia" w:hAnsiTheme="minorEastAsia" w:eastAsiaTheme="minorEastAsia" w:cstheme="minorEastAsia"/>
              <w:sz w:val="28"/>
              <w:szCs w:val="32"/>
              <w:highlight w:val="none"/>
            </w:rPr>
            <w:fldChar w:fldCharType="separate"/>
          </w:r>
          <w:r>
            <w:rPr>
              <w:rFonts w:hint="eastAsia" w:asciiTheme="minorEastAsia" w:hAnsiTheme="minorEastAsia" w:eastAsiaTheme="minorEastAsia" w:cstheme="minorEastAsia"/>
              <w:sz w:val="28"/>
              <w:szCs w:val="32"/>
              <w:highlight w:val="none"/>
            </w:rPr>
            <w:t>第六章  响应性文件格式</w:t>
          </w:r>
          <w:r>
            <w:rPr>
              <w:rFonts w:hint="eastAsia" w:asciiTheme="minorEastAsia" w:hAnsiTheme="minorEastAsia" w:eastAsiaTheme="minorEastAsia" w:cstheme="minorEastAsia"/>
              <w:sz w:val="28"/>
              <w:szCs w:val="32"/>
              <w:highlight w:val="none"/>
            </w:rPr>
            <w:tab/>
          </w:r>
          <w:r>
            <w:rPr>
              <w:rFonts w:hint="eastAsia" w:asciiTheme="minorEastAsia" w:hAnsiTheme="minorEastAsia" w:eastAsiaTheme="minorEastAsia" w:cstheme="minorEastAsia"/>
              <w:sz w:val="28"/>
              <w:szCs w:val="32"/>
              <w:highlight w:val="none"/>
            </w:rPr>
            <w:fldChar w:fldCharType="begin"/>
          </w:r>
          <w:r>
            <w:rPr>
              <w:rFonts w:hint="eastAsia" w:asciiTheme="minorEastAsia" w:hAnsiTheme="minorEastAsia" w:eastAsiaTheme="minorEastAsia" w:cstheme="minorEastAsia"/>
              <w:sz w:val="28"/>
              <w:szCs w:val="32"/>
              <w:highlight w:val="none"/>
            </w:rPr>
            <w:instrText xml:space="preserve"> PAGEREF _Toc9749 \h </w:instrText>
          </w:r>
          <w:r>
            <w:rPr>
              <w:rFonts w:hint="eastAsia" w:asciiTheme="minorEastAsia" w:hAnsiTheme="minorEastAsia" w:eastAsiaTheme="minorEastAsia" w:cstheme="minorEastAsia"/>
              <w:sz w:val="28"/>
              <w:szCs w:val="32"/>
              <w:highlight w:val="none"/>
            </w:rPr>
            <w:fldChar w:fldCharType="separate"/>
          </w:r>
          <w:r>
            <w:rPr>
              <w:rFonts w:hint="eastAsia" w:asciiTheme="minorEastAsia" w:hAnsiTheme="minorEastAsia" w:eastAsiaTheme="minorEastAsia" w:cstheme="minorEastAsia"/>
              <w:sz w:val="28"/>
              <w:szCs w:val="32"/>
              <w:highlight w:val="none"/>
            </w:rPr>
            <w:t>51</w:t>
          </w:r>
          <w:r>
            <w:rPr>
              <w:rFonts w:hint="eastAsia" w:asciiTheme="minorEastAsia" w:hAnsiTheme="minorEastAsia" w:eastAsiaTheme="minorEastAsia" w:cstheme="minorEastAsia"/>
              <w:sz w:val="28"/>
              <w:szCs w:val="32"/>
              <w:highlight w:val="none"/>
            </w:rPr>
            <w:fldChar w:fldCharType="end"/>
          </w:r>
          <w:r>
            <w:rPr>
              <w:rFonts w:hint="eastAsia" w:asciiTheme="minorEastAsia" w:hAnsiTheme="minorEastAsia" w:eastAsiaTheme="minorEastAsia" w:cstheme="minorEastAsia"/>
              <w:sz w:val="28"/>
              <w:szCs w:val="32"/>
              <w:highlight w:val="none"/>
            </w:rPr>
            <w:fldChar w:fldCharType="end"/>
          </w:r>
        </w:p>
        <w:p w14:paraId="649AA231">
          <w:pPr>
            <w:rPr>
              <w:highlight w:val="none"/>
            </w:rPr>
          </w:pPr>
          <w:r>
            <w:rPr>
              <w:highlight w:val="none"/>
            </w:rPr>
            <w:fldChar w:fldCharType="end"/>
          </w:r>
        </w:p>
        <w:p w14:paraId="2DCC55BE">
          <w:pPr>
            <w:rPr>
              <w:rFonts w:asciiTheme="minorHAnsi" w:hAnsiTheme="minorHAnsi" w:eastAsiaTheme="minorEastAsia" w:cstheme="minorBidi"/>
              <w:kern w:val="2"/>
              <w:sz w:val="21"/>
              <w:szCs w:val="22"/>
              <w:highlight w:val="none"/>
              <w:lang w:val="en-US" w:eastAsia="zh-CN" w:bidi="ar-SA"/>
            </w:rPr>
          </w:pPr>
        </w:p>
      </w:sdtContent>
    </w:sdt>
    <w:p w14:paraId="4E326FA1">
      <w:pPr>
        <w:rPr>
          <w:rFonts w:asciiTheme="minorHAnsi" w:hAnsiTheme="minorHAnsi" w:eastAsiaTheme="minorEastAsia" w:cstheme="minorBidi"/>
          <w:kern w:val="2"/>
          <w:sz w:val="21"/>
          <w:szCs w:val="22"/>
          <w:highlight w:val="none"/>
          <w:lang w:val="en-US" w:eastAsia="zh-CN" w:bidi="ar-SA"/>
        </w:rPr>
      </w:pPr>
    </w:p>
    <w:p w14:paraId="13021CB6">
      <w:pPr>
        <w:pStyle w:val="17"/>
        <w:outlineLvl w:val="9"/>
        <w:rPr>
          <w:highlight w:val="none"/>
        </w:rPr>
        <w:sectPr>
          <w:headerReference r:id="rId4" w:type="first"/>
          <w:footerReference r:id="rId7" w:type="first"/>
          <w:headerReference r:id="rId3" w:type="default"/>
          <w:footerReference r:id="rId5" w:type="default"/>
          <w:footerReference r:id="rId6" w:type="even"/>
          <w:pgSz w:w="11906" w:h="16838"/>
          <w:pgMar w:top="1440" w:right="1800" w:bottom="1440" w:left="1800" w:header="851" w:footer="851" w:gutter="0"/>
          <w:pgNumType w:start="1"/>
          <w:cols w:space="720" w:num="1"/>
          <w:titlePg/>
          <w:docGrid w:linePitch="312" w:charSpace="0"/>
        </w:sectPr>
      </w:pPr>
      <w:bookmarkStart w:id="3" w:name="_Toc19698"/>
    </w:p>
    <w:p w14:paraId="53143EEB">
      <w:pPr>
        <w:pStyle w:val="7"/>
        <w:jc w:val="center"/>
        <w:rPr>
          <w:highlight w:val="none"/>
        </w:rPr>
      </w:pPr>
      <w:bookmarkStart w:id="4" w:name="_Toc1060"/>
      <w:bookmarkStart w:id="5" w:name="_Toc17395"/>
      <w:r>
        <w:rPr>
          <w:rFonts w:hint="eastAsia"/>
          <w:highlight w:val="none"/>
        </w:rPr>
        <w:t xml:space="preserve">第一章  </w:t>
      </w:r>
      <w:bookmarkStart w:id="6" w:name="_Hlk136547488"/>
      <w:r>
        <w:rPr>
          <w:rFonts w:hint="eastAsia"/>
          <w:highlight w:val="none"/>
        </w:rPr>
        <w:t>竞争性磋商公告</w:t>
      </w:r>
      <w:bookmarkEnd w:id="3"/>
      <w:bookmarkEnd w:id="4"/>
      <w:bookmarkEnd w:id="5"/>
      <w:bookmarkEnd w:id="6"/>
    </w:p>
    <w:p w14:paraId="4ABE9E2E">
      <w:pPr>
        <w:spacing w:line="360" w:lineRule="auto"/>
        <w:ind w:firstLine="566" w:firstLineChars="236"/>
        <w:rPr>
          <w:rFonts w:hint="eastAsia" w:asciiTheme="minorEastAsia" w:hAnsiTheme="minorEastAsia" w:cstheme="minorEastAsia"/>
          <w:sz w:val="24"/>
          <w:szCs w:val="24"/>
          <w:highlight w:val="none"/>
        </w:rPr>
      </w:pPr>
      <w:bookmarkStart w:id="7" w:name="_Toc22804133"/>
      <w:bookmarkStart w:id="8" w:name="_Toc22568845"/>
      <w:bookmarkStart w:id="9" w:name="_Toc498982406"/>
      <w:bookmarkStart w:id="10" w:name="_Toc22570552"/>
      <w:bookmarkStart w:id="11" w:name="_Toc15597"/>
      <w:bookmarkStart w:id="12" w:name="_Toc22953455"/>
      <w:bookmarkStart w:id="13" w:name="_Toc22724013"/>
      <w:r>
        <w:rPr>
          <w:rFonts w:hint="eastAsia" w:asciiTheme="minorEastAsia" w:hAnsiTheme="minorEastAsia" w:cstheme="minorEastAsia"/>
          <w:sz w:val="24"/>
          <w:szCs w:val="24"/>
          <w:highlight w:val="none"/>
        </w:rPr>
        <w:t>项目概况</w:t>
      </w:r>
    </w:p>
    <w:p w14:paraId="0DC71844">
      <w:pPr>
        <w:spacing w:line="360" w:lineRule="auto"/>
        <w:ind w:firstLine="566" w:firstLineChars="236"/>
        <w:rPr>
          <w:rFonts w:hint="eastAsia" w:asciiTheme="minorEastAsia" w:hAnsiTheme="minorEastAsia" w:cstheme="minorEastAsia"/>
          <w:sz w:val="24"/>
          <w:szCs w:val="24"/>
          <w:highlight w:val="none"/>
        </w:rPr>
      </w:pPr>
      <w:r>
        <w:rPr>
          <w:rFonts w:hint="eastAsia" w:asciiTheme="minorEastAsia" w:hAnsiTheme="minorEastAsia" w:cstheme="minorEastAsia"/>
          <w:sz w:val="24"/>
          <w:szCs w:val="24"/>
          <w:highlight w:val="none"/>
          <w:lang w:eastAsia="zh-CN"/>
        </w:rPr>
        <w:t>渑池县农业农村局2026年玉米“一喷多促”项目</w:t>
      </w:r>
      <w:r>
        <w:rPr>
          <w:rFonts w:hint="eastAsia" w:asciiTheme="minorEastAsia" w:hAnsiTheme="minorEastAsia" w:cstheme="minorEastAsia"/>
          <w:sz w:val="24"/>
          <w:szCs w:val="24"/>
          <w:highlight w:val="none"/>
        </w:rPr>
        <w:t>的潜在供应商应在三门峡市公共资源交易中心网上获取招标文件，并于</w:t>
      </w:r>
      <w:r>
        <w:rPr>
          <w:rFonts w:hint="eastAsia" w:asciiTheme="minorEastAsia" w:hAnsiTheme="minorEastAsia" w:cstheme="minorEastAsia"/>
          <w:sz w:val="24"/>
          <w:szCs w:val="24"/>
          <w:highlight w:val="none"/>
          <w:lang w:eastAsia="zh-CN"/>
        </w:rPr>
        <w:t>2026年10月14日</w:t>
      </w:r>
      <w:r>
        <w:rPr>
          <w:rFonts w:hint="eastAsia" w:asciiTheme="minorEastAsia" w:hAnsiTheme="minorEastAsia" w:cstheme="minorEastAsia"/>
          <w:sz w:val="24"/>
          <w:szCs w:val="24"/>
          <w:highlight w:val="none"/>
        </w:rPr>
        <w:t>08时20分（北京时间）前递交投标文件。</w:t>
      </w:r>
    </w:p>
    <w:p w14:paraId="29FA9C1B">
      <w:pPr>
        <w:spacing w:line="360" w:lineRule="auto"/>
        <w:ind w:firstLine="566" w:firstLineChars="236"/>
        <w:rPr>
          <w:rFonts w:hint="eastAsia" w:asciiTheme="minorEastAsia" w:hAnsiTheme="minorEastAsia" w:cstheme="minorEastAsia"/>
          <w:sz w:val="24"/>
          <w:szCs w:val="24"/>
          <w:highlight w:val="none"/>
        </w:rPr>
      </w:pPr>
      <w:r>
        <w:rPr>
          <w:rFonts w:hint="eastAsia" w:asciiTheme="minorEastAsia" w:hAnsiTheme="minorEastAsia" w:cstheme="minorEastAsia"/>
          <w:sz w:val="24"/>
          <w:szCs w:val="24"/>
          <w:highlight w:val="none"/>
        </w:rPr>
        <w:t xml:space="preserve">一、项目基本情况 </w:t>
      </w:r>
    </w:p>
    <w:p w14:paraId="0E438284">
      <w:pPr>
        <w:spacing w:line="360" w:lineRule="auto"/>
        <w:ind w:firstLine="566" w:firstLineChars="236"/>
        <w:rPr>
          <w:rFonts w:hint="eastAsia" w:asciiTheme="minorEastAsia" w:hAnsiTheme="minorEastAsia" w:eastAsiaTheme="minorEastAsia" w:cstheme="minorEastAsia"/>
          <w:sz w:val="24"/>
          <w:szCs w:val="24"/>
          <w:highlight w:val="none"/>
          <w:lang w:eastAsia="zh-CN"/>
        </w:rPr>
      </w:pPr>
      <w:r>
        <w:rPr>
          <w:rFonts w:hint="eastAsia" w:asciiTheme="minorEastAsia" w:hAnsiTheme="minorEastAsia" w:cstheme="minorEastAsia"/>
          <w:sz w:val="24"/>
          <w:szCs w:val="24"/>
          <w:highlight w:val="none"/>
        </w:rPr>
        <w:t>1.采购项目编号：</w:t>
      </w:r>
      <w:r>
        <w:rPr>
          <w:rFonts w:hint="eastAsia" w:asciiTheme="minorEastAsia" w:hAnsiTheme="minorEastAsia" w:cstheme="minorEastAsia"/>
          <w:sz w:val="24"/>
          <w:szCs w:val="24"/>
          <w:highlight w:val="none"/>
          <w:lang w:eastAsia="zh-CN"/>
        </w:rPr>
        <w:t>MCGZ[2026]215-ZC194</w:t>
      </w:r>
      <w:r>
        <w:rPr>
          <w:rFonts w:hint="eastAsia" w:asciiTheme="minorEastAsia" w:hAnsiTheme="minorEastAsia" w:cstheme="minorEastAsia"/>
          <w:sz w:val="24"/>
          <w:szCs w:val="24"/>
          <w:highlight w:val="none"/>
        </w:rPr>
        <w:t>、</w:t>
      </w:r>
      <w:r>
        <w:rPr>
          <w:rFonts w:hint="eastAsia" w:asciiTheme="minorEastAsia" w:hAnsiTheme="minorEastAsia" w:cstheme="minorEastAsia"/>
          <w:color w:val="auto"/>
          <w:sz w:val="24"/>
          <w:szCs w:val="24"/>
          <w:highlight w:val="none"/>
        </w:rPr>
        <w:t>采购编号</w:t>
      </w:r>
      <w:r>
        <w:rPr>
          <w:rFonts w:hint="eastAsia" w:asciiTheme="minorEastAsia" w:hAnsiTheme="minorEastAsia" w:cstheme="minorEastAsia"/>
          <w:color w:val="auto"/>
          <w:sz w:val="24"/>
          <w:szCs w:val="24"/>
          <w:highlight w:val="none"/>
          <w:lang w:eastAsia="zh-CN"/>
        </w:rPr>
        <w:t>：渑池竞磋采购-2026-142</w:t>
      </w:r>
    </w:p>
    <w:p w14:paraId="4EF2B91A">
      <w:pPr>
        <w:spacing w:line="360" w:lineRule="auto"/>
        <w:ind w:firstLine="566" w:firstLineChars="236"/>
        <w:rPr>
          <w:rFonts w:hint="eastAsia" w:asciiTheme="minorEastAsia" w:hAnsiTheme="minorEastAsia" w:eastAsiaTheme="minorEastAsia" w:cstheme="minorEastAsia"/>
          <w:sz w:val="24"/>
          <w:szCs w:val="24"/>
          <w:highlight w:val="none"/>
          <w:lang w:eastAsia="zh-CN"/>
        </w:rPr>
      </w:pPr>
      <w:r>
        <w:rPr>
          <w:rFonts w:hint="eastAsia" w:asciiTheme="minorEastAsia" w:hAnsiTheme="minorEastAsia" w:cstheme="minorEastAsia"/>
          <w:sz w:val="24"/>
          <w:szCs w:val="24"/>
          <w:highlight w:val="none"/>
        </w:rPr>
        <w:t>2.采购项目名称：</w:t>
      </w:r>
      <w:r>
        <w:rPr>
          <w:rFonts w:hint="eastAsia" w:asciiTheme="minorEastAsia" w:hAnsiTheme="minorEastAsia" w:cstheme="minorEastAsia"/>
          <w:sz w:val="24"/>
          <w:szCs w:val="24"/>
          <w:highlight w:val="none"/>
          <w:lang w:eastAsia="zh-CN"/>
        </w:rPr>
        <w:t>渑池县农业农村局2026年玉米“一喷多促”项目</w:t>
      </w:r>
    </w:p>
    <w:p w14:paraId="50B3E84C">
      <w:pPr>
        <w:spacing w:line="360" w:lineRule="auto"/>
        <w:ind w:firstLine="566" w:firstLineChars="236"/>
        <w:rPr>
          <w:rFonts w:hint="eastAsia" w:asciiTheme="minorEastAsia" w:hAnsiTheme="minorEastAsia" w:cstheme="minorEastAsia"/>
          <w:sz w:val="24"/>
          <w:szCs w:val="24"/>
          <w:highlight w:val="none"/>
        </w:rPr>
      </w:pPr>
      <w:r>
        <w:rPr>
          <w:rFonts w:hint="eastAsia" w:asciiTheme="minorEastAsia" w:hAnsiTheme="minorEastAsia" w:cstheme="minorEastAsia"/>
          <w:sz w:val="24"/>
          <w:szCs w:val="24"/>
          <w:highlight w:val="none"/>
        </w:rPr>
        <w:t>3.采购方式：竞争性磋商</w:t>
      </w:r>
    </w:p>
    <w:p w14:paraId="20E37AE3">
      <w:pPr>
        <w:spacing w:line="360" w:lineRule="auto"/>
        <w:ind w:firstLine="566" w:firstLineChars="236"/>
        <w:rPr>
          <w:rFonts w:hint="eastAsia" w:asciiTheme="minorEastAsia" w:hAnsiTheme="minorEastAsia" w:cstheme="minorEastAsia"/>
          <w:sz w:val="24"/>
          <w:szCs w:val="24"/>
          <w:highlight w:val="none"/>
        </w:rPr>
      </w:pPr>
      <w:r>
        <w:rPr>
          <w:rFonts w:hint="eastAsia" w:asciiTheme="minorEastAsia" w:hAnsiTheme="minorEastAsia" w:cstheme="minorEastAsia"/>
          <w:sz w:val="24"/>
          <w:szCs w:val="24"/>
          <w:highlight w:val="none"/>
        </w:rPr>
        <w:t>4.预算金额：</w:t>
      </w:r>
      <w:r>
        <w:rPr>
          <w:rFonts w:hint="eastAsia" w:asciiTheme="minorEastAsia" w:hAnsiTheme="minorEastAsia" w:cstheme="minorEastAsia"/>
          <w:sz w:val="24"/>
          <w:szCs w:val="24"/>
          <w:highlight w:val="none"/>
          <w:lang w:eastAsia="zh-CN"/>
        </w:rPr>
        <w:t>310000.00</w:t>
      </w:r>
      <w:r>
        <w:rPr>
          <w:rFonts w:hint="eastAsia" w:asciiTheme="minorEastAsia" w:hAnsiTheme="minorEastAsia" w:cstheme="minorEastAsia"/>
          <w:sz w:val="24"/>
          <w:szCs w:val="24"/>
          <w:highlight w:val="none"/>
        </w:rPr>
        <w:t>元</w:t>
      </w:r>
    </w:p>
    <w:p w14:paraId="51EE10AF">
      <w:pPr>
        <w:spacing w:line="360" w:lineRule="auto"/>
        <w:ind w:firstLine="566" w:firstLineChars="236"/>
        <w:rPr>
          <w:rFonts w:hint="eastAsia" w:asciiTheme="minorEastAsia" w:hAnsiTheme="minorEastAsia" w:cstheme="minorEastAsia"/>
          <w:sz w:val="24"/>
          <w:szCs w:val="24"/>
          <w:highlight w:val="none"/>
        </w:rPr>
      </w:pPr>
      <w:r>
        <w:rPr>
          <w:rFonts w:hint="eastAsia" w:asciiTheme="minorEastAsia" w:hAnsiTheme="minorEastAsia" w:cstheme="minorEastAsia"/>
          <w:sz w:val="24"/>
          <w:szCs w:val="24"/>
          <w:highlight w:val="none"/>
        </w:rPr>
        <w:t>最高限价：</w:t>
      </w:r>
      <w:r>
        <w:rPr>
          <w:rFonts w:hint="eastAsia" w:asciiTheme="minorEastAsia" w:hAnsiTheme="minorEastAsia" w:cstheme="minorEastAsia"/>
          <w:sz w:val="24"/>
          <w:szCs w:val="24"/>
          <w:highlight w:val="none"/>
          <w:lang w:eastAsia="zh-CN"/>
        </w:rPr>
        <w:t>310000.00</w:t>
      </w:r>
      <w:r>
        <w:rPr>
          <w:rFonts w:hint="eastAsia" w:asciiTheme="minorEastAsia" w:hAnsiTheme="minorEastAsia" w:cstheme="minorEastAsia"/>
          <w:sz w:val="24"/>
          <w:szCs w:val="24"/>
          <w:highlight w:val="none"/>
        </w:rPr>
        <w:t>元</w:t>
      </w:r>
    </w:p>
    <w:tbl>
      <w:tblPr>
        <w:tblStyle w:val="24"/>
        <w:tblW w:w="9555" w:type="dxa"/>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32"/>
        <w:gridCol w:w="2741"/>
        <w:gridCol w:w="2416"/>
        <w:gridCol w:w="1532"/>
        <w:gridCol w:w="2034"/>
      </w:tblGrid>
      <w:tr w14:paraId="0FA65E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2" w:type="dxa"/>
            <w:vAlign w:val="center"/>
          </w:tcPr>
          <w:p w14:paraId="3502E896">
            <w:pPr>
              <w:spacing w:line="360" w:lineRule="auto"/>
              <w:jc w:val="center"/>
              <w:rPr>
                <w:rFonts w:hint="eastAsia" w:asciiTheme="minorEastAsia" w:hAnsiTheme="minorEastAsia" w:cstheme="minorEastAsia"/>
                <w:sz w:val="24"/>
                <w:szCs w:val="24"/>
                <w:highlight w:val="none"/>
              </w:rPr>
            </w:pPr>
            <w:r>
              <w:rPr>
                <w:rFonts w:hint="eastAsia" w:asciiTheme="minorEastAsia" w:hAnsiTheme="minorEastAsia" w:cstheme="minorEastAsia"/>
                <w:sz w:val="24"/>
                <w:szCs w:val="24"/>
                <w:highlight w:val="none"/>
              </w:rPr>
              <w:t>序号</w:t>
            </w:r>
          </w:p>
        </w:tc>
        <w:tc>
          <w:tcPr>
            <w:tcW w:w="2741" w:type="dxa"/>
            <w:vAlign w:val="center"/>
          </w:tcPr>
          <w:p w14:paraId="4BA18241">
            <w:pPr>
              <w:spacing w:line="360" w:lineRule="auto"/>
              <w:ind w:firstLine="566" w:firstLineChars="236"/>
              <w:jc w:val="center"/>
              <w:rPr>
                <w:rFonts w:hint="eastAsia" w:asciiTheme="minorEastAsia" w:hAnsiTheme="minorEastAsia" w:cstheme="minorEastAsia"/>
                <w:sz w:val="24"/>
                <w:szCs w:val="24"/>
                <w:highlight w:val="none"/>
              </w:rPr>
            </w:pPr>
            <w:r>
              <w:rPr>
                <w:rFonts w:hint="eastAsia" w:asciiTheme="minorEastAsia" w:hAnsiTheme="minorEastAsia" w:cstheme="minorEastAsia"/>
                <w:sz w:val="24"/>
                <w:szCs w:val="24"/>
                <w:highlight w:val="none"/>
              </w:rPr>
              <w:t>包号</w:t>
            </w:r>
          </w:p>
        </w:tc>
        <w:tc>
          <w:tcPr>
            <w:tcW w:w="2416" w:type="dxa"/>
            <w:vAlign w:val="center"/>
          </w:tcPr>
          <w:p w14:paraId="0E0EE78F">
            <w:pPr>
              <w:spacing w:line="360" w:lineRule="auto"/>
              <w:ind w:firstLine="566" w:firstLineChars="236"/>
              <w:jc w:val="center"/>
              <w:rPr>
                <w:rFonts w:hint="eastAsia" w:asciiTheme="minorEastAsia" w:hAnsiTheme="minorEastAsia" w:cstheme="minorEastAsia"/>
                <w:sz w:val="24"/>
                <w:szCs w:val="24"/>
                <w:highlight w:val="none"/>
              </w:rPr>
            </w:pPr>
            <w:r>
              <w:rPr>
                <w:rFonts w:hint="eastAsia" w:asciiTheme="minorEastAsia" w:hAnsiTheme="minorEastAsia" w:cstheme="minorEastAsia"/>
                <w:sz w:val="24"/>
                <w:szCs w:val="24"/>
                <w:highlight w:val="none"/>
              </w:rPr>
              <w:t>包名称</w:t>
            </w:r>
          </w:p>
        </w:tc>
        <w:tc>
          <w:tcPr>
            <w:tcW w:w="1532" w:type="dxa"/>
            <w:vAlign w:val="center"/>
          </w:tcPr>
          <w:p w14:paraId="6CD61AA9">
            <w:pPr>
              <w:spacing w:line="360" w:lineRule="auto"/>
              <w:rPr>
                <w:rFonts w:hint="eastAsia" w:asciiTheme="minorEastAsia" w:hAnsiTheme="minorEastAsia" w:cstheme="minorEastAsia"/>
                <w:sz w:val="24"/>
                <w:szCs w:val="24"/>
                <w:highlight w:val="none"/>
              </w:rPr>
            </w:pPr>
            <w:r>
              <w:rPr>
                <w:rFonts w:hint="eastAsia" w:asciiTheme="minorEastAsia" w:hAnsiTheme="minorEastAsia" w:cstheme="minorEastAsia"/>
                <w:sz w:val="24"/>
                <w:szCs w:val="24"/>
                <w:highlight w:val="none"/>
              </w:rPr>
              <w:t>包预算（元）</w:t>
            </w:r>
          </w:p>
        </w:tc>
        <w:tc>
          <w:tcPr>
            <w:tcW w:w="2034" w:type="dxa"/>
            <w:vAlign w:val="center"/>
          </w:tcPr>
          <w:p w14:paraId="6CC9AAB2">
            <w:pPr>
              <w:spacing w:line="360" w:lineRule="auto"/>
              <w:rPr>
                <w:rFonts w:hint="eastAsia" w:asciiTheme="minorEastAsia" w:hAnsiTheme="minorEastAsia" w:cstheme="minorEastAsia"/>
                <w:sz w:val="24"/>
                <w:szCs w:val="24"/>
                <w:highlight w:val="none"/>
              </w:rPr>
            </w:pPr>
            <w:r>
              <w:rPr>
                <w:rFonts w:hint="eastAsia" w:asciiTheme="minorEastAsia" w:hAnsiTheme="minorEastAsia" w:cstheme="minorEastAsia"/>
                <w:sz w:val="24"/>
                <w:szCs w:val="24"/>
                <w:highlight w:val="none"/>
              </w:rPr>
              <w:t>包最高限价（元）</w:t>
            </w:r>
          </w:p>
        </w:tc>
      </w:tr>
      <w:tr w14:paraId="65B43A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2" w:type="dxa"/>
            <w:vAlign w:val="center"/>
          </w:tcPr>
          <w:p w14:paraId="7C8B2854">
            <w:pPr>
              <w:spacing w:line="360" w:lineRule="auto"/>
              <w:jc w:val="center"/>
              <w:rPr>
                <w:rFonts w:hint="eastAsia" w:asciiTheme="minorEastAsia" w:hAnsiTheme="minorEastAsia" w:cstheme="minorEastAsia"/>
                <w:sz w:val="24"/>
                <w:szCs w:val="24"/>
                <w:highlight w:val="none"/>
              </w:rPr>
            </w:pPr>
            <w:r>
              <w:rPr>
                <w:rFonts w:hint="eastAsia" w:asciiTheme="minorEastAsia" w:hAnsiTheme="minorEastAsia" w:cstheme="minorEastAsia"/>
                <w:sz w:val="24"/>
                <w:szCs w:val="24"/>
                <w:highlight w:val="none"/>
              </w:rPr>
              <w:t>1</w:t>
            </w:r>
          </w:p>
        </w:tc>
        <w:tc>
          <w:tcPr>
            <w:tcW w:w="2741" w:type="dxa"/>
            <w:vAlign w:val="center"/>
          </w:tcPr>
          <w:p w14:paraId="019706AC">
            <w:pPr>
              <w:spacing w:line="360" w:lineRule="auto"/>
              <w:rPr>
                <w:rFonts w:hint="eastAsia" w:asciiTheme="minorEastAsia" w:hAnsiTheme="minorEastAsia" w:eastAsiaTheme="minorEastAsia" w:cstheme="minorEastAsia"/>
                <w:sz w:val="24"/>
                <w:szCs w:val="24"/>
                <w:highlight w:val="none"/>
                <w:lang w:eastAsia="zh-CN"/>
              </w:rPr>
            </w:pPr>
            <w:r>
              <w:rPr>
                <w:rFonts w:hint="eastAsia" w:asciiTheme="minorEastAsia" w:hAnsiTheme="minorEastAsia" w:cstheme="minorEastAsia"/>
                <w:sz w:val="24"/>
                <w:szCs w:val="24"/>
                <w:highlight w:val="none"/>
                <w:lang w:val="en-US" w:eastAsia="zh-CN"/>
              </w:rPr>
              <w:t xml:space="preserve"> MCGZ[2026]215-ZC194</w:t>
            </w:r>
          </w:p>
        </w:tc>
        <w:tc>
          <w:tcPr>
            <w:tcW w:w="2416" w:type="dxa"/>
            <w:vAlign w:val="center"/>
          </w:tcPr>
          <w:p w14:paraId="19E7942F">
            <w:pPr>
              <w:spacing w:line="360" w:lineRule="auto"/>
              <w:rPr>
                <w:rFonts w:hint="eastAsia" w:asciiTheme="minorEastAsia" w:hAnsiTheme="minorEastAsia" w:eastAsiaTheme="minorEastAsia" w:cstheme="minorEastAsia"/>
                <w:sz w:val="24"/>
                <w:szCs w:val="24"/>
                <w:highlight w:val="none"/>
                <w:lang w:eastAsia="zh-CN"/>
              </w:rPr>
            </w:pPr>
            <w:r>
              <w:rPr>
                <w:rFonts w:hint="eastAsia" w:asciiTheme="minorEastAsia" w:hAnsiTheme="minorEastAsia" w:cstheme="minorEastAsia"/>
                <w:sz w:val="24"/>
                <w:szCs w:val="24"/>
                <w:highlight w:val="none"/>
                <w:lang w:eastAsia="zh-CN"/>
              </w:rPr>
              <w:t>渑池县农业农村局2026年玉米“一喷多促”项目</w:t>
            </w:r>
          </w:p>
        </w:tc>
        <w:tc>
          <w:tcPr>
            <w:tcW w:w="1532" w:type="dxa"/>
            <w:vAlign w:val="center"/>
          </w:tcPr>
          <w:p w14:paraId="642C7C2E">
            <w:pPr>
              <w:spacing w:line="360" w:lineRule="auto"/>
              <w:jc w:val="center"/>
              <w:rPr>
                <w:rFonts w:hint="eastAsia" w:asciiTheme="minorEastAsia" w:hAnsiTheme="minorEastAsia" w:eastAsiaTheme="minorEastAsia" w:cstheme="minorEastAsia"/>
                <w:sz w:val="24"/>
                <w:szCs w:val="24"/>
                <w:highlight w:val="none"/>
                <w:lang w:eastAsia="zh-CN"/>
              </w:rPr>
            </w:pPr>
            <w:r>
              <w:rPr>
                <w:rFonts w:hint="eastAsia" w:asciiTheme="minorEastAsia" w:hAnsiTheme="minorEastAsia" w:cstheme="minorEastAsia"/>
                <w:sz w:val="24"/>
                <w:szCs w:val="24"/>
                <w:highlight w:val="none"/>
                <w:lang w:eastAsia="zh-CN"/>
              </w:rPr>
              <w:t>310000.00</w:t>
            </w:r>
          </w:p>
        </w:tc>
        <w:tc>
          <w:tcPr>
            <w:tcW w:w="2034" w:type="dxa"/>
            <w:vAlign w:val="center"/>
          </w:tcPr>
          <w:p w14:paraId="19A4E364">
            <w:pPr>
              <w:spacing w:line="360" w:lineRule="auto"/>
              <w:jc w:val="center"/>
              <w:rPr>
                <w:rFonts w:hint="eastAsia" w:asciiTheme="minorEastAsia" w:hAnsiTheme="minorEastAsia" w:eastAsiaTheme="minorEastAsia" w:cstheme="minorEastAsia"/>
                <w:sz w:val="24"/>
                <w:szCs w:val="24"/>
                <w:highlight w:val="none"/>
                <w:lang w:eastAsia="zh-CN"/>
              </w:rPr>
            </w:pPr>
            <w:r>
              <w:rPr>
                <w:rFonts w:hint="eastAsia" w:asciiTheme="minorEastAsia" w:hAnsiTheme="minorEastAsia" w:cstheme="minorEastAsia"/>
                <w:sz w:val="24"/>
                <w:szCs w:val="24"/>
                <w:highlight w:val="none"/>
                <w:lang w:eastAsia="zh-CN"/>
              </w:rPr>
              <w:t>310000.00</w:t>
            </w:r>
          </w:p>
        </w:tc>
      </w:tr>
    </w:tbl>
    <w:p w14:paraId="4E243D45">
      <w:pPr>
        <w:spacing w:line="360" w:lineRule="auto"/>
        <w:ind w:firstLine="566" w:firstLineChars="236"/>
        <w:rPr>
          <w:rFonts w:hint="eastAsia" w:asciiTheme="minorEastAsia" w:hAnsiTheme="minorEastAsia" w:cstheme="minorEastAsia"/>
          <w:sz w:val="24"/>
          <w:szCs w:val="24"/>
          <w:highlight w:val="none"/>
        </w:rPr>
      </w:pPr>
      <w:r>
        <w:rPr>
          <w:rFonts w:hint="eastAsia" w:asciiTheme="minorEastAsia" w:hAnsiTheme="minorEastAsia" w:cstheme="minorEastAsia"/>
          <w:sz w:val="24"/>
          <w:szCs w:val="24"/>
          <w:highlight w:val="none"/>
        </w:rPr>
        <w:t>5.采购需求（包括但不限于标的的名称、数量、简要技术需求或服务</w:t>
      </w:r>
      <w:r>
        <w:rPr>
          <w:rFonts w:hint="eastAsia" w:asciiTheme="minorEastAsia" w:hAnsiTheme="minorEastAsia" w:cstheme="minorEastAsia"/>
          <w:sz w:val="24"/>
          <w:szCs w:val="24"/>
          <w:highlight w:val="none"/>
          <w:lang w:eastAsia="zh-CN"/>
        </w:rPr>
        <w:t>要求</w:t>
      </w:r>
      <w:r>
        <w:rPr>
          <w:rFonts w:hint="eastAsia" w:asciiTheme="minorEastAsia" w:hAnsiTheme="minorEastAsia" w:cstheme="minorEastAsia"/>
          <w:sz w:val="24"/>
          <w:szCs w:val="24"/>
          <w:highlight w:val="none"/>
        </w:rPr>
        <w:t>等）：</w:t>
      </w:r>
    </w:p>
    <w:p w14:paraId="5F4F6884">
      <w:pPr>
        <w:spacing w:line="360" w:lineRule="auto"/>
        <w:ind w:firstLine="566" w:firstLineChars="236"/>
        <w:rPr>
          <w:rFonts w:hint="eastAsia" w:asciiTheme="minorEastAsia" w:hAnsiTheme="minorEastAsia" w:cstheme="minorEastAsia"/>
          <w:sz w:val="24"/>
          <w:szCs w:val="24"/>
          <w:highlight w:val="none"/>
        </w:rPr>
      </w:pPr>
      <w:r>
        <w:rPr>
          <w:rFonts w:hint="eastAsia" w:asciiTheme="minorEastAsia" w:hAnsiTheme="minorEastAsia" w:cstheme="minorEastAsia"/>
          <w:sz w:val="24"/>
          <w:szCs w:val="24"/>
          <w:highlight w:val="none"/>
        </w:rPr>
        <w:t>5.1采购范围：采购吡唑醚菌酯、磷酸二氢钾(膨化型)等农药，具体内容参照采购清单。</w:t>
      </w:r>
    </w:p>
    <w:p w14:paraId="046971BD">
      <w:pPr>
        <w:spacing w:line="360" w:lineRule="auto"/>
        <w:ind w:firstLine="566" w:firstLineChars="236"/>
        <w:rPr>
          <w:rFonts w:hint="eastAsia" w:asciiTheme="minorEastAsia" w:hAnsiTheme="minorEastAsia" w:cstheme="minorEastAsia"/>
          <w:sz w:val="24"/>
          <w:szCs w:val="24"/>
          <w:highlight w:val="none"/>
        </w:rPr>
      </w:pPr>
      <w:r>
        <w:rPr>
          <w:rFonts w:hint="eastAsia" w:asciiTheme="minorEastAsia" w:hAnsiTheme="minorEastAsia" w:cstheme="minorEastAsia"/>
          <w:sz w:val="24"/>
          <w:szCs w:val="24"/>
          <w:highlight w:val="none"/>
        </w:rPr>
        <w:t>5.2预算金额：</w:t>
      </w:r>
      <w:r>
        <w:rPr>
          <w:rFonts w:hint="eastAsia" w:asciiTheme="minorEastAsia" w:hAnsiTheme="minorEastAsia" w:cstheme="minorEastAsia"/>
          <w:sz w:val="24"/>
          <w:szCs w:val="24"/>
          <w:highlight w:val="none"/>
          <w:lang w:eastAsia="zh-CN"/>
        </w:rPr>
        <w:t>310000.00</w:t>
      </w:r>
      <w:r>
        <w:rPr>
          <w:rFonts w:hint="eastAsia" w:asciiTheme="minorEastAsia" w:hAnsiTheme="minorEastAsia" w:cstheme="minorEastAsia"/>
          <w:sz w:val="24"/>
          <w:szCs w:val="24"/>
          <w:highlight w:val="none"/>
        </w:rPr>
        <w:t>元</w:t>
      </w:r>
    </w:p>
    <w:p w14:paraId="5C3D14B5">
      <w:pPr>
        <w:spacing w:line="360" w:lineRule="auto"/>
        <w:ind w:firstLine="566" w:firstLineChars="236"/>
        <w:rPr>
          <w:rFonts w:hint="eastAsia" w:asciiTheme="minorEastAsia" w:hAnsiTheme="minorEastAsia" w:cstheme="minorEastAsia"/>
          <w:sz w:val="24"/>
          <w:szCs w:val="24"/>
          <w:highlight w:val="none"/>
        </w:rPr>
      </w:pPr>
      <w:r>
        <w:rPr>
          <w:rFonts w:hint="eastAsia" w:asciiTheme="minorEastAsia" w:hAnsiTheme="minorEastAsia" w:cstheme="minorEastAsia"/>
          <w:sz w:val="24"/>
          <w:szCs w:val="24"/>
          <w:highlight w:val="none"/>
        </w:rPr>
        <w:t>5.3资金来源：</w:t>
      </w:r>
      <w:r>
        <w:rPr>
          <w:rFonts w:hint="eastAsia" w:asciiTheme="minorEastAsia" w:hAnsiTheme="minorEastAsia" w:cstheme="minorEastAsia"/>
          <w:sz w:val="24"/>
          <w:szCs w:val="24"/>
          <w:highlight w:val="none"/>
          <w:lang w:eastAsia="zh-CN"/>
        </w:rPr>
        <w:t>财政资金</w:t>
      </w:r>
      <w:r>
        <w:rPr>
          <w:rFonts w:hint="eastAsia" w:asciiTheme="minorEastAsia" w:hAnsiTheme="minorEastAsia" w:cstheme="minorEastAsia"/>
          <w:sz w:val="24"/>
          <w:szCs w:val="24"/>
          <w:highlight w:val="none"/>
        </w:rPr>
        <w:t>，已落实。</w:t>
      </w:r>
    </w:p>
    <w:p w14:paraId="2E5054AC">
      <w:pPr>
        <w:spacing w:line="360" w:lineRule="auto"/>
        <w:ind w:firstLine="566" w:firstLineChars="236"/>
        <w:rPr>
          <w:rFonts w:hint="eastAsia" w:asciiTheme="minorEastAsia" w:hAnsiTheme="minorEastAsia" w:cstheme="minorEastAsia"/>
          <w:sz w:val="24"/>
          <w:szCs w:val="24"/>
          <w:highlight w:val="none"/>
        </w:rPr>
      </w:pPr>
      <w:r>
        <w:rPr>
          <w:rFonts w:hint="eastAsia" w:asciiTheme="minorEastAsia" w:hAnsiTheme="minorEastAsia" w:cstheme="minorEastAsia"/>
          <w:sz w:val="24"/>
          <w:szCs w:val="24"/>
          <w:highlight w:val="none"/>
        </w:rPr>
        <w:t>5.4质量要求：合格。</w:t>
      </w:r>
    </w:p>
    <w:p w14:paraId="5ACD1A0F">
      <w:pPr>
        <w:spacing w:line="360" w:lineRule="auto"/>
        <w:ind w:firstLine="566" w:firstLineChars="236"/>
        <w:rPr>
          <w:rFonts w:hint="eastAsia" w:asciiTheme="minorEastAsia" w:hAnsiTheme="minorEastAsia" w:cstheme="minorEastAsia"/>
          <w:sz w:val="24"/>
          <w:szCs w:val="24"/>
          <w:highlight w:val="none"/>
        </w:rPr>
      </w:pPr>
      <w:r>
        <w:rPr>
          <w:rFonts w:hint="eastAsia" w:asciiTheme="minorEastAsia" w:hAnsiTheme="minorEastAsia" w:cstheme="minorEastAsia"/>
          <w:sz w:val="24"/>
          <w:szCs w:val="24"/>
          <w:highlight w:val="none"/>
        </w:rPr>
        <w:t>5.5供货期：</w:t>
      </w:r>
      <w:r>
        <w:rPr>
          <w:rFonts w:hint="eastAsia" w:asciiTheme="minorEastAsia" w:hAnsiTheme="minorEastAsia" w:cstheme="minorEastAsia"/>
          <w:sz w:val="24"/>
          <w:szCs w:val="24"/>
          <w:highlight w:val="none"/>
          <w:lang w:eastAsia="zh-CN"/>
        </w:rPr>
        <w:t>自合同签订之日起7日历天</w:t>
      </w:r>
      <w:r>
        <w:rPr>
          <w:rFonts w:hint="eastAsia" w:asciiTheme="minorEastAsia" w:hAnsiTheme="minorEastAsia" w:cstheme="minorEastAsia"/>
          <w:sz w:val="24"/>
          <w:szCs w:val="24"/>
          <w:highlight w:val="none"/>
        </w:rPr>
        <w:t>。</w:t>
      </w:r>
    </w:p>
    <w:p w14:paraId="096D878C">
      <w:pPr>
        <w:spacing w:line="360" w:lineRule="auto"/>
        <w:ind w:firstLine="566" w:firstLineChars="236"/>
        <w:rPr>
          <w:rFonts w:hint="eastAsia" w:asciiTheme="minorEastAsia" w:hAnsiTheme="minorEastAsia" w:cstheme="minorEastAsia"/>
          <w:sz w:val="24"/>
          <w:szCs w:val="24"/>
          <w:highlight w:val="none"/>
        </w:rPr>
      </w:pPr>
      <w:r>
        <w:rPr>
          <w:rFonts w:hint="eastAsia" w:asciiTheme="minorEastAsia" w:hAnsiTheme="minorEastAsia" w:cstheme="minorEastAsia"/>
          <w:sz w:val="24"/>
          <w:szCs w:val="24"/>
          <w:highlight w:val="none"/>
        </w:rPr>
        <w:t>5.6交货地点：采购人指定地点。</w:t>
      </w:r>
    </w:p>
    <w:p w14:paraId="49F5AE05">
      <w:pPr>
        <w:spacing w:line="360" w:lineRule="auto"/>
        <w:ind w:firstLine="566" w:firstLineChars="236"/>
        <w:rPr>
          <w:rFonts w:hint="eastAsia" w:asciiTheme="minorEastAsia" w:hAnsiTheme="minorEastAsia" w:cstheme="minorEastAsia"/>
          <w:sz w:val="24"/>
          <w:szCs w:val="24"/>
          <w:highlight w:val="none"/>
        </w:rPr>
      </w:pPr>
      <w:r>
        <w:rPr>
          <w:rFonts w:hint="eastAsia" w:asciiTheme="minorEastAsia" w:hAnsiTheme="minorEastAsia" w:cstheme="minorEastAsia"/>
          <w:sz w:val="24"/>
          <w:szCs w:val="24"/>
          <w:highlight w:val="none"/>
        </w:rPr>
        <w:t>6.合同履行期限：</w:t>
      </w:r>
      <w:r>
        <w:rPr>
          <w:rFonts w:hint="eastAsia" w:asciiTheme="minorEastAsia" w:hAnsiTheme="minorEastAsia" w:cstheme="minorEastAsia"/>
          <w:sz w:val="24"/>
          <w:szCs w:val="24"/>
          <w:highlight w:val="none"/>
          <w:lang w:eastAsia="zh-CN"/>
        </w:rPr>
        <w:t>自合同签订之日起7日历天</w:t>
      </w:r>
      <w:r>
        <w:rPr>
          <w:rFonts w:hint="eastAsia" w:asciiTheme="minorEastAsia" w:hAnsiTheme="minorEastAsia" w:cstheme="minorEastAsia"/>
          <w:sz w:val="24"/>
          <w:szCs w:val="24"/>
          <w:highlight w:val="none"/>
        </w:rPr>
        <w:t>。</w:t>
      </w:r>
    </w:p>
    <w:p w14:paraId="7121DD71">
      <w:pPr>
        <w:spacing w:line="360" w:lineRule="auto"/>
        <w:ind w:firstLine="566" w:firstLineChars="236"/>
        <w:rPr>
          <w:rFonts w:hint="eastAsia" w:asciiTheme="minorEastAsia" w:hAnsiTheme="minorEastAsia" w:cstheme="minorEastAsia"/>
          <w:sz w:val="24"/>
          <w:szCs w:val="24"/>
          <w:highlight w:val="none"/>
        </w:rPr>
      </w:pPr>
      <w:r>
        <w:rPr>
          <w:rFonts w:hint="eastAsia" w:asciiTheme="minorEastAsia" w:hAnsiTheme="minorEastAsia" w:cstheme="minorEastAsia"/>
          <w:sz w:val="24"/>
          <w:szCs w:val="24"/>
          <w:highlight w:val="none"/>
        </w:rPr>
        <w:t>7.本项目是否接受联合体投标：否</w:t>
      </w:r>
    </w:p>
    <w:p w14:paraId="3B3919E8">
      <w:pPr>
        <w:spacing w:line="360" w:lineRule="auto"/>
        <w:ind w:firstLine="566" w:firstLineChars="236"/>
        <w:rPr>
          <w:rFonts w:hint="eastAsia" w:asciiTheme="minorEastAsia" w:hAnsiTheme="minorEastAsia" w:cstheme="minorEastAsia"/>
          <w:sz w:val="24"/>
          <w:szCs w:val="24"/>
          <w:highlight w:val="none"/>
        </w:rPr>
      </w:pPr>
      <w:r>
        <w:rPr>
          <w:rFonts w:hint="eastAsia" w:asciiTheme="minorEastAsia" w:hAnsiTheme="minorEastAsia" w:cstheme="minorEastAsia"/>
          <w:sz w:val="24"/>
          <w:szCs w:val="24"/>
          <w:highlight w:val="none"/>
        </w:rPr>
        <w:t>8.是否接受进口产品：否</w:t>
      </w:r>
    </w:p>
    <w:p w14:paraId="18A3BBD1">
      <w:pPr>
        <w:spacing w:line="360" w:lineRule="auto"/>
        <w:ind w:firstLine="566" w:firstLineChars="236"/>
        <w:rPr>
          <w:rFonts w:hint="eastAsia" w:asciiTheme="minorEastAsia" w:hAnsiTheme="minorEastAsia" w:eastAsiaTheme="minorEastAsia" w:cstheme="minorEastAsia"/>
          <w:sz w:val="24"/>
          <w:szCs w:val="24"/>
          <w:highlight w:val="none"/>
          <w:lang w:eastAsia="zh-CN"/>
        </w:rPr>
      </w:pPr>
      <w:r>
        <w:rPr>
          <w:rFonts w:hint="eastAsia" w:asciiTheme="minorEastAsia" w:hAnsiTheme="minorEastAsia" w:cstheme="minorEastAsia"/>
          <w:sz w:val="24"/>
          <w:szCs w:val="24"/>
          <w:highlight w:val="none"/>
        </w:rPr>
        <w:t>9.是否专门面向中小企</w:t>
      </w:r>
      <w:r>
        <w:rPr>
          <w:rFonts w:hint="eastAsia" w:asciiTheme="minorEastAsia" w:hAnsiTheme="minorEastAsia" w:cstheme="minorEastAsia"/>
          <w:sz w:val="24"/>
          <w:szCs w:val="24"/>
          <w:highlight w:val="none"/>
        </w:rPr>
        <w:t>业：</w:t>
      </w:r>
      <w:r>
        <w:rPr>
          <w:rFonts w:hint="eastAsia" w:asciiTheme="minorEastAsia" w:hAnsiTheme="minorEastAsia" w:cstheme="minorEastAsia"/>
          <w:color w:val="404040" w:themeColor="text1" w:themeTint="BF"/>
          <w:sz w:val="24"/>
          <w:szCs w:val="24"/>
          <w:highlight w:val="none"/>
          <w:lang w:val="en-US" w:eastAsia="zh-CN"/>
          <w14:textFill>
            <w14:solidFill>
              <w14:schemeClr w14:val="tx1">
                <w14:lumMod w14:val="75000"/>
                <w14:lumOff w14:val="25000"/>
              </w14:schemeClr>
            </w14:solidFill>
          </w14:textFill>
        </w:rPr>
        <w:t>否</w:t>
      </w:r>
    </w:p>
    <w:p w14:paraId="5C68EEEE">
      <w:pPr>
        <w:spacing w:line="360" w:lineRule="auto"/>
        <w:ind w:firstLine="566" w:firstLineChars="236"/>
        <w:rPr>
          <w:rFonts w:hint="eastAsia" w:asciiTheme="minorEastAsia" w:hAnsiTheme="minorEastAsia" w:cstheme="minorEastAsia"/>
          <w:sz w:val="24"/>
          <w:szCs w:val="24"/>
          <w:highlight w:val="none"/>
        </w:rPr>
      </w:pPr>
      <w:r>
        <w:rPr>
          <w:rFonts w:hint="eastAsia" w:asciiTheme="minorEastAsia" w:hAnsiTheme="minorEastAsia" w:cstheme="minorEastAsia"/>
          <w:sz w:val="24"/>
          <w:szCs w:val="24"/>
          <w:highlight w:val="none"/>
        </w:rPr>
        <w:t>二、供应商资格要求</w:t>
      </w:r>
    </w:p>
    <w:p w14:paraId="40A30E88">
      <w:pPr>
        <w:spacing w:line="360" w:lineRule="auto"/>
        <w:ind w:firstLine="566" w:firstLineChars="236"/>
        <w:rPr>
          <w:rFonts w:hint="eastAsia" w:asciiTheme="minorEastAsia" w:hAnsiTheme="minorEastAsia" w:cstheme="minorEastAsia"/>
          <w:sz w:val="24"/>
          <w:szCs w:val="24"/>
          <w:highlight w:val="none"/>
        </w:rPr>
      </w:pPr>
      <w:r>
        <w:rPr>
          <w:rFonts w:hint="eastAsia" w:asciiTheme="minorEastAsia" w:hAnsiTheme="minorEastAsia" w:cstheme="minorEastAsia"/>
          <w:sz w:val="24"/>
          <w:szCs w:val="24"/>
          <w:highlight w:val="none"/>
        </w:rPr>
        <w:t>1.满足《中华人民共和国政府采购法》第二十二条规定：</w:t>
      </w:r>
    </w:p>
    <w:p w14:paraId="364625D3">
      <w:pPr>
        <w:spacing w:line="360" w:lineRule="auto"/>
        <w:ind w:firstLine="566" w:firstLineChars="236"/>
        <w:rPr>
          <w:rFonts w:hint="eastAsia" w:asciiTheme="minorEastAsia" w:hAnsiTheme="minorEastAsia" w:cstheme="minorEastAsia"/>
          <w:sz w:val="24"/>
          <w:szCs w:val="24"/>
          <w:highlight w:val="none"/>
        </w:rPr>
      </w:pPr>
      <w:r>
        <w:rPr>
          <w:rFonts w:hint="eastAsia" w:asciiTheme="minorEastAsia" w:hAnsiTheme="minorEastAsia" w:cstheme="minorEastAsia"/>
          <w:sz w:val="24"/>
          <w:szCs w:val="24"/>
          <w:highlight w:val="none"/>
        </w:rPr>
        <w:t>2.落实政府采购政策满足的资格要求：本项目非专门面向中小微企业采购项目，执行优先采购节能环保、环境标志性产品，促进中小企业（监狱企业、残疾人福利性企业）发展等政府采购政策。</w:t>
      </w:r>
    </w:p>
    <w:p w14:paraId="774C9ACF">
      <w:pPr>
        <w:spacing w:line="360" w:lineRule="auto"/>
        <w:ind w:firstLine="566" w:firstLineChars="236"/>
        <w:rPr>
          <w:rFonts w:hint="eastAsia" w:asciiTheme="minorEastAsia" w:hAnsiTheme="minorEastAsia" w:cstheme="minorEastAsia"/>
          <w:sz w:val="24"/>
          <w:szCs w:val="24"/>
          <w:highlight w:val="none"/>
        </w:rPr>
      </w:pPr>
      <w:r>
        <w:rPr>
          <w:rFonts w:hint="eastAsia" w:asciiTheme="minorEastAsia" w:hAnsiTheme="minorEastAsia" w:cstheme="minorEastAsia"/>
          <w:sz w:val="24"/>
          <w:szCs w:val="24"/>
          <w:highlight w:val="none"/>
        </w:rPr>
        <w:t>3.本项目的特定资格要求：</w:t>
      </w:r>
    </w:p>
    <w:p w14:paraId="50DBDDDA">
      <w:pPr>
        <w:spacing w:line="360" w:lineRule="auto"/>
        <w:ind w:firstLine="566" w:firstLineChars="236"/>
        <w:rPr>
          <w:rFonts w:hint="eastAsia" w:asciiTheme="minorEastAsia" w:hAnsiTheme="minorEastAsia" w:cstheme="minorEastAsia"/>
          <w:sz w:val="24"/>
          <w:szCs w:val="24"/>
          <w:highlight w:val="none"/>
        </w:rPr>
      </w:pPr>
      <w:r>
        <w:rPr>
          <w:rFonts w:hint="eastAsia" w:asciiTheme="minorEastAsia" w:hAnsiTheme="minorEastAsia" w:cstheme="minorEastAsia"/>
          <w:sz w:val="24"/>
          <w:szCs w:val="24"/>
          <w:highlight w:val="none"/>
        </w:rPr>
        <w:t>3.1供应商具有有效的营业执照；</w:t>
      </w:r>
    </w:p>
    <w:p w14:paraId="70F1226B">
      <w:pPr>
        <w:spacing w:line="360" w:lineRule="auto"/>
        <w:ind w:firstLine="566" w:firstLineChars="236"/>
        <w:rPr>
          <w:rFonts w:hint="eastAsia" w:asciiTheme="minorEastAsia" w:hAnsiTheme="minorEastAsia" w:cstheme="minorEastAsia"/>
          <w:sz w:val="24"/>
          <w:szCs w:val="24"/>
          <w:highlight w:val="none"/>
          <w:lang w:val="en-US" w:eastAsia="zh-CN"/>
        </w:rPr>
      </w:pPr>
      <w:r>
        <w:rPr>
          <w:rFonts w:hint="eastAsia" w:asciiTheme="minorEastAsia" w:hAnsiTheme="minorEastAsia" w:cstheme="minorEastAsia"/>
          <w:sz w:val="24"/>
          <w:szCs w:val="24"/>
          <w:highlight w:val="none"/>
          <w:lang w:val="en-US" w:eastAsia="zh-CN"/>
        </w:rPr>
        <w:t>3.2供应商为生产商的需提供农药生产许可证，若供应商为经销商的需提供农药经营许可证；农药产品必须“三证”（生产许可证或者生产批准证、农药登记证、产品标准证）齐全，并在有效期内；</w:t>
      </w:r>
    </w:p>
    <w:p w14:paraId="6D448AC5">
      <w:pPr>
        <w:spacing w:line="360" w:lineRule="auto"/>
        <w:ind w:firstLine="566" w:firstLineChars="236"/>
        <w:rPr>
          <w:rFonts w:hint="eastAsia" w:asciiTheme="minorEastAsia" w:hAnsiTheme="minorEastAsia" w:cstheme="minorEastAsia"/>
          <w:sz w:val="24"/>
          <w:szCs w:val="24"/>
          <w:highlight w:val="none"/>
        </w:rPr>
      </w:pPr>
      <w:r>
        <w:rPr>
          <w:rFonts w:hint="eastAsia" w:asciiTheme="minorEastAsia" w:hAnsiTheme="minorEastAsia" w:cstheme="minorEastAsia"/>
          <w:sz w:val="24"/>
          <w:szCs w:val="24"/>
          <w:highlight w:val="none"/>
        </w:rPr>
        <w:t>3.</w:t>
      </w:r>
      <w:r>
        <w:rPr>
          <w:rFonts w:hint="eastAsia" w:asciiTheme="minorEastAsia" w:hAnsiTheme="minorEastAsia" w:cstheme="minorEastAsia"/>
          <w:sz w:val="24"/>
          <w:szCs w:val="24"/>
          <w:highlight w:val="none"/>
          <w:lang w:val="en-US" w:eastAsia="zh-CN"/>
        </w:rPr>
        <w:t>3</w:t>
      </w:r>
      <w:r>
        <w:rPr>
          <w:rFonts w:hint="eastAsia" w:asciiTheme="minorEastAsia" w:hAnsiTheme="minorEastAsia" w:cstheme="minorEastAsia"/>
          <w:sz w:val="24"/>
          <w:szCs w:val="24"/>
          <w:highlight w:val="none"/>
        </w:rPr>
        <w:t>供应商出具无行贿犯罪记录，在中国裁判文书网自行查询或自行承诺（查询对象：企业、法定代表人）；</w:t>
      </w:r>
    </w:p>
    <w:p w14:paraId="798C873F">
      <w:pPr>
        <w:spacing w:line="360" w:lineRule="auto"/>
        <w:ind w:firstLine="566" w:firstLineChars="236"/>
        <w:rPr>
          <w:rFonts w:hint="eastAsia" w:asciiTheme="minorEastAsia" w:hAnsiTheme="minorEastAsia" w:cstheme="minorEastAsia"/>
          <w:sz w:val="24"/>
          <w:szCs w:val="24"/>
          <w:highlight w:val="none"/>
        </w:rPr>
      </w:pPr>
      <w:r>
        <w:rPr>
          <w:rFonts w:hint="eastAsia" w:asciiTheme="minorEastAsia" w:hAnsiTheme="minorEastAsia" w:cstheme="minorEastAsia"/>
          <w:sz w:val="24"/>
          <w:szCs w:val="24"/>
          <w:highlight w:val="none"/>
        </w:rPr>
        <w:t>3.</w:t>
      </w:r>
      <w:r>
        <w:rPr>
          <w:rFonts w:hint="eastAsia" w:asciiTheme="minorEastAsia" w:hAnsiTheme="minorEastAsia" w:cstheme="minorEastAsia"/>
          <w:sz w:val="24"/>
          <w:szCs w:val="24"/>
          <w:highlight w:val="none"/>
          <w:lang w:val="en-US" w:eastAsia="zh-CN"/>
        </w:rPr>
        <w:t>4</w:t>
      </w:r>
      <w:r>
        <w:rPr>
          <w:rFonts w:hint="eastAsia" w:asciiTheme="minorEastAsia" w:hAnsiTheme="minorEastAsia" w:cstheme="minorEastAsia"/>
          <w:sz w:val="24"/>
          <w:szCs w:val="24"/>
          <w:highlight w:val="none"/>
        </w:rPr>
        <w:t>供应商需提供无商业贿赂及无不正当竞争行为的承诺书；</w:t>
      </w:r>
    </w:p>
    <w:p w14:paraId="1F2D7A71">
      <w:pPr>
        <w:spacing w:line="360" w:lineRule="auto"/>
        <w:ind w:firstLine="566" w:firstLineChars="236"/>
        <w:rPr>
          <w:rFonts w:hint="eastAsia" w:asciiTheme="minorEastAsia" w:hAnsiTheme="minorEastAsia" w:cstheme="minorEastAsia"/>
          <w:sz w:val="24"/>
          <w:szCs w:val="24"/>
          <w:highlight w:val="none"/>
        </w:rPr>
      </w:pPr>
      <w:r>
        <w:rPr>
          <w:rFonts w:hint="eastAsia" w:asciiTheme="minorEastAsia" w:hAnsiTheme="minorEastAsia" w:cstheme="minorEastAsia"/>
          <w:sz w:val="24"/>
          <w:szCs w:val="24"/>
          <w:highlight w:val="none"/>
        </w:rPr>
        <w:t>3.</w:t>
      </w:r>
      <w:bookmarkStart w:id="14" w:name="_Hlk139301777"/>
      <w:r>
        <w:rPr>
          <w:rFonts w:hint="eastAsia" w:asciiTheme="minorEastAsia" w:hAnsiTheme="minorEastAsia" w:cstheme="minorEastAsia"/>
          <w:sz w:val="24"/>
          <w:szCs w:val="24"/>
          <w:highlight w:val="none"/>
          <w:lang w:val="en-US" w:eastAsia="zh-CN"/>
        </w:rPr>
        <w:t>5</w:t>
      </w:r>
      <w:r>
        <w:rPr>
          <w:rFonts w:hint="eastAsia" w:asciiTheme="minorEastAsia" w:hAnsiTheme="minorEastAsia" w:cstheme="minorEastAsia"/>
          <w:sz w:val="24"/>
          <w:szCs w:val="24"/>
          <w:highlight w:val="none"/>
        </w:rPr>
        <w:t>未列入“中国执行信息公开网”http://zxgk.court.gov.cn/shixin网站的“失信被执行人”名单、“信用中国”www.creditchina.gov.cn网站的“重大税收违法失信主体”及中国政府采购网”www.ccgp.gov.cn网站的“政府采购严重违法失信行为记录名单”；（提供“中国执行信息公开网”、“信用中国”和“中国政府采购网”网站的查询信息截图，加盖单位公章，截图需显示查询时间，查询时间：自公告发布之日起至投标截止时间前）；</w:t>
      </w:r>
      <w:bookmarkEnd w:id="14"/>
    </w:p>
    <w:p w14:paraId="2EBF12F3">
      <w:pPr>
        <w:spacing w:line="360" w:lineRule="auto"/>
        <w:ind w:firstLine="566" w:firstLineChars="236"/>
        <w:rPr>
          <w:rFonts w:hint="eastAsia" w:asciiTheme="minorEastAsia" w:hAnsiTheme="minorEastAsia" w:cstheme="minorEastAsia"/>
          <w:sz w:val="24"/>
          <w:szCs w:val="24"/>
          <w:highlight w:val="none"/>
        </w:rPr>
      </w:pPr>
      <w:r>
        <w:rPr>
          <w:rFonts w:hint="eastAsia" w:asciiTheme="minorEastAsia" w:hAnsiTheme="minorEastAsia" w:cstheme="minorEastAsia"/>
          <w:sz w:val="24"/>
          <w:szCs w:val="24"/>
          <w:highlight w:val="none"/>
        </w:rPr>
        <w:t>3.</w:t>
      </w:r>
      <w:r>
        <w:rPr>
          <w:rFonts w:hint="eastAsia" w:asciiTheme="minorEastAsia" w:hAnsiTheme="minorEastAsia" w:cstheme="minorEastAsia"/>
          <w:sz w:val="24"/>
          <w:szCs w:val="24"/>
          <w:highlight w:val="none"/>
          <w:lang w:val="en-US" w:eastAsia="zh-CN"/>
        </w:rPr>
        <w:t>6</w:t>
      </w:r>
      <w:r>
        <w:rPr>
          <w:rFonts w:hint="eastAsia" w:asciiTheme="minorEastAsia" w:hAnsiTheme="minorEastAsia" w:cstheme="minorEastAsia"/>
          <w:sz w:val="24"/>
          <w:szCs w:val="24"/>
          <w:highlight w:val="none"/>
        </w:rPr>
        <w:t>单位负责人为同一人或者存在直接控股、管理关系的不同投标人，不得参加同一合同项下的采购活动；（提供“国家企业信用信息公示系统”中查询打印的相关信息并加盖公章（查询信息需包含公司基本信息、股东信息及股权变更信息等相关信息，查询日期为本项目公告发布之后至开标截止时间止））；</w:t>
      </w:r>
    </w:p>
    <w:p w14:paraId="7346BC35">
      <w:pPr>
        <w:spacing w:line="360" w:lineRule="auto"/>
        <w:ind w:firstLine="566" w:firstLineChars="236"/>
        <w:rPr>
          <w:rFonts w:hint="eastAsia" w:asciiTheme="minorEastAsia" w:hAnsiTheme="minorEastAsia" w:cstheme="minorEastAsia"/>
          <w:sz w:val="24"/>
          <w:szCs w:val="24"/>
          <w:highlight w:val="none"/>
        </w:rPr>
      </w:pPr>
      <w:r>
        <w:rPr>
          <w:rFonts w:hint="eastAsia" w:asciiTheme="minorEastAsia" w:hAnsiTheme="minorEastAsia" w:cstheme="minorEastAsia"/>
          <w:sz w:val="24"/>
          <w:szCs w:val="24"/>
          <w:highlight w:val="none"/>
        </w:rPr>
        <w:t>3.</w:t>
      </w:r>
      <w:r>
        <w:rPr>
          <w:rFonts w:hint="eastAsia" w:asciiTheme="minorEastAsia" w:hAnsiTheme="minorEastAsia" w:cstheme="minorEastAsia"/>
          <w:sz w:val="24"/>
          <w:szCs w:val="24"/>
          <w:highlight w:val="none"/>
          <w:lang w:val="en-US" w:eastAsia="zh-CN"/>
        </w:rPr>
        <w:t>7</w:t>
      </w:r>
      <w:r>
        <w:rPr>
          <w:rFonts w:hint="eastAsia" w:asciiTheme="minorEastAsia" w:hAnsiTheme="minorEastAsia" w:cstheme="minorEastAsia"/>
          <w:sz w:val="24"/>
          <w:szCs w:val="24"/>
          <w:highlight w:val="none"/>
        </w:rPr>
        <w:t>本项目不接受联合体投标，提供非联合体投标承诺，格式自拟。</w:t>
      </w:r>
    </w:p>
    <w:p w14:paraId="7BAF257A">
      <w:pPr>
        <w:widowControl/>
        <w:spacing w:line="360" w:lineRule="auto"/>
        <w:ind w:firstLine="482" w:firstLineChars="200"/>
        <w:jc w:val="left"/>
        <w:rPr>
          <w:rFonts w:hint="eastAsia" w:ascii="宋体" w:hAnsi="宋体" w:eastAsia="宋体" w:cs="宋体"/>
          <w:b/>
          <w:kern w:val="0"/>
          <w:sz w:val="24"/>
          <w:highlight w:val="none"/>
          <w:lang w:bidi="ar"/>
        </w:rPr>
      </w:pPr>
      <w:r>
        <w:rPr>
          <w:rFonts w:hint="eastAsia" w:ascii="宋体" w:hAnsi="宋体" w:eastAsia="宋体" w:cs="宋体"/>
          <w:b/>
          <w:kern w:val="0"/>
          <w:sz w:val="24"/>
          <w:highlight w:val="none"/>
          <w:lang w:bidi="ar"/>
        </w:rPr>
        <w:t>注：本次磋商实行资格后审，资格评审以投标文件为准，其上传资料真实性由供应商自行承担，同时供应商要完善主体库。</w:t>
      </w:r>
    </w:p>
    <w:p w14:paraId="093DACA3">
      <w:pPr>
        <w:spacing w:line="360" w:lineRule="auto"/>
        <w:ind w:firstLine="566" w:firstLineChars="236"/>
        <w:rPr>
          <w:rFonts w:hint="eastAsia" w:asciiTheme="minorEastAsia" w:hAnsiTheme="minorEastAsia" w:cstheme="minorEastAsia"/>
          <w:sz w:val="24"/>
          <w:szCs w:val="24"/>
          <w:highlight w:val="none"/>
        </w:rPr>
      </w:pPr>
      <w:r>
        <w:rPr>
          <w:rFonts w:hint="eastAsia" w:asciiTheme="minorEastAsia" w:hAnsiTheme="minorEastAsia" w:cstheme="minorEastAsia"/>
          <w:sz w:val="24"/>
          <w:szCs w:val="24"/>
          <w:highlight w:val="none"/>
        </w:rPr>
        <w:t>三、获取竞争性磋商文件</w:t>
      </w:r>
    </w:p>
    <w:p w14:paraId="1E14B1AC">
      <w:pPr>
        <w:spacing w:line="360" w:lineRule="auto"/>
        <w:ind w:firstLine="566" w:firstLineChars="236"/>
        <w:rPr>
          <w:rFonts w:hint="eastAsia" w:asciiTheme="minorEastAsia" w:hAnsiTheme="minorEastAsia" w:cstheme="minorEastAsia"/>
          <w:sz w:val="24"/>
          <w:szCs w:val="24"/>
          <w:highlight w:val="none"/>
        </w:rPr>
      </w:pPr>
      <w:r>
        <w:rPr>
          <w:rFonts w:hint="eastAsia" w:asciiTheme="minorEastAsia" w:hAnsiTheme="minorEastAsia" w:cstheme="minorEastAsia"/>
          <w:sz w:val="24"/>
          <w:szCs w:val="24"/>
          <w:highlight w:val="none"/>
        </w:rPr>
        <w:t>1.时间：202</w:t>
      </w:r>
      <w:r>
        <w:rPr>
          <w:rFonts w:hint="eastAsia" w:asciiTheme="minorEastAsia" w:hAnsiTheme="minorEastAsia" w:cstheme="minorEastAsia"/>
          <w:sz w:val="24"/>
          <w:szCs w:val="24"/>
          <w:highlight w:val="none"/>
          <w:lang w:val="en-US" w:eastAsia="zh-CN"/>
        </w:rPr>
        <w:t>6</w:t>
      </w:r>
      <w:r>
        <w:rPr>
          <w:rFonts w:hint="eastAsia" w:asciiTheme="minorEastAsia" w:hAnsiTheme="minorEastAsia" w:cstheme="minorEastAsia"/>
          <w:sz w:val="24"/>
          <w:szCs w:val="24"/>
          <w:highlight w:val="none"/>
        </w:rPr>
        <w:t>年</w:t>
      </w:r>
      <w:r>
        <w:rPr>
          <w:rFonts w:hint="eastAsia" w:asciiTheme="minorEastAsia" w:hAnsiTheme="minorEastAsia" w:cstheme="minorEastAsia"/>
          <w:sz w:val="24"/>
          <w:szCs w:val="24"/>
          <w:highlight w:val="none"/>
          <w:lang w:val="en-US" w:eastAsia="zh-CN"/>
        </w:rPr>
        <w:t>09</w:t>
      </w:r>
      <w:r>
        <w:rPr>
          <w:rFonts w:hint="eastAsia" w:asciiTheme="minorEastAsia" w:hAnsiTheme="minorEastAsia" w:cstheme="minorEastAsia"/>
          <w:sz w:val="24"/>
          <w:szCs w:val="24"/>
          <w:highlight w:val="none"/>
          <w:lang w:eastAsia="zh-CN"/>
        </w:rPr>
        <w:t>月</w:t>
      </w:r>
      <w:r>
        <w:rPr>
          <w:rFonts w:hint="eastAsia" w:asciiTheme="minorEastAsia" w:hAnsiTheme="minorEastAsia" w:cstheme="minorEastAsia"/>
          <w:sz w:val="24"/>
          <w:szCs w:val="24"/>
          <w:highlight w:val="none"/>
          <w:lang w:val="en-US" w:eastAsia="zh-CN"/>
        </w:rPr>
        <w:t>25</w:t>
      </w:r>
      <w:r>
        <w:rPr>
          <w:rFonts w:hint="eastAsia" w:asciiTheme="minorEastAsia" w:hAnsiTheme="minorEastAsia" w:cstheme="minorEastAsia"/>
          <w:sz w:val="24"/>
          <w:szCs w:val="24"/>
          <w:highlight w:val="none"/>
        </w:rPr>
        <w:t>日至</w:t>
      </w:r>
      <w:r>
        <w:rPr>
          <w:rFonts w:hint="eastAsia" w:asciiTheme="minorEastAsia" w:hAnsiTheme="minorEastAsia" w:cstheme="minorEastAsia"/>
          <w:sz w:val="24"/>
          <w:szCs w:val="24"/>
          <w:highlight w:val="none"/>
          <w:lang w:eastAsia="zh-CN"/>
        </w:rPr>
        <w:t>2026年</w:t>
      </w:r>
      <w:r>
        <w:rPr>
          <w:rFonts w:hint="eastAsia" w:asciiTheme="minorEastAsia" w:hAnsiTheme="minorEastAsia" w:cstheme="minorEastAsia"/>
          <w:sz w:val="24"/>
          <w:szCs w:val="24"/>
          <w:highlight w:val="none"/>
          <w:lang w:val="en-US" w:eastAsia="zh-CN"/>
        </w:rPr>
        <w:t>10</w:t>
      </w:r>
      <w:r>
        <w:rPr>
          <w:rFonts w:hint="eastAsia" w:asciiTheme="minorEastAsia" w:hAnsiTheme="minorEastAsia" w:cstheme="minorEastAsia"/>
          <w:sz w:val="24"/>
          <w:szCs w:val="24"/>
          <w:highlight w:val="none"/>
          <w:lang w:eastAsia="zh-CN"/>
        </w:rPr>
        <w:t>月</w:t>
      </w:r>
      <w:r>
        <w:rPr>
          <w:rFonts w:hint="eastAsia" w:asciiTheme="minorEastAsia" w:hAnsiTheme="minorEastAsia" w:cstheme="minorEastAsia"/>
          <w:sz w:val="24"/>
          <w:szCs w:val="24"/>
          <w:highlight w:val="none"/>
          <w:lang w:val="en-US" w:eastAsia="zh-CN"/>
        </w:rPr>
        <w:t>13</w:t>
      </w:r>
      <w:r>
        <w:rPr>
          <w:rFonts w:hint="eastAsia" w:asciiTheme="minorEastAsia" w:hAnsiTheme="minorEastAsia" w:cstheme="minorEastAsia"/>
          <w:sz w:val="24"/>
          <w:szCs w:val="24"/>
          <w:highlight w:val="none"/>
          <w:lang w:eastAsia="zh-CN"/>
        </w:rPr>
        <w:t>日</w:t>
      </w:r>
      <w:r>
        <w:rPr>
          <w:rFonts w:hint="eastAsia" w:asciiTheme="minorEastAsia" w:hAnsiTheme="minorEastAsia" w:cstheme="minorEastAsia"/>
          <w:sz w:val="24"/>
          <w:szCs w:val="24"/>
          <w:highlight w:val="none"/>
        </w:rPr>
        <w:t>，每天上午00:00至12:00，下午12:00至23:59（北京时间，法定节假日除外。）</w:t>
      </w:r>
    </w:p>
    <w:p w14:paraId="1AF0DFC4">
      <w:pPr>
        <w:spacing w:line="360" w:lineRule="auto"/>
        <w:ind w:firstLine="566" w:firstLineChars="236"/>
        <w:rPr>
          <w:rFonts w:hint="eastAsia" w:asciiTheme="minorEastAsia" w:hAnsiTheme="minorEastAsia" w:cstheme="minorEastAsia"/>
          <w:sz w:val="24"/>
          <w:szCs w:val="24"/>
          <w:highlight w:val="none"/>
        </w:rPr>
      </w:pPr>
      <w:r>
        <w:rPr>
          <w:rFonts w:hint="eastAsia" w:asciiTheme="minorEastAsia" w:hAnsiTheme="minorEastAsia" w:cstheme="minorEastAsia"/>
          <w:sz w:val="24"/>
          <w:szCs w:val="24"/>
          <w:highlight w:val="none"/>
        </w:rPr>
        <w:t>2.地点：三门峡市公共资源交易中心网</w:t>
      </w:r>
    </w:p>
    <w:p w14:paraId="25C5123C">
      <w:pPr>
        <w:spacing w:line="360" w:lineRule="auto"/>
        <w:ind w:firstLine="566" w:firstLineChars="236"/>
        <w:rPr>
          <w:rFonts w:hint="eastAsia" w:asciiTheme="minorEastAsia" w:hAnsiTheme="minorEastAsia" w:cstheme="minorEastAsia"/>
          <w:sz w:val="24"/>
          <w:szCs w:val="24"/>
          <w:highlight w:val="none"/>
        </w:rPr>
      </w:pPr>
      <w:r>
        <w:rPr>
          <w:rFonts w:hint="eastAsia" w:asciiTheme="minorEastAsia" w:hAnsiTheme="minorEastAsia" w:cstheme="minorEastAsia"/>
          <w:sz w:val="24"/>
          <w:szCs w:val="24"/>
          <w:highlight w:val="none"/>
        </w:rPr>
        <w:t>3.方式：供应商凭CA数字证书通过三门峡市公共资源交易中心网（网址：http://gzjy.smx.gov.cn/），点击交易平台选择“市场主体登录”，登陆系统后，点击采购业务-业务管理-招标文件领取菜单-点击领取按钮-领取.smxzf格式的电子招标文件。</w:t>
      </w:r>
    </w:p>
    <w:p w14:paraId="14594BD6">
      <w:pPr>
        <w:spacing w:line="360" w:lineRule="auto"/>
        <w:ind w:left="563" w:leftChars="268"/>
        <w:jc w:val="left"/>
        <w:rPr>
          <w:rFonts w:hint="eastAsia" w:asciiTheme="minorEastAsia" w:hAnsiTheme="minorEastAsia" w:cstheme="minorEastAsia"/>
          <w:highlight w:val="none"/>
        </w:rPr>
      </w:pPr>
      <w:r>
        <w:rPr>
          <w:rFonts w:hint="eastAsia" w:asciiTheme="minorEastAsia" w:hAnsiTheme="minorEastAsia" w:cstheme="minorEastAsia"/>
          <w:sz w:val="24"/>
          <w:szCs w:val="24"/>
          <w:highlight w:val="none"/>
        </w:rPr>
        <w:t>办理CA证书：http://gzjy.smx.gov.cn/bzzx/008001/20231102/4defc9b5-408e-47f2-9e9f-1f376a06ee1f.html</w:t>
      </w:r>
    </w:p>
    <w:p w14:paraId="40BF0185">
      <w:pPr>
        <w:spacing w:line="360" w:lineRule="auto"/>
        <w:ind w:firstLine="566" w:firstLineChars="236"/>
        <w:rPr>
          <w:rFonts w:hint="eastAsia" w:asciiTheme="minorEastAsia" w:hAnsiTheme="minorEastAsia" w:cstheme="minorEastAsia"/>
          <w:sz w:val="24"/>
          <w:szCs w:val="24"/>
          <w:highlight w:val="none"/>
        </w:rPr>
      </w:pPr>
      <w:r>
        <w:rPr>
          <w:rFonts w:hint="eastAsia" w:asciiTheme="minorEastAsia" w:hAnsiTheme="minorEastAsia" w:cstheme="minorEastAsia"/>
          <w:sz w:val="24"/>
          <w:szCs w:val="24"/>
          <w:highlight w:val="none"/>
        </w:rPr>
        <w:t>4.售价：0元</w:t>
      </w:r>
    </w:p>
    <w:p w14:paraId="7AAA2EAB">
      <w:pPr>
        <w:spacing w:line="360" w:lineRule="auto"/>
        <w:ind w:firstLine="566" w:firstLineChars="236"/>
        <w:rPr>
          <w:rFonts w:hint="eastAsia" w:asciiTheme="minorEastAsia" w:hAnsiTheme="minorEastAsia" w:cstheme="minorEastAsia"/>
          <w:sz w:val="24"/>
          <w:szCs w:val="24"/>
          <w:highlight w:val="none"/>
        </w:rPr>
      </w:pPr>
      <w:r>
        <w:rPr>
          <w:rFonts w:hint="eastAsia" w:asciiTheme="minorEastAsia" w:hAnsiTheme="minorEastAsia" w:cstheme="minorEastAsia"/>
          <w:sz w:val="24"/>
          <w:szCs w:val="24"/>
          <w:highlight w:val="none"/>
        </w:rPr>
        <w:t>四、投标截止时间(投标文件递交截止时间)及地点</w:t>
      </w:r>
    </w:p>
    <w:p w14:paraId="6DCD50C7">
      <w:pPr>
        <w:spacing w:line="360" w:lineRule="auto"/>
        <w:ind w:firstLine="566" w:firstLineChars="236"/>
        <w:rPr>
          <w:rFonts w:hint="eastAsia" w:asciiTheme="minorEastAsia" w:hAnsiTheme="minorEastAsia" w:cstheme="minorEastAsia"/>
          <w:sz w:val="24"/>
          <w:szCs w:val="24"/>
          <w:highlight w:val="none"/>
        </w:rPr>
      </w:pPr>
      <w:r>
        <w:rPr>
          <w:rFonts w:hint="eastAsia" w:asciiTheme="minorEastAsia" w:hAnsiTheme="minorEastAsia" w:cstheme="minorEastAsia"/>
          <w:sz w:val="24"/>
          <w:szCs w:val="24"/>
          <w:highlight w:val="none"/>
        </w:rPr>
        <w:t>1.时间：</w:t>
      </w:r>
      <w:r>
        <w:rPr>
          <w:rFonts w:hint="eastAsia" w:asciiTheme="minorEastAsia" w:hAnsiTheme="minorEastAsia" w:cstheme="minorEastAsia"/>
          <w:sz w:val="24"/>
          <w:szCs w:val="24"/>
          <w:highlight w:val="none"/>
          <w:lang w:eastAsia="zh-CN"/>
        </w:rPr>
        <w:t>2026年10月14日</w:t>
      </w:r>
      <w:r>
        <w:rPr>
          <w:rFonts w:hint="eastAsia" w:asciiTheme="minorEastAsia" w:hAnsiTheme="minorEastAsia" w:cstheme="minorEastAsia"/>
          <w:sz w:val="24"/>
          <w:szCs w:val="24"/>
          <w:highlight w:val="none"/>
        </w:rPr>
        <w:t>08时20分。</w:t>
      </w:r>
    </w:p>
    <w:p w14:paraId="78A0C977">
      <w:pPr>
        <w:spacing w:line="360" w:lineRule="auto"/>
        <w:ind w:firstLine="566" w:firstLineChars="236"/>
        <w:rPr>
          <w:rFonts w:hint="eastAsia" w:asciiTheme="minorEastAsia" w:hAnsiTheme="minorEastAsia" w:cstheme="minorEastAsia"/>
          <w:sz w:val="24"/>
          <w:szCs w:val="24"/>
          <w:highlight w:val="none"/>
        </w:rPr>
      </w:pPr>
      <w:r>
        <w:rPr>
          <w:rFonts w:hint="eastAsia" w:asciiTheme="minorEastAsia" w:hAnsiTheme="minorEastAsia" w:cstheme="minorEastAsia"/>
          <w:sz w:val="24"/>
          <w:szCs w:val="24"/>
          <w:highlight w:val="none"/>
        </w:rPr>
        <w:t>2.地点：加密电子投标文件须在投标截止时间前通过三门峡市公共资源交易中心电子交易平台加密上传。</w:t>
      </w:r>
    </w:p>
    <w:p w14:paraId="4B5DDF14">
      <w:pPr>
        <w:spacing w:line="360" w:lineRule="auto"/>
        <w:ind w:firstLine="566" w:firstLineChars="236"/>
        <w:rPr>
          <w:rFonts w:hint="eastAsia" w:asciiTheme="minorEastAsia" w:hAnsiTheme="minorEastAsia" w:cstheme="minorEastAsia"/>
          <w:sz w:val="24"/>
          <w:szCs w:val="24"/>
          <w:highlight w:val="none"/>
        </w:rPr>
      </w:pPr>
      <w:r>
        <w:rPr>
          <w:rFonts w:hint="eastAsia" w:asciiTheme="minorEastAsia" w:hAnsiTheme="minorEastAsia" w:cstheme="minorEastAsia"/>
          <w:sz w:val="24"/>
          <w:szCs w:val="24"/>
          <w:highlight w:val="none"/>
        </w:rPr>
        <w:t>五、开标时间及地点</w:t>
      </w:r>
      <w:r>
        <w:rPr>
          <w:rFonts w:hint="eastAsia" w:asciiTheme="minorEastAsia" w:hAnsiTheme="minorEastAsia" w:cstheme="minorEastAsia"/>
          <w:sz w:val="24"/>
          <w:szCs w:val="24"/>
          <w:highlight w:val="none"/>
        </w:rPr>
        <w:tab/>
      </w:r>
    </w:p>
    <w:p w14:paraId="6B43DE0D">
      <w:pPr>
        <w:spacing w:line="360" w:lineRule="auto"/>
        <w:ind w:firstLine="566" w:firstLineChars="236"/>
        <w:rPr>
          <w:rFonts w:hint="eastAsia" w:asciiTheme="minorEastAsia" w:hAnsiTheme="minorEastAsia" w:cstheme="minorEastAsia"/>
          <w:sz w:val="24"/>
          <w:szCs w:val="24"/>
          <w:highlight w:val="none"/>
        </w:rPr>
      </w:pPr>
      <w:r>
        <w:rPr>
          <w:rFonts w:hint="eastAsia" w:asciiTheme="minorEastAsia" w:hAnsiTheme="minorEastAsia" w:cstheme="minorEastAsia"/>
          <w:sz w:val="24"/>
          <w:szCs w:val="24"/>
          <w:highlight w:val="none"/>
        </w:rPr>
        <w:t>1.时间：</w:t>
      </w:r>
      <w:r>
        <w:rPr>
          <w:rFonts w:hint="eastAsia" w:asciiTheme="minorEastAsia" w:hAnsiTheme="minorEastAsia" w:cstheme="minorEastAsia"/>
          <w:sz w:val="24"/>
          <w:szCs w:val="24"/>
          <w:highlight w:val="none"/>
          <w:lang w:eastAsia="zh-CN"/>
        </w:rPr>
        <w:t>2026年10月14日</w:t>
      </w:r>
      <w:r>
        <w:rPr>
          <w:rFonts w:hint="eastAsia" w:asciiTheme="minorEastAsia" w:hAnsiTheme="minorEastAsia" w:cstheme="minorEastAsia"/>
          <w:sz w:val="24"/>
          <w:szCs w:val="24"/>
          <w:highlight w:val="none"/>
        </w:rPr>
        <w:t>08时20分。</w:t>
      </w:r>
    </w:p>
    <w:p w14:paraId="25AA861F">
      <w:pPr>
        <w:spacing w:line="360" w:lineRule="auto"/>
        <w:ind w:firstLine="566" w:firstLineChars="236"/>
        <w:rPr>
          <w:rFonts w:hint="eastAsia" w:asciiTheme="minorEastAsia" w:hAnsiTheme="minorEastAsia" w:eastAsiaTheme="minorEastAsia" w:cstheme="minorEastAsia"/>
          <w:sz w:val="24"/>
          <w:szCs w:val="24"/>
          <w:highlight w:val="none"/>
          <w:lang w:eastAsia="zh-CN"/>
        </w:rPr>
      </w:pPr>
      <w:r>
        <w:rPr>
          <w:rFonts w:hint="eastAsia" w:asciiTheme="minorEastAsia" w:hAnsiTheme="minorEastAsia" w:cstheme="minorEastAsia"/>
          <w:sz w:val="24"/>
          <w:szCs w:val="24"/>
          <w:highlight w:val="none"/>
        </w:rPr>
        <w:t>2.地点：渑池县公共资源交易中心六楼</w:t>
      </w:r>
      <w:r>
        <w:rPr>
          <w:rFonts w:hint="eastAsia" w:asciiTheme="minorEastAsia" w:hAnsiTheme="minorEastAsia" w:cstheme="minorEastAsia"/>
          <w:sz w:val="24"/>
          <w:szCs w:val="24"/>
          <w:highlight w:val="none"/>
          <w:lang w:eastAsia="zh-CN"/>
        </w:rPr>
        <w:t>开标二室</w:t>
      </w:r>
    </w:p>
    <w:p w14:paraId="19E80E3C">
      <w:pPr>
        <w:spacing w:line="360" w:lineRule="auto"/>
        <w:ind w:firstLine="566" w:firstLineChars="236"/>
        <w:rPr>
          <w:rFonts w:hint="eastAsia" w:asciiTheme="minorEastAsia" w:hAnsiTheme="minorEastAsia" w:cstheme="minorEastAsia"/>
          <w:sz w:val="24"/>
          <w:szCs w:val="24"/>
          <w:highlight w:val="none"/>
        </w:rPr>
      </w:pPr>
      <w:r>
        <w:rPr>
          <w:rFonts w:hint="eastAsia" w:asciiTheme="minorEastAsia" w:hAnsiTheme="minorEastAsia" w:cstheme="minorEastAsia"/>
          <w:sz w:val="24"/>
          <w:szCs w:val="24"/>
          <w:highlight w:val="none"/>
        </w:rPr>
        <w:t>六、发布公告的媒介</w:t>
      </w:r>
    </w:p>
    <w:p w14:paraId="7676C565">
      <w:pPr>
        <w:spacing w:line="360" w:lineRule="auto"/>
        <w:ind w:firstLine="566" w:firstLineChars="236"/>
        <w:rPr>
          <w:rFonts w:hint="eastAsia" w:asciiTheme="minorEastAsia" w:hAnsiTheme="minorEastAsia" w:cstheme="minorEastAsia"/>
          <w:sz w:val="24"/>
          <w:szCs w:val="24"/>
          <w:highlight w:val="none"/>
        </w:rPr>
      </w:pPr>
      <w:r>
        <w:rPr>
          <w:rFonts w:hint="eastAsia" w:asciiTheme="minorEastAsia" w:hAnsiTheme="minorEastAsia" w:cstheme="minorEastAsia"/>
          <w:sz w:val="24"/>
          <w:szCs w:val="24"/>
          <w:highlight w:val="none"/>
        </w:rPr>
        <w:t>本次公告在《</w:t>
      </w:r>
      <w:r>
        <w:rPr>
          <w:rFonts w:hint="eastAsia" w:ascii="宋体" w:hAnsi="宋体" w:cs="Calibri"/>
          <w:kern w:val="0"/>
          <w:sz w:val="24"/>
          <w:highlight w:val="none"/>
          <w:lang w:eastAsia="zh-CN"/>
        </w:rPr>
        <w:t>中国招标投标公共服务平台</w:t>
      </w:r>
      <w:r>
        <w:rPr>
          <w:rFonts w:hint="eastAsia" w:asciiTheme="minorEastAsia" w:hAnsiTheme="minorEastAsia" w:cstheme="minorEastAsia"/>
          <w:sz w:val="24"/>
          <w:szCs w:val="24"/>
          <w:highlight w:val="none"/>
        </w:rPr>
        <w:t>》、《河南省政府采购网》、《三门峡市公共资源交易中心》上发布。</w:t>
      </w:r>
    </w:p>
    <w:p w14:paraId="457FBD56">
      <w:pPr>
        <w:spacing w:line="360" w:lineRule="auto"/>
        <w:ind w:firstLine="566" w:firstLineChars="236"/>
        <w:rPr>
          <w:rFonts w:hint="eastAsia" w:asciiTheme="minorEastAsia" w:hAnsiTheme="minorEastAsia" w:cstheme="minorEastAsia"/>
          <w:sz w:val="24"/>
          <w:szCs w:val="24"/>
          <w:highlight w:val="none"/>
        </w:rPr>
      </w:pPr>
      <w:r>
        <w:rPr>
          <w:rFonts w:hint="eastAsia" w:asciiTheme="minorEastAsia" w:hAnsiTheme="minorEastAsia" w:cstheme="minorEastAsia"/>
          <w:sz w:val="24"/>
          <w:szCs w:val="24"/>
          <w:highlight w:val="none"/>
        </w:rPr>
        <w:t>七、其他补充事宜</w:t>
      </w:r>
    </w:p>
    <w:p w14:paraId="508F59A4">
      <w:pPr>
        <w:spacing w:line="360" w:lineRule="auto"/>
        <w:ind w:firstLine="484" w:firstLineChars="202"/>
        <w:rPr>
          <w:rFonts w:hint="eastAsia" w:asciiTheme="minorEastAsia" w:hAnsiTheme="minorEastAsia" w:cstheme="minorEastAsia"/>
          <w:sz w:val="24"/>
          <w:szCs w:val="24"/>
          <w:highlight w:val="none"/>
        </w:rPr>
      </w:pPr>
      <w:r>
        <w:rPr>
          <w:rFonts w:hint="eastAsia" w:asciiTheme="minorEastAsia" w:hAnsiTheme="minorEastAsia" w:cstheme="minorEastAsia"/>
          <w:sz w:val="24"/>
          <w:szCs w:val="24"/>
          <w:highlight w:val="none"/>
        </w:rPr>
        <w:t>1.本项目为不见面开标项目，开标当日，供应商无需到开标现场参加开标会议，供应商应当在投标截止时间前，登陆不见面开标大厅选择登陆三门峡市公共资源电子招投标系统进行登陆（网址为</w:t>
      </w:r>
      <w:r>
        <w:rPr>
          <w:rFonts w:asciiTheme="minorEastAsia" w:hAnsiTheme="minorEastAsia" w:cstheme="minorEastAsia"/>
          <w:sz w:val="24"/>
          <w:szCs w:val="24"/>
          <w:highlight w:val="none"/>
        </w:rPr>
        <w:t>http://120.194.249.36:10094/BidOpening/bidopeninghallaction/hall/login</w:t>
      </w:r>
      <w:r>
        <w:rPr>
          <w:rFonts w:hint="eastAsia" w:asciiTheme="minorEastAsia" w:hAnsiTheme="minorEastAsia" w:cstheme="minorEastAsia"/>
          <w:sz w:val="24"/>
          <w:szCs w:val="24"/>
          <w:highlight w:val="none"/>
        </w:rPr>
        <w:t>）,在线准时参加开标活动并进行投标文件解密等。每位供应商的解密时间为开标时间起30分钟内完成。因供应商原因未能解密、解密失败或解密超时的将被拒绝。</w:t>
      </w:r>
    </w:p>
    <w:p w14:paraId="266EDAC5">
      <w:pPr>
        <w:spacing w:line="360" w:lineRule="auto"/>
        <w:ind w:firstLine="484" w:firstLineChars="202"/>
        <w:rPr>
          <w:rFonts w:hint="eastAsia" w:asciiTheme="minorEastAsia" w:hAnsiTheme="minorEastAsia" w:cstheme="minorEastAsia"/>
          <w:sz w:val="24"/>
          <w:szCs w:val="24"/>
          <w:highlight w:val="none"/>
        </w:rPr>
      </w:pPr>
      <w:r>
        <w:rPr>
          <w:rFonts w:hint="eastAsia" w:asciiTheme="minorEastAsia" w:hAnsiTheme="minorEastAsia" w:cstheme="minorEastAsia"/>
          <w:sz w:val="24"/>
          <w:szCs w:val="24"/>
          <w:highlight w:val="none"/>
        </w:rPr>
        <w:t>2.本项目为电子化、无纸化交易项目，开标时不再接受任何纸质资料，为保证您能投标成功，请需仔细阅读招标文件和三门峡市公共资源交易中心官网业务办理指南。</w:t>
      </w:r>
    </w:p>
    <w:p w14:paraId="05CB8A84">
      <w:pPr>
        <w:spacing w:line="360" w:lineRule="auto"/>
        <w:ind w:firstLine="484" w:firstLineChars="202"/>
        <w:rPr>
          <w:rFonts w:hint="eastAsia" w:asciiTheme="minorEastAsia" w:hAnsiTheme="minorEastAsia" w:cstheme="minorEastAsia"/>
          <w:sz w:val="24"/>
          <w:szCs w:val="24"/>
          <w:highlight w:val="none"/>
        </w:rPr>
      </w:pPr>
      <w:r>
        <w:rPr>
          <w:rFonts w:hint="eastAsia" w:asciiTheme="minorEastAsia" w:hAnsiTheme="minorEastAsia" w:cstheme="minorEastAsia"/>
          <w:sz w:val="24"/>
          <w:szCs w:val="24"/>
          <w:highlight w:val="none"/>
        </w:rPr>
        <w:t>3.根据《河南省财政厅关于优化政府采购营商环境有关问题的通知》（豫财购【2019】4号）第6条的规定，投标保证金不再收取。</w:t>
      </w:r>
    </w:p>
    <w:p w14:paraId="6C8DA059">
      <w:pPr>
        <w:spacing w:line="360" w:lineRule="auto"/>
        <w:ind w:firstLine="484" w:firstLineChars="202"/>
        <w:rPr>
          <w:rFonts w:hint="eastAsia" w:asciiTheme="minorEastAsia" w:hAnsiTheme="minorEastAsia" w:cstheme="minorEastAsia"/>
          <w:sz w:val="24"/>
          <w:szCs w:val="24"/>
          <w:highlight w:val="none"/>
        </w:rPr>
      </w:pPr>
      <w:r>
        <w:rPr>
          <w:rFonts w:hint="eastAsia" w:asciiTheme="minorEastAsia" w:hAnsiTheme="minorEastAsia" w:cstheme="minorEastAsia"/>
          <w:sz w:val="24"/>
          <w:szCs w:val="24"/>
          <w:highlight w:val="none"/>
        </w:rPr>
        <w:t>4.</w:t>
      </w:r>
      <w:r>
        <w:rPr>
          <w:rFonts w:hint="eastAsia"/>
          <w:sz w:val="24"/>
          <w:szCs w:val="24"/>
          <w:highlight w:val="none"/>
        </w:rPr>
        <w:t xml:space="preserve"> </w:t>
      </w:r>
      <w:r>
        <w:rPr>
          <w:rFonts w:hint="eastAsia" w:asciiTheme="minorEastAsia" w:hAnsiTheme="minorEastAsia" w:cstheme="minorEastAsia"/>
          <w:sz w:val="24"/>
          <w:szCs w:val="24"/>
          <w:highlight w:val="none"/>
        </w:rPr>
        <w:t>资格评（预）审部分：资格评（预）以投标文件为准，其上传资料真实性由供应商自行承担。同时，供应商应在开标前自行完善主体库信息。</w:t>
      </w:r>
    </w:p>
    <w:p w14:paraId="104D7198">
      <w:pPr>
        <w:spacing w:line="360" w:lineRule="auto"/>
        <w:ind w:firstLine="484" w:firstLineChars="202"/>
        <w:rPr>
          <w:rFonts w:hint="eastAsia" w:asciiTheme="minorEastAsia" w:hAnsiTheme="minorEastAsia" w:cstheme="minorEastAsia"/>
          <w:sz w:val="24"/>
          <w:szCs w:val="24"/>
          <w:highlight w:val="none"/>
        </w:rPr>
      </w:pPr>
      <w:r>
        <w:rPr>
          <w:rFonts w:hint="eastAsia" w:asciiTheme="minorEastAsia" w:hAnsiTheme="minorEastAsia" w:cstheme="minorEastAsia"/>
          <w:sz w:val="24"/>
          <w:szCs w:val="24"/>
          <w:highlight w:val="none"/>
        </w:rPr>
        <w:t>5.评标打分部分：评标打分部分仍按照100分制原则进行，涉及到资格审查、企业荣誉、企业业绩等计分部分时，以投标单位自行上传到投标文件中的相应内容为准。</w:t>
      </w:r>
    </w:p>
    <w:p w14:paraId="060B800E">
      <w:pPr>
        <w:spacing w:line="360" w:lineRule="auto"/>
        <w:ind w:firstLine="484" w:firstLineChars="202"/>
        <w:rPr>
          <w:rFonts w:hint="eastAsia" w:asciiTheme="minorEastAsia" w:hAnsiTheme="minorEastAsia" w:cstheme="minorEastAsia"/>
          <w:sz w:val="24"/>
          <w:szCs w:val="24"/>
          <w:highlight w:val="none"/>
        </w:rPr>
      </w:pPr>
      <w:r>
        <w:rPr>
          <w:rFonts w:hint="eastAsia" w:asciiTheme="minorEastAsia" w:hAnsiTheme="minorEastAsia" w:cstheme="minorEastAsia"/>
          <w:sz w:val="24"/>
          <w:szCs w:val="24"/>
          <w:highlight w:val="none"/>
        </w:rPr>
        <w:t>6.在招标文件中要求供应商按照投标文件格式进行投标文件编制，在投标文件编制时，应明确将供应商企业基本情况、人员情况、财务情况、业绩情况编入投标文件，便于进行资格审查及评标打分。</w:t>
      </w:r>
    </w:p>
    <w:p w14:paraId="023C5688">
      <w:pPr>
        <w:spacing w:line="360" w:lineRule="auto"/>
        <w:ind w:firstLine="484" w:firstLineChars="202"/>
        <w:rPr>
          <w:rFonts w:hint="eastAsia" w:asciiTheme="minorEastAsia" w:hAnsiTheme="minorEastAsia" w:cstheme="minorEastAsia"/>
          <w:sz w:val="24"/>
          <w:szCs w:val="24"/>
          <w:highlight w:val="none"/>
        </w:rPr>
      </w:pPr>
      <w:r>
        <w:rPr>
          <w:rFonts w:hint="eastAsia" w:asciiTheme="minorEastAsia" w:hAnsiTheme="minorEastAsia" w:cstheme="minorEastAsia"/>
          <w:sz w:val="24"/>
          <w:szCs w:val="24"/>
          <w:highlight w:val="none"/>
        </w:rPr>
        <w:t>7.我单位（采购人）严格按三财购【2021】9号文要求的时限发布中标结果公告，发出中标通知书，签订采购合同，上传采购合同。</w:t>
      </w:r>
    </w:p>
    <w:p w14:paraId="5FD050C8">
      <w:pPr>
        <w:spacing w:line="360" w:lineRule="auto"/>
        <w:ind w:firstLine="484" w:firstLineChars="202"/>
        <w:rPr>
          <w:rFonts w:hint="eastAsia" w:asciiTheme="minorEastAsia" w:hAnsiTheme="minorEastAsia" w:cstheme="minorEastAsia"/>
          <w:sz w:val="24"/>
          <w:szCs w:val="24"/>
          <w:highlight w:val="none"/>
        </w:rPr>
      </w:pPr>
      <w:r>
        <w:rPr>
          <w:rFonts w:hint="eastAsia" w:asciiTheme="minorEastAsia" w:hAnsiTheme="minorEastAsia" w:cstheme="minorEastAsia"/>
          <w:sz w:val="24"/>
          <w:szCs w:val="24"/>
          <w:highlight w:val="none"/>
        </w:rPr>
        <w:t>八、凡对本次招标提出询问，请按照以下方式联系</w:t>
      </w:r>
    </w:p>
    <w:p w14:paraId="55B7FD65">
      <w:pPr>
        <w:spacing w:line="360" w:lineRule="auto"/>
        <w:ind w:firstLine="484" w:firstLineChars="202"/>
        <w:rPr>
          <w:rFonts w:hint="eastAsia" w:asciiTheme="minorEastAsia" w:hAnsiTheme="minorEastAsia" w:cstheme="minorEastAsia"/>
          <w:sz w:val="24"/>
          <w:szCs w:val="24"/>
          <w:highlight w:val="none"/>
        </w:rPr>
      </w:pPr>
      <w:r>
        <w:rPr>
          <w:rFonts w:hint="eastAsia" w:asciiTheme="minorEastAsia" w:hAnsiTheme="minorEastAsia" w:cstheme="minorEastAsia"/>
          <w:sz w:val="24"/>
          <w:szCs w:val="24"/>
          <w:highlight w:val="none"/>
        </w:rPr>
        <w:t>1、</w:t>
      </w:r>
      <w:bookmarkStart w:id="15" w:name="_Hlk139302531"/>
      <w:r>
        <w:rPr>
          <w:rFonts w:hint="eastAsia" w:asciiTheme="minorEastAsia" w:hAnsiTheme="minorEastAsia" w:cstheme="minorEastAsia"/>
          <w:sz w:val="24"/>
          <w:szCs w:val="24"/>
          <w:highlight w:val="none"/>
        </w:rPr>
        <w:t>监督单位：渑池县政府采购办公室</w:t>
      </w:r>
      <w:bookmarkEnd w:id="15"/>
    </w:p>
    <w:p w14:paraId="0E80FC63">
      <w:pPr>
        <w:spacing w:line="360" w:lineRule="auto"/>
        <w:ind w:firstLine="484" w:firstLineChars="202"/>
        <w:rPr>
          <w:rFonts w:hint="eastAsia" w:asciiTheme="minorEastAsia" w:hAnsiTheme="minorEastAsia" w:cstheme="minorEastAsia"/>
          <w:sz w:val="24"/>
          <w:szCs w:val="24"/>
          <w:highlight w:val="none"/>
        </w:rPr>
      </w:pPr>
      <w:r>
        <w:rPr>
          <w:rFonts w:hint="eastAsia" w:asciiTheme="minorEastAsia" w:hAnsiTheme="minorEastAsia" w:cstheme="minorEastAsia"/>
          <w:sz w:val="24"/>
          <w:szCs w:val="24"/>
          <w:highlight w:val="none"/>
        </w:rPr>
        <w:t>联系方式：</w:t>
      </w:r>
      <w:bookmarkStart w:id="16" w:name="_Hlk139302540"/>
      <w:r>
        <w:rPr>
          <w:rFonts w:hint="eastAsia" w:asciiTheme="minorEastAsia" w:hAnsiTheme="minorEastAsia" w:cstheme="minorEastAsia"/>
          <w:sz w:val="24"/>
          <w:szCs w:val="24"/>
          <w:highlight w:val="none"/>
        </w:rPr>
        <w:t>0398-4818677</w:t>
      </w:r>
      <w:bookmarkEnd w:id="16"/>
    </w:p>
    <w:p w14:paraId="5BC24244">
      <w:pPr>
        <w:spacing w:line="360" w:lineRule="auto"/>
        <w:ind w:firstLine="480" w:firstLineChars="200"/>
        <w:outlineLvl w:val="1"/>
        <w:rPr>
          <w:rFonts w:hint="eastAsia" w:asciiTheme="minorEastAsia" w:hAnsiTheme="minorEastAsia" w:cstheme="minorEastAsia"/>
          <w:sz w:val="24"/>
          <w:szCs w:val="24"/>
          <w:highlight w:val="none"/>
          <w:lang w:eastAsia="zh-CN"/>
        </w:rPr>
      </w:pPr>
      <w:bookmarkStart w:id="17" w:name="_Toc27640"/>
      <w:bookmarkStart w:id="18" w:name="_Toc8198"/>
      <w:r>
        <w:rPr>
          <w:rFonts w:hint="eastAsia" w:asciiTheme="minorEastAsia" w:hAnsiTheme="minorEastAsia" w:cstheme="minorEastAsia"/>
          <w:sz w:val="24"/>
          <w:szCs w:val="24"/>
          <w:highlight w:val="none"/>
        </w:rPr>
        <w:t>2、</w:t>
      </w:r>
      <w:bookmarkEnd w:id="17"/>
      <w:bookmarkEnd w:id="18"/>
      <w:bookmarkStart w:id="19" w:name="_Toc6612"/>
      <w:r>
        <w:rPr>
          <w:rFonts w:hint="eastAsia" w:asciiTheme="minorEastAsia" w:hAnsiTheme="minorEastAsia" w:cstheme="minorEastAsia"/>
          <w:sz w:val="24"/>
          <w:szCs w:val="24"/>
          <w:highlight w:val="none"/>
        </w:rPr>
        <w:t>采购人：</w:t>
      </w:r>
      <w:r>
        <w:rPr>
          <w:rFonts w:hint="eastAsia" w:asciiTheme="minorEastAsia" w:hAnsiTheme="minorEastAsia" w:cstheme="minorEastAsia"/>
          <w:sz w:val="24"/>
          <w:szCs w:val="24"/>
          <w:highlight w:val="none"/>
          <w:lang w:eastAsia="zh-CN"/>
        </w:rPr>
        <w:t>渑池县农业农村局</w:t>
      </w:r>
    </w:p>
    <w:p w14:paraId="7067DF42">
      <w:pPr>
        <w:spacing w:line="360" w:lineRule="auto"/>
        <w:ind w:firstLine="480" w:firstLineChars="200"/>
        <w:outlineLvl w:val="1"/>
        <w:rPr>
          <w:rFonts w:hint="eastAsia" w:asciiTheme="minorEastAsia" w:hAnsiTheme="minorEastAsia" w:cstheme="minorEastAsia"/>
          <w:sz w:val="24"/>
          <w:szCs w:val="24"/>
          <w:highlight w:val="none"/>
        </w:rPr>
      </w:pPr>
      <w:r>
        <w:rPr>
          <w:rFonts w:hint="eastAsia" w:asciiTheme="minorEastAsia" w:hAnsiTheme="minorEastAsia" w:cstheme="minorEastAsia"/>
          <w:sz w:val="24"/>
          <w:szCs w:val="24"/>
          <w:highlight w:val="none"/>
        </w:rPr>
        <w:t>地址：渑池县城关镇会盟大道西段洋河桥西 200 米</w:t>
      </w:r>
    </w:p>
    <w:p w14:paraId="05A44F5C">
      <w:pPr>
        <w:spacing w:line="360" w:lineRule="auto"/>
        <w:ind w:firstLine="480" w:firstLineChars="200"/>
        <w:outlineLvl w:val="1"/>
        <w:rPr>
          <w:rFonts w:hint="eastAsia" w:asciiTheme="minorEastAsia" w:hAnsiTheme="minorEastAsia" w:cstheme="minorEastAsia"/>
          <w:sz w:val="24"/>
          <w:szCs w:val="24"/>
          <w:highlight w:val="none"/>
          <w:lang w:val="en-US" w:eastAsia="zh-CN"/>
        </w:rPr>
      </w:pPr>
      <w:r>
        <w:rPr>
          <w:rFonts w:hint="eastAsia" w:asciiTheme="minorEastAsia" w:hAnsiTheme="minorEastAsia" w:cstheme="minorEastAsia"/>
          <w:sz w:val="24"/>
          <w:szCs w:val="24"/>
          <w:highlight w:val="none"/>
        </w:rPr>
        <w:t>联系人：刘</w:t>
      </w:r>
      <w:r>
        <w:rPr>
          <w:rFonts w:hint="eastAsia" w:asciiTheme="minorEastAsia" w:hAnsiTheme="minorEastAsia" w:cstheme="minorEastAsia"/>
          <w:sz w:val="24"/>
          <w:szCs w:val="24"/>
          <w:highlight w:val="none"/>
          <w:lang w:val="en-US" w:eastAsia="zh-CN"/>
        </w:rPr>
        <w:t>先生</w:t>
      </w:r>
    </w:p>
    <w:p w14:paraId="3351DCCD">
      <w:pPr>
        <w:spacing w:line="360" w:lineRule="auto"/>
        <w:ind w:firstLine="480" w:firstLineChars="200"/>
        <w:outlineLvl w:val="1"/>
        <w:rPr>
          <w:rFonts w:hint="eastAsia" w:asciiTheme="minorEastAsia" w:hAnsiTheme="minorEastAsia" w:cstheme="minorEastAsia"/>
          <w:sz w:val="24"/>
          <w:szCs w:val="24"/>
          <w:highlight w:val="none"/>
          <w:lang w:eastAsia="zh-CN"/>
        </w:rPr>
      </w:pPr>
      <w:r>
        <w:rPr>
          <w:rFonts w:hint="eastAsia" w:asciiTheme="minorEastAsia" w:hAnsiTheme="minorEastAsia" w:cstheme="minorEastAsia"/>
          <w:sz w:val="24"/>
          <w:szCs w:val="24"/>
          <w:highlight w:val="none"/>
          <w:lang w:eastAsia="zh-CN"/>
        </w:rPr>
        <w:t>联系方式：13525216780</w:t>
      </w:r>
    </w:p>
    <w:p w14:paraId="5F75AB37">
      <w:pPr>
        <w:spacing w:line="360" w:lineRule="auto"/>
        <w:ind w:firstLine="480" w:firstLineChars="200"/>
        <w:outlineLvl w:val="1"/>
        <w:rPr>
          <w:rFonts w:hint="eastAsia" w:ascii="宋体" w:hAnsi="宋体" w:cs="宋体"/>
          <w:color w:val="auto"/>
          <w:kern w:val="0"/>
          <w:sz w:val="24"/>
          <w:szCs w:val="24"/>
          <w:highlight w:val="none"/>
          <w:lang w:val="en-US" w:eastAsia="zh-CN"/>
        </w:rPr>
      </w:pPr>
      <w:r>
        <w:rPr>
          <w:rFonts w:hint="eastAsia" w:asciiTheme="minorEastAsia" w:hAnsiTheme="minorEastAsia" w:cstheme="minorEastAsia"/>
          <w:sz w:val="24"/>
          <w:szCs w:val="24"/>
          <w:highlight w:val="none"/>
        </w:rPr>
        <w:t>3、</w:t>
      </w:r>
      <w:bookmarkEnd w:id="19"/>
      <w:r>
        <w:rPr>
          <w:rFonts w:hint="eastAsia" w:ascii="宋体" w:hAnsi="宋体" w:cs="宋体"/>
          <w:color w:val="auto"/>
          <w:kern w:val="0"/>
          <w:sz w:val="24"/>
          <w:szCs w:val="24"/>
          <w:highlight w:val="none"/>
          <w:lang w:val="en-US" w:eastAsia="zh-CN"/>
        </w:rPr>
        <w:t>代理机构：河南昱通工程管理有限公司</w:t>
      </w:r>
    </w:p>
    <w:p w14:paraId="588DBECA">
      <w:pPr>
        <w:spacing w:line="360" w:lineRule="auto"/>
        <w:ind w:firstLine="480" w:firstLineChars="200"/>
        <w:outlineLvl w:val="1"/>
        <w:rPr>
          <w:rFonts w:hint="eastAsia" w:ascii="宋体" w:hAnsi="宋体" w:cs="宋体"/>
          <w:color w:val="auto"/>
          <w:kern w:val="0"/>
          <w:sz w:val="24"/>
          <w:szCs w:val="24"/>
          <w:highlight w:val="none"/>
          <w:lang w:val="en-US" w:eastAsia="zh-CN"/>
        </w:rPr>
      </w:pPr>
      <w:r>
        <w:rPr>
          <w:rFonts w:hint="eastAsia" w:ascii="宋体" w:hAnsi="宋体" w:cs="宋体"/>
          <w:color w:val="auto"/>
          <w:kern w:val="0"/>
          <w:sz w:val="24"/>
          <w:szCs w:val="24"/>
          <w:highlight w:val="none"/>
          <w:lang w:val="en-US" w:eastAsia="zh-CN"/>
        </w:rPr>
        <w:t>地址：河南自贸试验区郑州片区（郑东）普惠路68号1单元22层2206号</w:t>
      </w:r>
    </w:p>
    <w:p w14:paraId="79B883A0">
      <w:pPr>
        <w:spacing w:line="360" w:lineRule="auto"/>
        <w:ind w:firstLine="480" w:firstLineChars="200"/>
        <w:outlineLvl w:val="1"/>
        <w:rPr>
          <w:rFonts w:hint="eastAsia" w:ascii="宋体" w:hAnsi="宋体" w:cs="宋体"/>
          <w:color w:val="auto"/>
          <w:kern w:val="0"/>
          <w:sz w:val="24"/>
          <w:szCs w:val="24"/>
          <w:highlight w:val="none"/>
          <w:lang w:val="en-US" w:eastAsia="zh-CN"/>
        </w:rPr>
      </w:pPr>
      <w:r>
        <w:rPr>
          <w:rFonts w:hint="eastAsia" w:ascii="宋体" w:hAnsi="宋体" w:cs="宋体"/>
          <w:color w:val="auto"/>
          <w:kern w:val="0"/>
          <w:sz w:val="24"/>
          <w:szCs w:val="24"/>
          <w:highlight w:val="none"/>
          <w:lang w:val="en-US" w:eastAsia="zh-CN"/>
        </w:rPr>
        <w:t>联系人：荆女士</w:t>
      </w:r>
    </w:p>
    <w:p w14:paraId="56E5B711">
      <w:pPr>
        <w:spacing w:line="360" w:lineRule="auto"/>
        <w:ind w:firstLine="480" w:firstLineChars="200"/>
        <w:outlineLvl w:val="1"/>
        <w:rPr>
          <w:rFonts w:hint="eastAsia" w:ascii="宋体" w:hAnsi="宋体" w:cs="宋体"/>
          <w:color w:val="auto"/>
          <w:kern w:val="0"/>
          <w:sz w:val="24"/>
          <w:szCs w:val="24"/>
          <w:highlight w:val="none"/>
          <w:lang w:val="en-US" w:eastAsia="zh-CN"/>
        </w:rPr>
      </w:pPr>
      <w:r>
        <w:rPr>
          <w:rFonts w:hint="eastAsia" w:ascii="宋体" w:hAnsi="宋体" w:cs="宋体"/>
          <w:color w:val="auto"/>
          <w:kern w:val="0"/>
          <w:sz w:val="24"/>
          <w:szCs w:val="24"/>
          <w:highlight w:val="none"/>
          <w:lang w:val="en-US" w:eastAsia="zh-CN"/>
        </w:rPr>
        <w:t>联系方式：15936238582</w:t>
      </w:r>
    </w:p>
    <w:p w14:paraId="6438EACC">
      <w:pPr>
        <w:spacing w:line="360" w:lineRule="auto"/>
        <w:ind w:firstLine="484" w:firstLineChars="202"/>
        <w:rPr>
          <w:rFonts w:hint="eastAsia" w:asciiTheme="minorEastAsia" w:hAnsiTheme="minorEastAsia" w:cstheme="minorEastAsia"/>
          <w:sz w:val="24"/>
          <w:szCs w:val="24"/>
          <w:highlight w:val="none"/>
        </w:rPr>
      </w:pPr>
    </w:p>
    <w:p w14:paraId="08021130">
      <w:pPr>
        <w:adjustRightInd w:val="0"/>
        <w:snapToGrid w:val="0"/>
        <w:spacing w:line="360" w:lineRule="auto"/>
        <w:ind w:firstLine="480" w:firstLineChars="200"/>
        <w:outlineLvl w:val="9"/>
        <w:rPr>
          <w:rFonts w:hint="eastAsia" w:ascii="宋体" w:hAnsi="宋体" w:cs="宋体"/>
          <w:sz w:val="24"/>
          <w:highlight w:val="none"/>
        </w:rPr>
      </w:pPr>
      <w:r>
        <w:rPr>
          <w:rFonts w:hint="eastAsia" w:ascii="宋体" w:hAnsi="宋体" w:cs="宋体"/>
          <w:sz w:val="24"/>
          <w:highlight w:val="none"/>
        </w:rPr>
        <w:br w:type="page"/>
      </w:r>
    </w:p>
    <w:p w14:paraId="525A1549">
      <w:pPr>
        <w:pStyle w:val="7"/>
        <w:jc w:val="center"/>
        <w:rPr>
          <w:highlight w:val="none"/>
        </w:rPr>
      </w:pPr>
      <w:bookmarkStart w:id="20" w:name="_Toc18788"/>
      <w:bookmarkStart w:id="21" w:name="_Toc10227"/>
      <w:bookmarkStart w:id="22" w:name="_Toc20926"/>
      <w:bookmarkStart w:id="23" w:name="_Toc32032"/>
      <w:bookmarkStart w:id="24" w:name="_Toc31308"/>
      <w:bookmarkStart w:id="25" w:name="_Toc43302780"/>
      <w:r>
        <w:rPr>
          <w:rFonts w:hint="eastAsia"/>
          <w:highlight w:val="none"/>
        </w:rPr>
        <w:t>第二章</w:t>
      </w:r>
      <w:bookmarkEnd w:id="20"/>
      <w:r>
        <w:rPr>
          <w:rFonts w:hint="eastAsia"/>
          <w:highlight w:val="none"/>
        </w:rPr>
        <w:t xml:space="preserve">  供应商须知</w:t>
      </w:r>
      <w:bookmarkEnd w:id="21"/>
      <w:bookmarkEnd w:id="22"/>
      <w:bookmarkEnd w:id="23"/>
      <w:bookmarkEnd w:id="24"/>
      <w:bookmarkEnd w:id="25"/>
    </w:p>
    <w:p w14:paraId="64EF69DC">
      <w:pPr>
        <w:widowControl/>
        <w:jc w:val="center"/>
        <w:rPr>
          <w:sz w:val="24"/>
          <w:highlight w:val="none"/>
        </w:rPr>
      </w:pPr>
      <w:bookmarkStart w:id="26" w:name="_Toc44996337"/>
      <w:bookmarkEnd w:id="26"/>
      <w:r>
        <w:rPr>
          <w:rFonts w:hint="eastAsia"/>
          <w:sz w:val="24"/>
          <w:highlight w:val="none"/>
        </w:rPr>
        <w:t>供应商须知前附表</w:t>
      </w:r>
    </w:p>
    <w:tbl>
      <w:tblPr>
        <w:tblStyle w:val="24"/>
        <w:tblW w:w="9120" w:type="dxa"/>
        <w:jc w:val="center"/>
        <w:tblLayout w:type="fixed"/>
        <w:tblCellMar>
          <w:top w:w="0" w:type="dxa"/>
          <w:left w:w="108" w:type="dxa"/>
          <w:bottom w:w="0" w:type="dxa"/>
          <w:right w:w="108" w:type="dxa"/>
        </w:tblCellMar>
      </w:tblPr>
      <w:tblGrid>
        <w:gridCol w:w="697"/>
        <w:gridCol w:w="2070"/>
        <w:gridCol w:w="6353"/>
      </w:tblGrid>
      <w:tr w14:paraId="10EC256E">
        <w:tblPrEx>
          <w:tblCellMar>
            <w:top w:w="0" w:type="dxa"/>
            <w:left w:w="108" w:type="dxa"/>
            <w:bottom w:w="0" w:type="dxa"/>
            <w:right w:w="108" w:type="dxa"/>
          </w:tblCellMar>
        </w:tblPrEx>
        <w:trPr>
          <w:trHeight w:val="411" w:hRule="atLeast"/>
          <w:jc w:val="center"/>
        </w:trPr>
        <w:tc>
          <w:tcPr>
            <w:tcW w:w="697" w:type="dxa"/>
            <w:tcBorders>
              <w:top w:val="single" w:color="auto" w:sz="4" w:space="0"/>
              <w:left w:val="single" w:color="auto" w:sz="4" w:space="0"/>
              <w:bottom w:val="single" w:color="auto" w:sz="4" w:space="0"/>
              <w:right w:val="single" w:color="auto" w:sz="4" w:space="0"/>
            </w:tcBorders>
            <w:vAlign w:val="center"/>
          </w:tcPr>
          <w:p w14:paraId="4FBCFCAE">
            <w:pPr>
              <w:widowControl/>
              <w:jc w:val="center"/>
              <w:rPr>
                <w:rFonts w:hint="eastAsia" w:ascii="宋体" w:hAnsi="宋体" w:cs="Calibri"/>
                <w:sz w:val="24"/>
                <w:highlight w:val="none"/>
              </w:rPr>
            </w:pPr>
            <w:r>
              <w:rPr>
                <w:rFonts w:hint="eastAsia" w:ascii="宋体" w:hAnsi="宋体" w:cs="Calibri"/>
                <w:kern w:val="0"/>
                <w:sz w:val="24"/>
                <w:highlight w:val="none"/>
              </w:rPr>
              <w:t>序号</w:t>
            </w:r>
          </w:p>
        </w:tc>
        <w:tc>
          <w:tcPr>
            <w:tcW w:w="2070" w:type="dxa"/>
            <w:tcBorders>
              <w:top w:val="single" w:color="auto" w:sz="4" w:space="0"/>
              <w:left w:val="nil"/>
              <w:bottom w:val="single" w:color="auto" w:sz="4" w:space="0"/>
              <w:right w:val="single" w:color="auto" w:sz="4" w:space="0"/>
            </w:tcBorders>
            <w:vAlign w:val="center"/>
          </w:tcPr>
          <w:p w14:paraId="20367E4C">
            <w:pPr>
              <w:widowControl/>
              <w:ind w:firstLine="240" w:firstLineChars="100"/>
              <w:jc w:val="center"/>
              <w:rPr>
                <w:rFonts w:hint="eastAsia" w:ascii="宋体" w:hAnsi="宋体" w:cs="Calibri"/>
                <w:sz w:val="24"/>
                <w:highlight w:val="none"/>
              </w:rPr>
            </w:pPr>
            <w:r>
              <w:rPr>
                <w:rFonts w:hint="eastAsia" w:ascii="宋体" w:hAnsi="宋体" w:cs="Calibri"/>
                <w:kern w:val="0"/>
                <w:sz w:val="24"/>
                <w:highlight w:val="none"/>
              </w:rPr>
              <w:t>条款名称</w:t>
            </w:r>
          </w:p>
        </w:tc>
        <w:tc>
          <w:tcPr>
            <w:tcW w:w="6353" w:type="dxa"/>
            <w:tcBorders>
              <w:top w:val="single" w:color="auto" w:sz="4" w:space="0"/>
              <w:left w:val="nil"/>
              <w:bottom w:val="single" w:color="auto" w:sz="4" w:space="0"/>
              <w:right w:val="single" w:color="auto" w:sz="4" w:space="0"/>
            </w:tcBorders>
            <w:vAlign w:val="center"/>
          </w:tcPr>
          <w:p w14:paraId="6597F057">
            <w:pPr>
              <w:widowControl/>
              <w:ind w:left="-48" w:leftChars="-23"/>
              <w:jc w:val="center"/>
              <w:rPr>
                <w:rFonts w:hint="eastAsia" w:ascii="宋体" w:hAnsi="宋体" w:cs="Calibri"/>
                <w:sz w:val="24"/>
                <w:highlight w:val="none"/>
              </w:rPr>
            </w:pPr>
            <w:r>
              <w:rPr>
                <w:rFonts w:hint="eastAsia" w:ascii="宋体" w:hAnsi="宋体" w:cs="Calibri"/>
                <w:kern w:val="0"/>
                <w:sz w:val="24"/>
                <w:highlight w:val="none"/>
              </w:rPr>
              <w:t>编列内容</w:t>
            </w:r>
          </w:p>
        </w:tc>
      </w:tr>
      <w:tr w14:paraId="7105D11E">
        <w:tblPrEx>
          <w:tblCellMar>
            <w:top w:w="0" w:type="dxa"/>
            <w:left w:w="108" w:type="dxa"/>
            <w:bottom w:w="0" w:type="dxa"/>
            <w:right w:w="108" w:type="dxa"/>
          </w:tblCellMar>
        </w:tblPrEx>
        <w:trPr>
          <w:trHeight w:val="2016" w:hRule="atLeast"/>
          <w:jc w:val="center"/>
        </w:trPr>
        <w:tc>
          <w:tcPr>
            <w:tcW w:w="697" w:type="dxa"/>
            <w:tcBorders>
              <w:top w:val="single" w:color="auto" w:sz="4" w:space="0"/>
              <w:left w:val="single" w:color="auto" w:sz="4" w:space="0"/>
              <w:bottom w:val="single" w:color="auto" w:sz="4" w:space="0"/>
              <w:right w:val="single" w:color="auto" w:sz="4" w:space="0"/>
            </w:tcBorders>
            <w:vAlign w:val="center"/>
          </w:tcPr>
          <w:p w14:paraId="4E64AF0C">
            <w:pPr>
              <w:widowControl/>
              <w:jc w:val="center"/>
              <w:rPr>
                <w:rFonts w:hint="eastAsia" w:ascii="宋体" w:hAnsi="宋体" w:cs="Calibri"/>
                <w:sz w:val="24"/>
                <w:highlight w:val="none"/>
              </w:rPr>
            </w:pPr>
            <w:r>
              <w:rPr>
                <w:rFonts w:hint="eastAsia" w:ascii="宋体" w:hAnsi="宋体" w:cs="Calibri"/>
                <w:kern w:val="0"/>
                <w:sz w:val="24"/>
                <w:highlight w:val="none"/>
              </w:rPr>
              <w:t>1</w:t>
            </w:r>
          </w:p>
        </w:tc>
        <w:tc>
          <w:tcPr>
            <w:tcW w:w="2070" w:type="dxa"/>
            <w:tcBorders>
              <w:top w:val="single" w:color="auto" w:sz="4" w:space="0"/>
              <w:left w:val="nil"/>
              <w:bottom w:val="single" w:color="auto" w:sz="4" w:space="0"/>
              <w:right w:val="single" w:color="auto" w:sz="4" w:space="0"/>
            </w:tcBorders>
            <w:vAlign w:val="center"/>
          </w:tcPr>
          <w:p w14:paraId="079C4125">
            <w:pPr>
              <w:widowControl/>
              <w:jc w:val="center"/>
              <w:rPr>
                <w:rFonts w:hint="eastAsia" w:ascii="宋体" w:hAnsi="宋体" w:cs="Calibri"/>
                <w:sz w:val="24"/>
                <w:highlight w:val="none"/>
              </w:rPr>
            </w:pPr>
            <w:r>
              <w:rPr>
                <w:rFonts w:hint="eastAsia" w:ascii="宋体" w:hAnsi="宋体" w:cs="Calibri"/>
                <w:sz w:val="24"/>
                <w:highlight w:val="none"/>
              </w:rPr>
              <w:t>采购人</w:t>
            </w:r>
          </w:p>
        </w:tc>
        <w:tc>
          <w:tcPr>
            <w:tcW w:w="6353" w:type="dxa"/>
            <w:tcBorders>
              <w:top w:val="single" w:color="auto" w:sz="4" w:space="0"/>
              <w:left w:val="nil"/>
              <w:bottom w:val="single" w:color="auto" w:sz="4" w:space="0"/>
              <w:right w:val="single" w:color="auto" w:sz="4" w:space="0"/>
            </w:tcBorders>
            <w:vAlign w:val="center"/>
          </w:tcPr>
          <w:p w14:paraId="41BA4689">
            <w:pPr>
              <w:spacing w:line="360" w:lineRule="auto"/>
              <w:rPr>
                <w:rFonts w:hint="eastAsia" w:ascii="宋体" w:hAnsi="宋体" w:cs="宋体"/>
                <w:sz w:val="24"/>
                <w:highlight w:val="none"/>
                <w:lang w:eastAsia="zh-CN"/>
              </w:rPr>
            </w:pPr>
            <w:r>
              <w:rPr>
                <w:rFonts w:hint="eastAsia" w:ascii="宋体" w:hAnsi="宋体" w:cs="宋体"/>
                <w:sz w:val="24"/>
                <w:highlight w:val="none"/>
              </w:rPr>
              <w:t>采购人：</w:t>
            </w:r>
            <w:r>
              <w:rPr>
                <w:rFonts w:hint="eastAsia" w:ascii="宋体" w:hAnsi="宋体" w:cs="宋体"/>
                <w:sz w:val="24"/>
                <w:highlight w:val="none"/>
                <w:lang w:eastAsia="zh-CN"/>
              </w:rPr>
              <w:t>渑池县农业农村局</w:t>
            </w:r>
          </w:p>
          <w:p w14:paraId="329A0CCC">
            <w:pPr>
              <w:spacing w:line="360" w:lineRule="auto"/>
              <w:rPr>
                <w:rFonts w:hint="eastAsia" w:ascii="宋体" w:hAnsi="宋体" w:cs="宋体"/>
                <w:sz w:val="24"/>
                <w:highlight w:val="none"/>
              </w:rPr>
            </w:pPr>
            <w:r>
              <w:rPr>
                <w:rFonts w:hint="eastAsia" w:ascii="宋体" w:hAnsi="宋体" w:cs="宋体"/>
                <w:sz w:val="24"/>
                <w:highlight w:val="none"/>
              </w:rPr>
              <w:t>地址：渑池县城关镇会盟大道西段洋河桥西 200 米</w:t>
            </w:r>
          </w:p>
          <w:p w14:paraId="08914A53">
            <w:pPr>
              <w:spacing w:line="360" w:lineRule="auto"/>
              <w:rPr>
                <w:rFonts w:hint="eastAsia" w:ascii="宋体" w:hAnsi="宋体" w:cs="宋体"/>
                <w:sz w:val="24"/>
                <w:highlight w:val="none"/>
                <w:lang w:val="en-US" w:eastAsia="zh-CN"/>
              </w:rPr>
            </w:pPr>
            <w:r>
              <w:rPr>
                <w:rFonts w:hint="eastAsia" w:ascii="宋体" w:hAnsi="宋体" w:cs="宋体"/>
                <w:sz w:val="24"/>
                <w:highlight w:val="none"/>
              </w:rPr>
              <w:t>联系人：刘</w:t>
            </w:r>
            <w:r>
              <w:rPr>
                <w:rFonts w:hint="eastAsia" w:ascii="宋体" w:hAnsi="宋体" w:cs="宋体"/>
                <w:sz w:val="24"/>
                <w:highlight w:val="none"/>
                <w:lang w:val="en-US" w:eastAsia="zh-CN"/>
              </w:rPr>
              <w:t>先生</w:t>
            </w:r>
          </w:p>
          <w:p w14:paraId="1B8AC7CE">
            <w:pPr>
              <w:spacing w:line="360" w:lineRule="auto"/>
              <w:rPr>
                <w:rFonts w:hint="eastAsia" w:ascii="宋体" w:hAnsi="宋体" w:cs="宋体"/>
                <w:sz w:val="24"/>
                <w:highlight w:val="none"/>
              </w:rPr>
            </w:pPr>
            <w:r>
              <w:rPr>
                <w:rFonts w:hint="eastAsia" w:ascii="宋体" w:hAnsi="宋体" w:cs="宋体"/>
                <w:sz w:val="24"/>
                <w:highlight w:val="none"/>
                <w:lang w:eastAsia="zh-CN"/>
              </w:rPr>
              <w:t>联系方式：13525216780</w:t>
            </w:r>
          </w:p>
        </w:tc>
      </w:tr>
      <w:tr w14:paraId="446564F7">
        <w:tblPrEx>
          <w:tblCellMar>
            <w:top w:w="0" w:type="dxa"/>
            <w:left w:w="108" w:type="dxa"/>
            <w:bottom w:w="0" w:type="dxa"/>
            <w:right w:w="108" w:type="dxa"/>
          </w:tblCellMar>
        </w:tblPrEx>
        <w:trPr>
          <w:trHeight w:val="1996" w:hRule="atLeast"/>
          <w:jc w:val="center"/>
        </w:trPr>
        <w:tc>
          <w:tcPr>
            <w:tcW w:w="697" w:type="dxa"/>
            <w:tcBorders>
              <w:top w:val="single" w:color="auto" w:sz="4" w:space="0"/>
              <w:left w:val="single" w:color="auto" w:sz="4" w:space="0"/>
              <w:bottom w:val="single" w:color="auto" w:sz="4" w:space="0"/>
              <w:right w:val="single" w:color="auto" w:sz="4" w:space="0"/>
            </w:tcBorders>
            <w:vAlign w:val="center"/>
          </w:tcPr>
          <w:p w14:paraId="07345254">
            <w:pPr>
              <w:widowControl/>
              <w:jc w:val="center"/>
              <w:rPr>
                <w:rFonts w:hint="eastAsia" w:ascii="宋体" w:hAnsi="宋体" w:cs="Calibri"/>
                <w:sz w:val="24"/>
                <w:highlight w:val="none"/>
              </w:rPr>
            </w:pPr>
            <w:r>
              <w:rPr>
                <w:rFonts w:hint="eastAsia" w:ascii="宋体" w:hAnsi="宋体" w:cs="Calibri"/>
                <w:kern w:val="0"/>
                <w:sz w:val="24"/>
                <w:highlight w:val="none"/>
              </w:rPr>
              <w:t>2</w:t>
            </w:r>
          </w:p>
        </w:tc>
        <w:tc>
          <w:tcPr>
            <w:tcW w:w="2070" w:type="dxa"/>
            <w:tcBorders>
              <w:top w:val="single" w:color="auto" w:sz="4" w:space="0"/>
              <w:left w:val="nil"/>
              <w:bottom w:val="single" w:color="auto" w:sz="4" w:space="0"/>
              <w:right w:val="single" w:color="auto" w:sz="4" w:space="0"/>
            </w:tcBorders>
            <w:vAlign w:val="center"/>
          </w:tcPr>
          <w:p w14:paraId="7D471FAD">
            <w:pPr>
              <w:widowControl/>
              <w:jc w:val="center"/>
              <w:rPr>
                <w:rFonts w:hint="eastAsia" w:ascii="宋体" w:hAnsi="宋体" w:cs="Calibri"/>
                <w:sz w:val="24"/>
                <w:highlight w:val="none"/>
              </w:rPr>
            </w:pPr>
            <w:r>
              <w:rPr>
                <w:rFonts w:hint="eastAsia" w:ascii="宋体" w:hAnsi="宋体" w:cs="Calibri"/>
                <w:kern w:val="0"/>
                <w:sz w:val="24"/>
                <w:highlight w:val="none"/>
              </w:rPr>
              <w:t>采购代理机构</w:t>
            </w:r>
          </w:p>
        </w:tc>
        <w:tc>
          <w:tcPr>
            <w:tcW w:w="6353" w:type="dxa"/>
            <w:tcBorders>
              <w:top w:val="single" w:color="auto" w:sz="4" w:space="0"/>
              <w:left w:val="nil"/>
              <w:bottom w:val="single" w:color="auto" w:sz="4" w:space="0"/>
              <w:right w:val="single" w:color="auto" w:sz="4" w:space="0"/>
            </w:tcBorders>
            <w:vAlign w:val="center"/>
          </w:tcPr>
          <w:p w14:paraId="515344BE">
            <w:pPr>
              <w:spacing w:line="480" w:lineRule="exact"/>
              <w:jc w:val="left"/>
              <w:outlineLvl w:val="0"/>
              <w:rPr>
                <w:rFonts w:hint="eastAsia" w:ascii="宋体" w:hAnsi="宋体" w:cs="宋体"/>
                <w:sz w:val="24"/>
                <w:highlight w:val="none"/>
                <w:lang w:val="en-US" w:eastAsia="zh-CN"/>
              </w:rPr>
            </w:pPr>
            <w:r>
              <w:rPr>
                <w:rFonts w:hint="eastAsia" w:ascii="宋体" w:hAnsi="宋体" w:cs="宋体"/>
                <w:sz w:val="24"/>
                <w:highlight w:val="none"/>
                <w:lang w:val="en-US" w:eastAsia="zh-CN"/>
              </w:rPr>
              <w:t>代理机构：河南昱通工程管理有限公司</w:t>
            </w:r>
          </w:p>
          <w:p w14:paraId="5CD4B32E">
            <w:pPr>
              <w:spacing w:line="480" w:lineRule="exact"/>
              <w:jc w:val="left"/>
              <w:outlineLvl w:val="0"/>
              <w:rPr>
                <w:rFonts w:hint="eastAsia" w:ascii="宋体" w:hAnsi="宋体" w:cs="宋体"/>
                <w:sz w:val="24"/>
                <w:highlight w:val="none"/>
                <w:lang w:val="en-US" w:eastAsia="zh-CN"/>
              </w:rPr>
            </w:pPr>
            <w:r>
              <w:rPr>
                <w:rFonts w:hint="eastAsia" w:ascii="宋体" w:hAnsi="宋体" w:cs="宋体"/>
                <w:sz w:val="24"/>
                <w:highlight w:val="none"/>
                <w:lang w:val="en-US" w:eastAsia="zh-CN"/>
              </w:rPr>
              <w:t>地址：河南自贸试验区郑州片区（郑东）普惠路68号1单元22层2206号</w:t>
            </w:r>
          </w:p>
          <w:p w14:paraId="2E60FF5B">
            <w:pPr>
              <w:spacing w:line="480" w:lineRule="exact"/>
              <w:jc w:val="left"/>
              <w:outlineLvl w:val="0"/>
              <w:rPr>
                <w:rFonts w:hint="eastAsia" w:ascii="宋体" w:hAnsi="宋体" w:cs="宋体"/>
                <w:sz w:val="24"/>
                <w:highlight w:val="none"/>
                <w:lang w:val="en-US" w:eastAsia="zh-CN"/>
              </w:rPr>
            </w:pPr>
            <w:r>
              <w:rPr>
                <w:rFonts w:hint="eastAsia" w:ascii="宋体" w:hAnsi="宋体" w:cs="宋体"/>
                <w:sz w:val="24"/>
                <w:highlight w:val="none"/>
                <w:lang w:val="en-US" w:eastAsia="zh-CN"/>
              </w:rPr>
              <w:t>联系人：荆女士</w:t>
            </w:r>
          </w:p>
          <w:p w14:paraId="5FDF9440">
            <w:pPr>
              <w:spacing w:line="480" w:lineRule="exact"/>
              <w:jc w:val="left"/>
              <w:outlineLvl w:val="0"/>
              <w:rPr>
                <w:rFonts w:hint="eastAsia" w:ascii="宋体" w:hAnsi="宋体" w:cs="宋体"/>
                <w:sz w:val="24"/>
                <w:highlight w:val="none"/>
              </w:rPr>
            </w:pPr>
            <w:r>
              <w:rPr>
                <w:rFonts w:hint="eastAsia" w:ascii="宋体" w:hAnsi="宋体" w:cs="宋体"/>
                <w:sz w:val="24"/>
                <w:highlight w:val="none"/>
                <w:lang w:val="en-US" w:eastAsia="zh-CN"/>
              </w:rPr>
              <w:t>联系方式：15936238582</w:t>
            </w:r>
          </w:p>
        </w:tc>
      </w:tr>
      <w:tr w14:paraId="662BE735">
        <w:tblPrEx>
          <w:tblCellMar>
            <w:top w:w="0" w:type="dxa"/>
            <w:left w:w="108" w:type="dxa"/>
            <w:bottom w:w="0" w:type="dxa"/>
            <w:right w:w="108" w:type="dxa"/>
          </w:tblCellMar>
        </w:tblPrEx>
        <w:trPr>
          <w:trHeight w:val="520" w:hRule="atLeast"/>
          <w:jc w:val="center"/>
        </w:trPr>
        <w:tc>
          <w:tcPr>
            <w:tcW w:w="697" w:type="dxa"/>
            <w:tcBorders>
              <w:top w:val="single" w:color="auto" w:sz="4" w:space="0"/>
              <w:left w:val="single" w:color="auto" w:sz="4" w:space="0"/>
              <w:bottom w:val="single" w:color="auto" w:sz="4" w:space="0"/>
              <w:right w:val="single" w:color="auto" w:sz="4" w:space="0"/>
            </w:tcBorders>
            <w:vAlign w:val="center"/>
          </w:tcPr>
          <w:p w14:paraId="00DF22E3">
            <w:pPr>
              <w:widowControl/>
              <w:jc w:val="center"/>
              <w:rPr>
                <w:rFonts w:hint="eastAsia" w:ascii="宋体" w:hAnsi="宋体" w:cs="Calibri"/>
                <w:sz w:val="24"/>
                <w:highlight w:val="none"/>
              </w:rPr>
            </w:pPr>
            <w:r>
              <w:rPr>
                <w:rFonts w:hint="eastAsia" w:ascii="宋体" w:hAnsi="宋体" w:cs="Calibri"/>
                <w:kern w:val="0"/>
                <w:sz w:val="24"/>
                <w:highlight w:val="none"/>
              </w:rPr>
              <w:t>3</w:t>
            </w:r>
          </w:p>
        </w:tc>
        <w:tc>
          <w:tcPr>
            <w:tcW w:w="2070" w:type="dxa"/>
            <w:tcBorders>
              <w:top w:val="single" w:color="auto" w:sz="4" w:space="0"/>
              <w:left w:val="nil"/>
              <w:bottom w:val="single" w:color="auto" w:sz="4" w:space="0"/>
              <w:right w:val="single" w:color="auto" w:sz="4" w:space="0"/>
            </w:tcBorders>
            <w:vAlign w:val="center"/>
          </w:tcPr>
          <w:p w14:paraId="0B4A1910">
            <w:pPr>
              <w:widowControl/>
              <w:jc w:val="center"/>
              <w:rPr>
                <w:rFonts w:hint="eastAsia" w:ascii="宋体" w:hAnsi="宋体" w:cs="Calibri"/>
                <w:sz w:val="24"/>
                <w:highlight w:val="none"/>
              </w:rPr>
            </w:pPr>
            <w:r>
              <w:rPr>
                <w:rFonts w:hint="eastAsia" w:ascii="宋体" w:hAnsi="宋体" w:cs="Calibri"/>
                <w:kern w:val="0"/>
                <w:sz w:val="24"/>
                <w:highlight w:val="none"/>
              </w:rPr>
              <w:t>项目名称</w:t>
            </w:r>
          </w:p>
        </w:tc>
        <w:tc>
          <w:tcPr>
            <w:tcW w:w="6353" w:type="dxa"/>
            <w:tcBorders>
              <w:top w:val="single" w:color="auto" w:sz="4" w:space="0"/>
              <w:left w:val="nil"/>
              <w:bottom w:val="single" w:color="auto" w:sz="4" w:space="0"/>
              <w:right w:val="single" w:color="auto" w:sz="4" w:space="0"/>
            </w:tcBorders>
            <w:vAlign w:val="center"/>
          </w:tcPr>
          <w:p w14:paraId="34B02FF0">
            <w:pPr>
              <w:spacing w:line="360" w:lineRule="auto"/>
              <w:rPr>
                <w:rFonts w:hint="eastAsia" w:ascii="宋体" w:hAnsi="宋体" w:cs="Calibri" w:eastAsiaTheme="minorEastAsia"/>
                <w:sz w:val="24"/>
                <w:highlight w:val="none"/>
                <w:lang w:eastAsia="zh-CN"/>
              </w:rPr>
            </w:pPr>
            <w:r>
              <w:rPr>
                <w:rFonts w:hint="eastAsia" w:asciiTheme="minorEastAsia" w:hAnsiTheme="minorEastAsia" w:cstheme="minorEastAsia"/>
                <w:sz w:val="24"/>
                <w:szCs w:val="24"/>
                <w:highlight w:val="none"/>
                <w:lang w:eastAsia="zh-CN"/>
              </w:rPr>
              <w:t>渑池县农业农村局2026年玉米“一喷多促”项目</w:t>
            </w:r>
          </w:p>
        </w:tc>
      </w:tr>
      <w:tr w14:paraId="301F3F8B">
        <w:tblPrEx>
          <w:tblCellMar>
            <w:top w:w="0" w:type="dxa"/>
            <w:left w:w="108" w:type="dxa"/>
            <w:bottom w:w="0" w:type="dxa"/>
            <w:right w:w="108" w:type="dxa"/>
          </w:tblCellMar>
        </w:tblPrEx>
        <w:trPr>
          <w:trHeight w:val="570" w:hRule="atLeast"/>
          <w:jc w:val="center"/>
        </w:trPr>
        <w:tc>
          <w:tcPr>
            <w:tcW w:w="697" w:type="dxa"/>
            <w:tcBorders>
              <w:top w:val="single" w:color="auto" w:sz="4" w:space="0"/>
              <w:left w:val="single" w:color="auto" w:sz="4" w:space="0"/>
              <w:bottom w:val="single" w:color="auto" w:sz="4" w:space="0"/>
              <w:right w:val="single" w:color="auto" w:sz="4" w:space="0"/>
            </w:tcBorders>
            <w:vAlign w:val="center"/>
          </w:tcPr>
          <w:p w14:paraId="3D51DCB8">
            <w:pPr>
              <w:widowControl/>
              <w:jc w:val="center"/>
              <w:rPr>
                <w:rFonts w:hint="eastAsia" w:ascii="宋体" w:hAnsi="宋体" w:cs="Calibri"/>
                <w:sz w:val="24"/>
                <w:highlight w:val="none"/>
              </w:rPr>
            </w:pPr>
            <w:r>
              <w:rPr>
                <w:rFonts w:hint="eastAsia" w:ascii="宋体" w:hAnsi="宋体" w:cs="Calibri"/>
                <w:kern w:val="0"/>
                <w:sz w:val="24"/>
                <w:highlight w:val="none"/>
              </w:rPr>
              <w:t>4</w:t>
            </w:r>
          </w:p>
        </w:tc>
        <w:tc>
          <w:tcPr>
            <w:tcW w:w="2070" w:type="dxa"/>
            <w:tcBorders>
              <w:top w:val="single" w:color="auto" w:sz="4" w:space="0"/>
              <w:left w:val="nil"/>
              <w:bottom w:val="single" w:color="auto" w:sz="4" w:space="0"/>
              <w:right w:val="single" w:color="auto" w:sz="4" w:space="0"/>
            </w:tcBorders>
            <w:vAlign w:val="center"/>
          </w:tcPr>
          <w:p w14:paraId="088D55C4">
            <w:pPr>
              <w:widowControl/>
              <w:jc w:val="center"/>
              <w:rPr>
                <w:rFonts w:hint="eastAsia" w:ascii="宋体" w:hAnsi="宋体" w:cs="Calibri"/>
                <w:kern w:val="0"/>
                <w:sz w:val="24"/>
                <w:highlight w:val="none"/>
              </w:rPr>
            </w:pPr>
            <w:r>
              <w:rPr>
                <w:rFonts w:hint="eastAsia" w:ascii="宋体" w:hAnsi="宋体" w:cs="Calibri"/>
                <w:kern w:val="0"/>
                <w:sz w:val="24"/>
                <w:highlight w:val="none"/>
              </w:rPr>
              <w:t>资金来源</w:t>
            </w:r>
          </w:p>
        </w:tc>
        <w:tc>
          <w:tcPr>
            <w:tcW w:w="6353" w:type="dxa"/>
            <w:tcBorders>
              <w:top w:val="single" w:color="auto" w:sz="4" w:space="0"/>
              <w:left w:val="nil"/>
              <w:bottom w:val="single" w:color="auto" w:sz="4" w:space="0"/>
              <w:right w:val="single" w:color="auto" w:sz="4" w:space="0"/>
            </w:tcBorders>
            <w:vAlign w:val="center"/>
          </w:tcPr>
          <w:p w14:paraId="311FE84A">
            <w:pPr>
              <w:widowControl/>
              <w:rPr>
                <w:rFonts w:hint="eastAsia" w:ascii="宋体" w:hAnsi="宋体" w:cs="Calibri" w:eastAsiaTheme="minorEastAsia"/>
                <w:kern w:val="0"/>
                <w:sz w:val="24"/>
                <w:highlight w:val="none"/>
                <w:lang w:eastAsia="zh-CN"/>
              </w:rPr>
            </w:pPr>
            <w:r>
              <w:rPr>
                <w:rFonts w:hint="eastAsia" w:ascii="宋体" w:hAnsi="宋体" w:cs="Calibri"/>
                <w:kern w:val="0"/>
                <w:sz w:val="24"/>
                <w:highlight w:val="none"/>
                <w:shd w:val="clear" w:color="auto" w:fill="FFFFFF"/>
                <w:lang w:eastAsia="zh-CN"/>
              </w:rPr>
              <w:t>财政资金</w:t>
            </w:r>
          </w:p>
        </w:tc>
      </w:tr>
      <w:tr w14:paraId="20709B50">
        <w:tblPrEx>
          <w:tblCellMar>
            <w:top w:w="0" w:type="dxa"/>
            <w:left w:w="108" w:type="dxa"/>
            <w:bottom w:w="0" w:type="dxa"/>
            <w:right w:w="108" w:type="dxa"/>
          </w:tblCellMar>
        </w:tblPrEx>
        <w:trPr>
          <w:trHeight w:val="555" w:hRule="atLeast"/>
          <w:jc w:val="center"/>
        </w:trPr>
        <w:tc>
          <w:tcPr>
            <w:tcW w:w="697" w:type="dxa"/>
            <w:tcBorders>
              <w:top w:val="single" w:color="auto" w:sz="4" w:space="0"/>
              <w:left w:val="single" w:color="auto" w:sz="4" w:space="0"/>
              <w:bottom w:val="single" w:color="auto" w:sz="4" w:space="0"/>
              <w:right w:val="single" w:color="auto" w:sz="4" w:space="0"/>
            </w:tcBorders>
            <w:vAlign w:val="center"/>
          </w:tcPr>
          <w:p w14:paraId="39D5771C">
            <w:pPr>
              <w:widowControl/>
              <w:jc w:val="center"/>
              <w:rPr>
                <w:rFonts w:hint="eastAsia" w:ascii="宋体" w:hAnsi="宋体" w:cs="Calibri"/>
                <w:sz w:val="24"/>
                <w:highlight w:val="none"/>
              </w:rPr>
            </w:pPr>
            <w:r>
              <w:rPr>
                <w:rFonts w:hint="eastAsia" w:ascii="宋体" w:hAnsi="宋体" w:cs="Calibri"/>
                <w:kern w:val="0"/>
                <w:sz w:val="24"/>
                <w:highlight w:val="none"/>
              </w:rPr>
              <w:t>5</w:t>
            </w:r>
          </w:p>
        </w:tc>
        <w:tc>
          <w:tcPr>
            <w:tcW w:w="2070" w:type="dxa"/>
            <w:tcBorders>
              <w:top w:val="single" w:color="auto" w:sz="4" w:space="0"/>
              <w:left w:val="nil"/>
              <w:bottom w:val="single" w:color="auto" w:sz="4" w:space="0"/>
              <w:right w:val="single" w:color="auto" w:sz="4" w:space="0"/>
            </w:tcBorders>
            <w:vAlign w:val="center"/>
          </w:tcPr>
          <w:p w14:paraId="4D474F2D">
            <w:pPr>
              <w:widowControl/>
              <w:jc w:val="center"/>
              <w:rPr>
                <w:rFonts w:hint="eastAsia" w:ascii="宋体" w:hAnsi="宋体" w:cs="Calibri"/>
                <w:sz w:val="24"/>
                <w:highlight w:val="none"/>
              </w:rPr>
            </w:pPr>
            <w:r>
              <w:rPr>
                <w:rFonts w:hint="eastAsia" w:ascii="宋体" w:hAnsi="宋体" w:cs="Calibri"/>
                <w:kern w:val="0"/>
                <w:sz w:val="24"/>
                <w:highlight w:val="none"/>
              </w:rPr>
              <w:t>项目编号</w:t>
            </w:r>
          </w:p>
        </w:tc>
        <w:tc>
          <w:tcPr>
            <w:tcW w:w="6353" w:type="dxa"/>
            <w:tcBorders>
              <w:top w:val="single" w:color="auto" w:sz="4" w:space="0"/>
              <w:left w:val="nil"/>
              <w:bottom w:val="single" w:color="auto" w:sz="4" w:space="0"/>
              <w:right w:val="single" w:color="auto" w:sz="4" w:space="0"/>
            </w:tcBorders>
            <w:vAlign w:val="center"/>
          </w:tcPr>
          <w:p w14:paraId="43B561AA">
            <w:pPr>
              <w:widowControl/>
              <w:rPr>
                <w:rFonts w:hint="eastAsia" w:ascii="宋体" w:hAnsi="宋体" w:cs="Calibri" w:eastAsiaTheme="minorEastAsia"/>
                <w:sz w:val="24"/>
                <w:highlight w:val="none"/>
                <w:shd w:val="clear" w:color="auto" w:fill="FFFFFF"/>
                <w:lang w:eastAsia="zh-CN"/>
              </w:rPr>
            </w:pPr>
            <w:r>
              <w:rPr>
                <w:rFonts w:hint="eastAsia" w:ascii="宋体" w:hAnsi="宋体" w:cs="宋体"/>
                <w:sz w:val="24"/>
                <w:highlight w:val="none"/>
                <w:lang w:eastAsia="zh-CN"/>
              </w:rPr>
              <w:t>MCGZ[2026]215-ZC194</w:t>
            </w:r>
            <w:r>
              <w:rPr>
                <w:rFonts w:hint="eastAsia" w:ascii="宋体" w:hAnsi="宋体" w:cs="宋体"/>
                <w:sz w:val="24"/>
                <w:highlight w:val="none"/>
              </w:rPr>
              <w:t>、</w:t>
            </w:r>
            <w:r>
              <w:rPr>
                <w:rFonts w:hint="eastAsia" w:ascii="宋体" w:hAnsi="宋体" w:cs="宋体"/>
                <w:sz w:val="24"/>
                <w:highlight w:val="none"/>
                <w:lang w:val="en-US" w:eastAsia="zh-CN"/>
              </w:rPr>
              <w:t>采购编号：</w:t>
            </w:r>
            <w:r>
              <w:rPr>
                <w:rFonts w:hint="eastAsia" w:asciiTheme="minorEastAsia" w:hAnsiTheme="minorEastAsia" w:cstheme="minorEastAsia"/>
                <w:sz w:val="24"/>
                <w:szCs w:val="24"/>
                <w:highlight w:val="none"/>
                <w:lang w:eastAsia="zh-CN"/>
              </w:rPr>
              <w:t>渑池竞磋采购-2026-142</w:t>
            </w:r>
          </w:p>
        </w:tc>
      </w:tr>
      <w:tr w14:paraId="51E03860">
        <w:tblPrEx>
          <w:tblCellMar>
            <w:top w:w="0" w:type="dxa"/>
            <w:left w:w="108" w:type="dxa"/>
            <w:bottom w:w="0" w:type="dxa"/>
            <w:right w:w="108" w:type="dxa"/>
          </w:tblCellMar>
        </w:tblPrEx>
        <w:trPr>
          <w:trHeight w:val="628" w:hRule="atLeast"/>
          <w:jc w:val="center"/>
        </w:trPr>
        <w:tc>
          <w:tcPr>
            <w:tcW w:w="697" w:type="dxa"/>
            <w:tcBorders>
              <w:top w:val="single" w:color="auto" w:sz="4" w:space="0"/>
              <w:left w:val="single" w:color="auto" w:sz="4" w:space="0"/>
              <w:bottom w:val="single" w:color="auto" w:sz="4" w:space="0"/>
              <w:right w:val="single" w:color="auto" w:sz="4" w:space="0"/>
            </w:tcBorders>
            <w:vAlign w:val="center"/>
          </w:tcPr>
          <w:p w14:paraId="1B031CC3">
            <w:pPr>
              <w:widowControl/>
              <w:jc w:val="center"/>
              <w:rPr>
                <w:rFonts w:hint="eastAsia" w:ascii="宋体" w:hAnsi="宋体" w:cs="Calibri"/>
                <w:sz w:val="24"/>
                <w:highlight w:val="none"/>
              </w:rPr>
            </w:pPr>
            <w:r>
              <w:rPr>
                <w:rFonts w:hint="eastAsia" w:ascii="宋体" w:hAnsi="宋体" w:cs="Calibri"/>
                <w:kern w:val="0"/>
                <w:sz w:val="24"/>
                <w:highlight w:val="none"/>
              </w:rPr>
              <w:t>6</w:t>
            </w:r>
          </w:p>
        </w:tc>
        <w:tc>
          <w:tcPr>
            <w:tcW w:w="2070" w:type="dxa"/>
            <w:tcBorders>
              <w:top w:val="single" w:color="auto" w:sz="4" w:space="0"/>
              <w:left w:val="nil"/>
              <w:bottom w:val="single" w:color="auto" w:sz="4" w:space="0"/>
              <w:right w:val="single" w:color="auto" w:sz="4" w:space="0"/>
            </w:tcBorders>
            <w:vAlign w:val="center"/>
          </w:tcPr>
          <w:p w14:paraId="6173305E">
            <w:pPr>
              <w:widowControl/>
              <w:jc w:val="center"/>
              <w:rPr>
                <w:rFonts w:hint="eastAsia" w:ascii="宋体" w:hAnsi="宋体" w:cs="Calibri"/>
                <w:kern w:val="0"/>
                <w:sz w:val="24"/>
                <w:highlight w:val="none"/>
              </w:rPr>
            </w:pPr>
            <w:r>
              <w:rPr>
                <w:rFonts w:hint="eastAsia" w:ascii="宋体" w:hAnsi="宋体" w:cs="Calibri"/>
                <w:kern w:val="0"/>
                <w:sz w:val="24"/>
                <w:highlight w:val="none"/>
              </w:rPr>
              <w:t>质量要求</w:t>
            </w:r>
          </w:p>
        </w:tc>
        <w:tc>
          <w:tcPr>
            <w:tcW w:w="6353" w:type="dxa"/>
            <w:tcBorders>
              <w:top w:val="single" w:color="auto" w:sz="4" w:space="0"/>
              <w:left w:val="nil"/>
              <w:bottom w:val="single" w:color="auto" w:sz="4" w:space="0"/>
              <w:right w:val="single" w:color="auto" w:sz="4" w:space="0"/>
            </w:tcBorders>
            <w:vAlign w:val="center"/>
          </w:tcPr>
          <w:p w14:paraId="1B136396">
            <w:pPr>
              <w:widowControl/>
              <w:rPr>
                <w:rFonts w:hint="eastAsia" w:ascii="宋体" w:hAnsi="宋体" w:cs="Calibri"/>
                <w:kern w:val="0"/>
                <w:sz w:val="24"/>
                <w:highlight w:val="none"/>
              </w:rPr>
            </w:pPr>
            <w:r>
              <w:rPr>
                <w:rFonts w:hint="eastAsia" w:ascii="宋体" w:hAnsi="宋体" w:cs="宋体"/>
                <w:sz w:val="24"/>
                <w:highlight w:val="none"/>
              </w:rPr>
              <w:t>合格</w:t>
            </w:r>
          </w:p>
        </w:tc>
      </w:tr>
      <w:tr w14:paraId="36EC29BD">
        <w:tblPrEx>
          <w:tblCellMar>
            <w:top w:w="0" w:type="dxa"/>
            <w:left w:w="108" w:type="dxa"/>
            <w:bottom w:w="0" w:type="dxa"/>
            <w:right w:w="108" w:type="dxa"/>
          </w:tblCellMar>
        </w:tblPrEx>
        <w:trPr>
          <w:trHeight w:val="628" w:hRule="atLeast"/>
          <w:jc w:val="center"/>
        </w:trPr>
        <w:tc>
          <w:tcPr>
            <w:tcW w:w="697" w:type="dxa"/>
            <w:tcBorders>
              <w:top w:val="single" w:color="auto" w:sz="4" w:space="0"/>
              <w:left w:val="single" w:color="auto" w:sz="4" w:space="0"/>
              <w:bottom w:val="single" w:color="auto" w:sz="4" w:space="0"/>
              <w:right w:val="single" w:color="auto" w:sz="4" w:space="0"/>
            </w:tcBorders>
            <w:vAlign w:val="center"/>
          </w:tcPr>
          <w:p w14:paraId="21DF8E46">
            <w:pPr>
              <w:widowControl/>
              <w:jc w:val="center"/>
              <w:rPr>
                <w:rFonts w:hint="eastAsia" w:ascii="宋体" w:hAnsi="宋体" w:cs="Calibri"/>
                <w:kern w:val="0"/>
                <w:sz w:val="24"/>
                <w:highlight w:val="none"/>
              </w:rPr>
            </w:pPr>
            <w:r>
              <w:rPr>
                <w:rFonts w:hint="eastAsia" w:ascii="宋体" w:hAnsi="宋体" w:cs="Calibri"/>
                <w:kern w:val="0"/>
                <w:sz w:val="24"/>
                <w:highlight w:val="none"/>
              </w:rPr>
              <w:t>7</w:t>
            </w:r>
          </w:p>
        </w:tc>
        <w:tc>
          <w:tcPr>
            <w:tcW w:w="2070" w:type="dxa"/>
            <w:tcBorders>
              <w:top w:val="single" w:color="auto" w:sz="4" w:space="0"/>
              <w:left w:val="nil"/>
              <w:bottom w:val="single" w:color="auto" w:sz="4" w:space="0"/>
              <w:right w:val="single" w:color="auto" w:sz="4" w:space="0"/>
            </w:tcBorders>
            <w:vAlign w:val="center"/>
          </w:tcPr>
          <w:p w14:paraId="1861CD47">
            <w:pPr>
              <w:widowControl/>
              <w:jc w:val="center"/>
              <w:rPr>
                <w:rFonts w:hint="eastAsia" w:ascii="宋体" w:hAnsi="宋体" w:cs="Calibri"/>
                <w:kern w:val="0"/>
                <w:sz w:val="24"/>
                <w:highlight w:val="none"/>
              </w:rPr>
            </w:pPr>
            <w:r>
              <w:rPr>
                <w:rFonts w:hint="eastAsia" w:ascii="宋体" w:hAnsi="宋体" w:cs="Calibri"/>
                <w:kern w:val="0"/>
                <w:sz w:val="24"/>
                <w:highlight w:val="none"/>
              </w:rPr>
              <w:t>质保期</w:t>
            </w:r>
          </w:p>
        </w:tc>
        <w:tc>
          <w:tcPr>
            <w:tcW w:w="6353" w:type="dxa"/>
            <w:tcBorders>
              <w:top w:val="single" w:color="auto" w:sz="4" w:space="0"/>
              <w:left w:val="nil"/>
              <w:bottom w:val="single" w:color="auto" w:sz="4" w:space="0"/>
              <w:right w:val="single" w:color="auto" w:sz="4" w:space="0"/>
            </w:tcBorders>
            <w:vAlign w:val="center"/>
          </w:tcPr>
          <w:p w14:paraId="7B0CD8F5">
            <w:pPr>
              <w:widowControl/>
              <w:rPr>
                <w:rFonts w:hint="eastAsia" w:ascii="宋体" w:hAnsi="宋体" w:cs="Calibri" w:eastAsiaTheme="minorEastAsia"/>
                <w:sz w:val="24"/>
                <w:highlight w:val="none"/>
                <w:lang w:eastAsia="zh-CN"/>
              </w:rPr>
            </w:pPr>
            <w:r>
              <w:rPr>
                <w:rFonts w:hint="eastAsia" w:ascii="宋体" w:hAnsi="宋体" w:cs="Calibri"/>
                <w:color w:val="404040" w:themeColor="text1" w:themeTint="BF"/>
                <w:sz w:val="24"/>
                <w:highlight w:val="none"/>
                <w:lang w:val="en-US" w:eastAsia="zh-CN"/>
                <w14:textFill>
                  <w14:solidFill>
                    <w14:schemeClr w14:val="tx1">
                      <w14:lumMod w14:val="75000"/>
                      <w14:lumOff w14:val="25000"/>
                    </w14:schemeClr>
                  </w14:solidFill>
                </w14:textFill>
              </w:rPr>
              <w:t>一</w:t>
            </w:r>
            <w:r>
              <w:rPr>
                <w:rFonts w:hint="eastAsia" w:ascii="宋体" w:hAnsi="宋体" w:cs="Calibri"/>
                <w:color w:val="404040" w:themeColor="text1" w:themeTint="BF"/>
                <w:sz w:val="24"/>
                <w:highlight w:val="none"/>
                <w:lang w:eastAsia="zh-CN"/>
                <w14:textFill>
                  <w14:solidFill>
                    <w14:schemeClr w14:val="tx1">
                      <w14:lumMod w14:val="75000"/>
                      <w14:lumOff w14:val="25000"/>
                    </w14:schemeClr>
                  </w14:solidFill>
                </w14:textFill>
              </w:rPr>
              <w:t>年</w:t>
            </w:r>
          </w:p>
        </w:tc>
      </w:tr>
      <w:tr w14:paraId="1A006270">
        <w:tblPrEx>
          <w:tblCellMar>
            <w:top w:w="0" w:type="dxa"/>
            <w:left w:w="108" w:type="dxa"/>
            <w:bottom w:w="0" w:type="dxa"/>
            <w:right w:w="108" w:type="dxa"/>
          </w:tblCellMar>
        </w:tblPrEx>
        <w:trPr>
          <w:trHeight w:val="498" w:hRule="atLeast"/>
          <w:jc w:val="center"/>
        </w:trPr>
        <w:tc>
          <w:tcPr>
            <w:tcW w:w="697" w:type="dxa"/>
            <w:tcBorders>
              <w:top w:val="single" w:color="auto" w:sz="4" w:space="0"/>
              <w:left w:val="single" w:color="auto" w:sz="4" w:space="0"/>
              <w:bottom w:val="single" w:color="auto" w:sz="4" w:space="0"/>
              <w:right w:val="single" w:color="auto" w:sz="4" w:space="0"/>
            </w:tcBorders>
            <w:vAlign w:val="center"/>
          </w:tcPr>
          <w:p w14:paraId="1D09FF85">
            <w:pPr>
              <w:widowControl/>
              <w:jc w:val="center"/>
              <w:rPr>
                <w:rFonts w:hint="eastAsia" w:ascii="宋体" w:hAnsi="宋体" w:cs="Calibri"/>
                <w:kern w:val="0"/>
                <w:sz w:val="24"/>
                <w:highlight w:val="none"/>
              </w:rPr>
            </w:pPr>
            <w:r>
              <w:rPr>
                <w:rFonts w:hint="eastAsia" w:ascii="宋体" w:hAnsi="宋体" w:cs="Calibri"/>
                <w:kern w:val="0"/>
                <w:sz w:val="24"/>
                <w:highlight w:val="none"/>
              </w:rPr>
              <w:t>8</w:t>
            </w:r>
          </w:p>
        </w:tc>
        <w:tc>
          <w:tcPr>
            <w:tcW w:w="2070" w:type="dxa"/>
            <w:tcBorders>
              <w:top w:val="single" w:color="auto" w:sz="4" w:space="0"/>
              <w:left w:val="nil"/>
              <w:bottom w:val="single" w:color="auto" w:sz="4" w:space="0"/>
              <w:right w:val="single" w:color="auto" w:sz="4" w:space="0"/>
            </w:tcBorders>
            <w:vAlign w:val="center"/>
          </w:tcPr>
          <w:p w14:paraId="239C4C36">
            <w:pPr>
              <w:widowControl/>
              <w:jc w:val="center"/>
              <w:rPr>
                <w:rFonts w:hint="eastAsia" w:ascii="宋体" w:hAnsi="宋体" w:cs="Calibri"/>
                <w:kern w:val="0"/>
                <w:sz w:val="24"/>
                <w:highlight w:val="none"/>
              </w:rPr>
            </w:pPr>
            <w:r>
              <w:rPr>
                <w:rFonts w:hint="eastAsia" w:ascii="宋体" w:hAnsi="宋体" w:cs="Calibri"/>
                <w:kern w:val="0"/>
                <w:sz w:val="24"/>
                <w:highlight w:val="none"/>
              </w:rPr>
              <w:t>供货期</w:t>
            </w:r>
          </w:p>
        </w:tc>
        <w:tc>
          <w:tcPr>
            <w:tcW w:w="6353" w:type="dxa"/>
            <w:tcBorders>
              <w:top w:val="single" w:color="auto" w:sz="4" w:space="0"/>
              <w:left w:val="nil"/>
              <w:bottom w:val="single" w:color="auto" w:sz="4" w:space="0"/>
              <w:right w:val="single" w:color="auto" w:sz="4" w:space="0"/>
            </w:tcBorders>
            <w:vAlign w:val="center"/>
          </w:tcPr>
          <w:p w14:paraId="3E24849D">
            <w:pPr>
              <w:widowControl/>
              <w:rPr>
                <w:rFonts w:hint="eastAsia" w:ascii="宋体" w:hAnsi="宋体" w:cs="Calibri" w:eastAsiaTheme="minorEastAsia"/>
                <w:sz w:val="24"/>
                <w:highlight w:val="none"/>
                <w:lang w:eastAsia="zh-CN"/>
              </w:rPr>
            </w:pPr>
            <w:r>
              <w:rPr>
                <w:rFonts w:hint="eastAsia" w:ascii="宋体" w:hAnsi="宋体" w:cs="宋体"/>
                <w:sz w:val="24"/>
                <w:highlight w:val="none"/>
                <w:lang w:eastAsia="zh-CN"/>
              </w:rPr>
              <w:t>自合同签订之日起7日历天</w:t>
            </w:r>
          </w:p>
        </w:tc>
      </w:tr>
      <w:tr w14:paraId="06C2F964">
        <w:tblPrEx>
          <w:tblCellMar>
            <w:top w:w="0" w:type="dxa"/>
            <w:left w:w="108" w:type="dxa"/>
            <w:bottom w:w="0" w:type="dxa"/>
            <w:right w:w="108" w:type="dxa"/>
          </w:tblCellMar>
        </w:tblPrEx>
        <w:trPr>
          <w:trHeight w:val="520" w:hRule="atLeast"/>
          <w:jc w:val="center"/>
        </w:trPr>
        <w:tc>
          <w:tcPr>
            <w:tcW w:w="697" w:type="dxa"/>
            <w:tcBorders>
              <w:top w:val="single" w:color="auto" w:sz="4" w:space="0"/>
              <w:left w:val="single" w:color="auto" w:sz="4" w:space="0"/>
              <w:bottom w:val="single" w:color="auto" w:sz="4" w:space="0"/>
              <w:right w:val="single" w:color="auto" w:sz="4" w:space="0"/>
            </w:tcBorders>
            <w:vAlign w:val="center"/>
          </w:tcPr>
          <w:p w14:paraId="1BCD2FA4">
            <w:pPr>
              <w:widowControl/>
              <w:jc w:val="center"/>
              <w:rPr>
                <w:rFonts w:hint="eastAsia" w:ascii="宋体" w:hAnsi="宋体" w:cs="Calibri"/>
                <w:sz w:val="24"/>
                <w:highlight w:val="none"/>
              </w:rPr>
            </w:pPr>
            <w:r>
              <w:rPr>
                <w:rFonts w:hint="eastAsia" w:ascii="宋体" w:hAnsi="宋体" w:cs="Calibri"/>
                <w:kern w:val="0"/>
                <w:sz w:val="24"/>
                <w:highlight w:val="none"/>
              </w:rPr>
              <w:t>9</w:t>
            </w:r>
          </w:p>
        </w:tc>
        <w:tc>
          <w:tcPr>
            <w:tcW w:w="2070" w:type="dxa"/>
            <w:tcBorders>
              <w:top w:val="single" w:color="auto" w:sz="4" w:space="0"/>
              <w:left w:val="nil"/>
              <w:bottom w:val="single" w:color="auto" w:sz="4" w:space="0"/>
              <w:right w:val="single" w:color="auto" w:sz="4" w:space="0"/>
            </w:tcBorders>
            <w:vAlign w:val="center"/>
          </w:tcPr>
          <w:p w14:paraId="29A96EF6">
            <w:pPr>
              <w:widowControl/>
              <w:jc w:val="center"/>
              <w:rPr>
                <w:rFonts w:hint="eastAsia" w:ascii="宋体" w:hAnsi="宋体" w:cs="Calibri"/>
                <w:sz w:val="24"/>
                <w:highlight w:val="none"/>
              </w:rPr>
            </w:pPr>
            <w:r>
              <w:rPr>
                <w:rFonts w:hint="eastAsia" w:ascii="宋体" w:hAnsi="宋体" w:cs="Calibri"/>
                <w:kern w:val="0"/>
                <w:sz w:val="24"/>
                <w:highlight w:val="none"/>
              </w:rPr>
              <w:t>资格要求</w:t>
            </w:r>
          </w:p>
        </w:tc>
        <w:tc>
          <w:tcPr>
            <w:tcW w:w="6353" w:type="dxa"/>
            <w:tcBorders>
              <w:top w:val="single" w:color="auto" w:sz="4" w:space="0"/>
              <w:left w:val="nil"/>
              <w:bottom w:val="single" w:color="auto" w:sz="4" w:space="0"/>
              <w:right w:val="single" w:color="auto" w:sz="4" w:space="0"/>
            </w:tcBorders>
            <w:vAlign w:val="center"/>
          </w:tcPr>
          <w:p w14:paraId="2C9EDC13">
            <w:pPr>
              <w:spacing w:line="360" w:lineRule="auto"/>
              <w:ind w:firstLine="566" w:firstLineChars="236"/>
              <w:rPr>
                <w:rFonts w:hint="eastAsia" w:asciiTheme="minorEastAsia" w:hAnsiTheme="minorEastAsia" w:cstheme="minorEastAsia"/>
                <w:sz w:val="24"/>
                <w:szCs w:val="24"/>
                <w:highlight w:val="none"/>
              </w:rPr>
            </w:pPr>
            <w:r>
              <w:rPr>
                <w:rFonts w:hint="eastAsia" w:asciiTheme="minorEastAsia" w:hAnsiTheme="minorEastAsia" w:cstheme="minorEastAsia"/>
                <w:sz w:val="24"/>
                <w:szCs w:val="24"/>
                <w:highlight w:val="none"/>
              </w:rPr>
              <w:t>1.满足《中华人民共和国政府采购法》第二十二条规定：</w:t>
            </w:r>
          </w:p>
          <w:p w14:paraId="6734DD1E">
            <w:pPr>
              <w:keepNext w:val="0"/>
              <w:keepLines w:val="0"/>
              <w:pageBreakBefore w:val="0"/>
              <w:widowControl w:val="0"/>
              <w:kinsoku/>
              <w:wordWrap/>
              <w:overflowPunct/>
              <w:topLinePunct w:val="0"/>
              <w:autoSpaceDE/>
              <w:autoSpaceDN/>
              <w:bidi w:val="0"/>
              <w:adjustRightInd/>
              <w:snapToGrid/>
              <w:spacing w:beforeAutospacing="0" w:line="360" w:lineRule="auto"/>
              <w:ind w:firstLine="480" w:firstLineChars="200"/>
              <w:jc w:val="both"/>
              <w:textAlignment w:val="auto"/>
              <w:rPr>
                <w:rFonts w:hint="eastAsia" w:ascii="宋体" w:hAnsi="宋体" w:eastAsia="宋体" w:cs="宋体"/>
                <w:color w:val="auto"/>
                <w:sz w:val="24"/>
                <w:szCs w:val="24"/>
                <w:highlight w:val="none"/>
              </w:rPr>
            </w:pPr>
            <w:r>
              <w:rPr>
                <w:rFonts w:hint="eastAsia" w:asciiTheme="minorEastAsia" w:hAnsiTheme="minorEastAsia" w:cstheme="minorEastAsia"/>
                <w:sz w:val="24"/>
                <w:szCs w:val="24"/>
                <w:highlight w:val="none"/>
              </w:rPr>
              <w:t>2.落实政府采购政策满足的资格要求：</w:t>
            </w:r>
            <w:r>
              <w:rPr>
                <w:rFonts w:hint="eastAsia" w:ascii="宋体" w:hAnsi="宋体" w:eastAsia="宋体" w:cs="宋体"/>
                <w:color w:val="auto"/>
                <w:sz w:val="24"/>
                <w:szCs w:val="24"/>
                <w:highlight w:val="none"/>
              </w:rPr>
              <w:t>本项目面向中小企业，供应商须提供《中小企业声明函》，大型企</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 xml:space="preserve">业及未提供中小企业声明函的企业不享受中小企业扶持政策，其响应文件将作无效响应处理。监狱企业及残疾人福利性单位视同小型、微型企业； </w:t>
            </w:r>
          </w:p>
          <w:p w14:paraId="0FEF685C">
            <w:pPr>
              <w:spacing w:line="360" w:lineRule="auto"/>
              <w:ind w:firstLine="566" w:firstLineChars="236"/>
              <w:rPr>
                <w:rFonts w:hint="eastAsia" w:asciiTheme="minorEastAsia" w:hAnsiTheme="minorEastAsia" w:cstheme="minorEastAsia"/>
                <w:sz w:val="24"/>
                <w:szCs w:val="24"/>
                <w:highlight w:val="none"/>
              </w:rPr>
            </w:pPr>
            <w:r>
              <w:rPr>
                <w:rFonts w:hint="eastAsia" w:asciiTheme="minorEastAsia" w:hAnsiTheme="minorEastAsia" w:cstheme="minorEastAsia"/>
                <w:sz w:val="24"/>
                <w:szCs w:val="24"/>
                <w:highlight w:val="none"/>
              </w:rPr>
              <w:t>3.本项目的特定资格要求：</w:t>
            </w:r>
          </w:p>
          <w:p w14:paraId="5D81EF22">
            <w:pPr>
              <w:spacing w:line="360" w:lineRule="auto"/>
              <w:ind w:firstLine="566" w:firstLineChars="236"/>
              <w:rPr>
                <w:rFonts w:hint="eastAsia" w:asciiTheme="minorEastAsia" w:hAnsiTheme="minorEastAsia" w:cstheme="minorEastAsia"/>
                <w:sz w:val="24"/>
                <w:szCs w:val="24"/>
                <w:highlight w:val="none"/>
              </w:rPr>
            </w:pPr>
            <w:r>
              <w:rPr>
                <w:rFonts w:hint="eastAsia" w:asciiTheme="minorEastAsia" w:hAnsiTheme="minorEastAsia" w:cstheme="minorEastAsia"/>
                <w:sz w:val="24"/>
                <w:szCs w:val="24"/>
                <w:highlight w:val="none"/>
              </w:rPr>
              <w:t>3.1供应商具有有效的营业执照；</w:t>
            </w:r>
          </w:p>
          <w:p w14:paraId="55FD1252">
            <w:pPr>
              <w:spacing w:line="360" w:lineRule="auto"/>
              <w:ind w:firstLine="566" w:firstLineChars="236"/>
              <w:rPr>
                <w:rFonts w:hint="eastAsia" w:asciiTheme="minorEastAsia" w:hAnsiTheme="minorEastAsia" w:cstheme="minorEastAsia"/>
                <w:sz w:val="24"/>
                <w:szCs w:val="24"/>
                <w:highlight w:val="none"/>
                <w:lang w:val="en-US" w:eastAsia="zh-CN"/>
              </w:rPr>
            </w:pPr>
            <w:r>
              <w:rPr>
                <w:rFonts w:hint="eastAsia" w:asciiTheme="minorEastAsia" w:hAnsiTheme="minorEastAsia" w:cstheme="minorEastAsia"/>
                <w:sz w:val="24"/>
                <w:szCs w:val="24"/>
                <w:highlight w:val="none"/>
                <w:lang w:val="en-US" w:eastAsia="zh-CN"/>
              </w:rPr>
              <w:t>3.2供应商为生产商的需提供农药生产许可证，若供应商为经销商的需提供农药经营许可证；农药产品必须“三证”（生产许可证或者生产批准证、农药登记证、产品标准证）齐全，并在有效期内；</w:t>
            </w:r>
          </w:p>
          <w:p w14:paraId="15531A34">
            <w:pPr>
              <w:spacing w:line="360" w:lineRule="auto"/>
              <w:ind w:firstLine="566" w:firstLineChars="236"/>
              <w:rPr>
                <w:rFonts w:hint="eastAsia" w:asciiTheme="minorEastAsia" w:hAnsiTheme="minorEastAsia" w:cstheme="minorEastAsia"/>
                <w:sz w:val="24"/>
                <w:szCs w:val="24"/>
                <w:highlight w:val="none"/>
              </w:rPr>
            </w:pPr>
            <w:r>
              <w:rPr>
                <w:rFonts w:hint="eastAsia" w:asciiTheme="minorEastAsia" w:hAnsiTheme="minorEastAsia" w:cstheme="minorEastAsia"/>
                <w:sz w:val="24"/>
                <w:szCs w:val="24"/>
                <w:highlight w:val="none"/>
              </w:rPr>
              <w:t>3.</w:t>
            </w:r>
            <w:r>
              <w:rPr>
                <w:rFonts w:hint="eastAsia" w:asciiTheme="minorEastAsia" w:hAnsiTheme="minorEastAsia" w:cstheme="minorEastAsia"/>
                <w:sz w:val="24"/>
                <w:szCs w:val="24"/>
                <w:highlight w:val="none"/>
                <w:lang w:val="en-US" w:eastAsia="zh-CN"/>
              </w:rPr>
              <w:t>3</w:t>
            </w:r>
            <w:r>
              <w:rPr>
                <w:rFonts w:hint="eastAsia" w:asciiTheme="minorEastAsia" w:hAnsiTheme="minorEastAsia" w:cstheme="minorEastAsia"/>
                <w:sz w:val="24"/>
                <w:szCs w:val="24"/>
                <w:highlight w:val="none"/>
              </w:rPr>
              <w:t>供应商出具无行贿犯罪记录，在中国裁判文书网自行查询或自行承诺（查询对象：企业、法定代表人）；</w:t>
            </w:r>
          </w:p>
          <w:p w14:paraId="614D9128">
            <w:pPr>
              <w:spacing w:line="360" w:lineRule="auto"/>
              <w:ind w:firstLine="566" w:firstLineChars="236"/>
              <w:rPr>
                <w:rFonts w:hint="eastAsia" w:asciiTheme="minorEastAsia" w:hAnsiTheme="minorEastAsia" w:cstheme="minorEastAsia"/>
                <w:sz w:val="24"/>
                <w:szCs w:val="24"/>
                <w:highlight w:val="none"/>
              </w:rPr>
            </w:pPr>
            <w:r>
              <w:rPr>
                <w:rFonts w:hint="eastAsia" w:asciiTheme="minorEastAsia" w:hAnsiTheme="minorEastAsia" w:cstheme="minorEastAsia"/>
                <w:sz w:val="24"/>
                <w:szCs w:val="24"/>
                <w:highlight w:val="none"/>
              </w:rPr>
              <w:t>3.</w:t>
            </w:r>
            <w:r>
              <w:rPr>
                <w:rFonts w:hint="eastAsia" w:asciiTheme="minorEastAsia" w:hAnsiTheme="minorEastAsia" w:cstheme="minorEastAsia"/>
                <w:sz w:val="24"/>
                <w:szCs w:val="24"/>
                <w:highlight w:val="none"/>
                <w:lang w:val="en-US" w:eastAsia="zh-CN"/>
              </w:rPr>
              <w:t>4</w:t>
            </w:r>
            <w:r>
              <w:rPr>
                <w:rFonts w:hint="eastAsia" w:asciiTheme="minorEastAsia" w:hAnsiTheme="minorEastAsia" w:cstheme="minorEastAsia"/>
                <w:sz w:val="24"/>
                <w:szCs w:val="24"/>
                <w:highlight w:val="none"/>
              </w:rPr>
              <w:t>供应商需提供无商业贿赂及无不正当竞争行为的承诺书；</w:t>
            </w:r>
          </w:p>
          <w:p w14:paraId="107336F7">
            <w:pPr>
              <w:spacing w:line="360" w:lineRule="auto"/>
              <w:ind w:firstLine="566" w:firstLineChars="236"/>
              <w:rPr>
                <w:rFonts w:hint="eastAsia" w:asciiTheme="minorEastAsia" w:hAnsiTheme="minorEastAsia" w:cstheme="minorEastAsia"/>
                <w:sz w:val="24"/>
                <w:szCs w:val="24"/>
                <w:highlight w:val="none"/>
              </w:rPr>
            </w:pPr>
            <w:r>
              <w:rPr>
                <w:rFonts w:hint="eastAsia" w:asciiTheme="minorEastAsia" w:hAnsiTheme="minorEastAsia" w:cstheme="minorEastAsia"/>
                <w:sz w:val="24"/>
                <w:szCs w:val="24"/>
                <w:highlight w:val="none"/>
              </w:rPr>
              <w:t>3.</w:t>
            </w:r>
            <w:r>
              <w:rPr>
                <w:rFonts w:hint="eastAsia" w:asciiTheme="minorEastAsia" w:hAnsiTheme="minorEastAsia" w:cstheme="minorEastAsia"/>
                <w:sz w:val="24"/>
                <w:szCs w:val="24"/>
                <w:highlight w:val="none"/>
                <w:lang w:val="en-US" w:eastAsia="zh-CN"/>
              </w:rPr>
              <w:t>5</w:t>
            </w:r>
            <w:r>
              <w:rPr>
                <w:rFonts w:hint="eastAsia" w:asciiTheme="minorEastAsia" w:hAnsiTheme="minorEastAsia" w:cstheme="minorEastAsia"/>
                <w:sz w:val="24"/>
                <w:szCs w:val="24"/>
                <w:highlight w:val="none"/>
              </w:rPr>
              <w:t>未列入“中国执行信息公开网”http://zxgk.court.gov.cn/shixin网站的“失信被执行人”名单、“信用中国”www.creditchina.gov.cn网站的“重大税收违法失信主体”及中国政府采购网”www.ccgp.gov.cn网站的“政府采购严重违法失信行为记录名单”；（提供“中国执行信息公开网”、“信用中国”和“中国政府采购网”网站的查询信息截图，加盖单位公章，截图需显示查询时间，查询时间：自公告发布之日起至投标截止时间前）；</w:t>
            </w:r>
          </w:p>
          <w:p w14:paraId="02C89B40">
            <w:pPr>
              <w:spacing w:line="360" w:lineRule="auto"/>
              <w:ind w:firstLine="566" w:firstLineChars="236"/>
              <w:rPr>
                <w:rFonts w:hint="eastAsia" w:asciiTheme="minorEastAsia" w:hAnsiTheme="minorEastAsia" w:cstheme="minorEastAsia"/>
                <w:sz w:val="24"/>
                <w:szCs w:val="24"/>
                <w:highlight w:val="none"/>
              </w:rPr>
            </w:pPr>
            <w:r>
              <w:rPr>
                <w:rFonts w:hint="eastAsia" w:asciiTheme="minorEastAsia" w:hAnsiTheme="minorEastAsia" w:cstheme="minorEastAsia"/>
                <w:sz w:val="24"/>
                <w:szCs w:val="24"/>
                <w:highlight w:val="none"/>
              </w:rPr>
              <w:t>3.</w:t>
            </w:r>
            <w:r>
              <w:rPr>
                <w:rFonts w:hint="eastAsia" w:asciiTheme="minorEastAsia" w:hAnsiTheme="minorEastAsia" w:cstheme="minorEastAsia"/>
                <w:sz w:val="24"/>
                <w:szCs w:val="24"/>
                <w:highlight w:val="none"/>
                <w:lang w:val="en-US" w:eastAsia="zh-CN"/>
              </w:rPr>
              <w:t>6</w:t>
            </w:r>
            <w:r>
              <w:rPr>
                <w:rFonts w:hint="eastAsia" w:asciiTheme="minorEastAsia" w:hAnsiTheme="minorEastAsia" w:cstheme="minorEastAsia"/>
                <w:sz w:val="24"/>
                <w:szCs w:val="24"/>
                <w:highlight w:val="none"/>
              </w:rPr>
              <w:t>单位负责人为同一人或者存在直接控股、管理关系的不同投标人，不得参加同一合同项下的采购活动；（提供“国家企业信用信息公示系统”中查询打印的相关信息并加盖公章（查询信息需包含公司基本信息、股东信息及股权变更信息等相关信息，查询日期为本项目公告发布之后至开标截止时间止））；</w:t>
            </w:r>
          </w:p>
          <w:p w14:paraId="4A49DE8E">
            <w:pPr>
              <w:spacing w:line="360" w:lineRule="auto"/>
              <w:ind w:firstLine="566" w:firstLineChars="236"/>
              <w:rPr>
                <w:rFonts w:hint="eastAsia" w:asciiTheme="minorEastAsia" w:hAnsiTheme="minorEastAsia" w:cstheme="minorEastAsia"/>
                <w:sz w:val="24"/>
                <w:szCs w:val="24"/>
                <w:highlight w:val="none"/>
              </w:rPr>
            </w:pPr>
            <w:r>
              <w:rPr>
                <w:rFonts w:hint="eastAsia" w:asciiTheme="minorEastAsia" w:hAnsiTheme="minorEastAsia" w:cstheme="minorEastAsia"/>
                <w:sz w:val="24"/>
                <w:szCs w:val="24"/>
                <w:highlight w:val="none"/>
              </w:rPr>
              <w:t>3.</w:t>
            </w:r>
            <w:r>
              <w:rPr>
                <w:rFonts w:hint="eastAsia" w:asciiTheme="minorEastAsia" w:hAnsiTheme="minorEastAsia" w:cstheme="minorEastAsia"/>
                <w:sz w:val="24"/>
                <w:szCs w:val="24"/>
                <w:highlight w:val="none"/>
                <w:lang w:val="en-US" w:eastAsia="zh-CN"/>
              </w:rPr>
              <w:t>7</w:t>
            </w:r>
            <w:r>
              <w:rPr>
                <w:rFonts w:hint="eastAsia" w:asciiTheme="minorEastAsia" w:hAnsiTheme="minorEastAsia" w:cstheme="minorEastAsia"/>
                <w:sz w:val="24"/>
                <w:szCs w:val="24"/>
                <w:highlight w:val="none"/>
              </w:rPr>
              <w:t>本项目不接受联合体投标，提供非联合体投标承诺，格式自拟。</w:t>
            </w:r>
          </w:p>
          <w:p w14:paraId="581F8BB6">
            <w:pPr>
              <w:widowControl/>
              <w:spacing w:line="360" w:lineRule="auto"/>
              <w:ind w:firstLine="482" w:firstLineChars="200"/>
              <w:jc w:val="left"/>
              <w:rPr>
                <w:rFonts w:hint="eastAsia" w:ascii="宋体" w:hAnsi="宋体" w:eastAsia="宋体" w:cs="宋体"/>
                <w:b/>
                <w:kern w:val="0"/>
                <w:sz w:val="24"/>
                <w:highlight w:val="none"/>
                <w:lang w:bidi="ar"/>
              </w:rPr>
            </w:pPr>
            <w:r>
              <w:rPr>
                <w:rFonts w:hint="eastAsia" w:ascii="宋体" w:hAnsi="宋体" w:eastAsia="宋体" w:cs="宋体"/>
                <w:b/>
                <w:kern w:val="0"/>
                <w:sz w:val="24"/>
                <w:highlight w:val="none"/>
                <w:lang w:bidi="ar"/>
              </w:rPr>
              <w:t>注：本次磋商实行资格后审，资格评审以投标文件为准，其上传资料真实性由供应商自行承担，同时供应商要完善主体库。</w:t>
            </w:r>
          </w:p>
        </w:tc>
      </w:tr>
      <w:tr w14:paraId="601F9387">
        <w:tblPrEx>
          <w:tblCellMar>
            <w:top w:w="0" w:type="dxa"/>
            <w:left w:w="108" w:type="dxa"/>
            <w:bottom w:w="0" w:type="dxa"/>
            <w:right w:w="108" w:type="dxa"/>
          </w:tblCellMar>
        </w:tblPrEx>
        <w:trPr>
          <w:trHeight w:val="570" w:hRule="atLeast"/>
          <w:jc w:val="center"/>
        </w:trPr>
        <w:tc>
          <w:tcPr>
            <w:tcW w:w="697" w:type="dxa"/>
            <w:tcBorders>
              <w:top w:val="single" w:color="auto" w:sz="4" w:space="0"/>
              <w:left w:val="single" w:color="auto" w:sz="4" w:space="0"/>
              <w:bottom w:val="single" w:color="auto" w:sz="4" w:space="0"/>
              <w:right w:val="single" w:color="auto" w:sz="4" w:space="0"/>
            </w:tcBorders>
            <w:vAlign w:val="center"/>
          </w:tcPr>
          <w:p w14:paraId="00E614B3">
            <w:pPr>
              <w:widowControl/>
              <w:spacing w:line="360" w:lineRule="auto"/>
              <w:jc w:val="center"/>
              <w:rPr>
                <w:rFonts w:hint="eastAsia" w:ascii="宋体" w:hAnsi="宋体" w:cs="Calibri"/>
                <w:sz w:val="24"/>
                <w:highlight w:val="none"/>
              </w:rPr>
            </w:pPr>
            <w:r>
              <w:rPr>
                <w:rFonts w:hint="eastAsia" w:ascii="宋体" w:hAnsi="宋体" w:cs="Calibri"/>
                <w:kern w:val="0"/>
                <w:sz w:val="24"/>
                <w:highlight w:val="none"/>
              </w:rPr>
              <w:t>10</w:t>
            </w:r>
          </w:p>
        </w:tc>
        <w:tc>
          <w:tcPr>
            <w:tcW w:w="2070" w:type="dxa"/>
            <w:tcBorders>
              <w:top w:val="single" w:color="auto" w:sz="4" w:space="0"/>
              <w:left w:val="nil"/>
              <w:bottom w:val="single" w:color="auto" w:sz="4" w:space="0"/>
              <w:right w:val="single" w:color="auto" w:sz="4" w:space="0"/>
            </w:tcBorders>
            <w:vAlign w:val="center"/>
          </w:tcPr>
          <w:p w14:paraId="15B4C051">
            <w:pPr>
              <w:widowControl/>
              <w:spacing w:line="360" w:lineRule="auto"/>
              <w:jc w:val="center"/>
              <w:rPr>
                <w:rFonts w:hint="eastAsia" w:ascii="宋体" w:hAnsi="宋体" w:cs="Calibri"/>
                <w:sz w:val="24"/>
                <w:highlight w:val="none"/>
              </w:rPr>
            </w:pPr>
            <w:r>
              <w:rPr>
                <w:rFonts w:hint="eastAsia" w:ascii="宋体" w:hAnsi="宋体" w:cs="Calibri"/>
                <w:kern w:val="0"/>
                <w:sz w:val="24"/>
                <w:highlight w:val="none"/>
              </w:rPr>
              <w:t>投标保证金</w:t>
            </w:r>
          </w:p>
        </w:tc>
        <w:tc>
          <w:tcPr>
            <w:tcW w:w="6353" w:type="dxa"/>
            <w:tcBorders>
              <w:top w:val="single" w:color="auto" w:sz="4" w:space="0"/>
              <w:left w:val="nil"/>
              <w:bottom w:val="single" w:color="auto" w:sz="4" w:space="0"/>
              <w:right w:val="single" w:color="auto" w:sz="4" w:space="0"/>
            </w:tcBorders>
            <w:vAlign w:val="center"/>
          </w:tcPr>
          <w:p w14:paraId="52429A20">
            <w:pPr>
              <w:widowControl/>
              <w:spacing w:line="360" w:lineRule="auto"/>
              <w:rPr>
                <w:rFonts w:hint="eastAsia" w:ascii="宋体" w:hAnsi="宋体" w:cs="Calibri"/>
                <w:sz w:val="24"/>
                <w:highlight w:val="none"/>
              </w:rPr>
            </w:pPr>
            <w:r>
              <w:rPr>
                <w:rFonts w:hint="eastAsia" w:ascii="宋体" w:hAnsi="宋体"/>
                <w:sz w:val="24"/>
                <w:highlight w:val="none"/>
              </w:rPr>
              <w:t>根据《河南省财政厅关于优化政府采购营商环境有关问题的通知》（豫财购【2019】4号）第6条的规定，投标保证金不再收取。</w:t>
            </w:r>
          </w:p>
        </w:tc>
      </w:tr>
      <w:tr w14:paraId="62104544">
        <w:tblPrEx>
          <w:tblCellMar>
            <w:top w:w="0" w:type="dxa"/>
            <w:left w:w="108" w:type="dxa"/>
            <w:bottom w:w="0" w:type="dxa"/>
            <w:right w:w="108" w:type="dxa"/>
          </w:tblCellMar>
        </w:tblPrEx>
        <w:trPr>
          <w:trHeight w:val="954" w:hRule="atLeast"/>
          <w:jc w:val="center"/>
        </w:trPr>
        <w:tc>
          <w:tcPr>
            <w:tcW w:w="697" w:type="dxa"/>
            <w:tcBorders>
              <w:top w:val="single" w:color="auto" w:sz="4" w:space="0"/>
              <w:left w:val="single" w:color="auto" w:sz="4" w:space="0"/>
              <w:bottom w:val="single" w:color="auto" w:sz="4" w:space="0"/>
              <w:right w:val="single" w:color="auto" w:sz="4" w:space="0"/>
            </w:tcBorders>
            <w:vAlign w:val="center"/>
          </w:tcPr>
          <w:p w14:paraId="366B98BB">
            <w:pPr>
              <w:widowControl/>
              <w:spacing w:line="360" w:lineRule="auto"/>
              <w:jc w:val="center"/>
              <w:rPr>
                <w:rFonts w:hint="eastAsia" w:ascii="宋体" w:hAnsi="宋体" w:cs="Calibri"/>
                <w:sz w:val="24"/>
                <w:highlight w:val="none"/>
              </w:rPr>
            </w:pPr>
            <w:r>
              <w:rPr>
                <w:rFonts w:hint="eastAsia" w:ascii="宋体" w:hAnsi="宋体" w:cs="Calibri"/>
                <w:kern w:val="0"/>
                <w:sz w:val="24"/>
                <w:highlight w:val="none"/>
              </w:rPr>
              <w:t>11</w:t>
            </w:r>
          </w:p>
        </w:tc>
        <w:tc>
          <w:tcPr>
            <w:tcW w:w="2070" w:type="dxa"/>
            <w:tcBorders>
              <w:top w:val="single" w:color="auto" w:sz="4" w:space="0"/>
              <w:left w:val="nil"/>
              <w:bottom w:val="single" w:color="auto" w:sz="4" w:space="0"/>
              <w:right w:val="single" w:color="auto" w:sz="4" w:space="0"/>
            </w:tcBorders>
            <w:vAlign w:val="center"/>
          </w:tcPr>
          <w:p w14:paraId="58CF0CFB">
            <w:pPr>
              <w:widowControl/>
              <w:spacing w:line="360" w:lineRule="auto"/>
              <w:jc w:val="center"/>
              <w:rPr>
                <w:rFonts w:hint="eastAsia" w:ascii="宋体" w:hAnsi="宋体" w:cs="Calibri"/>
                <w:sz w:val="24"/>
                <w:highlight w:val="none"/>
              </w:rPr>
            </w:pPr>
            <w:r>
              <w:rPr>
                <w:rFonts w:hint="eastAsia" w:ascii="宋体" w:hAnsi="宋体" w:cs="Calibri"/>
                <w:kern w:val="0"/>
                <w:sz w:val="24"/>
                <w:highlight w:val="none"/>
              </w:rPr>
              <w:t>响应性文件递交截止时间及地点</w:t>
            </w:r>
          </w:p>
        </w:tc>
        <w:tc>
          <w:tcPr>
            <w:tcW w:w="6353" w:type="dxa"/>
            <w:tcBorders>
              <w:top w:val="single" w:color="auto" w:sz="4" w:space="0"/>
              <w:left w:val="nil"/>
              <w:bottom w:val="single" w:color="auto" w:sz="4" w:space="0"/>
              <w:right w:val="single" w:color="auto" w:sz="4" w:space="0"/>
            </w:tcBorders>
            <w:vAlign w:val="center"/>
          </w:tcPr>
          <w:p w14:paraId="1A31EB3A">
            <w:pPr>
              <w:widowControl/>
              <w:spacing w:line="360" w:lineRule="auto"/>
              <w:jc w:val="left"/>
              <w:rPr>
                <w:rFonts w:hint="eastAsia" w:ascii="宋体" w:hAnsi="宋体" w:cs="Calibri"/>
                <w:b/>
                <w:bCs/>
                <w:kern w:val="0"/>
                <w:sz w:val="24"/>
                <w:highlight w:val="none"/>
              </w:rPr>
            </w:pPr>
            <w:r>
              <w:rPr>
                <w:rFonts w:hint="eastAsia" w:ascii="宋体" w:hAnsi="宋体" w:cs="Calibri"/>
                <w:b/>
                <w:bCs/>
                <w:kern w:val="0"/>
                <w:sz w:val="24"/>
                <w:highlight w:val="none"/>
                <w:lang w:eastAsia="zh-CN"/>
              </w:rPr>
              <w:t>2026年10月14日</w:t>
            </w:r>
            <w:r>
              <w:rPr>
                <w:rFonts w:hint="eastAsia" w:ascii="宋体" w:hAnsi="宋体" w:cs="Calibri"/>
                <w:b/>
                <w:bCs/>
                <w:kern w:val="0"/>
                <w:sz w:val="24"/>
                <w:highlight w:val="none"/>
              </w:rPr>
              <w:t>8时20分（北京时间）</w:t>
            </w:r>
          </w:p>
          <w:p w14:paraId="0819D515">
            <w:pPr>
              <w:widowControl/>
              <w:spacing w:line="360" w:lineRule="auto"/>
              <w:jc w:val="left"/>
              <w:rPr>
                <w:rFonts w:hint="eastAsia" w:ascii="宋体" w:hAnsi="宋体" w:cs="Calibri"/>
                <w:b/>
                <w:bCs/>
                <w:kern w:val="0"/>
                <w:sz w:val="24"/>
                <w:highlight w:val="none"/>
              </w:rPr>
            </w:pPr>
            <w:r>
              <w:rPr>
                <w:rFonts w:hint="eastAsia" w:ascii="宋体" w:hAnsi="宋体" w:cs="宋体"/>
                <w:sz w:val="24"/>
                <w:highlight w:val="none"/>
              </w:rPr>
              <w:t>上传至三门峡市公共资源交易中心系统</w:t>
            </w:r>
          </w:p>
        </w:tc>
      </w:tr>
      <w:tr w14:paraId="0DEC8511">
        <w:tblPrEx>
          <w:tblCellMar>
            <w:top w:w="0" w:type="dxa"/>
            <w:left w:w="108" w:type="dxa"/>
            <w:bottom w:w="0" w:type="dxa"/>
            <w:right w:w="108" w:type="dxa"/>
          </w:tblCellMar>
        </w:tblPrEx>
        <w:trPr>
          <w:trHeight w:val="467" w:hRule="atLeast"/>
          <w:jc w:val="center"/>
        </w:trPr>
        <w:tc>
          <w:tcPr>
            <w:tcW w:w="697" w:type="dxa"/>
            <w:tcBorders>
              <w:top w:val="single" w:color="auto" w:sz="4" w:space="0"/>
              <w:left w:val="single" w:color="auto" w:sz="4" w:space="0"/>
              <w:bottom w:val="single" w:color="auto" w:sz="4" w:space="0"/>
              <w:right w:val="single" w:color="auto" w:sz="4" w:space="0"/>
            </w:tcBorders>
            <w:vAlign w:val="center"/>
          </w:tcPr>
          <w:p w14:paraId="253E3C36">
            <w:pPr>
              <w:widowControl/>
              <w:spacing w:line="360" w:lineRule="auto"/>
              <w:jc w:val="center"/>
              <w:rPr>
                <w:rFonts w:hint="eastAsia" w:ascii="宋体" w:hAnsi="宋体" w:cs="Calibri"/>
                <w:sz w:val="24"/>
                <w:highlight w:val="none"/>
              </w:rPr>
            </w:pPr>
            <w:r>
              <w:rPr>
                <w:rFonts w:hint="eastAsia" w:ascii="宋体" w:hAnsi="宋体" w:cs="Calibri"/>
                <w:kern w:val="0"/>
                <w:sz w:val="24"/>
                <w:highlight w:val="none"/>
              </w:rPr>
              <w:t>12</w:t>
            </w:r>
          </w:p>
        </w:tc>
        <w:tc>
          <w:tcPr>
            <w:tcW w:w="2070" w:type="dxa"/>
            <w:tcBorders>
              <w:top w:val="single" w:color="auto" w:sz="4" w:space="0"/>
              <w:left w:val="nil"/>
              <w:bottom w:val="single" w:color="auto" w:sz="4" w:space="0"/>
              <w:right w:val="single" w:color="auto" w:sz="4" w:space="0"/>
            </w:tcBorders>
            <w:vAlign w:val="center"/>
          </w:tcPr>
          <w:p w14:paraId="5F98BCC8">
            <w:pPr>
              <w:widowControl/>
              <w:spacing w:line="360" w:lineRule="auto"/>
              <w:jc w:val="center"/>
              <w:rPr>
                <w:rFonts w:hint="eastAsia" w:ascii="宋体" w:hAnsi="宋体" w:cs="Calibri"/>
                <w:sz w:val="24"/>
                <w:highlight w:val="none"/>
              </w:rPr>
            </w:pPr>
            <w:r>
              <w:rPr>
                <w:rFonts w:hint="eastAsia" w:ascii="宋体" w:hAnsi="宋体" w:cs="Calibri"/>
                <w:kern w:val="0"/>
                <w:sz w:val="24"/>
                <w:highlight w:val="none"/>
              </w:rPr>
              <w:t>开标时间及地点</w:t>
            </w:r>
          </w:p>
        </w:tc>
        <w:tc>
          <w:tcPr>
            <w:tcW w:w="6353" w:type="dxa"/>
            <w:tcBorders>
              <w:top w:val="single" w:color="auto" w:sz="4" w:space="0"/>
              <w:left w:val="nil"/>
              <w:bottom w:val="single" w:color="auto" w:sz="4" w:space="0"/>
              <w:right w:val="single" w:color="auto" w:sz="4" w:space="0"/>
            </w:tcBorders>
            <w:vAlign w:val="center"/>
          </w:tcPr>
          <w:p w14:paraId="018F2458">
            <w:pPr>
              <w:widowControl/>
              <w:spacing w:line="360" w:lineRule="auto"/>
              <w:jc w:val="left"/>
              <w:rPr>
                <w:rFonts w:hint="eastAsia" w:ascii="宋体" w:hAnsi="宋体" w:cs="Calibri"/>
                <w:b/>
                <w:bCs/>
                <w:kern w:val="0"/>
                <w:sz w:val="24"/>
                <w:highlight w:val="none"/>
              </w:rPr>
            </w:pPr>
            <w:r>
              <w:rPr>
                <w:rFonts w:hint="eastAsia" w:ascii="宋体" w:hAnsi="宋体" w:cs="Calibri"/>
                <w:b/>
                <w:bCs/>
                <w:kern w:val="0"/>
                <w:sz w:val="24"/>
                <w:highlight w:val="none"/>
                <w:lang w:eastAsia="zh-CN"/>
              </w:rPr>
              <w:t>2026年10月14日</w:t>
            </w:r>
            <w:r>
              <w:rPr>
                <w:rFonts w:hint="eastAsia" w:ascii="宋体" w:hAnsi="宋体" w:cs="Calibri"/>
                <w:b/>
                <w:bCs/>
                <w:kern w:val="0"/>
                <w:sz w:val="24"/>
                <w:highlight w:val="none"/>
              </w:rPr>
              <w:t>8时20分（北京时间）</w:t>
            </w:r>
          </w:p>
          <w:p w14:paraId="6B71F5B8">
            <w:pPr>
              <w:widowControl/>
              <w:spacing w:line="360" w:lineRule="auto"/>
              <w:jc w:val="left"/>
              <w:rPr>
                <w:rFonts w:hint="eastAsia" w:ascii="宋体" w:hAnsi="宋体" w:cs="Calibri" w:eastAsiaTheme="minorEastAsia"/>
                <w:b/>
                <w:bCs/>
                <w:kern w:val="0"/>
                <w:sz w:val="24"/>
                <w:highlight w:val="none"/>
                <w:lang w:eastAsia="zh-CN"/>
              </w:rPr>
            </w:pPr>
            <w:r>
              <w:rPr>
                <w:rFonts w:hint="eastAsia" w:ascii="宋体" w:hAnsi="宋体" w:cs="宋体"/>
                <w:sz w:val="24"/>
                <w:highlight w:val="none"/>
              </w:rPr>
              <w:t>渑池县公共资源交易中心六楼</w:t>
            </w:r>
            <w:r>
              <w:rPr>
                <w:rFonts w:hint="eastAsia" w:ascii="宋体" w:hAnsi="宋体" w:cs="宋体"/>
                <w:sz w:val="24"/>
                <w:highlight w:val="none"/>
                <w:lang w:eastAsia="zh-CN"/>
              </w:rPr>
              <w:t>开标二室</w:t>
            </w:r>
          </w:p>
        </w:tc>
      </w:tr>
      <w:tr w14:paraId="1DC2D4E5">
        <w:tblPrEx>
          <w:tblCellMar>
            <w:top w:w="0" w:type="dxa"/>
            <w:left w:w="108" w:type="dxa"/>
            <w:bottom w:w="0" w:type="dxa"/>
            <w:right w:w="108" w:type="dxa"/>
          </w:tblCellMar>
        </w:tblPrEx>
        <w:trPr>
          <w:trHeight w:val="518" w:hRule="atLeast"/>
          <w:jc w:val="center"/>
        </w:trPr>
        <w:tc>
          <w:tcPr>
            <w:tcW w:w="697" w:type="dxa"/>
            <w:tcBorders>
              <w:top w:val="single" w:color="auto" w:sz="4" w:space="0"/>
              <w:left w:val="single" w:color="auto" w:sz="4" w:space="0"/>
              <w:bottom w:val="single" w:color="auto" w:sz="4" w:space="0"/>
              <w:right w:val="single" w:color="auto" w:sz="4" w:space="0"/>
            </w:tcBorders>
            <w:vAlign w:val="center"/>
          </w:tcPr>
          <w:p w14:paraId="45B98783">
            <w:pPr>
              <w:widowControl/>
              <w:spacing w:line="360" w:lineRule="auto"/>
              <w:jc w:val="center"/>
              <w:rPr>
                <w:rFonts w:hint="eastAsia" w:ascii="宋体" w:hAnsi="宋体" w:cs="Calibri"/>
                <w:sz w:val="24"/>
                <w:highlight w:val="none"/>
              </w:rPr>
            </w:pPr>
            <w:r>
              <w:rPr>
                <w:rFonts w:hint="eastAsia" w:ascii="宋体" w:hAnsi="宋体" w:cs="Calibri"/>
                <w:kern w:val="0"/>
                <w:sz w:val="24"/>
                <w:highlight w:val="none"/>
              </w:rPr>
              <w:t>13</w:t>
            </w:r>
          </w:p>
        </w:tc>
        <w:tc>
          <w:tcPr>
            <w:tcW w:w="2070" w:type="dxa"/>
            <w:tcBorders>
              <w:top w:val="single" w:color="auto" w:sz="4" w:space="0"/>
              <w:left w:val="nil"/>
              <w:bottom w:val="single" w:color="auto" w:sz="4" w:space="0"/>
              <w:right w:val="single" w:color="auto" w:sz="4" w:space="0"/>
            </w:tcBorders>
            <w:vAlign w:val="center"/>
          </w:tcPr>
          <w:p w14:paraId="7990781D">
            <w:pPr>
              <w:widowControl/>
              <w:spacing w:line="360" w:lineRule="auto"/>
              <w:jc w:val="center"/>
              <w:rPr>
                <w:rFonts w:hint="eastAsia" w:ascii="宋体" w:hAnsi="宋体" w:cs="Calibri"/>
                <w:b/>
                <w:bCs/>
                <w:sz w:val="24"/>
                <w:highlight w:val="none"/>
              </w:rPr>
            </w:pPr>
            <w:r>
              <w:rPr>
                <w:rFonts w:hint="eastAsia" w:ascii="宋体" w:hAnsi="宋体" w:cs="Calibri"/>
                <w:sz w:val="24"/>
                <w:highlight w:val="none"/>
              </w:rPr>
              <w:t>招标控制价</w:t>
            </w:r>
          </w:p>
        </w:tc>
        <w:tc>
          <w:tcPr>
            <w:tcW w:w="6353" w:type="dxa"/>
            <w:tcBorders>
              <w:top w:val="single" w:color="auto" w:sz="4" w:space="0"/>
              <w:left w:val="nil"/>
              <w:bottom w:val="single" w:color="auto" w:sz="4" w:space="0"/>
              <w:right w:val="single" w:color="auto" w:sz="4" w:space="0"/>
            </w:tcBorders>
            <w:vAlign w:val="center"/>
          </w:tcPr>
          <w:p w14:paraId="365CF456">
            <w:pPr>
              <w:widowControl/>
              <w:spacing w:line="360" w:lineRule="auto"/>
              <w:jc w:val="left"/>
              <w:rPr>
                <w:rFonts w:hint="eastAsia" w:ascii="宋体" w:hAnsi="宋体" w:cs="Calibri"/>
                <w:b/>
                <w:bCs/>
                <w:sz w:val="24"/>
                <w:highlight w:val="none"/>
              </w:rPr>
            </w:pPr>
            <w:r>
              <w:rPr>
                <w:rFonts w:hint="eastAsia" w:ascii="宋体" w:hAnsi="宋体" w:cs="Calibri"/>
                <w:b/>
                <w:bCs/>
                <w:sz w:val="24"/>
                <w:highlight w:val="none"/>
                <w:lang w:eastAsia="zh-CN"/>
              </w:rPr>
              <w:t>310000.00</w:t>
            </w:r>
            <w:r>
              <w:rPr>
                <w:rFonts w:hint="eastAsia" w:ascii="宋体" w:hAnsi="宋体" w:cs="Calibri"/>
                <w:b/>
                <w:bCs/>
                <w:sz w:val="24"/>
                <w:highlight w:val="none"/>
              </w:rPr>
              <w:t>元</w:t>
            </w:r>
          </w:p>
          <w:p w14:paraId="27164E33">
            <w:pPr>
              <w:widowControl/>
              <w:spacing w:line="360" w:lineRule="auto"/>
              <w:jc w:val="left"/>
              <w:rPr>
                <w:rFonts w:hint="eastAsia" w:ascii="宋体" w:hAnsi="宋体" w:cs="Calibri"/>
                <w:b/>
                <w:bCs/>
                <w:sz w:val="24"/>
                <w:highlight w:val="none"/>
              </w:rPr>
            </w:pPr>
            <w:r>
              <w:rPr>
                <w:rFonts w:hint="eastAsia" w:ascii="宋体" w:hAnsi="宋体" w:cs="Calibri"/>
                <w:b/>
                <w:bCs/>
                <w:sz w:val="24"/>
                <w:highlight w:val="none"/>
              </w:rPr>
              <w:t>供应商的投标报价不得超过最高投标限价，否则视为无效报价。</w:t>
            </w:r>
          </w:p>
        </w:tc>
      </w:tr>
      <w:tr w14:paraId="34E25594">
        <w:tblPrEx>
          <w:tblCellMar>
            <w:top w:w="0" w:type="dxa"/>
            <w:left w:w="108" w:type="dxa"/>
            <w:bottom w:w="0" w:type="dxa"/>
            <w:right w:w="108" w:type="dxa"/>
          </w:tblCellMar>
        </w:tblPrEx>
        <w:trPr>
          <w:trHeight w:val="2022" w:hRule="atLeast"/>
          <w:jc w:val="center"/>
        </w:trPr>
        <w:tc>
          <w:tcPr>
            <w:tcW w:w="697" w:type="dxa"/>
            <w:tcBorders>
              <w:top w:val="single" w:color="auto" w:sz="4" w:space="0"/>
              <w:left w:val="single" w:color="auto" w:sz="4" w:space="0"/>
              <w:bottom w:val="single" w:color="auto" w:sz="4" w:space="0"/>
              <w:right w:val="single" w:color="auto" w:sz="4" w:space="0"/>
            </w:tcBorders>
            <w:vAlign w:val="center"/>
          </w:tcPr>
          <w:p w14:paraId="566E0AEA">
            <w:pPr>
              <w:widowControl/>
              <w:spacing w:line="360" w:lineRule="auto"/>
              <w:jc w:val="center"/>
              <w:rPr>
                <w:rFonts w:hint="eastAsia" w:ascii="宋体" w:hAnsi="宋体" w:cs="Calibri"/>
                <w:sz w:val="24"/>
                <w:highlight w:val="none"/>
              </w:rPr>
            </w:pPr>
            <w:r>
              <w:rPr>
                <w:rFonts w:hint="eastAsia" w:ascii="宋体" w:hAnsi="宋体" w:cs="Calibri"/>
                <w:kern w:val="0"/>
                <w:sz w:val="24"/>
                <w:highlight w:val="none"/>
              </w:rPr>
              <w:t>14</w:t>
            </w:r>
          </w:p>
        </w:tc>
        <w:tc>
          <w:tcPr>
            <w:tcW w:w="2070" w:type="dxa"/>
            <w:tcBorders>
              <w:top w:val="single" w:color="auto" w:sz="4" w:space="0"/>
              <w:left w:val="nil"/>
              <w:bottom w:val="single" w:color="auto" w:sz="4" w:space="0"/>
              <w:right w:val="single" w:color="auto" w:sz="4" w:space="0"/>
            </w:tcBorders>
            <w:vAlign w:val="center"/>
          </w:tcPr>
          <w:p w14:paraId="56A595E9">
            <w:pPr>
              <w:widowControl/>
              <w:spacing w:line="360" w:lineRule="auto"/>
              <w:jc w:val="center"/>
              <w:rPr>
                <w:rFonts w:hint="eastAsia" w:ascii="宋体" w:hAnsi="宋体" w:cs="Calibri"/>
                <w:kern w:val="0"/>
                <w:sz w:val="24"/>
                <w:highlight w:val="none"/>
              </w:rPr>
            </w:pPr>
            <w:r>
              <w:rPr>
                <w:rFonts w:hint="eastAsia" w:ascii="宋体" w:hAnsi="宋体" w:cs="Calibri"/>
                <w:kern w:val="0"/>
                <w:sz w:val="24"/>
                <w:highlight w:val="none"/>
              </w:rPr>
              <w:t>磋商小组的</w:t>
            </w:r>
          </w:p>
          <w:p w14:paraId="297502DB">
            <w:pPr>
              <w:widowControl/>
              <w:spacing w:line="360" w:lineRule="auto"/>
              <w:jc w:val="center"/>
              <w:rPr>
                <w:rFonts w:hint="eastAsia" w:ascii="宋体" w:hAnsi="宋体" w:cs="Calibri"/>
                <w:sz w:val="24"/>
                <w:highlight w:val="none"/>
              </w:rPr>
            </w:pPr>
            <w:r>
              <w:rPr>
                <w:rFonts w:hint="eastAsia" w:ascii="宋体" w:hAnsi="宋体" w:cs="Calibri"/>
                <w:kern w:val="0"/>
                <w:sz w:val="24"/>
                <w:highlight w:val="none"/>
              </w:rPr>
              <w:t>组建</w:t>
            </w:r>
          </w:p>
        </w:tc>
        <w:tc>
          <w:tcPr>
            <w:tcW w:w="6353" w:type="dxa"/>
            <w:tcBorders>
              <w:top w:val="single" w:color="auto" w:sz="4" w:space="0"/>
              <w:left w:val="nil"/>
              <w:bottom w:val="single" w:color="auto" w:sz="4" w:space="0"/>
              <w:right w:val="single" w:color="auto" w:sz="4" w:space="0"/>
            </w:tcBorders>
            <w:vAlign w:val="center"/>
          </w:tcPr>
          <w:p w14:paraId="08FB6507">
            <w:pPr>
              <w:widowControl/>
              <w:spacing w:line="360" w:lineRule="auto"/>
              <w:jc w:val="left"/>
              <w:rPr>
                <w:rFonts w:hint="eastAsia" w:ascii="宋体" w:hAnsi="宋体" w:cs="Calibri"/>
                <w:sz w:val="24"/>
                <w:highlight w:val="none"/>
              </w:rPr>
            </w:pPr>
            <w:r>
              <w:rPr>
                <w:rFonts w:hint="eastAsia" w:ascii="宋体" w:hAnsi="宋体" w:cs="Calibri"/>
                <w:sz w:val="24"/>
                <w:highlight w:val="none"/>
              </w:rPr>
              <w:t>磋商小组构成：3人；</w:t>
            </w:r>
          </w:p>
          <w:p w14:paraId="2F5F6C60">
            <w:pPr>
              <w:widowControl/>
              <w:spacing w:line="360" w:lineRule="auto"/>
              <w:jc w:val="left"/>
              <w:rPr>
                <w:rFonts w:hint="eastAsia" w:ascii="宋体" w:hAnsi="宋体" w:cs="Calibri"/>
                <w:sz w:val="24"/>
                <w:highlight w:val="none"/>
              </w:rPr>
            </w:pPr>
            <w:r>
              <w:rPr>
                <w:rFonts w:hint="eastAsia" w:ascii="宋体" w:hAnsi="宋体" w:cs="Calibri"/>
                <w:sz w:val="24"/>
                <w:highlight w:val="none"/>
              </w:rPr>
              <w:t>其中招标人代表1人，经济、技术类专家2人；</w:t>
            </w:r>
          </w:p>
          <w:p w14:paraId="7ACD6681">
            <w:pPr>
              <w:widowControl/>
              <w:spacing w:line="360" w:lineRule="auto"/>
              <w:jc w:val="left"/>
              <w:rPr>
                <w:rFonts w:hint="eastAsia" w:ascii="宋体" w:hAnsi="宋体" w:cs="Calibri"/>
                <w:sz w:val="24"/>
                <w:highlight w:val="none"/>
              </w:rPr>
            </w:pPr>
            <w:r>
              <w:rPr>
                <w:rFonts w:hint="eastAsia" w:ascii="宋体" w:hAnsi="宋体" w:cs="Calibri"/>
                <w:sz w:val="24"/>
                <w:highlight w:val="none"/>
              </w:rPr>
              <w:t>评标专家确定方式：</w:t>
            </w:r>
            <w:r>
              <w:rPr>
                <w:rFonts w:hint="eastAsia" w:ascii="宋体" w:hAnsi="宋体" w:eastAsia="宋体" w:cs="宋体"/>
                <w:kern w:val="0"/>
                <w:sz w:val="24"/>
                <w:szCs w:val="24"/>
                <w:highlight w:val="none"/>
              </w:rPr>
              <w:t>开标当天从河南省政府采购网专家库随机抽取。</w:t>
            </w:r>
          </w:p>
        </w:tc>
      </w:tr>
      <w:tr w14:paraId="3FD7E85C">
        <w:tblPrEx>
          <w:tblCellMar>
            <w:top w:w="0" w:type="dxa"/>
            <w:left w:w="108" w:type="dxa"/>
            <w:bottom w:w="0" w:type="dxa"/>
            <w:right w:w="108" w:type="dxa"/>
          </w:tblCellMar>
        </w:tblPrEx>
        <w:trPr>
          <w:trHeight w:val="90" w:hRule="atLeast"/>
          <w:jc w:val="center"/>
        </w:trPr>
        <w:tc>
          <w:tcPr>
            <w:tcW w:w="697" w:type="dxa"/>
            <w:tcBorders>
              <w:top w:val="single" w:color="auto" w:sz="4" w:space="0"/>
              <w:left w:val="single" w:color="auto" w:sz="4" w:space="0"/>
              <w:bottom w:val="single" w:color="auto" w:sz="4" w:space="0"/>
              <w:right w:val="single" w:color="auto" w:sz="4" w:space="0"/>
            </w:tcBorders>
            <w:vAlign w:val="center"/>
          </w:tcPr>
          <w:p w14:paraId="69F9EC33">
            <w:pPr>
              <w:widowControl/>
              <w:spacing w:line="360" w:lineRule="auto"/>
              <w:jc w:val="center"/>
              <w:rPr>
                <w:rFonts w:hint="eastAsia" w:ascii="宋体" w:hAnsi="宋体" w:cs="Calibri"/>
                <w:sz w:val="24"/>
                <w:highlight w:val="none"/>
              </w:rPr>
            </w:pPr>
            <w:r>
              <w:rPr>
                <w:rFonts w:hint="eastAsia" w:ascii="宋体" w:hAnsi="宋体" w:cs="Calibri"/>
                <w:kern w:val="0"/>
                <w:sz w:val="24"/>
                <w:highlight w:val="none"/>
              </w:rPr>
              <w:t>15</w:t>
            </w:r>
          </w:p>
        </w:tc>
        <w:tc>
          <w:tcPr>
            <w:tcW w:w="2070" w:type="dxa"/>
            <w:tcBorders>
              <w:top w:val="single" w:color="auto" w:sz="4" w:space="0"/>
              <w:left w:val="nil"/>
              <w:bottom w:val="single" w:color="auto" w:sz="4" w:space="0"/>
              <w:right w:val="single" w:color="auto" w:sz="4" w:space="0"/>
            </w:tcBorders>
            <w:vAlign w:val="center"/>
          </w:tcPr>
          <w:p w14:paraId="33E74DC6">
            <w:pPr>
              <w:widowControl/>
              <w:spacing w:line="360" w:lineRule="auto"/>
              <w:jc w:val="center"/>
              <w:rPr>
                <w:rFonts w:hint="eastAsia" w:ascii="宋体" w:hAnsi="宋体" w:cs="Calibri"/>
                <w:kern w:val="0"/>
                <w:sz w:val="24"/>
                <w:highlight w:val="none"/>
              </w:rPr>
            </w:pPr>
            <w:r>
              <w:rPr>
                <w:rFonts w:hint="eastAsia" w:ascii="宋体" w:hAnsi="宋体" w:cs="Calibri"/>
                <w:kern w:val="0"/>
                <w:sz w:val="24"/>
                <w:highlight w:val="none"/>
              </w:rPr>
              <w:t>授权评委小组推荐中标候选人</w:t>
            </w:r>
          </w:p>
        </w:tc>
        <w:tc>
          <w:tcPr>
            <w:tcW w:w="6353" w:type="dxa"/>
            <w:tcBorders>
              <w:top w:val="single" w:color="auto" w:sz="4" w:space="0"/>
              <w:left w:val="nil"/>
              <w:bottom w:val="single" w:color="auto" w:sz="4" w:space="0"/>
              <w:right w:val="single" w:color="auto" w:sz="4" w:space="0"/>
            </w:tcBorders>
            <w:vAlign w:val="center"/>
          </w:tcPr>
          <w:p w14:paraId="4B9F7853">
            <w:pPr>
              <w:widowControl/>
              <w:spacing w:line="360" w:lineRule="auto"/>
              <w:jc w:val="left"/>
              <w:rPr>
                <w:rFonts w:hint="eastAsia" w:ascii="宋体" w:hAnsi="宋体" w:cs="Calibri"/>
                <w:kern w:val="0"/>
                <w:sz w:val="24"/>
                <w:highlight w:val="none"/>
              </w:rPr>
            </w:pPr>
            <w:r>
              <w:rPr>
                <w:rFonts w:hint="eastAsia" w:ascii="宋体" w:hAnsi="宋体" w:cs="Calibri"/>
                <w:kern w:val="0"/>
                <w:sz w:val="24"/>
                <w:highlight w:val="none"/>
              </w:rPr>
              <w:t>是，推荐的中标候选人数：3个</w:t>
            </w:r>
          </w:p>
        </w:tc>
      </w:tr>
      <w:tr w14:paraId="24C6EC34">
        <w:tblPrEx>
          <w:tblCellMar>
            <w:top w:w="0" w:type="dxa"/>
            <w:left w:w="108" w:type="dxa"/>
            <w:bottom w:w="0" w:type="dxa"/>
            <w:right w:w="108" w:type="dxa"/>
          </w:tblCellMar>
        </w:tblPrEx>
        <w:trPr>
          <w:trHeight w:val="90" w:hRule="atLeast"/>
          <w:jc w:val="center"/>
        </w:trPr>
        <w:tc>
          <w:tcPr>
            <w:tcW w:w="697" w:type="dxa"/>
            <w:tcBorders>
              <w:top w:val="single" w:color="auto" w:sz="4" w:space="0"/>
              <w:left w:val="single" w:color="auto" w:sz="4" w:space="0"/>
              <w:bottom w:val="single" w:color="auto" w:sz="4" w:space="0"/>
              <w:right w:val="single" w:color="auto" w:sz="4" w:space="0"/>
            </w:tcBorders>
            <w:vAlign w:val="center"/>
          </w:tcPr>
          <w:p w14:paraId="58F9F3F4">
            <w:pPr>
              <w:widowControl/>
              <w:spacing w:line="360" w:lineRule="auto"/>
              <w:jc w:val="center"/>
              <w:rPr>
                <w:rFonts w:hint="eastAsia" w:ascii="宋体" w:hAnsi="宋体" w:cs="Calibri"/>
                <w:kern w:val="0"/>
                <w:sz w:val="24"/>
                <w:highlight w:val="none"/>
              </w:rPr>
            </w:pPr>
            <w:r>
              <w:rPr>
                <w:rFonts w:hint="eastAsia" w:ascii="宋体" w:hAnsi="宋体" w:cs="Calibri"/>
                <w:kern w:val="0"/>
                <w:sz w:val="24"/>
                <w:highlight w:val="none"/>
              </w:rPr>
              <w:t>16</w:t>
            </w:r>
          </w:p>
        </w:tc>
        <w:tc>
          <w:tcPr>
            <w:tcW w:w="2070" w:type="dxa"/>
            <w:tcBorders>
              <w:top w:val="single" w:color="auto" w:sz="4" w:space="0"/>
              <w:left w:val="nil"/>
              <w:bottom w:val="single" w:color="auto" w:sz="4" w:space="0"/>
              <w:right w:val="single" w:color="auto" w:sz="4" w:space="0"/>
            </w:tcBorders>
            <w:vAlign w:val="center"/>
          </w:tcPr>
          <w:p w14:paraId="0810AC03">
            <w:pPr>
              <w:widowControl/>
              <w:spacing w:line="360" w:lineRule="auto"/>
              <w:jc w:val="center"/>
              <w:rPr>
                <w:rFonts w:hint="eastAsia" w:ascii="宋体" w:hAnsi="宋体" w:cs="Calibri"/>
                <w:kern w:val="0"/>
                <w:sz w:val="24"/>
                <w:highlight w:val="none"/>
              </w:rPr>
            </w:pPr>
            <w:r>
              <w:rPr>
                <w:rFonts w:hint="eastAsia" w:ascii="宋体" w:hAnsi="宋体" w:cs="Calibri"/>
                <w:kern w:val="0"/>
                <w:sz w:val="24"/>
                <w:highlight w:val="none"/>
              </w:rPr>
              <w:t>结果公示</w:t>
            </w:r>
          </w:p>
        </w:tc>
        <w:tc>
          <w:tcPr>
            <w:tcW w:w="6353" w:type="dxa"/>
            <w:tcBorders>
              <w:top w:val="single" w:color="auto" w:sz="4" w:space="0"/>
              <w:left w:val="nil"/>
              <w:bottom w:val="single" w:color="auto" w:sz="4" w:space="0"/>
              <w:right w:val="single" w:color="auto" w:sz="4" w:space="0"/>
            </w:tcBorders>
            <w:vAlign w:val="center"/>
          </w:tcPr>
          <w:p w14:paraId="02A3B6CD">
            <w:pPr>
              <w:widowControl/>
              <w:spacing w:line="360" w:lineRule="auto"/>
              <w:jc w:val="left"/>
              <w:rPr>
                <w:rFonts w:hint="eastAsia" w:ascii="宋体" w:hAnsi="宋体" w:cs="Calibri"/>
                <w:kern w:val="0"/>
                <w:sz w:val="24"/>
                <w:highlight w:val="none"/>
              </w:rPr>
            </w:pPr>
            <w:r>
              <w:rPr>
                <w:rFonts w:hint="eastAsia" w:ascii="宋体" w:hAnsi="宋体" w:cs="Calibri"/>
                <w:kern w:val="0"/>
                <w:sz w:val="24"/>
                <w:highlight w:val="none"/>
              </w:rPr>
              <w:t>在《</w:t>
            </w:r>
            <w:r>
              <w:rPr>
                <w:rFonts w:hint="eastAsia" w:ascii="宋体" w:hAnsi="宋体" w:cs="Calibri"/>
                <w:kern w:val="0"/>
                <w:sz w:val="24"/>
                <w:highlight w:val="none"/>
                <w:lang w:eastAsia="zh-CN"/>
              </w:rPr>
              <w:t>中国招标投标公共服务平台</w:t>
            </w:r>
            <w:r>
              <w:rPr>
                <w:rFonts w:hint="eastAsia" w:ascii="宋体" w:hAnsi="宋体" w:cs="Calibri"/>
                <w:kern w:val="0"/>
                <w:sz w:val="24"/>
                <w:highlight w:val="none"/>
              </w:rPr>
              <w:t>》、《河南省政府采购网》和《三门峡市公共资源交易中心网》三个网站同步中标结果公告。</w:t>
            </w:r>
          </w:p>
          <w:p w14:paraId="5DA8836E">
            <w:pPr>
              <w:widowControl/>
              <w:spacing w:line="360" w:lineRule="auto"/>
              <w:jc w:val="left"/>
              <w:rPr>
                <w:rFonts w:hint="eastAsia" w:ascii="宋体" w:hAnsi="宋体" w:cs="Calibri"/>
                <w:kern w:val="0"/>
                <w:sz w:val="24"/>
                <w:highlight w:val="none"/>
              </w:rPr>
            </w:pPr>
            <w:r>
              <w:rPr>
                <w:rFonts w:hint="eastAsia" w:ascii="宋体" w:hAnsi="宋体" w:cs="Calibri"/>
                <w:kern w:val="0"/>
                <w:sz w:val="24"/>
                <w:highlight w:val="none"/>
              </w:rPr>
              <w:t>招标人以书面形式向中标人发出中标通知书，同时向未中标企业以书面或电子形式告知未中标原因。</w:t>
            </w:r>
          </w:p>
        </w:tc>
      </w:tr>
      <w:tr w14:paraId="279F905C">
        <w:tblPrEx>
          <w:tblCellMar>
            <w:top w:w="0" w:type="dxa"/>
            <w:left w:w="108" w:type="dxa"/>
            <w:bottom w:w="0" w:type="dxa"/>
            <w:right w:w="108" w:type="dxa"/>
          </w:tblCellMar>
        </w:tblPrEx>
        <w:trPr>
          <w:trHeight w:val="514" w:hRule="atLeast"/>
          <w:jc w:val="center"/>
        </w:trPr>
        <w:tc>
          <w:tcPr>
            <w:tcW w:w="697" w:type="dxa"/>
            <w:tcBorders>
              <w:top w:val="single" w:color="auto" w:sz="4" w:space="0"/>
              <w:left w:val="single" w:color="auto" w:sz="4" w:space="0"/>
              <w:bottom w:val="single" w:color="auto" w:sz="4" w:space="0"/>
              <w:right w:val="single" w:color="auto" w:sz="4" w:space="0"/>
            </w:tcBorders>
            <w:vAlign w:val="center"/>
          </w:tcPr>
          <w:p w14:paraId="7E605E2E">
            <w:pPr>
              <w:widowControl/>
              <w:spacing w:line="360" w:lineRule="auto"/>
              <w:jc w:val="center"/>
              <w:rPr>
                <w:rFonts w:hint="eastAsia" w:ascii="宋体" w:hAnsi="宋体" w:cs="Calibri"/>
                <w:sz w:val="24"/>
                <w:highlight w:val="none"/>
              </w:rPr>
            </w:pPr>
            <w:r>
              <w:rPr>
                <w:rFonts w:hint="eastAsia" w:ascii="宋体" w:hAnsi="宋体" w:cs="Calibri"/>
                <w:kern w:val="0"/>
                <w:sz w:val="24"/>
                <w:highlight w:val="none"/>
              </w:rPr>
              <w:t>17</w:t>
            </w:r>
          </w:p>
        </w:tc>
        <w:tc>
          <w:tcPr>
            <w:tcW w:w="2070" w:type="dxa"/>
            <w:tcBorders>
              <w:top w:val="single" w:color="auto" w:sz="4" w:space="0"/>
              <w:left w:val="nil"/>
              <w:bottom w:val="single" w:color="auto" w:sz="4" w:space="0"/>
              <w:right w:val="single" w:color="auto" w:sz="4" w:space="0"/>
            </w:tcBorders>
            <w:vAlign w:val="center"/>
          </w:tcPr>
          <w:p w14:paraId="5209FC00">
            <w:pPr>
              <w:widowControl/>
              <w:spacing w:line="360" w:lineRule="auto"/>
              <w:jc w:val="center"/>
              <w:rPr>
                <w:rFonts w:hint="eastAsia" w:ascii="宋体" w:hAnsi="宋体" w:cs="Calibri"/>
                <w:kern w:val="0"/>
                <w:sz w:val="24"/>
                <w:highlight w:val="none"/>
              </w:rPr>
            </w:pPr>
            <w:r>
              <w:rPr>
                <w:rFonts w:hint="eastAsia" w:ascii="宋体" w:hAnsi="宋体" w:cs="Calibri"/>
                <w:kern w:val="0"/>
                <w:sz w:val="24"/>
                <w:highlight w:val="none"/>
              </w:rPr>
              <w:t>签订合同时间</w:t>
            </w:r>
          </w:p>
        </w:tc>
        <w:tc>
          <w:tcPr>
            <w:tcW w:w="6353" w:type="dxa"/>
            <w:tcBorders>
              <w:top w:val="single" w:color="auto" w:sz="4" w:space="0"/>
              <w:left w:val="nil"/>
              <w:bottom w:val="single" w:color="auto" w:sz="4" w:space="0"/>
              <w:right w:val="single" w:color="auto" w:sz="4" w:space="0"/>
            </w:tcBorders>
            <w:vAlign w:val="center"/>
          </w:tcPr>
          <w:p w14:paraId="64157E6A">
            <w:pPr>
              <w:widowControl/>
              <w:spacing w:line="360" w:lineRule="auto"/>
              <w:jc w:val="left"/>
              <w:rPr>
                <w:rFonts w:hint="eastAsia" w:ascii="宋体" w:hAnsi="宋体" w:cs="Calibri"/>
                <w:kern w:val="0"/>
                <w:sz w:val="24"/>
                <w:highlight w:val="none"/>
              </w:rPr>
            </w:pPr>
            <w:r>
              <w:rPr>
                <w:rFonts w:hint="eastAsia" w:ascii="宋体" w:hAnsi="宋体" w:cs="Calibri"/>
                <w:kern w:val="0"/>
                <w:sz w:val="24"/>
                <w:highlight w:val="none"/>
              </w:rPr>
              <w:t>中标通知书发出后30日内</w:t>
            </w:r>
          </w:p>
        </w:tc>
      </w:tr>
      <w:tr w14:paraId="4E1CDA5C">
        <w:tblPrEx>
          <w:tblCellMar>
            <w:top w:w="0" w:type="dxa"/>
            <w:left w:w="108" w:type="dxa"/>
            <w:bottom w:w="0" w:type="dxa"/>
            <w:right w:w="108" w:type="dxa"/>
          </w:tblCellMar>
        </w:tblPrEx>
        <w:trPr>
          <w:trHeight w:val="90" w:hRule="atLeast"/>
          <w:jc w:val="center"/>
        </w:trPr>
        <w:tc>
          <w:tcPr>
            <w:tcW w:w="697" w:type="dxa"/>
            <w:tcBorders>
              <w:top w:val="single" w:color="auto" w:sz="4" w:space="0"/>
              <w:left w:val="single" w:color="auto" w:sz="4" w:space="0"/>
              <w:bottom w:val="single" w:color="auto" w:sz="4" w:space="0"/>
              <w:right w:val="single" w:color="auto" w:sz="4" w:space="0"/>
            </w:tcBorders>
            <w:vAlign w:val="center"/>
          </w:tcPr>
          <w:p w14:paraId="2F71E9D2">
            <w:pPr>
              <w:widowControl/>
              <w:spacing w:line="360" w:lineRule="auto"/>
              <w:jc w:val="center"/>
              <w:rPr>
                <w:rFonts w:hint="eastAsia" w:ascii="宋体" w:hAnsi="宋体" w:cs="Calibri"/>
                <w:sz w:val="24"/>
                <w:highlight w:val="none"/>
              </w:rPr>
            </w:pPr>
            <w:r>
              <w:rPr>
                <w:rFonts w:hint="eastAsia" w:ascii="宋体" w:hAnsi="宋体" w:cs="Calibri"/>
                <w:kern w:val="0"/>
                <w:sz w:val="24"/>
                <w:highlight w:val="none"/>
              </w:rPr>
              <w:t>18</w:t>
            </w:r>
          </w:p>
        </w:tc>
        <w:tc>
          <w:tcPr>
            <w:tcW w:w="2070" w:type="dxa"/>
            <w:tcBorders>
              <w:top w:val="single" w:color="auto" w:sz="4" w:space="0"/>
              <w:left w:val="nil"/>
              <w:bottom w:val="single" w:color="auto" w:sz="4" w:space="0"/>
              <w:right w:val="single" w:color="auto" w:sz="4" w:space="0"/>
            </w:tcBorders>
            <w:vAlign w:val="center"/>
          </w:tcPr>
          <w:p w14:paraId="4023F34F">
            <w:pPr>
              <w:widowControl/>
              <w:spacing w:line="360" w:lineRule="auto"/>
              <w:jc w:val="center"/>
              <w:rPr>
                <w:rFonts w:hint="eastAsia" w:ascii="宋体" w:hAnsi="宋体" w:cs="Calibri"/>
                <w:kern w:val="0"/>
                <w:sz w:val="24"/>
                <w:highlight w:val="none"/>
              </w:rPr>
            </w:pPr>
            <w:r>
              <w:rPr>
                <w:rFonts w:hint="eastAsia" w:ascii="宋体" w:hAnsi="宋体" w:cs="Calibri"/>
                <w:kern w:val="0"/>
                <w:sz w:val="24"/>
                <w:highlight w:val="none"/>
              </w:rPr>
              <w:t>投标有效期</w:t>
            </w:r>
          </w:p>
        </w:tc>
        <w:tc>
          <w:tcPr>
            <w:tcW w:w="6353" w:type="dxa"/>
            <w:tcBorders>
              <w:top w:val="single" w:color="auto" w:sz="4" w:space="0"/>
              <w:left w:val="nil"/>
              <w:bottom w:val="single" w:color="auto" w:sz="4" w:space="0"/>
              <w:right w:val="single" w:color="auto" w:sz="4" w:space="0"/>
            </w:tcBorders>
            <w:vAlign w:val="center"/>
          </w:tcPr>
          <w:p w14:paraId="3E39E542">
            <w:pPr>
              <w:widowControl/>
              <w:spacing w:line="360" w:lineRule="auto"/>
              <w:jc w:val="left"/>
              <w:rPr>
                <w:rFonts w:hint="eastAsia" w:ascii="宋体" w:hAnsi="宋体" w:cs="Calibri"/>
                <w:kern w:val="0"/>
                <w:sz w:val="24"/>
                <w:highlight w:val="none"/>
              </w:rPr>
            </w:pPr>
            <w:r>
              <w:rPr>
                <w:rFonts w:hint="eastAsia" w:ascii="宋体" w:hAnsi="宋体" w:cs="Calibri"/>
                <w:kern w:val="0"/>
                <w:sz w:val="24"/>
                <w:highlight w:val="none"/>
              </w:rPr>
              <w:t>投标截止之日起60日历天</w:t>
            </w:r>
          </w:p>
        </w:tc>
      </w:tr>
      <w:tr w14:paraId="5323B297">
        <w:tblPrEx>
          <w:tblCellMar>
            <w:top w:w="0" w:type="dxa"/>
            <w:left w:w="108" w:type="dxa"/>
            <w:bottom w:w="0" w:type="dxa"/>
            <w:right w:w="108" w:type="dxa"/>
          </w:tblCellMar>
        </w:tblPrEx>
        <w:trPr>
          <w:trHeight w:val="90" w:hRule="atLeast"/>
          <w:jc w:val="center"/>
        </w:trPr>
        <w:tc>
          <w:tcPr>
            <w:tcW w:w="697" w:type="dxa"/>
            <w:tcBorders>
              <w:top w:val="single" w:color="auto" w:sz="4" w:space="0"/>
              <w:left w:val="single" w:color="auto" w:sz="4" w:space="0"/>
              <w:bottom w:val="single" w:color="auto" w:sz="4" w:space="0"/>
              <w:right w:val="single" w:color="auto" w:sz="4" w:space="0"/>
            </w:tcBorders>
            <w:vAlign w:val="center"/>
          </w:tcPr>
          <w:p w14:paraId="43F1DCE7">
            <w:pPr>
              <w:widowControl/>
              <w:spacing w:line="360" w:lineRule="auto"/>
              <w:jc w:val="center"/>
              <w:rPr>
                <w:rFonts w:hint="eastAsia" w:ascii="宋体" w:hAnsi="宋体" w:cs="Calibri"/>
                <w:kern w:val="0"/>
                <w:sz w:val="24"/>
                <w:highlight w:val="none"/>
              </w:rPr>
            </w:pPr>
            <w:r>
              <w:rPr>
                <w:rFonts w:hint="eastAsia" w:ascii="宋体" w:hAnsi="宋体" w:cs="Calibri"/>
                <w:kern w:val="0"/>
                <w:sz w:val="24"/>
                <w:highlight w:val="none"/>
              </w:rPr>
              <w:t>19</w:t>
            </w:r>
          </w:p>
        </w:tc>
        <w:tc>
          <w:tcPr>
            <w:tcW w:w="2070" w:type="dxa"/>
            <w:tcBorders>
              <w:top w:val="single" w:color="auto" w:sz="4" w:space="0"/>
              <w:left w:val="nil"/>
              <w:bottom w:val="single" w:color="auto" w:sz="4" w:space="0"/>
              <w:right w:val="single" w:color="auto" w:sz="4" w:space="0"/>
            </w:tcBorders>
            <w:vAlign w:val="center"/>
          </w:tcPr>
          <w:p w14:paraId="30B46FD2">
            <w:pPr>
              <w:widowControl/>
              <w:spacing w:line="360" w:lineRule="auto"/>
              <w:jc w:val="center"/>
              <w:rPr>
                <w:rFonts w:hint="eastAsia" w:ascii="宋体" w:hAnsi="宋体" w:cs="Calibri"/>
                <w:kern w:val="0"/>
                <w:sz w:val="24"/>
                <w:highlight w:val="none"/>
              </w:rPr>
            </w:pPr>
            <w:r>
              <w:rPr>
                <w:rFonts w:hint="eastAsia" w:ascii="宋体" w:hAnsi="宋体" w:cs="Calibri"/>
                <w:kern w:val="0"/>
                <w:sz w:val="24"/>
                <w:highlight w:val="none"/>
              </w:rPr>
              <w:t>履约保证金</w:t>
            </w:r>
          </w:p>
        </w:tc>
        <w:tc>
          <w:tcPr>
            <w:tcW w:w="6353" w:type="dxa"/>
            <w:tcBorders>
              <w:top w:val="single" w:color="auto" w:sz="4" w:space="0"/>
              <w:left w:val="nil"/>
              <w:bottom w:val="single" w:color="auto" w:sz="4" w:space="0"/>
              <w:right w:val="single" w:color="auto" w:sz="4" w:space="0"/>
            </w:tcBorders>
            <w:vAlign w:val="center"/>
          </w:tcPr>
          <w:p w14:paraId="1532A654">
            <w:pPr>
              <w:widowControl/>
              <w:spacing w:line="360" w:lineRule="auto"/>
              <w:jc w:val="left"/>
              <w:rPr>
                <w:rFonts w:hint="eastAsia" w:ascii="宋体" w:hAnsi="宋体" w:cs="Calibri"/>
                <w:kern w:val="0"/>
                <w:sz w:val="24"/>
                <w:highlight w:val="none"/>
              </w:rPr>
            </w:pPr>
            <w:r>
              <w:rPr>
                <w:rFonts w:hint="eastAsia" w:ascii="宋体" w:hAnsi="宋体" w:cs="Calibri"/>
                <w:kern w:val="0"/>
                <w:sz w:val="24"/>
                <w:highlight w:val="none"/>
              </w:rPr>
              <w:t>本项目不收取履约保证金</w:t>
            </w:r>
          </w:p>
        </w:tc>
      </w:tr>
      <w:tr w14:paraId="2B60FAF1">
        <w:tblPrEx>
          <w:tblCellMar>
            <w:top w:w="0" w:type="dxa"/>
            <w:left w:w="108" w:type="dxa"/>
            <w:bottom w:w="0" w:type="dxa"/>
            <w:right w:w="108" w:type="dxa"/>
          </w:tblCellMar>
        </w:tblPrEx>
        <w:trPr>
          <w:trHeight w:val="90" w:hRule="atLeast"/>
          <w:jc w:val="center"/>
        </w:trPr>
        <w:tc>
          <w:tcPr>
            <w:tcW w:w="697" w:type="dxa"/>
            <w:tcBorders>
              <w:top w:val="single" w:color="auto" w:sz="4" w:space="0"/>
              <w:left w:val="single" w:color="auto" w:sz="4" w:space="0"/>
              <w:bottom w:val="single" w:color="auto" w:sz="4" w:space="0"/>
              <w:right w:val="single" w:color="auto" w:sz="4" w:space="0"/>
            </w:tcBorders>
            <w:vAlign w:val="center"/>
          </w:tcPr>
          <w:p w14:paraId="1B872F0A">
            <w:pPr>
              <w:widowControl/>
              <w:spacing w:line="360" w:lineRule="auto"/>
              <w:jc w:val="center"/>
              <w:rPr>
                <w:rFonts w:hint="eastAsia" w:ascii="宋体" w:hAnsi="宋体" w:cs="Calibri"/>
                <w:kern w:val="0"/>
                <w:sz w:val="24"/>
                <w:highlight w:val="none"/>
              </w:rPr>
            </w:pPr>
            <w:r>
              <w:rPr>
                <w:rFonts w:hint="eastAsia" w:ascii="宋体" w:hAnsi="宋体" w:cs="Calibri"/>
                <w:kern w:val="0"/>
                <w:sz w:val="24"/>
                <w:highlight w:val="none"/>
              </w:rPr>
              <w:t>20</w:t>
            </w:r>
          </w:p>
        </w:tc>
        <w:tc>
          <w:tcPr>
            <w:tcW w:w="2070" w:type="dxa"/>
            <w:tcBorders>
              <w:top w:val="single" w:color="auto" w:sz="4" w:space="0"/>
              <w:left w:val="nil"/>
              <w:bottom w:val="single" w:color="auto" w:sz="4" w:space="0"/>
              <w:right w:val="single" w:color="auto" w:sz="4" w:space="0"/>
            </w:tcBorders>
            <w:vAlign w:val="center"/>
          </w:tcPr>
          <w:p w14:paraId="2C24407E">
            <w:pPr>
              <w:spacing w:line="560" w:lineRule="exact"/>
              <w:jc w:val="center"/>
              <w:rPr>
                <w:rFonts w:hint="eastAsia" w:asciiTheme="minorEastAsia" w:hAnsiTheme="minorEastAsia" w:cstheme="minorEastAsia"/>
                <w:sz w:val="24"/>
                <w:szCs w:val="28"/>
                <w:highlight w:val="none"/>
              </w:rPr>
            </w:pPr>
            <w:r>
              <w:rPr>
                <w:rFonts w:hint="eastAsia" w:ascii="宋体" w:hAnsi="宋体" w:cs="Calibri"/>
                <w:sz w:val="24"/>
                <w:highlight w:val="none"/>
              </w:rPr>
              <w:t>报价及费用</w:t>
            </w:r>
          </w:p>
        </w:tc>
        <w:tc>
          <w:tcPr>
            <w:tcW w:w="6353" w:type="dxa"/>
            <w:tcBorders>
              <w:top w:val="single" w:color="auto" w:sz="4" w:space="0"/>
              <w:left w:val="nil"/>
              <w:bottom w:val="single" w:color="auto" w:sz="4" w:space="0"/>
              <w:right w:val="single" w:color="auto" w:sz="4" w:space="0"/>
            </w:tcBorders>
            <w:vAlign w:val="center"/>
          </w:tcPr>
          <w:p w14:paraId="05CADB8C">
            <w:pPr>
              <w:spacing w:line="420" w:lineRule="exact"/>
              <w:rPr>
                <w:rFonts w:hint="eastAsia" w:ascii="宋体" w:hAnsi="宋体" w:cs="Calibri"/>
                <w:sz w:val="24"/>
                <w:highlight w:val="none"/>
              </w:rPr>
            </w:pPr>
            <w:r>
              <w:rPr>
                <w:rFonts w:hint="eastAsia" w:ascii="宋体" w:hAnsi="宋体" w:cs="Calibri"/>
                <w:sz w:val="24"/>
                <w:highlight w:val="none"/>
              </w:rPr>
              <w:t>1．本项目应以人民币报价，供应商应就该项目完整投标（报价、服务、税费、售后服务等综合费用），招标人不另外支付其他任何费用；</w:t>
            </w:r>
          </w:p>
          <w:p w14:paraId="52553F0F">
            <w:pPr>
              <w:spacing w:line="420" w:lineRule="exact"/>
              <w:rPr>
                <w:rFonts w:hint="eastAsia" w:ascii="宋体" w:hAnsi="宋体" w:cs="Calibri"/>
                <w:sz w:val="24"/>
                <w:highlight w:val="none"/>
              </w:rPr>
            </w:pPr>
            <w:r>
              <w:rPr>
                <w:rFonts w:hint="eastAsia" w:ascii="宋体" w:hAnsi="宋体" w:cs="Calibri"/>
                <w:sz w:val="24"/>
                <w:highlight w:val="none"/>
              </w:rPr>
              <w:t>2. 招标代理服务费按《河南省招标代理服务收费指导意见》豫招标（2023）002号向中标人收取。供应商的投标报价应当包含该代理费用。</w:t>
            </w:r>
          </w:p>
        </w:tc>
      </w:tr>
      <w:tr w14:paraId="36F4E89F">
        <w:tblPrEx>
          <w:tblCellMar>
            <w:top w:w="0" w:type="dxa"/>
            <w:left w:w="108" w:type="dxa"/>
            <w:bottom w:w="0" w:type="dxa"/>
            <w:right w:w="108" w:type="dxa"/>
          </w:tblCellMar>
        </w:tblPrEx>
        <w:trPr>
          <w:trHeight w:val="357" w:hRule="atLeast"/>
          <w:jc w:val="center"/>
        </w:trPr>
        <w:tc>
          <w:tcPr>
            <w:tcW w:w="697" w:type="dxa"/>
            <w:tcBorders>
              <w:top w:val="single" w:color="auto" w:sz="4" w:space="0"/>
              <w:left w:val="single" w:color="auto" w:sz="4" w:space="0"/>
              <w:bottom w:val="single" w:color="auto" w:sz="4" w:space="0"/>
              <w:right w:val="single" w:color="auto" w:sz="4" w:space="0"/>
            </w:tcBorders>
            <w:vAlign w:val="center"/>
          </w:tcPr>
          <w:p w14:paraId="4287B6E2">
            <w:pPr>
              <w:widowControl/>
              <w:spacing w:line="360" w:lineRule="auto"/>
              <w:jc w:val="center"/>
              <w:rPr>
                <w:rFonts w:hint="eastAsia" w:ascii="宋体" w:hAnsi="宋体" w:cs="Calibri"/>
                <w:kern w:val="0"/>
                <w:sz w:val="24"/>
                <w:highlight w:val="none"/>
              </w:rPr>
            </w:pPr>
            <w:r>
              <w:rPr>
                <w:rFonts w:hint="eastAsia" w:ascii="宋体" w:hAnsi="宋体" w:cs="Calibri"/>
                <w:kern w:val="0"/>
                <w:sz w:val="24"/>
                <w:highlight w:val="none"/>
              </w:rPr>
              <w:t>2</w:t>
            </w:r>
            <w:r>
              <w:rPr>
                <w:rFonts w:ascii="宋体" w:hAnsi="宋体" w:cs="Calibri"/>
                <w:kern w:val="0"/>
                <w:sz w:val="24"/>
                <w:highlight w:val="none"/>
              </w:rPr>
              <w:t>1</w:t>
            </w:r>
          </w:p>
        </w:tc>
        <w:tc>
          <w:tcPr>
            <w:tcW w:w="2070" w:type="dxa"/>
            <w:tcBorders>
              <w:top w:val="single" w:color="auto" w:sz="4" w:space="0"/>
              <w:left w:val="nil"/>
              <w:bottom w:val="single" w:color="auto" w:sz="4" w:space="0"/>
              <w:right w:val="single" w:color="auto" w:sz="4" w:space="0"/>
            </w:tcBorders>
            <w:vAlign w:val="center"/>
          </w:tcPr>
          <w:p w14:paraId="6B7FD2F1">
            <w:pPr>
              <w:spacing w:line="360" w:lineRule="auto"/>
              <w:jc w:val="center"/>
              <w:rPr>
                <w:rFonts w:hint="eastAsia" w:ascii="宋体" w:hAnsi="宋体" w:cs="Calibri"/>
                <w:sz w:val="24"/>
                <w:highlight w:val="none"/>
              </w:rPr>
            </w:pPr>
            <w:r>
              <w:rPr>
                <w:rFonts w:hint="eastAsia" w:ascii="宋体" w:hAnsi="宋体" w:cs="Calibri"/>
                <w:sz w:val="24"/>
                <w:highlight w:val="none"/>
              </w:rPr>
              <w:t>偏离</w:t>
            </w:r>
          </w:p>
        </w:tc>
        <w:tc>
          <w:tcPr>
            <w:tcW w:w="6353" w:type="dxa"/>
            <w:tcBorders>
              <w:top w:val="single" w:color="auto" w:sz="4" w:space="0"/>
              <w:left w:val="nil"/>
              <w:bottom w:val="single" w:color="auto" w:sz="4" w:space="0"/>
              <w:right w:val="single" w:color="auto" w:sz="4" w:space="0"/>
            </w:tcBorders>
            <w:vAlign w:val="center"/>
          </w:tcPr>
          <w:p w14:paraId="21CC5566">
            <w:pPr>
              <w:spacing w:line="360" w:lineRule="auto"/>
              <w:jc w:val="left"/>
              <w:rPr>
                <w:rFonts w:hint="eastAsia" w:ascii="宋体" w:hAnsi="宋体" w:cs="Calibri"/>
                <w:sz w:val="24"/>
                <w:highlight w:val="none"/>
              </w:rPr>
            </w:pPr>
            <w:r>
              <w:rPr>
                <w:rFonts w:hint="eastAsia" w:ascii="宋体" w:hAnsi="宋体" w:cs="Calibri"/>
                <w:sz w:val="24"/>
                <w:highlight w:val="none"/>
              </w:rPr>
              <w:t>允许正偏离。</w:t>
            </w:r>
          </w:p>
        </w:tc>
      </w:tr>
      <w:tr w14:paraId="72DB6837">
        <w:tblPrEx>
          <w:tblCellMar>
            <w:top w:w="0" w:type="dxa"/>
            <w:left w:w="108" w:type="dxa"/>
            <w:bottom w:w="0" w:type="dxa"/>
            <w:right w:w="108" w:type="dxa"/>
          </w:tblCellMar>
        </w:tblPrEx>
        <w:trPr>
          <w:trHeight w:val="357" w:hRule="atLeast"/>
          <w:jc w:val="center"/>
        </w:trPr>
        <w:tc>
          <w:tcPr>
            <w:tcW w:w="697" w:type="dxa"/>
            <w:tcBorders>
              <w:top w:val="single" w:color="auto" w:sz="4" w:space="0"/>
              <w:left w:val="single" w:color="auto" w:sz="4" w:space="0"/>
              <w:bottom w:val="single" w:color="auto" w:sz="4" w:space="0"/>
              <w:right w:val="single" w:color="auto" w:sz="4" w:space="0"/>
            </w:tcBorders>
            <w:vAlign w:val="center"/>
          </w:tcPr>
          <w:p w14:paraId="3BC56DC0">
            <w:pPr>
              <w:widowControl/>
              <w:spacing w:line="360" w:lineRule="auto"/>
              <w:jc w:val="center"/>
              <w:rPr>
                <w:rFonts w:hint="default" w:ascii="宋体" w:hAnsi="宋体" w:cs="Calibri" w:eastAsiaTheme="minorEastAsia"/>
                <w:kern w:val="0"/>
                <w:sz w:val="24"/>
                <w:highlight w:val="none"/>
                <w:lang w:val="en-US" w:eastAsia="zh-CN"/>
              </w:rPr>
            </w:pPr>
            <w:r>
              <w:rPr>
                <w:rFonts w:hint="eastAsia" w:ascii="宋体" w:hAnsi="宋体" w:cs="Calibri"/>
                <w:kern w:val="0"/>
                <w:sz w:val="24"/>
                <w:highlight w:val="none"/>
                <w:lang w:val="en-US" w:eastAsia="zh-CN"/>
              </w:rPr>
              <w:t>22</w:t>
            </w:r>
          </w:p>
        </w:tc>
        <w:tc>
          <w:tcPr>
            <w:tcW w:w="2070" w:type="dxa"/>
            <w:tcBorders>
              <w:top w:val="single" w:color="auto" w:sz="4" w:space="0"/>
              <w:left w:val="nil"/>
              <w:bottom w:val="single" w:color="auto" w:sz="4" w:space="0"/>
              <w:right w:val="single" w:color="auto" w:sz="4" w:space="0"/>
            </w:tcBorders>
            <w:vAlign w:val="center"/>
          </w:tcPr>
          <w:p w14:paraId="624AF26B">
            <w:pPr>
              <w:spacing w:line="360" w:lineRule="auto"/>
              <w:jc w:val="center"/>
              <w:rPr>
                <w:rFonts w:hint="eastAsia" w:ascii="宋体" w:hAnsi="宋体" w:cs="Calibri"/>
                <w:sz w:val="24"/>
                <w:highlight w:val="none"/>
              </w:rPr>
            </w:pPr>
            <w:r>
              <w:rPr>
                <w:rFonts w:hint="eastAsia" w:ascii="宋体" w:hAnsi="宋体" w:cs="宋体"/>
                <w:color w:val="auto"/>
                <w:spacing w:val="6"/>
                <w:kern w:val="2"/>
                <w:sz w:val="24"/>
                <w:szCs w:val="24"/>
                <w:highlight w:val="none"/>
              </w:rPr>
              <w:t>付款方式</w:t>
            </w:r>
          </w:p>
        </w:tc>
        <w:tc>
          <w:tcPr>
            <w:tcW w:w="6353" w:type="dxa"/>
            <w:tcBorders>
              <w:top w:val="single" w:color="auto" w:sz="4" w:space="0"/>
              <w:left w:val="nil"/>
              <w:bottom w:val="single" w:color="auto" w:sz="4" w:space="0"/>
              <w:right w:val="single" w:color="auto" w:sz="4" w:space="0"/>
            </w:tcBorders>
            <w:vAlign w:val="center"/>
          </w:tcPr>
          <w:p w14:paraId="551F503A">
            <w:pPr>
              <w:spacing w:line="360" w:lineRule="auto"/>
              <w:jc w:val="both"/>
              <w:rPr>
                <w:rFonts w:hint="eastAsia" w:ascii="宋体" w:hAnsi="宋体" w:cs="Calibri"/>
                <w:sz w:val="24"/>
                <w:highlight w:val="none"/>
              </w:rPr>
            </w:pPr>
            <w:r>
              <w:rPr>
                <w:rFonts w:hint="default" w:ascii="宋体" w:hAnsi="宋体" w:cs="宋体"/>
                <w:color w:val="auto"/>
                <w:spacing w:val="6"/>
                <w:kern w:val="2"/>
                <w:sz w:val="24"/>
                <w:szCs w:val="24"/>
                <w:highlight w:val="none"/>
                <w:lang w:val="en-US"/>
              </w:rPr>
              <w:t>合同签订</w:t>
            </w:r>
            <w:r>
              <w:rPr>
                <w:rFonts w:hint="eastAsia" w:ascii="宋体" w:hAnsi="宋体" w:cs="宋体"/>
                <w:color w:val="auto"/>
                <w:spacing w:val="6"/>
                <w:kern w:val="2"/>
                <w:sz w:val="24"/>
                <w:szCs w:val="24"/>
                <w:highlight w:val="none"/>
                <w:lang w:val="en-US" w:eastAsia="zh-CN"/>
              </w:rPr>
              <w:t>时双方协商</w:t>
            </w:r>
          </w:p>
        </w:tc>
      </w:tr>
      <w:tr w14:paraId="6DF62DBC">
        <w:tblPrEx>
          <w:tblCellMar>
            <w:top w:w="0" w:type="dxa"/>
            <w:left w:w="108" w:type="dxa"/>
            <w:bottom w:w="0" w:type="dxa"/>
            <w:right w:w="108" w:type="dxa"/>
          </w:tblCellMar>
        </w:tblPrEx>
        <w:trPr>
          <w:trHeight w:val="357" w:hRule="atLeast"/>
          <w:jc w:val="center"/>
        </w:trPr>
        <w:tc>
          <w:tcPr>
            <w:tcW w:w="697" w:type="dxa"/>
            <w:tcBorders>
              <w:top w:val="single" w:color="auto" w:sz="4" w:space="0"/>
              <w:left w:val="single" w:color="auto" w:sz="4" w:space="0"/>
              <w:bottom w:val="single" w:color="auto" w:sz="4" w:space="0"/>
              <w:right w:val="single" w:color="auto" w:sz="4" w:space="0"/>
            </w:tcBorders>
            <w:vAlign w:val="center"/>
          </w:tcPr>
          <w:p w14:paraId="4111D00E">
            <w:pPr>
              <w:widowControl/>
              <w:spacing w:line="360" w:lineRule="auto"/>
              <w:jc w:val="center"/>
              <w:rPr>
                <w:rFonts w:hint="default" w:ascii="宋体" w:hAnsi="宋体" w:cs="Calibri" w:eastAsiaTheme="minorEastAsia"/>
                <w:kern w:val="0"/>
                <w:sz w:val="24"/>
                <w:highlight w:val="none"/>
                <w:lang w:val="en-US" w:eastAsia="zh-CN"/>
              </w:rPr>
            </w:pPr>
            <w:r>
              <w:rPr>
                <w:rFonts w:hint="eastAsia" w:ascii="宋体" w:hAnsi="宋体" w:cs="Calibri"/>
                <w:kern w:val="0"/>
                <w:sz w:val="24"/>
                <w:highlight w:val="none"/>
                <w:lang w:val="en-US" w:eastAsia="zh-CN"/>
              </w:rPr>
              <w:t>23</w:t>
            </w:r>
          </w:p>
        </w:tc>
        <w:tc>
          <w:tcPr>
            <w:tcW w:w="2070" w:type="dxa"/>
            <w:tcBorders>
              <w:top w:val="single" w:color="auto" w:sz="4" w:space="0"/>
              <w:left w:val="nil"/>
              <w:bottom w:val="single" w:color="auto" w:sz="4" w:space="0"/>
              <w:right w:val="single" w:color="auto" w:sz="4" w:space="0"/>
            </w:tcBorders>
            <w:vAlign w:val="center"/>
          </w:tcPr>
          <w:p w14:paraId="6CFF5EEA">
            <w:pPr>
              <w:wordWrap w:val="0"/>
              <w:rPr>
                <w:rFonts w:hint="eastAsia" w:ascii="宋体" w:hAnsi="宋体" w:cs="Calibri"/>
                <w:sz w:val="24"/>
                <w:highlight w:val="none"/>
              </w:rPr>
            </w:pPr>
            <w:r>
              <w:rPr>
                <w:rFonts w:hint="eastAsia" w:ascii="宋体" w:hAnsi="宋体" w:eastAsia="宋体" w:cs="宋体"/>
                <w:color w:val="auto"/>
                <w:sz w:val="24"/>
                <w:highlight w:val="none"/>
                <w:lang w:val="en-US" w:eastAsia="zh-CN"/>
              </w:rPr>
              <w:t>采购标的对应的中小企业划分标准所属行业</w:t>
            </w:r>
          </w:p>
        </w:tc>
        <w:tc>
          <w:tcPr>
            <w:tcW w:w="6353" w:type="dxa"/>
            <w:tcBorders>
              <w:top w:val="single" w:color="auto" w:sz="4" w:space="0"/>
              <w:left w:val="nil"/>
              <w:bottom w:val="single" w:color="auto" w:sz="4" w:space="0"/>
              <w:right w:val="single" w:color="auto" w:sz="4" w:space="0"/>
            </w:tcBorders>
            <w:vAlign w:val="center"/>
          </w:tcPr>
          <w:p w14:paraId="5DBD300A">
            <w:pPr>
              <w:spacing w:line="420" w:lineRule="exact"/>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根据工业和信息化部、国家统计局、国家发展改革委、财政部《关于印发中小企业划型标准规定的通知》（工信部联企业〔2011〕300号），本次采购标的对应的中小企业划分标准属于工业。</w:t>
            </w:r>
          </w:p>
          <w:p w14:paraId="78FEE92F">
            <w:pPr>
              <w:spacing w:line="420" w:lineRule="exact"/>
              <w:rPr>
                <w:rFonts w:hint="eastAsia" w:ascii="宋体" w:hAnsi="宋体" w:cs="Calibri"/>
                <w:sz w:val="24"/>
                <w:highlight w:val="none"/>
              </w:rPr>
            </w:pPr>
            <w:r>
              <w:rPr>
                <w:rFonts w:hint="eastAsia" w:ascii="宋体" w:hAnsi="宋体" w:eastAsia="宋体" w:cs="宋体"/>
                <w:color w:val="auto"/>
                <w:sz w:val="24"/>
                <w:highlight w:val="none"/>
                <w:lang w:val="en-US" w:eastAsia="zh-CN"/>
              </w:rPr>
              <w:t>从业人员1000人以下或营业收入40000万元以下的为中小微型企业。其中，从业人员300人及以上，且营业收入2000万元及以上的为中型企业；从业人员20人及以上，且营业收入300万元及以上的为小型企业；从业人员20人以下或营业收入300万元以下的为微型企业。</w:t>
            </w:r>
          </w:p>
        </w:tc>
      </w:tr>
      <w:tr w14:paraId="0D5E454A">
        <w:tblPrEx>
          <w:tblCellMar>
            <w:top w:w="0" w:type="dxa"/>
            <w:left w:w="108" w:type="dxa"/>
            <w:bottom w:w="0" w:type="dxa"/>
            <w:right w:w="108" w:type="dxa"/>
          </w:tblCellMar>
        </w:tblPrEx>
        <w:trPr>
          <w:trHeight w:val="442" w:hRule="atLeast"/>
          <w:jc w:val="center"/>
        </w:trPr>
        <w:tc>
          <w:tcPr>
            <w:tcW w:w="697" w:type="dxa"/>
            <w:tcBorders>
              <w:top w:val="single" w:color="auto" w:sz="4" w:space="0"/>
              <w:left w:val="single" w:color="auto" w:sz="4" w:space="0"/>
              <w:bottom w:val="single" w:color="auto" w:sz="4" w:space="0"/>
              <w:right w:val="single" w:color="auto" w:sz="4" w:space="0"/>
            </w:tcBorders>
            <w:vAlign w:val="center"/>
          </w:tcPr>
          <w:p w14:paraId="6C8CE8EF">
            <w:pPr>
              <w:widowControl/>
              <w:spacing w:line="360" w:lineRule="auto"/>
              <w:jc w:val="center"/>
              <w:rPr>
                <w:rFonts w:hint="eastAsia" w:ascii="宋体" w:hAnsi="宋体" w:cs="Calibri" w:eastAsiaTheme="minorEastAsia"/>
                <w:sz w:val="24"/>
                <w:highlight w:val="none"/>
                <w:lang w:eastAsia="zh-CN"/>
              </w:rPr>
            </w:pPr>
            <w:r>
              <w:rPr>
                <w:rFonts w:hint="eastAsia" w:ascii="宋体" w:hAnsi="宋体" w:cs="Calibri"/>
                <w:kern w:val="0"/>
                <w:sz w:val="24"/>
                <w:highlight w:val="none"/>
              </w:rPr>
              <w:t>2</w:t>
            </w:r>
            <w:r>
              <w:rPr>
                <w:rFonts w:hint="eastAsia" w:ascii="宋体" w:hAnsi="宋体" w:cs="Calibri"/>
                <w:kern w:val="0"/>
                <w:sz w:val="24"/>
                <w:highlight w:val="none"/>
                <w:lang w:val="en-US" w:eastAsia="zh-CN"/>
              </w:rPr>
              <w:t>4</w:t>
            </w:r>
          </w:p>
        </w:tc>
        <w:tc>
          <w:tcPr>
            <w:tcW w:w="2070" w:type="dxa"/>
            <w:tcBorders>
              <w:top w:val="single" w:color="auto" w:sz="4" w:space="0"/>
              <w:left w:val="nil"/>
              <w:bottom w:val="single" w:color="auto" w:sz="4" w:space="0"/>
              <w:right w:val="single" w:color="auto" w:sz="4" w:space="0"/>
            </w:tcBorders>
            <w:vAlign w:val="center"/>
          </w:tcPr>
          <w:p w14:paraId="74D11C78">
            <w:pPr>
              <w:widowControl/>
              <w:spacing w:line="360" w:lineRule="auto"/>
              <w:jc w:val="center"/>
              <w:rPr>
                <w:rFonts w:hint="eastAsia" w:ascii="宋体" w:hAnsi="宋体" w:cs="Calibri"/>
                <w:kern w:val="0"/>
                <w:sz w:val="24"/>
                <w:highlight w:val="none"/>
              </w:rPr>
            </w:pPr>
            <w:r>
              <w:rPr>
                <w:rFonts w:hint="eastAsia" w:ascii="宋体" w:hAnsi="宋体" w:cs="Calibri"/>
                <w:kern w:val="0"/>
                <w:sz w:val="24"/>
                <w:highlight w:val="none"/>
              </w:rPr>
              <w:t>解释</w:t>
            </w:r>
          </w:p>
        </w:tc>
        <w:tc>
          <w:tcPr>
            <w:tcW w:w="6353" w:type="dxa"/>
            <w:tcBorders>
              <w:top w:val="single" w:color="auto" w:sz="4" w:space="0"/>
              <w:left w:val="nil"/>
              <w:bottom w:val="single" w:color="auto" w:sz="4" w:space="0"/>
              <w:right w:val="single" w:color="auto" w:sz="4" w:space="0"/>
            </w:tcBorders>
            <w:vAlign w:val="center"/>
          </w:tcPr>
          <w:p w14:paraId="153E2D58">
            <w:pPr>
              <w:widowControl/>
              <w:spacing w:line="360" w:lineRule="auto"/>
              <w:jc w:val="left"/>
              <w:rPr>
                <w:rFonts w:hint="eastAsia" w:ascii="宋体" w:hAnsi="宋体" w:cs="Calibri"/>
                <w:kern w:val="0"/>
                <w:sz w:val="24"/>
                <w:highlight w:val="none"/>
              </w:rPr>
            </w:pPr>
            <w:r>
              <w:rPr>
                <w:rFonts w:hint="eastAsia" w:ascii="宋体" w:hAnsi="宋体" w:cs="Calibri"/>
                <w:kern w:val="0"/>
                <w:sz w:val="24"/>
                <w:highlight w:val="none"/>
              </w:rPr>
              <w:t>本竞争性磋商文件的解释权属于采购人。</w:t>
            </w:r>
          </w:p>
        </w:tc>
      </w:tr>
      <w:tr w14:paraId="50E44CCC">
        <w:tblPrEx>
          <w:tblCellMar>
            <w:top w:w="0" w:type="dxa"/>
            <w:left w:w="108" w:type="dxa"/>
            <w:bottom w:w="0" w:type="dxa"/>
            <w:right w:w="108" w:type="dxa"/>
          </w:tblCellMar>
        </w:tblPrEx>
        <w:trPr>
          <w:trHeight w:val="683" w:hRule="atLeast"/>
          <w:jc w:val="center"/>
        </w:trPr>
        <w:tc>
          <w:tcPr>
            <w:tcW w:w="697" w:type="dxa"/>
            <w:tcBorders>
              <w:top w:val="single" w:color="auto" w:sz="4" w:space="0"/>
              <w:left w:val="single" w:color="auto" w:sz="4" w:space="0"/>
              <w:bottom w:val="single" w:color="auto" w:sz="4" w:space="0"/>
              <w:right w:val="single" w:color="auto" w:sz="4" w:space="0"/>
            </w:tcBorders>
            <w:vAlign w:val="center"/>
          </w:tcPr>
          <w:p w14:paraId="7494E3D3">
            <w:pPr>
              <w:widowControl/>
              <w:spacing w:line="360" w:lineRule="auto"/>
              <w:jc w:val="center"/>
              <w:rPr>
                <w:rFonts w:hint="eastAsia" w:ascii="宋体" w:hAnsi="宋体" w:cs="Calibri" w:eastAsiaTheme="minorEastAsia"/>
                <w:sz w:val="24"/>
                <w:highlight w:val="none"/>
                <w:lang w:val="en-US" w:eastAsia="zh-CN"/>
              </w:rPr>
            </w:pPr>
            <w:r>
              <w:rPr>
                <w:rFonts w:hint="eastAsia" w:ascii="宋体" w:hAnsi="宋体" w:cs="Calibri"/>
                <w:kern w:val="0"/>
                <w:sz w:val="24"/>
                <w:highlight w:val="none"/>
              </w:rPr>
              <w:t>2</w:t>
            </w:r>
            <w:r>
              <w:rPr>
                <w:rFonts w:hint="eastAsia" w:ascii="宋体" w:hAnsi="宋体" w:cs="Calibri"/>
                <w:kern w:val="0"/>
                <w:sz w:val="24"/>
                <w:highlight w:val="none"/>
                <w:lang w:val="en-US" w:eastAsia="zh-CN"/>
              </w:rPr>
              <w:t>5</w:t>
            </w:r>
          </w:p>
        </w:tc>
        <w:tc>
          <w:tcPr>
            <w:tcW w:w="2070" w:type="dxa"/>
            <w:tcBorders>
              <w:top w:val="single" w:color="auto" w:sz="4" w:space="0"/>
              <w:left w:val="nil"/>
              <w:bottom w:val="single" w:color="auto" w:sz="4" w:space="0"/>
              <w:right w:val="single" w:color="auto" w:sz="4" w:space="0"/>
            </w:tcBorders>
            <w:vAlign w:val="center"/>
          </w:tcPr>
          <w:p w14:paraId="0EF4FB7C">
            <w:pPr>
              <w:widowControl/>
              <w:spacing w:line="360" w:lineRule="auto"/>
              <w:jc w:val="center"/>
              <w:rPr>
                <w:rFonts w:hint="eastAsia" w:ascii="宋体" w:hAnsi="宋体" w:cs="Calibri"/>
                <w:sz w:val="24"/>
                <w:highlight w:val="none"/>
              </w:rPr>
            </w:pPr>
            <w:r>
              <w:rPr>
                <w:rFonts w:hint="eastAsia" w:ascii="宋体" w:hAnsi="宋体" w:cs="Calibri"/>
                <w:b/>
                <w:bCs/>
                <w:kern w:val="0"/>
                <w:sz w:val="24"/>
                <w:highlight w:val="none"/>
              </w:rPr>
              <w:t>电子化交易注意事项</w:t>
            </w:r>
          </w:p>
        </w:tc>
        <w:tc>
          <w:tcPr>
            <w:tcW w:w="6353" w:type="dxa"/>
            <w:tcBorders>
              <w:top w:val="single" w:color="auto" w:sz="4" w:space="0"/>
              <w:left w:val="nil"/>
              <w:bottom w:val="single" w:color="auto" w:sz="4" w:space="0"/>
              <w:right w:val="single" w:color="auto" w:sz="4" w:space="0"/>
            </w:tcBorders>
            <w:vAlign w:val="center"/>
          </w:tcPr>
          <w:p w14:paraId="676071D3">
            <w:pPr>
              <w:spacing w:line="400" w:lineRule="exact"/>
              <w:rPr>
                <w:rFonts w:hint="eastAsia" w:ascii="宋体" w:hAnsi="宋体"/>
                <w:sz w:val="24"/>
                <w:highlight w:val="none"/>
              </w:rPr>
            </w:pPr>
            <w:r>
              <w:rPr>
                <w:rFonts w:hint="eastAsia" w:ascii="宋体" w:hAnsi="宋体"/>
                <w:sz w:val="24"/>
                <w:highlight w:val="none"/>
              </w:rPr>
              <w:t>本项目为电子化交易项目，投标文件是供应商、投标人（以下简称“供应商”）通过中心投标文件制作系统制作，并经过电子签章和加密后生成的电子版投标文件。供应商投标时，不须提交纸质文件资料。</w:t>
            </w:r>
          </w:p>
          <w:p w14:paraId="79FBAB2D">
            <w:pPr>
              <w:spacing w:line="400" w:lineRule="exact"/>
              <w:rPr>
                <w:rFonts w:hint="eastAsia" w:ascii="宋体" w:hAnsi="宋体"/>
                <w:sz w:val="24"/>
                <w:highlight w:val="none"/>
              </w:rPr>
            </w:pPr>
            <w:r>
              <w:rPr>
                <w:rFonts w:hint="eastAsia" w:ascii="宋体" w:hAnsi="宋体"/>
                <w:sz w:val="24"/>
                <w:highlight w:val="none"/>
              </w:rPr>
              <w:t>电子化投标文件具体制作教材请供应商通过CA证书登录三门峡市公共资源电子化交易系统在 “交易智库”中下载操作流程</w:t>
            </w:r>
          </w:p>
          <w:p w14:paraId="46E2E365">
            <w:pPr>
              <w:spacing w:line="400" w:lineRule="exact"/>
              <w:rPr>
                <w:rFonts w:hint="eastAsia" w:ascii="宋体" w:hAnsi="宋体"/>
                <w:sz w:val="24"/>
                <w:highlight w:val="none"/>
              </w:rPr>
            </w:pPr>
            <w:r>
              <w:rPr>
                <w:rFonts w:hint="eastAsia" w:ascii="宋体" w:hAnsi="宋体"/>
                <w:sz w:val="24"/>
                <w:highlight w:val="none"/>
              </w:rPr>
              <w:t>温馨提示：本项目为电子化、无纸化交易项目，供应商时不接受任何纸质资料，为保证您能投标成功，请需仔细阅读以下条款。</w:t>
            </w:r>
          </w:p>
          <w:p w14:paraId="093A71E3">
            <w:pPr>
              <w:spacing w:line="400" w:lineRule="exact"/>
              <w:rPr>
                <w:rFonts w:hint="eastAsia" w:ascii="宋体" w:hAnsi="宋体"/>
                <w:sz w:val="24"/>
                <w:highlight w:val="none"/>
              </w:rPr>
            </w:pPr>
            <w:r>
              <w:rPr>
                <w:rFonts w:hint="eastAsia" w:ascii="宋体" w:hAnsi="宋体"/>
                <w:sz w:val="24"/>
                <w:highlight w:val="none"/>
              </w:rPr>
              <w:t>一、电子化投标</w:t>
            </w:r>
          </w:p>
          <w:p w14:paraId="222FBCED">
            <w:pPr>
              <w:spacing w:line="400" w:lineRule="exact"/>
              <w:rPr>
                <w:rFonts w:hint="eastAsia" w:ascii="宋体" w:hAnsi="宋体"/>
                <w:sz w:val="24"/>
                <w:highlight w:val="none"/>
              </w:rPr>
            </w:pPr>
            <w:r>
              <w:rPr>
                <w:rFonts w:hint="eastAsia" w:ascii="宋体" w:hAnsi="宋体"/>
                <w:sz w:val="24"/>
                <w:highlight w:val="none"/>
              </w:rPr>
              <w:t>（一）电子化投标文件的签章</w:t>
            </w:r>
          </w:p>
          <w:p w14:paraId="1C6F9110">
            <w:pPr>
              <w:spacing w:line="400" w:lineRule="exact"/>
              <w:rPr>
                <w:rFonts w:hint="eastAsia" w:ascii="宋体" w:hAnsi="宋体"/>
                <w:sz w:val="24"/>
                <w:highlight w:val="none"/>
              </w:rPr>
            </w:pPr>
            <w:r>
              <w:rPr>
                <w:rFonts w:hint="eastAsia" w:ascii="宋体" w:hAnsi="宋体"/>
                <w:sz w:val="24"/>
                <w:highlight w:val="none"/>
              </w:rPr>
              <w:t>1、供应商在生成电子化投标文件后，应对电子化投标文件进行签章，未进行签章的视为无效投标。</w:t>
            </w:r>
          </w:p>
          <w:p w14:paraId="7F1CD8CB">
            <w:pPr>
              <w:spacing w:line="400" w:lineRule="exact"/>
              <w:jc w:val="left"/>
              <w:rPr>
                <w:rFonts w:hint="eastAsia" w:ascii="宋体" w:hAnsi="宋体"/>
                <w:sz w:val="24"/>
                <w:highlight w:val="none"/>
              </w:rPr>
            </w:pPr>
            <w:r>
              <w:rPr>
                <w:rFonts w:hint="eastAsia" w:ascii="宋体" w:hAnsi="宋体"/>
                <w:sz w:val="24"/>
                <w:highlight w:val="none"/>
              </w:rPr>
              <w:t>2、投标文件中要求法定代表人或授权委托人签字或盖章的，供应商在进行电子化投标文件签章时，以签盖法定代表人签章为准。电子化投标文件具体制作教材请供应商通过CA证书登录三门峡市公共资源电子化交易系统在右上角“交易智库”中查看。电子化投标文件工具请点击</w:t>
            </w:r>
            <w:r>
              <w:rPr>
                <w:rFonts w:ascii="宋体" w:hAnsi="宋体"/>
                <w:sz w:val="24"/>
                <w:highlight w:val="none"/>
              </w:rPr>
              <w:t>https://download.bqpoint.com/download/downloadlist.html?SoftTypeCode=03</w:t>
            </w:r>
            <w:r>
              <w:rPr>
                <w:rFonts w:hint="eastAsia" w:ascii="宋体" w:hAnsi="宋体"/>
                <w:sz w:val="24"/>
                <w:highlight w:val="none"/>
              </w:rPr>
              <w:t>进行下载。</w:t>
            </w:r>
          </w:p>
          <w:p w14:paraId="10B5D69D">
            <w:pPr>
              <w:spacing w:line="400" w:lineRule="exact"/>
              <w:rPr>
                <w:rFonts w:hint="eastAsia" w:ascii="宋体" w:hAnsi="宋体"/>
                <w:sz w:val="24"/>
                <w:highlight w:val="none"/>
              </w:rPr>
            </w:pPr>
            <w:r>
              <w:rPr>
                <w:rFonts w:hint="eastAsia" w:ascii="宋体" w:hAnsi="宋体"/>
                <w:sz w:val="24"/>
                <w:highlight w:val="none"/>
              </w:rPr>
              <w:t>（二）电子化投标文件的格式及上传投标</w:t>
            </w:r>
          </w:p>
          <w:p w14:paraId="2AF70A0C">
            <w:pPr>
              <w:spacing w:line="400" w:lineRule="exact"/>
              <w:jc w:val="left"/>
              <w:rPr>
                <w:rFonts w:hint="eastAsia" w:ascii="宋体" w:hAnsi="宋体"/>
                <w:sz w:val="24"/>
                <w:highlight w:val="none"/>
              </w:rPr>
            </w:pPr>
            <w:r>
              <w:rPr>
                <w:rFonts w:hint="eastAsia" w:ascii="宋体" w:hAnsi="宋体"/>
                <w:sz w:val="24"/>
                <w:highlight w:val="none"/>
              </w:rPr>
              <w:t>1、供应商所上传的电子化投标文件，应是通过中心投标文件制作系统制作的（投标文件制作工具下载地址：</w:t>
            </w:r>
            <w:r>
              <w:rPr>
                <w:rFonts w:ascii="宋体" w:hAnsi="宋体"/>
                <w:sz w:val="24"/>
                <w:highlight w:val="none"/>
              </w:rPr>
              <w:t>https://download.bqpoint.com/download/downloadlist.html?SoftTypeCode=03</w:t>
            </w:r>
            <w:r>
              <w:rPr>
                <w:rFonts w:hint="eastAsia" w:ascii="宋体" w:hAnsi="宋体"/>
                <w:sz w:val="24"/>
                <w:highlight w:val="none"/>
              </w:rPr>
              <w:t>），经过签章和加密后生成的电子版投标文件。其中包含用于投标文件上传的主文件（后缀为.smxtf）和用于应急补救的投标文件备份文件（后缀为.nsmxtf）。备份文件主要用于电子化开标出现技术问题后的补救，请供应商随身携带。</w:t>
            </w:r>
          </w:p>
          <w:p w14:paraId="62492CFF">
            <w:pPr>
              <w:spacing w:line="400" w:lineRule="exact"/>
              <w:rPr>
                <w:rFonts w:hint="eastAsia" w:ascii="宋体" w:hAnsi="宋体"/>
                <w:sz w:val="24"/>
                <w:highlight w:val="none"/>
              </w:rPr>
            </w:pPr>
            <w:r>
              <w:rPr>
                <w:rFonts w:hint="eastAsia" w:ascii="宋体" w:hAnsi="宋体"/>
                <w:sz w:val="24"/>
                <w:highlight w:val="none"/>
              </w:rPr>
              <w:t>注：供应商投报多个标段的，需要每个标段单独制作电子投标文件。</w:t>
            </w:r>
          </w:p>
          <w:p w14:paraId="2C502D25">
            <w:pPr>
              <w:spacing w:line="400" w:lineRule="exact"/>
              <w:rPr>
                <w:rFonts w:hint="eastAsia" w:ascii="宋体" w:hAnsi="宋体"/>
                <w:sz w:val="24"/>
                <w:highlight w:val="none"/>
              </w:rPr>
            </w:pPr>
            <w:r>
              <w:rPr>
                <w:rFonts w:hint="eastAsia" w:ascii="宋体" w:hAnsi="宋体"/>
                <w:sz w:val="24"/>
                <w:highlight w:val="none"/>
              </w:rPr>
              <w:t>2、电子化投标文件应在投标截止时间前成功上传至三门峡市公共资源电子化交易系统。至投标截止时间止，仍未上传成功的电子化投标文件将不予接收。</w:t>
            </w:r>
          </w:p>
          <w:p w14:paraId="1AE0BD9C">
            <w:pPr>
              <w:spacing w:line="400" w:lineRule="exact"/>
              <w:rPr>
                <w:rFonts w:hint="eastAsia" w:ascii="宋体" w:hAnsi="宋体"/>
                <w:sz w:val="24"/>
                <w:highlight w:val="none"/>
              </w:rPr>
            </w:pPr>
            <w:r>
              <w:rPr>
                <w:rFonts w:hint="eastAsia" w:ascii="宋体" w:hAnsi="宋体"/>
                <w:sz w:val="24"/>
                <w:highlight w:val="none"/>
              </w:rPr>
              <w:t>注：如按照电子化投标操作教材制作完成的电子化投标文件无法上传的，供应商应在投标截止时间前尽早的联系中心技术人员，以便有充分的时间进行处理。供应商应充分考虑到处理技术问题和上传数据等工作所需的时间问题，投标文件未在投标截止时间前成功上传的，其投标文件不予接收。</w:t>
            </w:r>
          </w:p>
          <w:p w14:paraId="3AD6C2FE">
            <w:pPr>
              <w:spacing w:line="400" w:lineRule="exact"/>
              <w:rPr>
                <w:rFonts w:hint="eastAsia" w:ascii="宋体" w:hAnsi="宋体"/>
                <w:sz w:val="24"/>
                <w:highlight w:val="none"/>
              </w:rPr>
            </w:pPr>
            <w:r>
              <w:rPr>
                <w:rFonts w:hint="eastAsia" w:ascii="宋体" w:hAnsi="宋体"/>
                <w:sz w:val="24"/>
                <w:highlight w:val="none"/>
              </w:rPr>
              <w:t>技术联系电话：400-998-0000</w:t>
            </w:r>
          </w:p>
          <w:p w14:paraId="5C036263">
            <w:pPr>
              <w:spacing w:line="400" w:lineRule="exact"/>
              <w:rPr>
                <w:rFonts w:hint="eastAsia" w:ascii="宋体" w:hAnsi="宋体"/>
                <w:sz w:val="24"/>
                <w:highlight w:val="none"/>
              </w:rPr>
            </w:pPr>
            <w:r>
              <w:rPr>
                <w:rFonts w:hint="eastAsia" w:ascii="宋体" w:hAnsi="宋体"/>
                <w:sz w:val="24"/>
                <w:highlight w:val="none"/>
              </w:rPr>
              <w:t>主体库咨询电话:0398-3117815</w:t>
            </w:r>
          </w:p>
          <w:p w14:paraId="08E2612F">
            <w:pPr>
              <w:spacing w:line="400" w:lineRule="exact"/>
              <w:rPr>
                <w:rFonts w:hint="eastAsia" w:ascii="宋体" w:hAnsi="宋体"/>
                <w:sz w:val="24"/>
                <w:highlight w:val="none"/>
              </w:rPr>
            </w:pPr>
            <w:r>
              <w:rPr>
                <w:rFonts w:hint="eastAsia" w:ascii="宋体" w:hAnsi="宋体"/>
                <w:sz w:val="24"/>
                <w:highlight w:val="none"/>
              </w:rPr>
              <w:t>CA证书制发:0398-2181635</w:t>
            </w:r>
          </w:p>
          <w:p w14:paraId="6FB70D28">
            <w:pPr>
              <w:spacing w:line="400" w:lineRule="exact"/>
              <w:rPr>
                <w:rFonts w:hint="eastAsia" w:ascii="宋体" w:hAnsi="宋体"/>
                <w:sz w:val="24"/>
                <w:highlight w:val="none"/>
              </w:rPr>
            </w:pPr>
            <w:r>
              <w:rPr>
                <w:rFonts w:hint="eastAsia" w:ascii="宋体" w:hAnsi="宋体"/>
                <w:sz w:val="24"/>
                <w:highlight w:val="none"/>
              </w:rPr>
              <w:t>科技信息科:0398-3117095</w:t>
            </w:r>
          </w:p>
          <w:p w14:paraId="5C80A380">
            <w:pPr>
              <w:spacing w:line="400" w:lineRule="exact"/>
              <w:rPr>
                <w:rFonts w:hint="eastAsia" w:ascii="宋体" w:hAnsi="宋体"/>
                <w:sz w:val="24"/>
                <w:highlight w:val="none"/>
              </w:rPr>
            </w:pPr>
            <w:r>
              <w:rPr>
                <w:rFonts w:hint="eastAsia" w:ascii="宋体" w:hAnsi="宋体"/>
                <w:sz w:val="24"/>
                <w:highlight w:val="none"/>
              </w:rPr>
              <w:t>（三）电子化项目开标、解密、唱标、评标</w:t>
            </w:r>
          </w:p>
          <w:p w14:paraId="4E0D5BF6">
            <w:pPr>
              <w:wordWrap w:val="0"/>
              <w:spacing w:line="400" w:lineRule="exact"/>
              <w:ind w:firstLine="357"/>
              <w:rPr>
                <w:rFonts w:hint="eastAsia" w:ascii="宋体" w:hAnsi="宋体"/>
                <w:sz w:val="24"/>
                <w:highlight w:val="none"/>
              </w:rPr>
            </w:pPr>
            <w:r>
              <w:rPr>
                <w:rFonts w:hint="eastAsia" w:ascii="宋体" w:hAnsi="宋体"/>
                <w:sz w:val="24"/>
                <w:highlight w:val="none"/>
              </w:rPr>
              <w:t>1、本项目采用电子化、无纸化进行招标，开标当日，供应商无需到开标现场参加开标会议，供应商应当在投标截止时间前，登陆不见面开标大厅选择登陆三门峡市公共资源电子招投标系统进行登陆（</w:t>
            </w:r>
            <w:r>
              <w:rPr>
                <w:rFonts w:hint="eastAsia" w:ascii="宋体" w:hAnsi="宋体" w:cs="宋体"/>
                <w:sz w:val="24"/>
                <w:szCs w:val="24"/>
                <w:highlight w:val="none"/>
              </w:rPr>
              <w:t>网址为</w:t>
            </w:r>
            <w:r>
              <w:rPr>
                <w:rFonts w:ascii="宋体" w:hAnsi="宋体" w:cs="宋体"/>
                <w:sz w:val="24"/>
                <w:szCs w:val="24"/>
                <w:highlight w:val="none"/>
              </w:rPr>
              <w:t>http://120.194.249.36:10094/BidOpening/bidopeninghallaction/hall/login</w:t>
            </w:r>
            <w:r>
              <w:rPr>
                <w:rFonts w:hint="eastAsia" w:ascii="宋体" w:hAnsi="宋体"/>
                <w:sz w:val="24"/>
                <w:highlight w:val="none"/>
              </w:rPr>
              <w:t>）,在线准时参加开标活动并进行投标文件解密等。</w:t>
            </w:r>
          </w:p>
          <w:p w14:paraId="718DCCDF">
            <w:pPr>
              <w:spacing w:line="400" w:lineRule="exact"/>
              <w:rPr>
                <w:rFonts w:hint="eastAsia" w:ascii="宋体" w:hAnsi="宋体"/>
                <w:sz w:val="24"/>
                <w:highlight w:val="none"/>
              </w:rPr>
            </w:pPr>
            <w:r>
              <w:rPr>
                <w:rFonts w:hint="eastAsia" w:ascii="宋体" w:hAnsi="宋体"/>
                <w:sz w:val="24"/>
                <w:highlight w:val="none"/>
              </w:rPr>
              <w:t>2、电子化投标文件采用一次加密方式。开标时，由供应商使用CA 证书，在规定时间内对其电子化投标文件进行解密。每位供应商的解密时间为开标时间起30 分钟内，如在规定时间内未完成解密的，其投标文件不予开标、唱标。</w:t>
            </w:r>
          </w:p>
          <w:p w14:paraId="67F9856A">
            <w:pPr>
              <w:spacing w:line="400" w:lineRule="exact"/>
              <w:rPr>
                <w:rFonts w:hint="eastAsia" w:ascii="宋体" w:hAnsi="宋体"/>
                <w:sz w:val="24"/>
                <w:highlight w:val="none"/>
              </w:rPr>
            </w:pPr>
            <w:r>
              <w:rPr>
                <w:rFonts w:hint="eastAsia" w:ascii="宋体" w:hAnsi="宋体"/>
                <w:sz w:val="24"/>
                <w:highlight w:val="none"/>
              </w:rPr>
              <w:t>3、电子化投标文件解密异常的处理</w:t>
            </w:r>
          </w:p>
          <w:p w14:paraId="6A801DD4">
            <w:pPr>
              <w:spacing w:line="400" w:lineRule="exact"/>
              <w:rPr>
                <w:rFonts w:hint="eastAsia" w:ascii="宋体" w:hAnsi="宋体"/>
                <w:sz w:val="24"/>
                <w:highlight w:val="none"/>
              </w:rPr>
            </w:pPr>
            <w:r>
              <w:rPr>
                <w:rFonts w:hint="eastAsia" w:ascii="宋体" w:hAnsi="宋体"/>
                <w:sz w:val="24"/>
                <w:highlight w:val="none"/>
              </w:rPr>
              <w:t>如出现供应商的电子投标文件无法解密等异常情况，供应商应及时致电中介服务机构说明。投标文件异常，按以下步骤进行处理：</w:t>
            </w:r>
          </w:p>
          <w:p w14:paraId="5005448D">
            <w:pPr>
              <w:spacing w:line="400" w:lineRule="exact"/>
              <w:rPr>
                <w:rFonts w:hint="eastAsia" w:ascii="宋体" w:hAnsi="宋体"/>
                <w:sz w:val="24"/>
                <w:highlight w:val="none"/>
              </w:rPr>
            </w:pPr>
            <w:r>
              <w:rPr>
                <w:rFonts w:hint="eastAsia" w:ascii="宋体" w:hAnsi="宋体"/>
                <w:sz w:val="24"/>
                <w:highlight w:val="none"/>
              </w:rPr>
              <w:t>（1）首先由技术人员进行问题排查。</w:t>
            </w:r>
          </w:p>
          <w:p w14:paraId="7523BCB2">
            <w:pPr>
              <w:spacing w:line="400" w:lineRule="exact"/>
              <w:rPr>
                <w:rFonts w:hint="eastAsia" w:ascii="宋体" w:hAnsi="宋体"/>
                <w:sz w:val="24"/>
                <w:highlight w:val="none"/>
              </w:rPr>
            </w:pPr>
            <w:r>
              <w:rPr>
                <w:rFonts w:hint="eastAsia" w:ascii="宋体" w:hAnsi="宋体"/>
                <w:sz w:val="24"/>
                <w:highlight w:val="none"/>
              </w:rPr>
              <w:t>（2）经技术人员排查后，是供应商文件自身问题导致投标文件无法解密的，该投标文件将不予接收、解密和唱标。开标会议继续进行。</w:t>
            </w:r>
          </w:p>
          <w:p w14:paraId="770AF2F2">
            <w:pPr>
              <w:spacing w:line="400" w:lineRule="exact"/>
              <w:rPr>
                <w:rFonts w:hint="eastAsia" w:ascii="宋体" w:hAnsi="宋体"/>
                <w:sz w:val="24"/>
                <w:highlight w:val="none"/>
              </w:rPr>
            </w:pPr>
            <w:r>
              <w:rPr>
                <w:rFonts w:hint="eastAsia" w:ascii="宋体" w:hAnsi="宋体"/>
                <w:sz w:val="24"/>
                <w:highlight w:val="none"/>
              </w:rPr>
              <w:t>（3）经技术人员排查后，如果是电子化交易系统问题造成投标文件无法解密的，将由技术人员对问题进行处理。如短时间内问题无法解决的，将由中介服务机构向监督部门申请，经监督部门同意后，暂停开标会议，待问题解决后继续开标。</w:t>
            </w:r>
          </w:p>
          <w:p w14:paraId="7A171889">
            <w:pPr>
              <w:spacing w:line="400" w:lineRule="exact"/>
              <w:rPr>
                <w:rFonts w:hint="eastAsia" w:ascii="宋体" w:hAnsi="宋体"/>
                <w:sz w:val="24"/>
                <w:highlight w:val="none"/>
              </w:rPr>
            </w:pPr>
            <w:r>
              <w:rPr>
                <w:rFonts w:hint="eastAsia" w:ascii="宋体" w:hAnsi="宋体"/>
                <w:sz w:val="24"/>
                <w:highlight w:val="none"/>
              </w:rPr>
              <w:t>4、待所有供应商投标文件解密完成后，由中介服务机构操作，对所有已解密投标文件进行唱标。</w:t>
            </w:r>
          </w:p>
          <w:p w14:paraId="63152BE4">
            <w:pPr>
              <w:spacing w:line="400" w:lineRule="exact"/>
              <w:rPr>
                <w:rFonts w:hint="eastAsia" w:ascii="宋体" w:hAnsi="宋体"/>
                <w:sz w:val="24"/>
                <w:highlight w:val="none"/>
              </w:rPr>
            </w:pPr>
            <w:r>
              <w:rPr>
                <w:rFonts w:hint="eastAsia" w:ascii="宋体" w:hAnsi="宋体"/>
                <w:sz w:val="24"/>
                <w:highlight w:val="none"/>
              </w:rPr>
              <w:t>供应商应保证在开标期间电话、电脑、网络能够正常工作，供应商因停电、电脑病毒、网络堵塞等原因，未在规定的解密时间内对投标文件进行解密的，其投标文件不予接收、唱标。</w:t>
            </w:r>
          </w:p>
          <w:p w14:paraId="3E41A7DD">
            <w:pPr>
              <w:spacing w:line="400" w:lineRule="exact"/>
              <w:rPr>
                <w:rFonts w:hint="eastAsia" w:ascii="宋体" w:hAnsi="宋体"/>
                <w:sz w:val="24"/>
                <w:highlight w:val="none"/>
              </w:rPr>
            </w:pPr>
            <w:r>
              <w:rPr>
                <w:rFonts w:hint="eastAsia" w:ascii="宋体" w:hAnsi="宋体"/>
                <w:sz w:val="24"/>
                <w:highlight w:val="none"/>
              </w:rPr>
              <w:t>5、开标时供应商可登录到交易系统中在开标解密栏中点击报价一览表查看自己的投标报价。如对自己的唱标内容有异议的，应在供应商解密成功后10分钟内向中介服务机构电话质疑。中介服务机构应在监督人员的监督下进行免提通话接受供应商的质疑并做好书面记录。供应商未在规定时间内提出质疑的，视为认可唱标内容。</w:t>
            </w:r>
          </w:p>
          <w:p w14:paraId="77D1A18C">
            <w:pPr>
              <w:spacing w:line="400" w:lineRule="exact"/>
              <w:rPr>
                <w:rFonts w:hint="eastAsia" w:ascii="宋体" w:hAnsi="宋体"/>
                <w:sz w:val="24"/>
                <w:highlight w:val="none"/>
              </w:rPr>
            </w:pPr>
            <w:r>
              <w:rPr>
                <w:rFonts w:hint="eastAsia" w:ascii="宋体" w:hAnsi="宋体"/>
                <w:sz w:val="24"/>
                <w:highlight w:val="none"/>
              </w:rPr>
              <w:t>6、评标时，磋商小组对电子化投标文件有质疑的，将通过电子化交易系统对供应商发起质疑，并在监督人员的监督下，用免提模式致电需要答复的供应商对质疑进行回复。供应商的回复文件必须以经过供应商和其法定代表人签章的PDF格式文件为准，并通过电子化交易系统提交至磋商小组。</w:t>
            </w:r>
          </w:p>
          <w:p w14:paraId="402F7703">
            <w:pPr>
              <w:spacing w:line="400" w:lineRule="exact"/>
              <w:rPr>
                <w:rFonts w:hint="eastAsia" w:ascii="宋体" w:hAnsi="宋体"/>
                <w:sz w:val="24"/>
                <w:highlight w:val="none"/>
              </w:rPr>
            </w:pPr>
            <w:r>
              <w:rPr>
                <w:rFonts w:hint="eastAsia" w:ascii="宋体" w:hAnsi="宋体"/>
                <w:sz w:val="24"/>
                <w:highlight w:val="none"/>
              </w:rPr>
              <w:t>7、如磋商小组对需要回复的供应商连续三次致电未接通的，视为供应商放弃回复，磋商小组将自行对需要回复的内容进行认定。</w:t>
            </w:r>
          </w:p>
          <w:p w14:paraId="77F5915E">
            <w:pPr>
              <w:spacing w:line="400" w:lineRule="exact"/>
              <w:rPr>
                <w:rFonts w:hint="eastAsia" w:ascii="宋体" w:hAnsi="宋体"/>
                <w:sz w:val="24"/>
                <w:highlight w:val="none"/>
              </w:rPr>
            </w:pPr>
            <w:r>
              <w:rPr>
                <w:rFonts w:hint="eastAsia" w:ascii="宋体" w:hAnsi="宋体"/>
                <w:sz w:val="24"/>
                <w:highlight w:val="none"/>
              </w:rPr>
              <w:t>二、相关证书原件的提交</w:t>
            </w:r>
          </w:p>
          <w:p w14:paraId="22D6B6D7">
            <w:pPr>
              <w:spacing w:line="400" w:lineRule="exact"/>
              <w:rPr>
                <w:rFonts w:hint="eastAsia" w:ascii="宋体" w:hAnsi="宋体"/>
                <w:sz w:val="24"/>
                <w:highlight w:val="none"/>
              </w:rPr>
            </w:pPr>
            <w:r>
              <w:rPr>
                <w:rFonts w:hint="eastAsia" w:ascii="宋体" w:hAnsi="宋体"/>
                <w:sz w:val="24"/>
                <w:highlight w:val="none"/>
              </w:rPr>
              <w:t>本项目实行资格后审，资格评审以投标文件为准，其上传资料真实性由供应商自行承担，同时，供应商要完善主体库。</w:t>
            </w:r>
          </w:p>
          <w:p w14:paraId="22311AF7">
            <w:pPr>
              <w:spacing w:line="400" w:lineRule="exact"/>
              <w:rPr>
                <w:rFonts w:hint="eastAsia" w:ascii="宋体" w:hAnsi="宋体"/>
                <w:sz w:val="24"/>
                <w:highlight w:val="none"/>
              </w:rPr>
            </w:pPr>
            <w:r>
              <w:rPr>
                <w:rFonts w:hint="eastAsia" w:ascii="宋体" w:hAnsi="宋体"/>
                <w:sz w:val="24"/>
                <w:highlight w:val="none"/>
              </w:rPr>
              <w:t>提示：本项目为电子化、无纸化交易项目，开标时不再接受任何纸质资料，为保证您能投标成功，请需仔细阅读以上条款。</w:t>
            </w:r>
          </w:p>
        </w:tc>
      </w:tr>
    </w:tbl>
    <w:p w14:paraId="61630A7F">
      <w:pPr>
        <w:pStyle w:val="21"/>
        <w:spacing w:line="460" w:lineRule="exact"/>
        <w:jc w:val="center"/>
        <w:outlineLvl w:val="1"/>
        <w:rPr>
          <w:rFonts w:hint="eastAsia" w:ascii="宋体" w:hAnsi="宋体" w:eastAsia="宋体" w:cs="宋体"/>
          <w:b/>
          <w:kern w:val="0"/>
          <w:highlight w:val="none"/>
        </w:rPr>
      </w:pPr>
      <w:r>
        <w:rPr>
          <w:rFonts w:hint="eastAsia" w:ascii="宋体" w:hAnsi="宋体"/>
          <w:b/>
          <w:bCs/>
          <w:kern w:val="0"/>
          <w:highlight w:val="none"/>
        </w:rPr>
        <w:br w:type="page"/>
      </w:r>
      <w:bookmarkStart w:id="27" w:name="_Toc16770549"/>
      <w:bookmarkEnd w:id="27"/>
      <w:bookmarkStart w:id="28" w:name="_Toc120614214"/>
      <w:bookmarkEnd w:id="28"/>
      <w:bookmarkStart w:id="29" w:name="_Toc16938519"/>
      <w:bookmarkEnd w:id="29"/>
      <w:bookmarkStart w:id="30" w:name="_Toc517178993"/>
      <w:bookmarkEnd w:id="30"/>
      <w:bookmarkStart w:id="31" w:name="_Toc20823275"/>
      <w:bookmarkEnd w:id="31"/>
      <w:bookmarkStart w:id="32" w:name="_Toc513029203"/>
      <w:bookmarkEnd w:id="32"/>
      <w:bookmarkStart w:id="33" w:name="_Toc27178"/>
      <w:bookmarkStart w:id="34" w:name="_Toc27375_WPSOffice_Level1"/>
      <w:bookmarkStart w:id="35" w:name="_Toc4714_WPSOffice_Level1"/>
      <w:bookmarkStart w:id="36" w:name="_Toc32643"/>
      <w:bookmarkStart w:id="37" w:name="_Toc3111_WPSOffice_Level1"/>
      <w:bookmarkStart w:id="38" w:name="_Toc2341_WPSOffice_Level1"/>
      <w:r>
        <w:rPr>
          <w:rFonts w:hint="eastAsia" w:ascii="宋体" w:hAnsi="宋体" w:eastAsia="宋体" w:cs="宋体"/>
          <w:b/>
          <w:highlight w:val="none"/>
        </w:rPr>
        <w:t>1.总则</w:t>
      </w:r>
      <w:bookmarkEnd w:id="33"/>
    </w:p>
    <w:p w14:paraId="2F96828E">
      <w:pPr>
        <w:wordWrap w:val="0"/>
        <w:spacing w:line="460" w:lineRule="exact"/>
        <w:ind w:firstLine="480" w:firstLineChars="200"/>
        <w:jc w:val="left"/>
        <w:outlineLvl w:val="2"/>
        <w:rPr>
          <w:rFonts w:hint="eastAsia" w:ascii="宋体" w:hAnsi="宋体" w:eastAsia="宋体" w:cs="宋体"/>
          <w:sz w:val="24"/>
          <w:szCs w:val="24"/>
          <w:highlight w:val="none"/>
        </w:rPr>
      </w:pPr>
      <w:bookmarkStart w:id="39" w:name="_Toc20823276"/>
      <w:bookmarkEnd w:id="39"/>
      <w:bookmarkStart w:id="40" w:name="_Toc16938520"/>
      <w:bookmarkEnd w:id="40"/>
      <w:bookmarkStart w:id="41" w:name="_Toc513029204"/>
      <w:bookmarkEnd w:id="41"/>
      <w:bookmarkStart w:id="42" w:name="_Toc528078009"/>
      <w:bookmarkStart w:id="43" w:name="_Toc15871"/>
      <w:r>
        <w:rPr>
          <w:rFonts w:hint="eastAsia" w:ascii="宋体" w:hAnsi="宋体" w:eastAsia="宋体" w:cs="宋体"/>
          <w:sz w:val="24"/>
          <w:szCs w:val="24"/>
          <w:highlight w:val="none"/>
        </w:rPr>
        <w:t>1.1.1</w:t>
      </w:r>
      <w:bookmarkEnd w:id="42"/>
      <w:r>
        <w:rPr>
          <w:rFonts w:hint="eastAsia" w:ascii="宋体" w:hAnsi="宋体" w:eastAsia="宋体" w:cs="宋体"/>
          <w:sz w:val="24"/>
          <w:szCs w:val="24"/>
          <w:highlight w:val="none"/>
        </w:rPr>
        <w:t>采购方式及定义</w:t>
      </w:r>
      <w:bookmarkEnd w:id="43"/>
    </w:p>
    <w:p w14:paraId="3C1B41F3">
      <w:pPr>
        <w:wordWrap w:val="0"/>
        <w:spacing w:line="46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本次采购采用竞争性磋商方式（以下简称磋商），本竞争性磋商文件仅适用于竞争性磋商公告中所述项目。</w:t>
      </w:r>
    </w:p>
    <w:p w14:paraId="7CBDE23D">
      <w:pPr>
        <w:wordWrap w:val="0"/>
        <w:spacing w:line="46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合格的供应商</w:t>
      </w:r>
    </w:p>
    <w:p w14:paraId="1B9D2BA2">
      <w:pPr>
        <w:wordWrap w:val="0"/>
        <w:spacing w:line="46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1.满足竞争性磋商公告中供应商的资格条件的规定。</w:t>
      </w:r>
    </w:p>
    <w:p w14:paraId="779FA7DC">
      <w:pPr>
        <w:wordWrap w:val="0"/>
        <w:spacing w:line="46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2.满足本文件实质性条款的规定。</w:t>
      </w:r>
    </w:p>
    <w:p w14:paraId="42F7A419">
      <w:pPr>
        <w:wordWrap w:val="0"/>
        <w:spacing w:line="460" w:lineRule="exact"/>
        <w:ind w:firstLine="480" w:firstLineChars="200"/>
        <w:jc w:val="left"/>
        <w:outlineLvl w:val="2"/>
        <w:rPr>
          <w:rFonts w:hint="eastAsia" w:ascii="宋体" w:hAnsi="宋体" w:eastAsia="宋体" w:cs="宋体"/>
          <w:sz w:val="24"/>
          <w:szCs w:val="24"/>
          <w:highlight w:val="none"/>
        </w:rPr>
      </w:pPr>
      <w:bookmarkStart w:id="44" w:name="_Toc20823278"/>
      <w:bookmarkEnd w:id="44"/>
      <w:bookmarkStart w:id="45" w:name="_Toc513029206"/>
      <w:bookmarkEnd w:id="45"/>
      <w:bookmarkStart w:id="46" w:name="_Toc16938522"/>
      <w:bookmarkEnd w:id="46"/>
      <w:bookmarkStart w:id="47" w:name="_Toc528078010"/>
      <w:bookmarkStart w:id="48" w:name="_Toc31734"/>
      <w:r>
        <w:rPr>
          <w:rFonts w:hint="eastAsia" w:ascii="宋体" w:hAnsi="宋体" w:eastAsia="宋体" w:cs="宋体"/>
          <w:sz w:val="24"/>
          <w:szCs w:val="24"/>
          <w:highlight w:val="none"/>
        </w:rPr>
        <w:t>1.1.2</w:t>
      </w:r>
      <w:bookmarkEnd w:id="47"/>
      <w:r>
        <w:rPr>
          <w:rFonts w:hint="eastAsia" w:ascii="宋体" w:hAnsi="宋体" w:eastAsia="宋体" w:cs="宋体"/>
          <w:sz w:val="24"/>
          <w:szCs w:val="24"/>
          <w:highlight w:val="none"/>
        </w:rPr>
        <w:t>适用法律</w:t>
      </w:r>
      <w:bookmarkEnd w:id="48"/>
    </w:p>
    <w:p w14:paraId="315F329E">
      <w:pPr>
        <w:wordWrap w:val="0"/>
        <w:spacing w:line="46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本次竞争性磋商及由此产生的合同受中华人民共和国有关的法律法规制约和保护。</w:t>
      </w:r>
    </w:p>
    <w:p w14:paraId="2C25A194">
      <w:pPr>
        <w:wordWrap w:val="0"/>
        <w:spacing w:line="460" w:lineRule="exact"/>
        <w:ind w:firstLine="480" w:firstLineChars="200"/>
        <w:jc w:val="left"/>
        <w:outlineLvl w:val="2"/>
        <w:rPr>
          <w:rFonts w:hint="eastAsia" w:ascii="宋体" w:hAnsi="宋体" w:eastAsia="宋体" w:cs="宋体"/>
          <w:sz w:val="24"/>
          <w:szCs w:val="24"/>
          <w:highlight w:val="none"/>
        </w:rPr>
      </w:pPr>
      <w:bookmarkStart w:id="49" w:name="_Toc20823279"/>
      <w:bookmarkEnd w:id="49"/>
      <w:bookmarkStart w:id="50" w:name="_Toc462564067"/>
      <w:bookmarkEnd w:id="50"/>
      <w:bookmarkStart w:id="51" w:name="_Toc513029207"/>
      <w:bookmarkEnd w:id="51"/>
      <w:bookmarkStart w:id="52" w:name="_Toc16938523"/>
      <w:bookmarkEnd w:id="52"/>
      <w:bookmarkStart w:id="53" w:name="_Toc528078011"/>
      <w:bookmarkStart w:id="54" w:name="_Toc20062"/>
      <w:r>
        <w:rPr>
          <w:rFonts w:hint="eastAsia" w:ascii="宋体" w:hAnsi="宋体" w:eastAsia="宋体" w:cs="宋体"/>
          <w:sz w:val="24"/>
          <w:szCs w:val="24"/>
          <w:highlight w:val="none"/>
        </w:rPr>
        <w:t>1.1.3</w:t>
      </w:r>
      <w:bookmarkEnd w:id="53"/>
      <w:r>
        <w:rPr>
          <w:rFonts w:hint="eastAsia" w:ascii="宋体" w:hAnsi="宋体" w:eastAsia="宋体" w:cs="宋体"/>
          <w:sz w:val="24"/>
          <w:szCs w:val="24"/>
          <w:highlight w:val="none"/>
        </w:rPr>
        <w:t>磋商费用</w:t>
      </w:r>
      <w:bookmarkEnd w:id="54"/>
    </w:p>
    <w:p w14:paraId="3AB47DDD">
      <w:pPr>
        <w:wordWrap w:val="0"/>
        <w:spacing w:line="46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本次竞争性磋商磋商服务费：招标代理服务费参照《河南省招标代理服务收费指导意见》豫招协（2023）002号文件中，河南省招标代理服务收费计算标准计取。领取中标通知书前由中标人支付。供应商的投标报价应当包含该代理费用。</w:t>
      </w:r>
    </w:p>
    <w:p w14:paraId="394D4B9F">
      <w:pPr>
        <w:wordWrap w:val="0"/>
        <w:spacing w:line="460" w:lineRule="exact"/>
        <w:ind w:left="566" w:leftChars="218" w:hanging="108" w:hangingChars="45"/>
        <w:jc w:val="left"/>
        <w:outlineLvl w:val="1"/>
        <w:rPr>
          <w:rFonts w:hint="eastAsia" w:ascii="宋体" w:hAnsi="宋体" w:eastAsia="宋体" w:cs="宋体"/>
          <w:kern w:val="0"/>
          <w:sz w:val="24"/>
          <w:szCs w:val="24"/>
          <w:highlight w:val="none"/>
        </w:rPr>
      </w:pPr>
      <w:bookmarkStart w:id="55" w:name="_Toc16938525"/>
      <w:bookmarkEnd w:id="55"/>
      <w:bookmarkStart w:id="56" w:name="_Toc505350554"/>
      <w:bookmarkEnd w:id="56"/>
      <w:bookmarkStart w:id="57" w:name="_Toc120614215"/>
      <w:bookmarkEnd w:id="57"/>
      <w:bookmarkStart w:id="58" w:name="_Toc517178994"/>
      <w:bookmarkEnd w:id="58"/>
      <w:bookmarkStart w:id="59" w:name="_Toc513029209"/>
      <w:bookmarkEnd w:id="59"/>
      <w:bookmarkStart w:id="60" w:name="_Toc504491968"/>
      <w:bookmarkEnd w:id="60"/>
      <w:bookmarkStart w:id="61" w:name="_Toc20823281"/>
      <w:bookmarkEnd w:id="61"/>
      <w:bookmarkStart w:id="62" w:name="_Toc403987206"/>
      <w:bookmarkEnd w:id="62"/>
      <w:bookmarkStart w:id="63" w:name="_Toc528078012"/>
      <w:bookmarkStart w:id="64" w:name="_Toc18479"/>
      <w:r>
        <w:rPr>
          <w:rFonts w:hint="eastAsia" w:ascii="宋体" w:hAnsi="宋体" w:eastAsia="宋体" w:cs="宋体"/>
          <w:sz w:val="24"/>
          <w:szCs w:val="24"/>
          <w:highlight w:val="none"/>
        </w:rPr>
        <w:t>2.</w:t>
      </w:r>
      <w:bookmarkEnd w:id="63"/>
      <w:r>
        <w:rPr>
          <w:rFonts w:hint="eastAsia" w:ascii="宋体" w:hAnsi="宋体" w:eastAsia="宋体" w:cs="宋体"/>
          <w:sz w:val="24"/>
          <w:szCs w:val="24"/>
          <w:highlight w:val="none"/>
        </w:rPr>
        <w:t>竞争性磋商文件</w:t>
      </w:r>
      <w:bookmarkEnd w:id="64"/>
    </w:p>
    <w:p w14:paraId="655ADF69">
      <w:pPr>
        <w:wordWrap w:val="0"/>
        <w:spacing w:line="460" w:lineRule="exact"/>
        <w:ind w:firstLine="480" w:firstLineChars="200"/>
        <w:jc w:val="left"/>
        <w:outlineLvl w:val="2"/>
        <w:rPr>
          <w:rFonts w:hint="eastAsia" w:ascii="宋体" w:hAnsi="宋体" w:eastAsia="宋体" w:cs="宋体"/>
          <w:sz w:val="24"/>
          <w:szCs w:val="24"/>
          <w:highlight w:val="none"/>
        </w:rPr>
      </w:pPr>
      <w:bookmarkStart w:id="65" w:name="_Toc513029210"/>
      <w:bookmarkEnd w:id="65"/>
      <w:bookmarkStart w:id="66" w:name="_Toc16938526"/>
      <w:bookmarkEnd w:id="66"/>
      <w:bookmarkStart w:id="67" w:name="_Toc20823282"/>
      <w:bookmarkEnd w:id="67"/>
      <w:bookmarkStart w:id="68" w:name="_Toc528078013"/>
      <w:bookmarkStart w:id="69" w:name="_Toc1487"/>
      <w:r>
        <w:rPr>
          <w:rFonts w:hint="eastAsia" w:ascii="宋体" w:hAnsi="宋体" w:eastAsia="宋体" w:cs="宋体"/>
          <w:sz w:val="24"/>
          <w:szCs w:val="24"/>
          <w:highlight w:val="none"/>
        </w:rPr>
        <w:t>2.1</w:t>
      </w:r>
      <w:bookmarkEnd w:id="68"/>
      <w:r>
        <w:rPr>
          <w:rFonts w:hint="eastAsia" w:ascii="宋体" w:hAnsi="宋体" w:eastAsia="宋体" w:cs="宋体"/>
          <w:sz w:val="24"/>
          <w:szCs w:val="24"/>
          <w:highlight w:val="none"/>
        </w:rPr>
        <w:t>竞争性磋商文件构成</w:t>
      </w:r>
      <w:bookmarkEnd w:id="69"/>
    </w:p>
    <w:p w14:paraId="6A39B860">
      <w:pPr>
        <w:wordWrap w:val="0"/>
        <w:spacing w:line="46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2.1.1竞争性磋商公告</w:t>
      </w:r>
    </w:p>
    <w:p w14:paraId="43633708">
      <w:pPr>
        <w:wordWrap w:val="0"/>
        <w:spacing w:line="46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2.1.2供应商须知</w:t>
      </w:r>
    </w:p>
    <w:p w14:paraId="504306EC">
      <w:pPr>
        <w:wordWrap w:val="0"/>
        <w:spacing w:line="460" w:lineRule="exact"/>
        <w:ind w:firstLine="480" w:firstLineChars="200"/>
        <w:jc w:val="left"/>
        <w:outlineLvl w:val="3"/>
        <w:rPr>
          <w:rFonts w:hint="eastAsia" w:ascii="宋体" w:hAnsi="宋体" w:eastAsia="宋体" w:cs="宋体"/>
          <w:sz w:val="24"/>
          <w:szCs w:val="24"/>
          <w:highlight w:val="none"/>
        </w:rPr>
      </w:pPr>
      <w:r>
        <w:rPr>
          <w:rFonts w:hint="eastAsia" w:ascii="宋体" w:hAnsi="宋体" w:eastAsia="宋体" w:cs="宋体"/>
          <w:sz w:val="24"/>
          <w:szCs w:val="24"/>
          <w:highlight w:val="none"/>
        </w:rPr>
        <w:t>2.1.3评标办法（综合评估法）</w:t>
      </w:r>
    </w:p>
    <w:p w14:paraId="366D5D7B">
      <w:pPr>
        <w:wordWrap w:val="0"/>
        <w:spacing w:line="460" w:lineRule="exact"/>
        <w:ind w:firstLine="480" w:firstLineChars="200"/>
        <w:jc w:val="left"/>
        <w:outlineLvl w:val="3"/>
        <w:rPr>
          <w:rFonts w:hint="eastAsia" w:ascii="宋体" w:hAnsi="宋体" w:eastAsia="宋体" w:cs="宋体"/>
          <w:sz w:val="24"/>
          <w:szCs w:val="24"/>
          <w:highlight w:val="none"/>
        </w:rPr>
      </w:pPr>
      <w:r>
        <w:rPr>
          <w:rFonts w:hint="eastAsia" w:ascii="宋体" w:hAnsi="宋体" w:eastAsia="宋体" w:cs="宋体"/>
          <w:sz w:val="24"/>
          <w:szCs w:val="24"/>
          <w:highlight w:val="none"/>
        </w:rPr>
        <w:t>2.1.4合同主要条款及格式</w:t>
      </w:r>
    </w:p>
    <w:p w14:paraId="1CA8180B">
      <w:pPr>
        <w:wordWrap w:val="0"/>
        <w:spacing w:line="460" w:lineRule="exact"/>
        <w:ind w:firstLine="480" w:firstLineChars="200"/>
        <w:jc w:val="left"/>
        <w:outlineLvl w:val="3"/>
        <w:rPr>
          <w:rFonts w:hint="eastAsia" w:ascii="宋体" w:hAnsi="宋体" w:eastAsia="宋体" w:cs="宋体"/>
          <w:sz w:val="24"/>
          <w:szCs w:val="24"/>
          <w:highlight w:val="none"/>
        </w:rPr>
      </w:pPr>
      <w:r>
        <w:rPr>
          <w:rFonts w:hint="eastAsia" w:ascii="宋体" w:hAnsi="宋体" w:eastAsia="宋体" w:cs="宋体"/>
          <w:sz w:val="24"/>
          <w:szCs w:val="24"/>
          <w:highlight w:val="none"/>
        </w:rPr>
        <w:t>2.1.5采购清单及技术参数</w:t>
      </w:r>
    </w:p>
    <w:p w14:paraId="77AF2819">
      <w:pPr>
        <w:wordWrap w:val="0"/>
        <w:spacing w:line="460" w:lineRule="exact"/>
        <w:ind w:firstLine="480" w:firstLineChars="200"/>
        <w:jc w:val="left"/>
        <w:outlineLvl w:val="3"/>
        <w:rPr>
          <w:rFonts w:hint="eastAsia" w:ascii="宋体" w:hAnsi="宋体" w:eastAsia="宋体" w:cs="宋体"/>
          <w:sz w:val="24"/>
          <w:szCs w:val="24"/>
          <w:highlight w:val="none"/>
        </w:rPr>
      </w:pPr>
      <w:r>
        <w:rPr>
          <w:rFonts w:hint="eastAsia" w:ascii="宋体" w:hAnsi="宋体" w:eastAsia="宋体" w:cs="宋体"/>
          <w:sz w:val="24"/>
          <w:szCs w:val="24"/>
          <w:highlight w:val="none"/>
        </w:rPr>
        <w:t>2.1.6投标文件格式</w:t>
      </w:r>
    </w:p>
    <w:p w14:paraId="15A23993">
      <w:pPr>
        <w:wordWrap w:val="0"/>
        <w:spacing w:line="460" w:lineRule="exact"/>
        <w:ind w:firstLine="480" w:firstLineChars="200"/>
        <w:jc w:val="left"/>
        <w:outlineLvl w:val="2"/>
        <w:rPr>
          <w:rFonts w:hint="eastAsia" w:ascii="宋体" w:hAnsi="宋体" w:eastAsia="宋体" w:cs="宋体"/>
          <w:sz w:val="24"/>
          <w:szCs w:val="24"/>
          <w:highlight w:val="none"/>
        </w:rPr>
      </w:pPr>
      <w:bookmarkStart w:id="70" w:name="_Toc16938527"/>
      <w:bookmarkEnd w:id="70"/>
      <w:bookmarkStart w:id="71" w:name="_Toc462564070"/>
      <w:bookmarkEnd w:id="71"/>
      <w:bookmarkStart w:id="72" w:name="_Toc513029211"/>
      <w:bookmarkEnd w:id="72"/>
      <w:bookmarkStart w:id="73" w:name="_Toc20823283"/>
      <w:bookmarkEnd w:id="73"/>
      <w:bookmarkStart w:id="74" w:name="_Toc528078014"/>
      <w:bookmarkStart w:id="75" w:name="_Toc4392"/>
      <w:r>
        <w:rPr>
          <w:rFonts w:hint="eastAsia" w:ascii="宋体" w:hAnsi="宋体" w:eastAsia="宋体" w:cs="宋体"/>
          <w:sz w:val="24"/>
          <w:szCs w:val="24"/>
          <w:highlight w:val="none"/>
        </w:rPr>
        <w:t>2.2</w:t>
      </w:r>
      <w:bookmarkEnd w:id="74"/>
      <w:r>
        <w:rPr>
          <w:rFonts w:hint="eastAsia" w:ascii="宋体" w:hAnsi="宋体" w:eastAsia="宋体" w:cs="宋体"/>
          <w:sz w:val="24"/>
          <w:szCs w:val="24"/>
          <w:highlight w:val="none"/>
        </w:rPr>
        <w:t>竞争性磋商文件的澄清及修改</w:t>
      </w:r>
      <w:bookmarkEnd w:id="75"/>
    </w:p>
    <w:p w14:paraId="0B8784DD">
      <w:pPr>
        <w:wordWrap w:val="0"/>
        <w:spacing w:line="46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2.2.1供应商应仔细阅读和检查磋商文件的全部内容。如发现电子文件缺页或附件不全，应及时向采购人提出，以便补齐。如有疑问，应在投标截止日期5日前在三门峡市公共资源交易系统中提出咨询并打电话至采购代理机构，要求采购人对磋商文件予以澄清。</w:t>
      </w:r>
    </w:p>
    <w:p w14:paraId="6900B832">
      <w:pPr>
        <w:wordWrap w:val="0"/>
        <w:spacing w:line="46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2.2.2磋商文件的澄清以澄清回复的方式在三门峡市公共资源交易系统中回复所有报名完成供应商或发布澄清公告，但不指明澄清问题的来源。澄清磋商文件实质性内容且影响响应文件编制的，应当顺延提交首次响应文件截止时间。</w:t>
      </w:r>
      <w:r>
        <w:rPr>
          <w:rFonts w:ascii="宋体" w:hAnsi="宋体" w:eastAsia="宋体" w:cs="宋体"/>
          <w:sz w:val="24"/>
          <w:szCs w:val="24"/>
          <w:highlight w:val="none"/>
        </w:rPr>
        <w:t xml:space="preserve">    </w:t>
      </w:r>
    </w:p>
    <w:p w14:paraId="5BA752EB">
      <w:pPr>
        <w:wordWrap w:val="0"/>
        <w:spacing w:line="46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2.2.3提交首次响应文件截止之日前，采购人、采购代理公司可以对已发出的磋商文件进行必要的澄清或者修改，澄清或者修改的内容作为磋商文件的组成部分。澄清或者修改的内容可能影响响应文件编制的，采购人、采购代理公司将在提交首次响应文件截止时间至少5日前，在相关网上发布变更公告形式通知所有获取磋商文件的供应商。不足5日的，应当顺延提交首次响应文件截止时间。</w:t>
      </w:r>
    </w:p>
    <w:p w14:paraId="3D24EBC5">
      <w:pPr>
        <w:wordWrap w:val="0"/>
        <w:spacing w:line="460" w:lineRule="exact"/>
        <w:ind w:firstLine="480" w:firstLineChars="200"/>
        <w:jc w:val="left"/>
        <w:outlineLvl w:val="3"/>
        <w:rPr>
          <w:rFonts w:hint="eastAsia" w:ascii="宋体" w:hAnsi="宋体" w:eastAsia="宋体" w:cs="宋体"/>
          <w:sz w:val="24"/>
          <w:szCs w:val="24"/>
          <w:highlight w:val="none"/>
        </w:rPr>
      </w:pPr>
      <w:r>
        <w:rPr>
          <w:rFonts w:hint="eastAsia" w:ascii="宋体" w:hAnsi="宋体" w:eastAsia="宋体" w:cs="宋体"/>
          <w:sz w:val="24"/>
          <w:szCs w:val="24"/>
          <w:highlight w:val="none"/>
        </w:rPr>
        <w:t>2.2.4供应商应自行查看澄清或变更信息。</w:t>
      </w:r>
    </w:p>
    <w:p w14:paraId="4C75BBB5">
      <w:pPr>
        <w:wordWrap w:val="0"/>
        <w:spacing w:line="460" w:lineRule="exact"/>
        <w:ind w:firstLine="480" w:firstLineChars="200"/>
        <w:jc w:val="left"/>
        <w:outlineLvl w:val="1"/>
        <w:rPr>
          <w:rFonts w:hint="eastAsia" w:ascii="宋体" w:hAnsi="宋体" w:eastAsia="宋体" w:cs="宋体"/>
          <w:kern w:val="0"/>
          <w:sz w:val="24"/>
          <w:szCs w:val="24"/>
          <w:highlight w:val="none"/>
        </w:rPr>
      </w:pPr>
      <w:bookmarkStart w:id="76" w:name="_Toc462564072"/>
      <w:bookmarkEnd w:id="76"/>
      <w:bookmarkStart w:id="77" w:name="_Toc20823285"/>
      <w:bookmarkEnd w:id="77"/>
      <w:bookmarkStart w:id="78" w:name="_Toc16938529"/>
      <w:bookmarkEnd w:id="78"/>
      <w:bookmarkStart w:id="79" w:name="_Toc120614216"/>
      <w:bookmarkEnd w:id="79"/>
      <w:bookmarkStart w:id="80" w:name="_Toc403987207"/>
      <w:bookmarkEnd w:id="80"/>
      <w:bookmarkStart w:id="81" w:name="_Toc513029213"/>
      <w:r>
        <w:rPr>
          <w:rFonts w:hint="eastAsia" w:ascii="宋体" w:hAnsi="宋体" w:eastAsia="宋体" w:cs="宋体"/>
          <w:sz w:val="24"/>
          <w:szCs w:val="24"/>
          <w:highlight w:val="none"/>
        </w:rPr>
        <w:t xml:space="preserve"> </w:t>
      </w:r>
      <w:bookmarkEnd w:id="81"/>
      <w:bookmarkStart w:id="82" w:name="_Toc505350555"/>
      <w:bookmarkEnd w:id="82"/>
      <w:bookmarkStart w:id="83" w:name="_Toc504491969"/>
      <w:bookmarkEnd w:id="83"/>
      <w:bookmarkStart w:id="84" w:name="_Toc528078015"/>
      <w:bookmarkEnd w:id="84"/>
      <w:bookmarkStart w:id="85" w:name="_Toc517178995"/>
      <w:bookmarkEnd w:id="85"/>
      <w:bookmarkStart w:id="86" w:name="_Toc4643"/>
      <w:r>
        <w:rPr>
          <w:rFonts w:hint="eastAsia" w:ascii="宋体" w:hAnsi="宋体" w:eastAsia="宋体" w:cs="宋体"/>
          <w:sz w:val="24"/>
          <w:szCs w:val="24"/>
          <w:highlight w:val="none"/>
        </w:rPr>
        <w:t>3.磋商响应文件的编制及递交</w:t>
      </w:r>
      <w:bookmarkEnd w:id="86"/>
    </w:p>
    <w:p w14:paraId="5BAEF21C">
      <w:pPr>
        <w:wordWrap w:val="0"/>
        <w:spacing w:line="46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电子化交易项目竞争性磋商响应文件（以下简称“响应文件”）是投标人、供应商（以下简称“供应商”）通过中心响应文件制作系统制作，并经过签章和加密后生成的电子版响应文件。供应商投标时，将不再接受任何纸质文件资料。</w:t>
      </w:r>
    </w:p>
    <w:p w14:paraId="618AF077">
      <w:pPr>
        <w:wordWrap w:val="0"/>
        <w:spacing w:line="46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电子化响应文件具体制作教材请供应商通过CA证书登录三门峡市公共资源电子化交易系统在“组建下载”中查看。</w:t>
      </w:r>
    </w:p>
    <w:p w14:paraId="2A37EC55">
      <w:pPr>
        <w:wordWrap w:val="0"/>
        <w:spacing w:line="46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温馨提示：本项目为电子化、无纸化交易项目，开标时不接受任何纸质资料，为保证您能投标成功，请需仔细阅读以下条款。</w:t>
      </w:r>
    </w:p>
    <w:p w14:paraId="3E725052">
      <w:pPr>
        <w:wordWrap w:val="0"/>
        <w:spacing w:line="460" w:lineRule="exact"/>
        <w:ind w:firstLine="480" w:firstLineChars="200"/>
        <w:jc w:val="left"/>
        <w:outlineLvl w:val="2"/>
        <w:rPr>
          <w:rFonts w:hint="eastAsia" w:ascii="宋体" w:hAnsi="宋体" w:eastAsia="宋体" w:cs="宋体"/>
          <w:sz w:val="24"/>
          <w:szCs w:val="24"/>
          <w:highlight w:val="none"/>
        </w:rPr>
      </w:pPr>
      <w:bookmarkStart w:id="87" w:name="_Toc5901"/>
      <w:r>
        <w:rPr>
          <w:rFonts w:hint="eastAsia" w:ascii="宋体" w:hAnsi="宋体" w:eastAsia="宋体" w:cs="宋体"/>
          <w:sz w:val="24"/>
          <w:szCs w:val="24"/>
          <w:highlight w:val="none"/>
        </w:rPr>
        <w:t>一、电子化投标</w:t>
      </w:r>
      <w:bookmarkEnd w:id="87"/>
    </w:p>
    <w:p w14:paraId="428032A7">
      <w:pPr>
        <w:wordWrap w:val="0"/>
        <w:spacing w:line="460" w:lineRule="exact"/>
        <w:ind w:firstLine="480" w:firstLineChars="200"/>
        <w:jc w:val="left"/>
        <w:outlineLvl w:val="3"/>
        <w:rPr>
          <w:rFonts w:hint="eastAsia" w:ascii="宋体" w:hAnsi="宋体" w:eastAsia="宋体" w:cs="宋体"/>
          <w:kern w:val="0"/>
          <w:sz w:val="24"/>
          <w:szCs w:val="24"/>
          <w:highlight w:val="none"/>
        </w:rPr>
      </w:pPr>
      <w:r>
        <w:rPr>
          <w:rFonts w:hint="eastAsia" w:ascii="宋体" w:hAnsi="宋体" w:eastAsia="宋体" w:cs="宋体"/>
          <w:sz w:val="24"/>
          <w:szCs w:val="24"/>
          <w:highlight w:val="none"/>
        </w:rPr>
        <w:t>（一）电子化响应文件的签章</w:t>
      </w:r>
    </w:p>
    <w:p w14:paraId="4B241AD7">
      <w:pPr>
        <w:wordWrap w:val="0"/>
        <w:spacing w:line="46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1、供应商在生成电子化响应文件后，应对电子化响应文件进行签章，未进行签章的视为无效投标。</w:t>
      </w:r>
    </w:p>
    <w:p w14:paraId="432692B5">
      <w:pPr>
        <w:wordWrap w:val="0"/>
        <w:spacing w:line="46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2、磋商文件中要求法定代表人或授权委托人签字或盖章的，供应商在进行电子化响应文件签章时，以签盖法定代表人签章为准。电子化响应文件具体制作教材请供应商通过CA证书登录三门峡市公共资源电子化交易系统在右上角“组建下载”中查看。</w:t>
      </w:r>
    </w:p>
    <w:p w14:paraId="39D6F31C">
      <w:pPr>
        <w:wordWrap w:val="0"/>
        <w:spacing w:line="460" w:lineRule="exact"/>
        <w:ind w:firstLine="480" w:firstLineChars="200"/>
        <w:jc w:val="left"/>
        <w:outlineLvl w:val="3"/>
        <w:rPr>
          <w:rFonts w:hint="eastAsia" w:ascii="宋体" w:hAnsi="宋体" w:eastAsia="宋体" w:cs="宋体"/>
          <w:sz w:val="24"/>
          <w:szCs w:val="24"/>
          <w:highlight w:val="none"/>
        </w:rPr>
      </w:pPr>
      <w:r>
        <w:rPr>
          <w:rFonts w:hint="eastAsia" w:ascii="宋体" w:hAnsi="宋体" w:eastAsia="宋体" w:cs="宋体"/>
          <w:sz w:val="24"/>
          <w:szCs w:val="24"/>
          <w:highlight w:val="none"/>
        </w:rPr>
        <w:t>（二）电子化响应文件的格式及上传投标</w:t>
      </w:r>
    </w:p>
    <w:p w14:paraId="06394C59">
      <w:pPr>
        <w:wordWrap w:val="0"/>
        <w:spacing w:line="46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1、供应商所上传的电子化响应文件，应是通过中心响应文件制作系统制作的，经过签章和加密后生成的电子版响应文件。</w:t>
      </w:r>
    </w:p>
    <w:p w14:paraId="5F329745">
      <w:pPr>
        <w:wordWrap w:val="0"/>
        <w:spacing w:line="46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2、电子化响应文件应在投标截止时间前成功上传至三门峡市公共资源电子化交易系统。至投标截止时间止，仍未上传成功的电子化响应文件将不予接收。</w:t>
      </w:r>
    </w:p>
    <w:p w14:paraId="32E220F6">
      <w:pPr>
        <w:wordWrap w:val="0"/>
        <w:spacing w:line="46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注：如按照电子化投标操作教材制作完成的电子化响应文件无法上传的，供应商应在投标截止时间前尽早的联系中心技术人员，以便有充分的时间进行处理。供应商应充分考虑到处理技术问题和上传数据等工作所需的时间问题，响应文件未在投标截止时间前成功上传的，其响应文件不予接收。</w:t>
      </w:r>
    </w:p>
    <w:p w14:paraId="2817509D">
      <w:pPr>
        <w:wordWrap w:val="0"/>
        <w:spacing w:line="460" w:lineRule="exact"/>
        <w:ind w:firstLine="480" w:firstLineChars="200"/>
        <w:jc w:val="left"/>
        <w:outlineLvl w:val="3"/>
        <w:rPr>
          <w:rFonts w:hint="eastAsia" w:ascii="宋体" w:hAnsi="宋体" w:eastAsia="宋体" w:cs="宋体"/>
          <w:sz w:val="24"/>
          <w:szCs w:val="24"/>
          <w:highlight w:val="none"/>
        </w:rPr>
      </w:pPr>
      <w:r>
        <w:rPr>
          <w:rFonts w:hint="eastAsia" w:ascii="宋体" w:hAnsi="宋体" w:eastAsia="宋体" w:cs="宋体"/>
          <w:sz w:val="24"/>
          <w:szCs w:val="24"/>
          <w:highlight w:val="none"/>
        </w:rPr>
        <w:t>（三）电子化项目开标、解密、唱标、磋商</w:t>
      </w:r>
    </w:p>
    <w:p w14:paraId="217C694F">
      <w:pPr>
        <w:wordWrap w:val="0"/>
        <w:spacing w:line="46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1、本项目采用电子化、无纸化进行招标，供应商可以通过网络登录交易平台进入项目开标大厅远程在线参加开标会议。</w:t>
      </w:r>
    </w:p>
    <w:p w14:paraId="3CE0C01C">
      <w:pPr>
        <w:wordWrap w:val="0"/>
        <w:spacing w:line="46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2、电子化响应文件采用双重加密方式。开标时，请供应商使用CA证书登录交易平台，进入本项目开标大厅点击解密来完成响应文件的解密工作。每位供应商的解密时间为开标时间起30分钟内完成。待所有供应商全部解密完成后，再由中介服务机构使用CA证书对响应文件进行再次解密。</w:t>
      </w:r>
    </w:p>
    <w:p w14:paraId="1536C5CB">
      <w:pPr>
        <w:wordWrap w:val="0"/>
        <w:spacing w:line="46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3、电子化响应文件解密异常的处理</w:t>
      </w:r>
    </w:p>
    <w:p w14:paraId="714ECB7E">
      <w:pPr>
        <w:wordWrap w:val="0"/>
        <w:spacing w:line="46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如出现供应商的电子响应文件无法解密等异常情况，供应商应及时致电中介服务机构说明。响应文件异常，按以下步骤进行处理：</w:t>
      </w:r>
    </w:p>
    <w:p w14:paraId="76E19D4D">
      <w:pPr>
        <w:wordWrap w:val="0"/>
        <w:spacing w:line="46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（1）首先由技术人员进行问题排查。</w:t>
      </w:r>
    </w:p>
    <w:p w14:paraId="485C8EFB">
      <w:pPr>
        <w:wordWrap w:val="0"/>
        <w:spacing w:line="46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（2）经技术人员排查后，是供应商文件自身问题导致响应文件无法解密的，该响应文件将不予接收、解密和唱标。开标会议继续进行。</w:t>
      </w:r>
    </w:p>
    <w:p w14:paraId="21E5FE57">
      <w:pPr>
        <w:wordWrap w:val="0"/>
        <w:spacing w:line="46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3）经技术人员排查后，如果是电子化交易系统问题造成响应文件无法解密的，将由技术人员对问题进行处理。如短时间内问题无法解决的，将由中介服务机构向监督部门申请，经监督部门同意后，暂停开标会议，待问题解决后继续开标。</w:t>
      </w:r>
    </w:p>
    <w:p w14:paraId="0F5B0A34">
      <w:pPr>
        <w:wordWrap w:val="0"/>
        <w:spacing w:line="46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4、供应商应保证在开标期间电话、电脑、网络能够正常工作，供应商因停电、电脑病毒、网络堵塞等原因，未在规定的解密时间内对响应文件进行解密的，其响应文件不予接收、唱标。</w:t>
      </w:r>
    </w:p>
    <w:p w14:paraId="32A32204">
      <w:pPr>
        <w:wordWrap w:val="0"/>
        <w:spacing w:line="46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5、磋商小组对电子化响应文件有质疑的，将通过电子化交易系统对供应商发起质疑，并在监督人员的监督下，用免提模式致电需要答复的供应商对质疑进行回复。供应商的回复文件必须以经过供应商和其法定代表人签章的PDF格式文件为准，并通过电子化交易系统提交至磋商小组。</w:t>
      </w:r>
    </w:p>
    <w:p w14:paraId="375CC4FA">
      <w:pPr>
        <w:wordWrap w:val="0"/>
        <w:spacing w:line="46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6、如磋商小组对需要回复的供应商连续三次致电未接通的，视为供应商放弃回复，磋商小组将自行对需要回复的内容进行认定。</w:t>
      </w:r>
    </w:p>
    <w:p w14:paraId="7CFD7645">
      <w:pPr>
        <w:wordWrap w:val="0"/>
        <w:spacing w:line="460" w:lineRule="exact"/>
        <w:ind w:firstLine="480" w:firstLineChars="200"/>
        <w:jc w:val="left"/>
        <w:outlineLvl w:val="2"/>
        <w:rPr>
          <w:rFonts w:hint="eastAsia" w:ascii="宋体" w:hAnsi="宋体" w:eastAsia="宋体" w:cs="宋体"/>
          <w:sz w:val="24"/>
          <w:szCs w:val="24"/>
          <w:highlight w:val="none"/>
        </w:rPr>
      </w:pPr>
      <w:bookmarkStart w:id="88" w:name="_Toc24048"/>
      <w:r>
        <w:rPr>
          <w:rFonts w:hint="eastAsia" w:ascii="宋体" w:hAnsi="宋体" w:eastAsia="宋体" w:cs="宋体"/>
          <w:sz w:val="24"/>
          <w:szCs w:val="24"/>
          <w:highlight w:val="none"/>
        </w:rPr>
        <w:t>二、相关证书原件的提交</w:t>
      </w:r>
      <w:bookmarkEnd w:id="88"/>
    </w:p>
    <w:p w14:paraId="22AF31E6">
      <w:pPr>
        <w:wordWrap w:val="0"/>
        <w:spacing w:line="46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本项目实行资格后审，竞争性磋商文件中要求供应商提交营业执照、业绩、荣誉及单位人员等相关资料，供应商需将原件扫描件制作到电子响应文件中</w:t>
      </w:r>
    </w:p>
    <w:p w14:paraId="361A0FB5">
      <w:pPr>
        <w:wordWrap w:val="0"/>
        <w:spacing w:line="46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供应商需应仔细阅读操作手册，保证上传内容齐全，真实有效，原件扫描件清晰可辨。因供应商上传原因导致应得分项而未得分或资格审查不合格等情况的，由供应商自行承担责任。</w:t>
      </w:r>
    </w:p>
    <w:p w14:paraId="20D973B7">
      <w:pPr>
        <w:wordWrap w:val="0"/>
        <w:spacing w:line="46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提示：本项目为电子化、无纸化交易项目，开标时不再接受任何纸质资料，为保证您能投标成功，请需仔细阅读以上条款。</w:t>
      </w:r>
    </w:p>
    <w:p w14:paraId="5138E89B">
      <w:pPr>
        <w:wordWrap w:val="0"/>
        <w:spacing w:line="460" w:lineRule="exact"/>
        <w:ind w:firstLine="480" w:firstLineChars="200"/>
        <w:jc w:val="left"/>
        <w:outlineLvl w:val="1"/>
        <w:rPr>
          <w:rFonts w:hint="eastAsia" w:ascii="宋体" w:hAnsi="宋体" w:eastAsia="宋体" w:cs="宋体"/>
          <w:sz w:val="24"/>
          <w:szCs w:val="24"/>
          <w:highlight w:val="none"/>
        </w:rPr>
      </w:pPr>
      <w:bookmarkStart w:id="89" w:name="_Toc528078016"/>
      <w:bookmarkEnd w:id="89"/>
      <w:bookmarkStart w:id="90" w:name="_Toc207"/>
      <w:r>
        <w:rPr>
          <w:rFonts w:hint="eastAsia" w:ascii="宋体" w:hAnsi="宋体" w:eastAsia="宋体" w:cs="宋体"/>
          <w:sz w:val="24"/>
          <w:szCs w:val="24"/>
          <w:highlight w:val="none"/>
        </w:rPr>
        <w:t>3.初次报价表</w:t>
      </w:r>
      <w:bookmarkEnd w:id="90"/>
    </w:p>
    <w:p w14:paraId="0F4053D5">
      <w:pPr>
        <w:wordWrap w:val="0"/>
        <w:spacing w:line="460" w:lineRule="exact"/>
        <w:ind w:firstLine="480" w:firstLineChars="200"/>
        <w:jc w:val="left"/>
        <w:outlineLvl w:val="2"/>
        <w:rPr>
          <w:rFonts w:hint="eastAsia" w:ascii="宋体" w:hAnsi="宋体" w:eastAsia="宋体" w:cs="宋体"/>
          <w:sz w:val="24"/>
          <w:szCs w:val="24"/>
          <w:highlight w:val="none"/>
        </w:rPr>
      </w:pPr>
      <w:bookmarkStart w:id="91" w:name="_Toc528078017"/>
      <w:bookmarkEnd w:id="91"/>
      <w:bookmarkStart w:id="92" w:name="_Toc2129"/>
      <w:r>
        <w:rPr>
          <w:rFonts w:hint="eastAsia" w:ascii="宋体" w:hAnsi="宋体" w:eastAsia="宋体" w:cs="宋体"/>
          <w:sz w:val="24"/>
          <w:szCs w:val="24"/>
          <w:highlight w:val="none"/>
        </w:rPr>
        <w:t>3.1供应商应按照竞争性磋商文件规定格式填报</w:t>
      </w:r>
      <w:bookmarkStart w:id="93" w:name="_Hlt26670399"/>
      <w:bookmarkEnd w:id="93"/>
      <w:r>
        <w:rPr>
          <w:rFonts w:hint="eastAsia" w:ascii="宋体" w:hAnsi="宋体" w:eastAsia="宋体" w:cs="宋体"/>
          <w:sz w:val="24"/>
          <w:szCs w:val="24"/>
          <w:highlight w:val="none"/>
        </w:rPr>
        <w:t>初次报价表。每项费用允许有一个报价，任何有选择的报价将不予接受。</w:t>
      </w:r>
      <w:bookmarkEnd w:id="92"/>
    </w:p>
    <w:p w14:paraId="31DCDDD5">
      <w:pPr>
        <w:wordWrap w:val="0"/>
        <w:spacing w:line="460" w:lineRule="exact"/>
        <w:ind w:firstLine="480" w:firstLineChars="200"/>
        <w:jc w:val="left"/>
        <w:outlineLvl w:val="2"/>
        <w:rPr>
          <w:rFonts w:hint="eastAsia" w:ascii="宋体" w:hAnsi="宋体" w:eastAsia="宋体" w:cs="宋体"/>
          <w:sz w:val="24"/>
          <w:szCs w:val="24"/>
          <w:highlight w:val="none"/>
        </w:rPr>
      </w:pPr>
      <w:bookmarkStart w:id="94" w:name="_Toc23903"/>
      <w:r>
        <w:rPr>
          <w:rFonts w:hint="eastAsia" w:ascii="宋体" w:hAnsi="宋体" w:eastAsia="宋体" w:cs="宋体"/>
          <w:sz w:val="24"/>
          <w:szCs w:val="24"/>
          <w:highlight w:val="none"/>
        </w:rPr>
        <w:t>3.2有关费用处理</w:t>
      </w:r>
      <w:bookmarkEnd w:id="94"/>
    </w:p>
    <w:p w14:paraId="01370ADA">
      <w:pPr>
        <w:wordWrap w:val="0"/>
        <w:spacing w:line="46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本项目应以人民币报价，供应商应就该项目完整投标（报价、服务、税费、售后服务等综合费用），采购人不另外支付其他任何费用；</w:t>
      </w:r>
    </w:p>
    <w:p w14:paraId="37A7F1D6">
      <w:pPr>
        <w:wordWrap w:val="0"/>
        <w:spacing w:line="460" w:lineRule="exact"/>
        <w:ind w:firstLine="480" w:firstLineChars="200"/>
        <w:jc w:val="left"/>
        <w:outlineLvl w:val="2"/>
        <w:rPr>
          <w:rFonts w:hint="eastAsia" w:ascii="宋体" w:hAnsi="宋体" w:eastAsia="宋体" w:cs="宋体"/>
          <w:sz w:val="24"/>
          <w:szCs w:val="24"/>
          <w:highlight w:val="none"/>
        </w:rPr>
      </w:pPr>
      <w:bookmarkStart w:id="95" w:name="_Toc528078018"/>
      <w:bookmarkEnd w:id="95"/>
      <w:bookmarkStart w:id="96" w:name="_Toc10149"/>
      <w:r>
        <w:rPr>
          <w:rFonts w:hint="eastAsia" w:ascii="宋体" w:hAnsi="宋体" w:eastAsia="宋体" w:cs="宋体"/>
          <w:sz w:val="24"/>
          <w:szCs w:val="24"/>
          <w:highlight w:val="none"/>
        </w:rPr>
        <w:t>3.3其它费用处理</w:t>
      </w:r>
      <w:bookmarkEnd w:id="96"/>
    </w:p>
    <w:p w14:paraId="40F571C4">
      <w:pPr>
        <w:wordWrap w:val="0"/>
        <w:spacing w:line="46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竞争性磋商文件未列明，而供应商认为必需的费用也需列入报价。</w:t>
      </w:r>
    </w:p>
    <w:p w14:paraId="231A3509">
      <w:pPr>
        <w:wordWrap w:val="0"/>
        <w:spacing w:line="460" w:lineRule="exact"/>
        <w:ind w:firstLine="480" w:firstLineChars="200"/>
        <w:jc w:val="left"/>
        <w:outlineLvl w:val="2"/>
        <w:rPr>
          <w:rFonts w:hint="eastAsia" w:ascii="宋体" w:hAnsi="宋体" w:eastAsia="宋体" w:cs="宋体"/>
          <w:sz w:val="24"/>
          <w:szCs w:val="24"/>
          <w:highlight w:val="none"/>
        </w:rPr>
      </w:pPr>
      <w:bookmarkStart w:id="97" w:name="_Toc528078019"/>
      <w:bookmarkEnd w:id="97"/>
      <w:bookmarkStart w:id="98" w:name="_Toc2035"/>
      <w:r>
        <w:rPr>
          <w:rFonts w:hint="eastAsia" w:ascii="宋体" w:hAnsi="宋体" w:eastAsia="宋体" w:cs="宋体"/>
          <w:sz w:val="24"/>
          <w:szCs w:val="24"/>
          <w:highlight w:val="none"/>
        </w:rPr>
        <w:t>3.4响应文件货币</w:t>
      </w:r>
      <w:bookmarkEnd w:id="98"/>
    </w:p>
    <w:p w14:paraId="3F716306">
      <w:pPr>
        <w:wordWrap w:val="0"/>
        <w:spacing w:line="46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响应文件中的货物单价和总价无特殊规定的采用人民币报价，以元为单位标注。竞争性磋商文件中另有规定的按规定执行。</w:t>
      </w:r>
    </w:p>
    <w:p w14:paraId="7BF0C554">
      <w:pPr>
        <w:wordWrap w:val="0"/>
        <w:spacing w:line="460" w:lineRule="exact"/>
        <w:ind w:firstLine="480" w:firstLineChars="200"/>
        <w:jc w:val="left"/>
        <w:outlineLvl w:val="2"/>
        <w:rPr>
          <w:rFonts w:hint="eastAsia" w:ascii="宋体" w:hAnsi="宋体" w:eastAsia="宋体" w:cs="宋体"/>
          <w:sz w:val="24"/>
          <w:szCs w:val="24"/>
          <w:highlight w:val="none"/>
        </w:rPr>
      </w:pPr>
      <w:bookmarkStart w:id="99" w:name="_Toc528078020"/>
      <w:bookmarkEnd w:id="99"/>
      <w:bookmarkStart w:id="100" w:name="_Toc5979"/>
      <w:r>
        <w:rPr>
          <w:rFonts w:hint="eastAsia" w:ascii="宋体" w:hAnsi="宋体" w:eastAsia="宋体" w:cs="宋体"/>
          <w:sz w:val="24"/>
          <w:szCs w:val="24"/>
          <w:highlight w:val="none"/>
        </w:rPr>
        <w:t>3.5初次报价表上的价格应按下列方式填写：</w:t>
      </w:r>
      <w:bookmarkEnd w:id="100"/>
    </w:p>
    <w:p w14:paraId="5ECF13C9">
      <w:pPr>
        <w:wordWrap w:val="0"/>
        <w:spacing w:line="460" w:lineRule="exact"/>
        <w:ind w:firstLine="480" w:firstLineChars="200"/>
        <w:jc w:val="left"/>
        <w:rPr>
          <w:rFonts w:hint="eastAsia" w:ascii="宋体" w:hAnsi="宋体" w:eastAsia="宋体" w:cs="宋体"/>
          <w:sz w:val="24"/>
          <w:szCs w:val="24"/>
          <w:highlight w:val="none"/>
        </w:rPr>
      </w:pPr>
      <w:bookmarkStart w:id="101" w:name="_Hlt26670403"/>
      <w:bookmarkEnd w:id="101"/>
      <w:bookmarkStart w:id="102" w:name="_Hlt26954842"/>
      <w:bookmarkEnd w:id="102"/>
      <w:bookmarkStart w:id="103" w:name="_Hlt26954844"/>
      <w:bookmarkEnd w:id="103"/>
      <w:bookmarkStart w:id="104" w:name="_Hlt26668983"/>
      <w:bookmarkEnd w:id="104"/>
      <w:bookmarkStart w:id="105" w:name="_Hlt26670425"/>
      <w:bookmarkEnd w:id="105"/>
      <w:r>
        <w:rPr>
          <w:rFonts w:hint="eastAsia" w:ascii="宋体" w:hAnsi="宋体" w:eastAsia="宋体" w:cs="宋体"/>
          <w:sz w:val="24"/>
          <w:szCs w:val="24"/>
          <w:highlight w:val="none"/>
        </w:rPr>
        <w:t>3.5.1项目总价：包括买方服务需求所涉及的所有费用。</w:t>
      </w:r>
    </w:p>
    <w:p w14:paraId="4936F1FE">
      <w:pPr>
        <w:wordWrap w:val="0"/>
        <w:spacing w:line="46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3.5.2各项报价的总和等于总价</w:t>
      </w:r>
    </w:p>
    <w:p w14:paraId="5BEE6D4C">
      <w:pPr>
        <w:wordWrap w:val="0"/>
        <w:spacing w:line="460" w:lineRule="exact"/>
        <w:ind w:firstLine="480" w:firstLineChars="200"/>
        <w:jc w:val="left"/>
        <w:outlineLvl w:val="1"/>
        <w:rPr>
          <w:rFonts w:hint="eastAsia" w:ascii="宋体" w:hAnsi="宋体" w:eastAsia="宋体" w:cs="宋体"/>
          <w:kern w:val="0"/>
          <w:sz w:val="24"/>
          <w:szCs w:val="24"/>
          <w:highlight w:val="none"/>
        </w:rPr>
      </w:pPr>
      <w:bookmarkStart w:id="106" w:name="_Hlt26670482"/>
      <w:bookmarkEnd w:id="106"/>
      <w:bookmarkStart w:id="107" w:name="_Toc505350556"/>
      <w:bookmarkEnd w:id="107"/>
      <w:bookmarkStart w:id="108" w:name="_Hlt26670486"/>
      <w:bookmarkEnd w:id="108"/>
      <w:bookmarkStart w:id="109" w:name="_Hlt26954848"/>
      <w:bookmarkEnd w:id="109"/>
      <w:bookmarkStart w:id="110" w:name="_Hlt26954731"/>
      <w:bookmarkEnd w:id="110"/>
      <w:bookmarkStart w:id="111" w:name="_Hlt26954846"/>
      <w:bookmarkEnd w:id="111"/>
      <w:bookmarkStart w:id="112" w:name="_Toc517178996"/>
      <w:bookmarkEnd w:id="112"/>
      <w:bookmarkStart w:id="113" w:name="_Toc528078025"/>
      <w:bookmarkStart w:id="114" w:name="_Toc20255"/>
      <w:r>
        <w:rPr>
          <w:rFonts w:hint="eastAsia" w:ascii="宋体" w:hAnsi="宋体" w:eastAsia="宋体" w:cs="宋体"/>
          <w:sz w:val="24"/>
          <w:szCs w:val="24"/>
          <w:highlight w:val="none"/>
        </w:rPr>
        <w:t>4.磋商与评审</w:t>
      </w:r>
      <w:bookmarkEnd w:id="113"/>
      <w:bookmarkEnd w:id="114"/>
      <w:bookmarkStart w:id="115" w:name="_Toc528078026"/>
      <w:bookmarkEnd w:id="115"/>
    </w:p>
    <w:p w14:paraId="64E3D626">
      <w:pPr>
        <w:wordWrap w:val="0"/>
        <w:spacing w:line="46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采购代理机构根据采购项目的特点依法组建磋商小组。磋商小组由采购人代表和有关技术、经济等方面的专家组成，成员为3人。其中：技术、经济等方面的专家不能少于磋商小组成员的2/3。采购人代表不得担任磋商小组组长。2名磋商小组成员确定方式：</w:t>
      </w:r>
      <w:r>
        <w:rPr>
          <w:rFonts w:hint="eastAsia" w:ascii="宋体" w:hAnsi="宋体" w:eastAsia="宋体" w:cs="宋体"/>
          <w:kern w:val="0"/>
          <w:sz w:val="24"/>
          <w:szCs w:val="24"/>
          <w:highlight w:val="none"/>
        </w:rPr>
        <w:t>开标当天从河南省政府采购网专家库随机抽取。</w:t>
      </w:r>
      <w:bookmarkStart w:id="116" w:name="_Toc528078027"/>
      <w:bookmarkEnd w:id="116"/>
    </w:p>
    <w:p w14:paraId="139B4BF8">
      <w:pPr>
        <w:wordWrap w:val="0"/>
        <w:spacing w:line="460" w:lineRule="exact"/>
        <w:ind w:firstLine="480" w:firstLineChars="200"/>
        <w:jc w:val="left"/>
        <w:outlineLvl w:val="1"/>
        <w:rPr>
          <w:rFonts w:hint="eastAsia" w:ascii="宋体" w:hAnsi="宋体" w:eastAsia="宋体" w:cs="宋体"/>
          <w:sz w:val="24"/>
          <w:szCs w:val="24"/>
          <w:highlight w:val="none"/>
        </w:rPr>
      </w:pPr>
      <w:bookmarkStart w:id="117" w:name="_Toc20748"/>
      <w:r>
        <w:rPr>
          <w:rFonts w:hint="eastAsia" w:ascii="宋体" w:hAnsi="宋体" w:eastAsia="宋体" w:cs="宋体"/>
          <w:sz w:val="24"/>
          <w:szCs w:val="24"/>
          <w:highlight w:val="none"/>
        </w:rPr>
        <w:t>5、磋商小组工作原则</w:t>
      </w:r>
      <w:bookmarkEnd w:id="117"/>
    </w:p>
    <w:p w14:paraId="47BE2C9B">
      <w:pPr>
        <w:wordWrap w:val="0"/>
        <w:spacing w:line="460" w:lineRule="exact"/>
        <w:ind w:firstLine="480" w:firstLineChars="200"/>
        <w:jc w:val="left"/>
        <w:outlineLvl w:val="2"/>
        <w:rPr>
          <w:rFonts w:hint="eastAsia" w:ascii="宋体" w:hAnsi="宋体" w:eastAsia="宋体" w:cs="宋体"/>
          <w:sz w:val="24"/>
          <w:szCs w:val="24"/>
          <w:highlight w:val="none"/>
        </w:rPr>
      </w:pPr>
      <w:bookmarkStart w:id="118" w:name="_Toc528078029"/>
      <w:bookmarkEnd w:id="118"/>
      <w:bookmarkStart w:id="119" w:name="_Toc32266"/>
      <w:r>
        <w:rPr>
          <w:rFonts w:hint="eastAsia" w:ascii="宋体" w:hAnsi="宋体" w:eastAsia="宋体" w:cs="宋体"/>
          <w:sz w:val="24"/>
          <w:szCs w:val="24"/>
          <w:highlight w:val="none"/>
        </w:rPr>
        <w:t>磋商小组成员应当按照客观、公正、审慎的原则，根据磋商文件规定的评审程序、评审方法和评审标准进行独立评审。未实质性响应磋商文件的响应文件按无效响应处理，磋商小组应当告知提交响应文件的供应商。磋商文件内容违反国家有关强制性规定的，磋商小组应当停止评审并向采购人或者采购代理机构说明情况。</w:t>
      </w:r>
      <w:bookmarkEnd w:id="119"/>
    </w:p>
    <w:p w14:paraId="65C20308">
      <w:pPr>
        <w:wordWrap w:val="0"/>
        <w:spacing w:line="460" w:lineRule="exact"/>
        <w:ind w:firstLine="480" w:firstLineChars="200"/>
        <w:jc w:val="left"/>
        <w:outlineLvl w:val="1"/>
        <w:rPr>
          <w:rFonts w:hint="eastAsia" w:ascii="宋体" w:hAnsi="宋体" w:eastAsia="宋体" w:cs="宋体"/>
          <w:sz w:val="24"/>
          <w:szCs w:val="24"/>
          <w:highlight w:val="none"/>
        </w:rPr>
      </w:pPr>
      <w:bookmarkStart w:id="120" w:name="_Toc528078030"/>
      <w:bookmarkEnd w:id="120"/>
      <w:bookmarkStart w:id="121" w:name="_Toc4976"/>
      <w:r>
        <w:rPr>
          <w:rFonts w:hint="eastAsia" w:ascii="宋体" w:hAnsi="宋体" w:eastAsia="宋体" w:cs="宋体"/>
          <w:sz w:val="24"/>
          <w:szCs w:val="24"/>
          <w:highlight w:val="none"/>
        </w:rPr>
        <w:t>6、响应文件审查</w:t>
      </w:r>
      <w:bookmarkEnd w:id="121"/>
    </w:p>
    <w:p w14:paraId="5EFB4A1B">
      <w:pPr>
        <w:wordWrap w:val="0"/>
        <w:spacing w:line="460" w:lineRule="exact"/>
        <w:ind w:firstLine="480" w:firstLineChars="200"/>
        <w:jc w:val="left"/>
        <w:outlineLvl w:val="2"/>
        <w:rPr>
          <w:rFonts w:hint="eastAsia" w:ascii="宋体" w:hAnsi="宋体" w:eastAsia="宋体" w:cs="宋体"/>
          <w:sz w:val="24"/>
          <w:szCs w:val="24"/>
          <w:highlight w:val="none"/>
        </w:rPr>
      </w:pPr>
      <w:bookmarkStart w:id="122" w:name="_Toc528078031"/>
      <w:bookmarkEnd w:id="122"/>
      <w:bookmarkStart w:id="123" w:name="_Toc8206"/>
      <w:r>
        <w:rPr>
          <w:rFonts w:hint="eastAsia" w:ascii="宋体" w:hAnsi="宋体" w:eastAsia="宋体" w:cs="宋体"/>
          <w:sz w:val="24"/>
          <w:szCs w:val="24"/>
          <w:highlight w:val="none"/>
        </w:rPr>
        <w:t>磋商小组在对响应文件的有效性、完整性和响应程度进行审查时，可以要求供应商对响应文件中含义不明确、同类问题表述不一致或者有明显文字和计算错误的内容等做出必要的澄清、说明或者更正。供应商的澄清、说明或者更正不得超出响应文件的范围或者改变响应文件的实质性内容。</w:t>
      </w:r>
      <w:bookmarkEnd w:id="123"/>
    </w:p>
    <w:p w14:paraId="6956E5D7">
      <w:pPr>
        <w:wordWrap w:val="0"/>
        <w:spacing w:line="460" w:lineRule="exact"/>
        <w:ind w:firstLine="480" w:firstLineChars="200"/>
        <w:jc w:val="left"/>
        <w:outlineLvl w:val="1"/>
        <w:rPr>
          <w:rFonts w:hint="eastAsia" w:ascii="宋体" w:hAnsi="宋体" w:eastAsia="宋体" w:cs="宋体"/>
          <w:sz w:val="24"/>
          <w:szCs w:val="24"/>
          <w:highlight w:val="none"/>
        </w:rPr>
      </w:pPr>
      <w:bookmarkStart w:id="124" w:name="_Toc20823304"/>
      <w:bookmarkEnd w:id="124"/>
      <w:bookmarkStart w:id="125" w:name="_Toc16938548"/>
      <w:bookmarkEnd w:id="125"/>
      <w:bookmarkStart w:id="126" w:name="_Toc513029232"/>
      <w:bookmarkEnd w:id="126"/>
      <w:bookmarkStart w:id="127" w:name="_Toc28147"/>
      <w:r>
        <w:rPr>
          <w:rFonts w:hint="eastAsia" w:ascii="宋体" w:hAnsi="宋体" w:eastAsia="宋体" w:cs="宋体"/>
          <w:sz w:val="24"/>
          <w:szCs w:val="24"/>
          <w:highlight w:val="none"/>
        </w:rPr>
        <w:t>7、磋商程序、最后报价、综合评分</w:t>
      </w:r>
      <w:bookmarkEnd w:id="127"/>
    </w:p>
    <w:p w14:paraId="45BC68DC">
      <w:pPr>
        <w:wordWrap w:val="0"/>
        <w:spacing w:line="460" w:lineRule="exact"/>
        <w:ind w:firstLine="480" w:firstLineChars="200"/>
        <w:jc w:val="left"/>
        <w:outlineLvl w:val="2"/>
        <w:rPr>
          <w:rFonts w:hint="eastAsia" w:ascii="宋体" w:hAnsi="宋体" w:eastAsia="宋体" w:cs="宋体"/>
          <w:sz w:val="24"/>
          <w:szCs w:val="24"/>
          <w:highlight w:val="none"/>
        </w:rPr>
      </w:pPr>
      <w:bookmarkStart w:id="128" w:name="_Toc528078034"/>
      <w:bookmarkEnd w:id="128"/>
      <w:bookmarkStart w:id="129" w:name="_Toc23161"/>
      <w:r>
        <w:rPr>
          <w:rFonts w:hint="eastAsia" w:ascii="宋体" w:hAnsi="宋体" w:eastAsia="宋体" w:cs="宋体"/>
          <w:sz w:val="24"/>
          <w:szCs w:val="24"/>
          <w:highlight w:val="none"/>
        </w:rPr>
        <w:t>7.1磋商小组所有成员应当集中与供应商分别进行磋商，并给予所有参加磋商的供应商平等的磋商机会。</w:t>
      </w:r>
      <w:bookmarkEnd w:id="129"/>
    </w:p>
    <w:p w14:paraId="680F8E25">
      <w:pPr>
        <w:wordWrap w:val="0"/>
        <w:spacing w:line="460" w:lineRule="exact"/>
        <w:ind w:firstLine="480" w:firstLineChars="200"/>
        <w:jc w:val="left"/>
        <w:outlineLvl w:val="2"/>
        <w:rPr>
          <w:rFonts w:hint="eastAsia" w:ascii="宋体" w:hAnsi="宋体" w:eastAsia="宋体" w:cs="宋体"/>
          <w:sz w:val="24"/>
          <w:szCs w:val="24"/>
          <w:highlight w:val="none"/>
        </w:rPr>
      </w:pPr>
      <w:bookmarkStart w:id="130" w:name="_Toc528078035"/>
      <w:bookmarkEnd w:id="130"/>
      <w:bookmarkStart w:id="131" w:name="_Toc15859"/>
      <w:r>
        <w:rPr>
          <w:rFonts w:hint="eastAsia" w:ascii="宋体" w:hAnsi="宋体" w:eastAsia="宋体" w:cs="宋体"/>
          <w:sz w:val="24"/>
          <w:szCs w:val="24"/>
          <w:highlight w:val="none"/>
        </w:rPr>
        <w:t>7.2在磋商过程中，磋商小组可以根据磋商文件和磋商情况实质性变动采购需求中的技术、服务要求以及合同草案条款，但不得变动磋商文件中的其他内容。对磋商文件做出的实质性变动是磋商文件的有效组成部分，磋商小组应当及时以书面形式同时通知所有参加磋商的供应商。供应商应当按照磋商文件的变动情况和磋商小组的要求重新提交响应文件，并由其法定代表人或授权代表签字或者加盖公章。</w:t>
      </w:r>
      <w:bookmarkEnd w:id="131"/>
    </w:p>
    <w:p w14:paraId="37CD138F">
      <w:pPr>
        <w:wordWrap w:val="0"/>
        <w:spacing w:line="460" w:lineRule="exact"/>
        <w:ind w:firstLine="480" w:firstLineChars="200"/>
        <w:jc w:val="left"/>
        <w:outlineLvl w:val="2"/>
        <w:rPr>
          <w:rFonts w:hint="eastAsia" w:ascii="宋体" w:hAnsi="宋体" w:eastAsia="宋体" w:cs="宋体"/>
          <w:sz w:val="24"/>
          <w:szCs w:val="24"/>
          <w:highlight w:val="none"/>
        </w:rPr>
      </w:pPr>
      <w:bookmarkStart w:id="132" w:name="_Toc528078036"/>
      <w:bookmarkEnd w:id="132"/>
      <w:bookmarkStart w:id="133" w:name="_Toc21845"/>
      <w:r>
        <w:rPr>
          <w:rFonts w:hint="eastAsia" w:ascii="宋体" w:hAnsi="宋体" w:eastAsia="宋体" w:cs="宋体"/>
          <w:sz w:val="24"/>
          <w:szCs w:val="24"/>
          <w:highlight w:val="none"/>
        </w:rPr>
        <w:t>7.3磋商文件能够详细列明采购标的的技术、服务要求的，磋商结束后，磋商小组将要求所有实质性响应的供应商在规定时间内提交最后报价。最后报价是供应商响应文件的有效组成部分。</w:t>
      </w:r>
      <w:bookmarkEnd w:id="133"/>
    </w:p>
    <w:p w14:paraId="517420ED">
      <w:pPr>
        <w:wordWrap w:val="0"/>
        <w:spacing w:line="460" w:lineRule="exact"/>
        <w:ind w:firstLine="480" w:firstLineChars="200"/>
        <w:jc w:val="left"/>
        <w:outlineLvl w:val="2"/>
        <w:rPr>
          <w:rFonts w:hint="eastAsia" w:ascii="宋体" w:hAnsi="宋体" w:eastAsia="宋体" w:cs="宋体"/>
          <w:sz w:val="24"/>
          <w:szCs w:val="24"/>
          <w:highlight w:val="none"/>
        </w:rPr>
      </w:pPr>
      <w:bookmarkStart w:id="134" w:name="_Toc528078037"/>
      <w:bookmarkEnd w:id="134"/>
      <w:bookmarkStart w:id="135" w:name="_Toc21230"/>
      <w:r>
        <w:rPr>
          <w:rFonts w:hint="eastAsia" w:ascii="宋体" w:hAnsi="宋体" w:eastAsia="宋体" w:cs="宋体"/>
          <w:sz w:val="24"/>
          <w:szCs w:val="24"/>
          <w:highlight w:val="none"/>
        </w:rPr>
        <w:t>7.4已提交响应文件的供应商，在提交最后报价之前，可以根据磋商情况退出磋商。</w:t>
      </w:r>
      <w:bookmarkEnd w:id="135"/>
    </w:p>
    <w:p w14:paraId="6F2004FA">
      <w:pPr>
        <w:wordWrap w:val="0"/>
        <w:spacing w:line="460" w:lineRule="exact"/>
        <w:ind w:firstLine="480" w:firstLineChars="200"/>
        <w:jc w:val="left"/>
        <w:outlineLvl w:val="2"/>
        <w:rPr>
          <w:rFonts w:hint="eastAsia" w:ascii="宋体" w:hAnsi="宋体" w:eastAsia="宋体" w:cs="宋体"/>
          <w:sz w:val="24"/>
          <w:szCs w:val="24"/>
          <w:highlight w:val="none"/>
        </w:rPr>
      </w:pPr>
      <w:bookmarkStart w:id="136" w:name="_Toc528078038"/>
      <w:bookmarkEnd w:id="136"/>
      <w:bookmarkStart w:id="137" w:name="_Toc13144"/>
      <w:r>
        <w:rPr>
          <w:rFonts w:hint="eastAsia" w:ascii="宋体" w:hAnsi="宋体" w:eastAsia="宋体" w:cs="宋体"/>
          <w:sz w:val="24"/>
          <w:szCs w:val="24"/>
          <w:highlight w:val="none"/>
        </w:rPr>
        <w:t>7.5经磋商确定最终采购需求和提交最后报价的供应商后，由磋商小组采用综合评分法对提交最后报价的供应商的响应文件和最后报价进行综合评分。综合评分法，是指响应文件满足磋商文件全部实质性要求且按评审因素的量化指标评审得分最高的供应商为成交候选供应商的评审方法。</w:t>
      </w:r>
      <w:bookmarkEnd w:id="137"/>
    </w:p>
    <w:p w14:paraId="3A6BE5B4">
      <w:pPr>
        <w:wordWrap w:val="0"/>
        <w:spacing w:line="460" w:lineRule="exact"/>
        <w:ind w:firstLine="480" w:firstLineChars="200"/>
        <w:jc w:val="left"/>
        <w:outlineLvl w:val="2"/>
        <w:rPr>
          <w:rFonts w:hint="eastAsia" w:ascii="宋体" w:hAnsi="宋体" w:eastAsia="宋体" w:cs="宋体"/>
          <w:sz w:val="24"/>
          <w:szCs w:val="24"/>
          <w:highlight w:val="none"/>
        </w:rPr>
      </w:pPr>
      <w:bookmarkStart w:id="138" w:name="_Toc528078039"/>
      <w:bookmarkEnd w:id="138"/>
      <w:bookmarkStart w:id="139" w:name="_Toc22828"/>
      <w:r>
        <w:rPr>
          <w:rFonts w:hint="eastAsia" w:ascii="宋体" w:hAnsi="宋体" w:eastAsia="宋体" w:cs="宋体"/>
          <w:sz w:val="24"/>
          <w:szCs w:val="24"/>
          <w:highlight w:val="none"/>
        </w:rPr>
        <w:t>7.6评审时，磋商小组各成员独立对每个有效响应的文件进行评价、打分，然后汇总每个供应商每项评分因素的得分。</w:t>
      </w:r>
      <w:bookmarkEnd w:id="139"/>
    </w:p>
    <w:p w14:paraId="58580008">
      <w:pPr>
        <w:wordWrap w:val="0"/>
        <w:spacing w:line="460" w:lineRule="exact"/>
        <w:ind w:firstLine="480" w:firstLineChars="200"/>
        <w:jc w:val="left"/>
        <w:outlineLvl w:val="2"/>
        <w:rPr>
          <w:rFonts w:hint="eastAsia" w:ascii="宋体" w:hAnsi="宋体" w:eastAsia="宋体" w:cs="宋体"/>
          <w:sz w:val="24"/>
          <w:szCs w:val="24"/>
          <w:highlight w:val="none"/>
        </w:rPr>
      </w:pPr>
      <w:bookmarkStart w:id="140" w:name="_Toc528078040"/>
      <w:bookmarkEnd w:id="140"/>
      <w:bookmarkStart w:id="141" w:name="_Toc23148"/>
      <w:r>
        <w:rPr>
          <w:rFonts w:hint="eastAsia" w:ascii="宋体" w:hAnsi="宋体" w:eastAsia="宋体" w:cs="宋体"/>
          <w:sz w:val="24"/>
          <w:szCs w:val="24"/>
          <w:highlight w:val="none"/>
        </w:rPr>
        <w:t>磋商小组应当根据综合评分情况，按照评审得分由高到低顺序推荐1-3名成交候选供应商，并编写评审报告。评审得</w:t>
      </w:r>
      <w:r>
        <w:rPr>
          <w:rFonts w:hint="eastAsia" w:ascii="Times New Roman" w:hAnsi="Times New Roman" w:eastAsia="宋体" w:cs="Times New Roman"/>
          <w:sz w:val="24"/>
          <w:szCs w:val="24"/>
          <w:highlight w:val="none"/>
        </w:rPr>
        <w:t>分相同的，按照最后报价由低到高的顺序推荐。评审得分且最后报价相同的，按照技术指标优劣顺序推荐。</w:t>
      </w:r>
      <w:bookmarkEnd w:id="141"/>
    </w:p>
    <w:p w14:paraId="43062459">
      <w:pPr>
        <w:wordWrap w:val="0"/>
        <w:spacing w:line="460" w:lineRule="exact"/>
        <w:ind w:firstLine="480" w:firstLineChars="200"/>
        <w:jc w:val="left"/>
        <w:outlineLvl w:val="2"/>
        <w:rPr>
          <w:rFonts w:hint="eastAsia" w:ascii="宋体" w:hAnsi="宋体" w:eastAsia="宋体" w:cs="宋体"/>
          <w:sz w:val="24"/>
          <w:szCs w:val="24"/>
          <w:highlight w:val="none"/>
        </w:rPr>
      </w:pPr>
      <w:bookmarkStart w:id="142" w:name="_Toc528078041"/>
      <w:bookmarkEnd w:id="142"/>
      <w:bookmarkStart w:id="143" w:name="_Toc26278"/>
      <w:r>
        <w:rPr>
          <w:rFonts w:hint="eastAsia" w:ascii="宋体" w:hAnsi="宋体" w:eastAsia="宋体" w:cs="宋体"/>
          <w:sz w:val="24"/>
          <w:szCs w:val="24"/>
          <w:highlight w:val="none"/>
        </w:rPr>
        <w:t>7.7响应无效和终止磋商活动条款</w:t>
      </w:r>
      <w:bookmarkEnd w:id="143"/>
    </w:p>
    <w:p w14:paraId="5DAD4452">
      <w:pPr>
        <w:wordWrap w:val="0"/>
        <w:spacing w:line="460" w:lineRule="exact"/>
        <w:ind w:firstLine="480" w:firstLineChars="200"/>
        <w:jc w:val="left"/>
        <w:rPr>
          <w:rFonts w:hint="eastAsia" w:ascii="宋体" w:hAnsi="宋体" w:eastAsia="宋体" w:cs="宋体"/>
          <w:sz w:val="24"/>
          <w:szCs w:val="24"/>
          <w:highlight w:val="none"/>
        </w:rPr>
      </w:pPr>
      <w:bookmarkStart w:id="144" w:name="_Toc513029235"/>
      <w:bookmarkEnd w:id="144"/>
      <w:bookmarkStart w:id="145" w:name="_Toc16938551"/>
      <w:bookmarkEnd w:id="145"/>
      <w:r>
        <w:rPr>
          <w:rFonts w:hint="eastAsia" w:ascii="宋体" w:hAnsi="宋体" w:eastAsia="宋体" w:cs="宋体"/>
          <w:sz w:val="24"/>
          <w:szCs w:val="24"/>
          <w:highlight w:val="none"/>
        </w:rPr>
        <w:t>1）未按照竞争性磋商文件规定要求签署、盖章的；</w:t>
      </w:r>
    </w:p>
    <w:p w14:paraId="5B22DD65">
      <w:pPr>
        <w:wordWrap w:val="0"/>
        <w:spacing w:line="46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2）供应商不具备竞争性磋商文件中规定资格条件的；</w:t>
      </w:r>
    </w:p>
    <w:p w14:paraId="63946333">
      <w:pPr>
        <w:wordWrap w:val="0"/>
        <w:spacing w:line="46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3）不符合法律、法规和竞争性磋商文件中规定的其他实质性要求的；</w:t>
      </w:r>
    </w:p>
    <w:p w14:paraId="4EAE90DD">
      <w:pPr>
        <w:wordWrap w:val="0"/>
        <w:spacing w:line="46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4）其他法律、法规及本竞争性磋商文件规定的属响应无效的情形。</w:t>
      </w:r>
    </w:p>
    <w:p w14:paraId="19F8595C">
      <w:pPr>
        <w:wordWrap w:val="0"/>
        <w:spacing w:line="460" w:lineRule="exact"/>
        <w:ind w:firstLine="480" w:firstLineChars="200"/>
        <w:jc w:val="left"/>
        <w:outlineLvl w:val="2"/>
        <w:rPr>
          <w:rFonts w:hint="eastAsia" w:ascii="宋体" w:hAnsi="宋体" w:eastAsia="宋体" w:cs="宋体"/>
          <w:sz w:val="24"/>
          <w:szCs w:val="24"/>
          <w:highlight w:val="none"/>
        </w:rPr>
      </w:pPr>
      <w:bookmarkStart w:id="146" w:name="_Toc6517"/>
      <w:r>
        <w:rPr>
          <w:rFonts w:hint="eastAsia" w:ascii="宋体" w:hAnsi="宋体" w:eastAsia="宋体" w:cs="宋体"/>
          <w:sz w:val="24"/>
          <w:szCs w:val="24"/>
          <w:highlight w:val="none"/>
        </w:rPr>
        <w:t>7.8终止竞争性磋商采购活动的条款</w:t>
      </w:r>
      <w:bookmarkEnd w:id="146"/>
    </w:p>
    <w:p w14:paraId="6788E78D">
      <w:pPr>
        <w:wordWrap w:val="0"/>
        <w:spacing w:line="46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出现下列情形之一的，采购人将终止竞争性磋商采购活动，发布项目终止公告并说明原因，重新开展采购活动：</w:t>
      </w:r>
    </w:p>
    <w:p w14:paraId="0A27F0DB">
      <w:pPr>
        <w:wordWrap w:val="0"/>
        <w:spacing w:line="46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1）因情况变化，不再符合规定的竞争性磋商采购方式适用情形的；</w:t>
      </w:r>
    </w:p>
    <w:p w14:paraId="394FB2DD">
      <w:pPr>
        <w:wordWrap w:val="0"/>
        <w:spacing w:line="46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2）出现影响采购公正的违法、违规行为的；</w:t>
      </w:r>
    </w:p>
    <w:p w14:paraId="418D8FB1">
      <w:pPr>
        <w:wordWrap w:val="0"/>
        <w:spacing w:line="46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3)在采购过程中符合要求的供应商的供应商不足2家的。</w:t>
      </w:r>
    </w:p>
    <w:p w14:paraId="6ECE571C">
      <w:pPr>
        <w:wordWrap w:val="0"/>
        <w:spacing w:line="46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7.9根据财库（2015）124号文，竞争性磋商只有2家响应人仍可继续进行。</w:t>
      </w:r>
    </w:p>
    <w:p w14:paraId="7CF0B6E4">
      <w:pPr>
        <w:wordWrap w:val="0"/>
        <w:spacing w:line="460" w:lineRule="exact"/>
        <w:ind w:firstLine="480" w:firstLineChars="200"/>
        <w:jc w:val="left"/>
        <w:outlineLvl w:val="1"/>
        <w:rPr>
          <w:rFonts w:hint="eastAsia" w:ascii="宋体" w:hAnsi="宋体" w:eastAsia="宋体" w:cs="宋体"/>
          <w:kern w:val="0"/>
          <w:sz w:val="24"/>
          <w:szCs w:val="24"/>
          <w:highlight w:val="none"/>
        </w:rPr>
      </w:pPr>
      <w:bookmarkStart w:id="147" w:name="_Toc504491971"/>
      <w:bookmarkEnd w:id="147"/>
      <w:bookmarkStart w:id="148" w:name="_Toc517178997"/>
      <w:bookmarkEnd w:id="148"/>
      <w:bookmarkStart w:id="149" w:name="_Toc505350557"/>
      <w:bookmarkEnd w:id="149"/>
      <w:bookmarkStart w:id="150" w:name="_Toc9277"/>
      <w:bookmarkStart w:id="151" w:name="_Toc528078042"/>
      <w:r>
        <w:rPr>
          <w:rFonts w:hint="eastAsia" w:ascii="宋体" w:hAnsi="宋体" w:eastAsia="宋体" w:cs="宋体"/>
          <w:sz w:val="24"/>
          <w:szCs w:val="24"/>
          <w:highlight w:val="none"/>
        </w:rPr>
        <w:t>8.确定成交、询问及质疑</w:t>
      </w:r>
      <w:bookmarkEnd w:id="150"/>
      <w:bookmarkEnd w:id="151"/>
    </w:p>
    <w:p w14:paraId="39A5546C">
      <w:pPr>
        <w:wordWrap w:val="0"/>
        <w:spacing w:line="460" w:lineRule="exact"/>
        <w:ind w:firstLine="480" w:firstLineChars="200"/>
        <w:jc w:val="left"/>
        <w:outlineLvl w:val="2"/>
        <w:rPr>
          <w:rFonts w:hint="eastAsia" w:ascii="宋体" w:hAnsi="宋体" w:eastAsia="宋体" w:cs="宋体"/>
          <w:sz w:val="24"/>
          <w:szCs w:val="24"/>
          <w:highlight w:val="none"/>
        </w:rPr>
      </w:pPr>
      <w:bookmarkStart w:id="152" w:name="_Toc16938554"/>
      <w:bookmarkEnd w:id="152"/>
      <w:bookmarkStart w:id="153" w:name="_Toc20823310"/>
      <w:bookmarkEnd w:id="153"/>
      <w:bookmarkStart w:id="154" w:name="_Toc528078043"/>
      <w:bookmarkStart w:id="155" w:name="_Toc23867"/>
      <w:r>
        <w:rPr>
          <w:rFonts w:hint="eastAsia" w:ascii="宋体" w:hAnsi="宋体" w:eastAsia="宋体" w:cs="宋体"/>
          <w:sz w:val="24"/>
          <w:szCs w:val="24"/>
          <w:highlight w:val="none"/>
        </w:rPr>
        <w:t>8.1</w:t>
      </w:r>
      <w:bookmarkEnd w:id="154"/>
      <w:r>
        <w:rPr>
          <w:rFonts w:hint="eastAsia" w:ascii="宋体" w:hAnsi="宋体" w:eastAsia="宋体" w:cs="宋体"/>
          <w:sz w:val="24"/>
          <w:szCs w:val="24"/>
          <w:highlight w:val="none"/>
        </w:rPr>
        <w:t>确定成交供应商</w:t>
      </w:r>
      <w:bookmarkEnd w:id="155"/>
    </w:p>
    <w:p w14:paraId="16A47600">
      <w:pPr>
        <w:wordWrap w:val="0"/>
        <w:spacing w:line="460" w:lineRule="exact"/>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8.1.1采购代理机构应当在评标结束后2个工作日内将评标报告送采购人。</w:t>
      </w:r>
    </w:p>
    <w:p w14:paraId="3E4F8B68">
      <w:pPr>
        <w:wordWrap w:val="0"/>
        <w:spacing w:line="460" w:lineRule="exact"/>
        <w:rPr>
          <w:rFonts w:hint="eastAsia" w:ascii="宋体" w:hAnsi="宋体" w:eastAsia="宋体" w:cs="宋体"/>
          <w:sz w:val="24"/>
          <w:szCs w:val="24"/>
          <w:highlight w:val="none"/>
        </w:rPr>
      </w:pPr>
      <w:r>
        <w:rPr>
          <w:rFonts w:hint="eastAsia" w:ascii="宋体" w:hAnsi="宋体" w:eastAsia="宋体" w:cs="宋体"/>
          <w:sz w:val="24"/>
          <w:szCs w:val="24"/>
          <w:highlight w:val="none"/>
        </w:rPr>
        <w:t>采购人应当自收到评标报告之日起5个工作日内，在评标报告确定的中标候选人名单中按顺序确定中标人。中标候选人并列的，由采购人或者采购人委托磋商小组按照竞争性磋商文件规定的方式确定中标人；竞争性磋商文件未规定的，采取随机抽取的方式确定。</w:t>
      </w:r>
    </w:p>
    <w:p w14:paraId="0CA3F179">
      <w:pPr>
        <w:wordWrap w:val="0"/>
        <w:spacing w:line="46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8.1.2成交供应商确定后2个工作日内在“《</w:t>
      </w:r>
      <w:r>
        <w:rPr>
          <w:rFonts w:hint="eastAsia" w:ascii="宋体" w:hAnsi="宋体" w:eastAsia="宋体" w:cs="宋体"/>
          <w:sz w:val="24"/>
          <w:szCs w:val="24"/>
          <w:highlight w:val="none"/>
          <w:lang w:eastAsia="zh-CN"/>
        </w:rPr>
        <w:t>中国招标投标公共服务平台</w:t>
      </w:r>
      <w:r>
        <w:rPr>
          <w:rFonts w:hint="eastAsia" w:ascii="宋体" w:hAnsi="宋体" w:eastAsia="宋体" w:cs="宋体"/>
          <w:sz w:val="24"/>
          <w:szCs w:val="24"/>
          <w:highlight w:val="none"/>
        </w:rPr>
        <w:t>》、《河南省政府采购网》和《三门峡市公共资源交易中心网》”公告成交结果。</w:t>
      </w:r>
    </w:p>
    <w:p w14:paraId="08735686">
      <w:pPr>
        <w:wordWrap w:val="0"/>
        <w:spacing w:line="460" w:lineRule="exact"/>
        <w:ind w:firstLine="480" w:firstLineChars="200"/>
        <w:jc w:val="left"/>
        <w:outlineLvl w:val="2"/>
        <w:rPr>
          <w:rFonts w:hint="eastAsia" w:ascii="宋体" w:hAnsi="宋体" w:eastAsia="宋体" w:cs="宋体"/>
          <w:sz w:val="24"/>
          <w:szCs w:val="24"/>
          <w:highlight w:val="none"/>
        </w:rPr>
      </w:pPr>
      <w:bookmarkStart w:id="156" w:name="_Toc200451960"/>
      <w:bookmarkEnd w:id="156"/>
      <w:bookmarkStart w:id="157" w:name="_Toc7540"/>
      <w:bookmarkStart w:id="158" w:name="_Toc528078044"/>
      <w:r>
        <w:rPr>
          <w:rFonts w:hint="eastAsia" w:ascii="宋体" w:hAnsi="宋体" w:eastAsia="宋体" w:cs="宋体"/>
          <w:sz w:val="24"/>
          <w:szCs w:val="24"/>
          <w:highlight w:val="none"/>
        </w:rPr>
        <w:t>8.2询问及质疑</w:t>
      </w:r>
      <w:bookmarkEnd w:id="157"/>
      <w:bookmarkEnd w:id="158"/>
    </w:p>
    <w:p w14:paraId="4BCB028F">
      <w:pPr>
        <w:wordWrap w:val="0"/>
        <w:spacing w:line="46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8.2.1询问及质疑依据《中华人民共和国政府采购法》、《中华人民共和国政府采购法实施条例》及相关法律法规处理。</w:t>
      </w:r>
    </w:p>
    <w:p w14:paraId="462E0469">
      <w:pPr>
        <w:wordWrap w:val="0"/>
        <w:spacing w:line="460" w:lineRule="exact"/>
        <w:ind w:firstLine="480" w:firstLineChars="200"/>
        <w:jc w:val="left"/>
        <w:outlineLvl w:val="1"/>
        <w:rPr>
          <w:rFonts w:hint="eastAsia" w:ascii="宋体" w:hAnsi="宋体" w:eastAsia="宋体" w:cs="宋体"/>
          <w:kern w:val="0"/>
          <w:sz w:val="24"/>
          <w:szCs w:val="24"/>
          <w:highlight w:val="none"/>
        </w:rPr>
      </w:pPr>
      <w:bookmarkStart w:id="159" w:name="_Toc403987211"/>
      <w:bookmarkEnd w:id="159"/>
      <w:bookmarkStart w:id="160" w:name="_Toc16938552"/>
      <w:bookmarkEnd w:id="160"/>
      <w:bookmarkStart w:id="161" w:name="_Toc120614220"/>
      <w:bookmarkEnd w:id="161"/>
      <w:bookmarkStart w:id="162" w:name="_Toc513029236"/>
      <w:bookmarkEnd w:id="162"/>
      <w:bookmarkStart w:id="163" w:name="_Toc505350558"/>
      <w:bookmarkEnd w:id="163"/>
      <w:bookmarkStart w:id="164" w:name="_Toc517178998"/>
      <w:bookmarkEnd w:id="164"/>
      <w:bookmarkStart w:id="165" w:name="_Toc20823308"/>
      <w:bookmarkEnd w:id="165"/>
      <w:bookmarkStart w:id="166" w:name="_Toc504491972"/>
      <w:bookmarkEnd w:id="166"/>
      <w:bookmarkStart w:id="167" w:name="_Toc528078045"/>
      <w:bookmarkStart w:id="168" w:name="_Toc30108"/>
      <w:r>
        <w:rPr>
          <w:rFonts w:hint="eastAsia" w:ascii="宋体" w:hAnsi="宋体" w:eastAsia="宋体" w:cs="宋体"/>
          <w:sz w:val="24"/>
          <w:szCs w:val="24"/>
          <w:highlight w:val="none"/>
        </w:rPr>
        <w:t>9.</w:t>
      </w:r>
      <w:bookmarkEnd w:id="167"/>
      <w:r>
        <w:rPr>
          <w:rFonts w:hint="eastAsia" w:ascii="宋体" w:hAnsi="宋体" w:eastAsia="宋体" w:cs="宋体"/>
          <w:sz w:val="24"/>
          <w:szCs w:val="24"/>
          <w:highlight w:val="none"/>
        </w:rPr>
        <w:t>授予合同</w:t>
      </w:r>
      <w:bookmarkEnd w:id="168"/>
    </w:p>
    <w:p w14:paraId="6E6C0F87">
      <w:pPr>
        <w:wordWrap w:val="0"/>
        <w:spacing w:line="460" w:lineRule="exact"/>
        <w:ind w:firstLine="480" w:firstLineChars="200"/>
        <w:jc w:val="left"/>
        <w:outlineLvl w:val="2"/>
        <w:rPr>
          <w:rFonts w:hint="eastAsia" w:ascii="宋体" w:hAnsi="宋体" w:eastAsia="宋体" w:cs="宋体"/>
          <w:sz w:val="24"/>
          <w:szCs w:val="24"/>
          <w:highlight w:val="none"/>
        </w:rPr>
      </w:pPr>
      <w:bookmarkStart w:id="169" w:name="_Toc513029237"/>
      <w:bookmarkEnd w:id="169"/>
      <w:bookmarkStart w:id="170" w:name="_Toc20823309"/>
      <w:bookmarkEnd w:id="170"/>
      <w:bookmarkStart w:id="171" w:name="_Toc16938553"/>
      <w:bookmarkEnd w:id="171"/>
      <w:bookmarkStart w:id="172" w:name="_Toc21335"/>
      <w:bookmarkStart w:id="173" w:name="_Toc528078046"/>
      <w:r>
        <w:rPr>
          <w:rFonts w:hint="eastAsia" w:ascii="宋体" w:hAnsi="宋体" w:eastAsia="宋体" w:cs="宋体"/>
          <w:sz w:val="24"/>
          <w:szCs w:val="24"/>
          <w:highlight w:val="none"/>
        </w:rPr>
        <w:t>9.1签订合同</w:t>
      </w:r>
      <w:bookmarkEnd w:id="172"/>
      <w:bookmarkEnd w:id="173"/>
    </w:p>
    <w:p w14:paraId="429C90A6">
      <w:pPr>
        <w:wordWrap w:val="0"/>
        <w:spacing w:line="46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9.1.1采购人、成交供应商在成交通知书发出之日起30日内（不超过30日），根据竞争性磋商文件确定的事项和成交供应商响应性文件签订合同。双方所签订的合同不得对竞争性磋商文件和成交供应商响应性文件作实质性修改。成交供应商逾期未签订合同，视为成交后无正当理由不与采购人签订合同，按照有关法律规定承担相应的法律责任。采购人逾期不与成交供应商签订合同的，按政府采购的有关规定处理。</w:t>
      </w:r>
    </w:p>
    <w:p w14:paraId="0B660BA5">
      <w:pPr>
        <w:wordWrap w:val="0"/>
        <w:spacing w:line="46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9.1.2竞争性磋商文件、竞争性磋商文件的修改文件、成交供应商的响应性文件、补充或修改的文件及澄清或承诺文件等，均为双方签订合同的组成部分，并与合同一并作为本竞争性磋商文件所列采购项目的互补性法律文件，与合同具有同等法律效力。</w:t>
      </w:r>
    </w:p>
    <w:p w14:paraId="64D97C86">
      <w:pPr>
        <w:wordWrap w:val="0"/>
        <w:spacing w:line="46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9.1.3成交供应商放弃成交、因不可抗力不能履行合同、或者被查实存在影响成交结果的违法行为等情形，不符合成交条件的，采购人可以按照磋商小组提出的成交候选供应商名单排序依次确定其他成交候选供应商为成交供应商，也可以重新组织采购</w:t>
      </w:r>
      <w:bookmarkStart w:id="174" w:name="_Toc479757211"/>
      <w:bookmarkEnd w:id="174"/>
      <w:bookmarkStart w:id="175" w:name="_Toc479757207"/>
      <w:bookmarkEnd w:id="175"/>
      <w:bookmarkStart w:id="176" w:name="_Toc513029242"/>
      <w:bookmarkEnd w:id="176"/>
      <w:bookmarkStart w:id="177" w:name="_Toc528078047"/>
      <w:bookmarkEnd w:id="177"/>
      <w:bookmarkStart w:id="178" w:name="_Toc20823314"/>
      <w:bookmarkEnd w:id="178"/>
      <w:bookmarkStart w:id="179" w:name="_Toc517178999"/>
      <w:bookmarkEnd w:id="179"/>
      <w:bookmarkStart w:id="180" w:name="_Hlt16619475"/>
      <w:bookmarkEnd w:id="180"/>
      <w:bookmarkStart w:id="181" w:name="_Toc120614221"/>
      <w:bookmarkEnd w:id="181"/>
      <w:bookmarkStart w:id="182" w:name="_Toc16938558"/>
      <w:bookmarkEnd w:id="182"/>
      <w:bookmarkStart w:id="183" w:name="_Toc528078062"/>
      <w:r>
        <w:rPr>
          <w:rFonts w:hint="eastAsia" w:ascii="宋体" w:hAnsi="宋体" w:eastAsia="宋体" w:cs="宋体"/>
          <w:sz w:val="24"/>
          <w:szCs w:val="24"/>
          <w:highlight w:val="none"/>
        </w:rPr>
        <w:t>。</w:t>
      </w:r>
      <w:bookmarkEnd w:id="183"/>
    </w:p>
    <w:p w14:paraId="068B1ABE">
      <w:pPr>
        <w:widowControl/>
        <w:spacing w:line="480" w:lineRule="exact"/>
        <w:ind w:firstLine="482" w:firstLineChars="200"/>
        <w:outlineLvl w:val="2"/>
        <w:rPr>
          <w:rFonts w:hint="eastAsia" w:ascii="宋体" w:hAnsi="宋体" w:eastAsia="宋体" w:cs="宋体"/>
          <w:b/>
          <w:bCs/>
          <w:sz w:val="24"/>
          <w:szCs w:val="24"/>
          <w:highlight w:val="none"/>
        </w:rPr>
      </w:pPr>
      <w:bookmarkStart w:id="184" w:name="_Toc13695"/>
      <w:r>
        <w:rPr>
          <w:rFonts w:hint="eastAsia" w:ascii="宋体" w:hAnsi="宋体" w:eastAsia="宋体" w:cs="宋体"/>
          <w:b/>
          <w:bCs/>
          <w:sz w:val="24"/>
          <w:szCs w:val="24"/>
          <w:highlight w:val="none"/>
        </w:rPr>
        <w:t>9.</w:t>
      </w:r>
      <w:r>
        <w:rPr>
          <w:rFonts w:ascii="宋体" w:hAnsi="宋体" w:eastAsia="宋体" w:cs="宋体"/>
          <w:b/>
          <w:bCs/>
          <w:sz w:val="24"/>
          <w:szCs w:val="24"/>
          <w:highlight w:val="none"/>
        </w:rPr>
        <w:t>2</w:t>
      </w:r>
      <w:r>
        <w:rPr>
          <w:rFonts w:hint="eastAsia" w:ascii="宋体" w:hAnsi="宋体" w:eastAsia="宋体" w:cs="宋体"/>
          <w:b/>
          <w:bCs/>
          <w:sz w:val="24"/>
          <w:szCs w:val="24"/>
          <w:highlight w:val="none"/>
        </w:rPr>
        <w:t>投诉</w:t>
      </w:r>
      <w:bookmarkEnd w:id="184"/>
    </w:p>
    <w:p w14:paraId="218D9A61">
      <w:pPr>
        <w:spacing w:line="500" w:lineRule="exact"/>
        <w:ind w:firstLine="480" w:firstLineChars="200"/>
        <w:rPr>
          <w:rFonts w:hint="eastAsia" w:ascii="宋体" w:hAnsi="宋体" w:eastAsia="宋体" w:cs="Times New Roman"/>
          <w:sz w:val="24"/>
          <w:szCs w:val="24"/>
          <w:highlight w:val="none"/>
        </w:rPr>
      </w:pPr>
      <w:bookmarkStart w:id="185" w:name="_Toc466566702"/>
      <w:r>
        <w:rPr>
          <w:rFonts w:ascii="宋体" w:hAnsi="宋体" w:eastAsia="宋体" w:cs="Times New Roman"/>
          <w:sz w:val="24"/>
          <w:szCs w:val="24"/>
          <w:highlight w:val="none"/>
        </w:rPr>
        <w:t>9</w:t>
      </w:r>
      <w:r>
        <w:rPr>
          <w:rFonts w:hint="eastAsia" w:ascii="宋体" w:hAnsi="宋体" w:eastAsia="宋体" w:cs="Times New Roman"/>
          <w:sz w:val="24"/>
          <w:szCs w:val="24"/>
          <w:highlight w:val="none"/>
        </w:rPr>
        <w:t>.</w:t>
      </w:r>
      <w:r>
        <w:rPr>
          <w:rFonts w:ascii="宋体" w:hAnsi="宋体" w:eastAsia="宋体" w:cs="Times New Roman"/>
          <w:sz w:val="24"/>
          <w:szCs w:val="24"/>
          <w:highlight w:val="none"/>
        </w:rPr>
        <w:t>2</w:t>
      </w:r>
      <w:r>
        <w:rPr>
          <w:rFonts w:hint="eastAsia" w:ascii="宋体" w:hAnsi="宋体" w:eastAsia="宋体" w:cs="Times New Roman"/>
          <w:sz w:val="24"/>
          <w:szCs w:val="24"/>
          <w:highlight w:val="none"/>
        </w:rPr>
        <w:t>.1 供应商或有关当事人对磋商过程、成交结果有异议的，可以向采购人或者采购代理机构提出询问。</w:t>
      </w:r>
    </w:p>
    <w:p w14:paraId="50684D49">
      <w:pPr>
        <w:spacing w:line="500" w:lineRule="exact"/>
        <w:ind w:firstLine="480" w:firstLineChars="200"/>
        <w:rPr>
          <w:rFonts w:hint="eastAsia" w:ascii="宋体" w:hAnsi="宋体" w:eastAsia="宋体" w:cs="Times New Roman"/>
          <w:sz w:val="24"/>
          <w:szCs w:val="24"/>
          <w:highlight w:val="none"/>
        </w:rPr>
      </w:pPr>
      <w:r>
        <w:rPr>
          <w:rFonts w:ascii="宋体" w:hAnsi="宋体" w:eastAsia="宋体" w:cs="Times New Roman"/>
          <w:sz w:val="24"/>
          <w:szCs w:val="24"/>
          <w:highlight w:val="none"/>
        </w:rPr>
        <w:t>9</w:t>
      </w:r>
      <w:r>
        <w:rPr>
          <w:rFonts w:hint="eastAsia" w:ascii="宋体" w:hAnsi="宋体" w:eastAsia="宋体" w:cs="Times New Roman"/>
          <w:sz w:val="24"/>
          <w:szCs w:val="24"/>
          <w:highlight w:val="none"/>
        </w:rPr>
        <w:t>.</w:t>
      </w:r>
      <w:r>
        <w:rPr>
          <w:rFonts w:ascii="宋体" w:hAnsi="宋体" w:eastAsia="宋体" w:cs="Times New Roman"/>
          <w:sz w:val="24"/>
          <w:szCs w:val="24"/>
          <w:highlight w:val="none"/>
        </w:rPr>
        <w:t>2</w:t>
      </w:r>
      <w:r>
        <w:rPr>
          <w:rFonts w:hint="eastAsia" w:ascii="宋体" w:hAnsi="宋体" w:eastAsia="宋体" w:cs="Times New Roman"/>
          <w:sz w:val="24"/>
          <w:szCs w:val="24"/>
          <w:highlight w:val="none"/>
        </w:rPr>
        <w:t>.2 采购人或者采购代理机构应当在三个工作日内对供应商依法提出的询问作出答复。</w:t>
      </w:r>
    </w:p>
    <w:p w14:paraId="4C69BF63">
      <w:pPr>
        <w:spacing w:line="500" w:lineRule="exact"/>
        <w:ind w:firstLine="480" w:firstLineChars="200"/>
        <w:rPr>
          <w:rFonts w:hint="eastAsia" w:ascii="宋体" w:hAnsi="宋体" w:eastAsia="宋体" w:cs="Times New Roman"/>
          <w:sz w:val="24"/>
          <w:szCs w:val="24"/>
          <w:highlight w:val="none"/>
        </w:rPr>
      </w:pPr>
      <w:r>
        <w:rPr>
          <w:rFonts w:ascii="宋体" w:hAnsi="宋体" w:eastAsia="宋体" w:cs="Times New Roman"/>
          <w:sz w:val="24"/>
          <w:szCs w:val="24"/>
          <w:highlight w:val="none"/>
        </w:rPr>
        <w:t>9</w:t>
      </w:r>
      <w:r>
        <w:rPr>
          <w:rFonts w:hint="eastAsia" w:ascii="宋体" w:hAnsi="宋体" w:eastAsia="宋体" w:cs="Times New Roman"/>
          <w:sz w:val="24"/>
          <w:szCs w:val="24"/>
          <w:highlight w:val="none"/>
        </w:rPr>
        <w:t>.</w:t>
      </w:r>
      <w:r>
        <w:rPr>
          <w:rFonts w:ascii="宋体" w:hAnsi="宋体" w:eastAsia="宋体" w:cs="Times New Roman"/>
          <w:sz w:val="24"/>
          <w:szCs w:val="24"/>
          <w:highlight w:val="none"/>
        </w:rPr>
        <w:t>2</w:t>
      </w:r>
      <w:r>
        <w:rPr>
          <w:rFonts w:hint="eastAsia" w:ascii="宋体" w:hAnsi="宋体" w:eastAsia="宋体" w:cs="Times New Roman"/>
          <w:sz w:val="24"/>
          <w:szCs w:val="24"/>
          <w:highlight w:val="none"/>
        </w:rPr>
        <w:t>.3 供应商认为竞争性磋商文件、采购过程使自己的权益受到损害的，可以在知道或者应知其权益受到损害之日起七个工作日内，以书面形式向采购人提出质疑。</w:t>
      </w:r>
    </w:p>
    <w:p w14:paraId="0FE018F4">
      <w:pPr>
        <w:spacing w:line="500" w:lineRule="exact"/>
        <w:ind w:firstLine="480" w:firstLineChars="200"/>
        <w:rPr>
          <w:rFonts w:hint="eastAsia" w:ascii="宋体" w:hAnsi="宋体" w:eastAsia="宋体" w:cs="Times New Roman"/>
          <w:sz w:val="24"/>
          <w:szCs w:val="24"/>
          <w:highlight w:val="none"/>
        </w:rPr>
      </w:pPr>
      <w:r>
        <w:rPr>
          <w:rFonts w:ascii="宋体" w:hAnsi="宋体" w:eastAsia="宋体" w:cs="Times New Roman"/>
          <w:sz w:val="24"/>
          <w:szCs w:val="24"/>
          <w:highlight w:val="none"/>
        </w:rPr>
        <w:t>9</w:t>
      </w:r>
      <w:r>
        <w:rPr>
          <w:rFonts w:hint="eastAsia" w:ascii="宋体" w:hAnsi="宋体" w:eastAsia="宋体" w:cs="Times New Roman"/>
          <w:sz w:val="24"/>
          <w:szCs w:val="24"/>
          <w:highlight w:val="none"/>
        </w:rPr>
        <w:t>.</w:t>
      </w:r>
      <w:r>
        <w:rPr>
          <w:rFonts w:ascii="宋体" w:hAnsi="宋体" w:eastAsia="宋体" w:cs="Times New Roman"/>
          <w:sz w:val="24"/>
          <w:szCs w:val="24"/>
          <w:highlight w:val="none"/>
        </w:rPr>
        <w:t>2</w:t>
      </w:r>
      <w:r>
        <w:rPr>
          <w:rFonts w:hint="eastAsia" w:ascii="宋体" w:hAnsi="宋体" w:eastAsia="宋体" w:cs="Times New Roman"/>
          <w:sz w:val="24"/>
          <w:szCs w:val="24"/>
          <w:highlight w:val="none"/>
        </w:rPr>
        <w:t>.4 供应商认为成交结果使自己的权益受到损害的，可以在成交结果公告期限届满之日起七个工作日内，以书面形式向采购人提出质疑，接收质疑函联系部门、电话及地址详见竞争性磋商公告。在法定质疑期内供应商针对同一采购程序环节的质疑应当一次性提出。</w:t>
      </w:r>
    </w:p>
    <w:p w14:paraId="2329EFE8">
      <w:pPr>
        <w:spacing w:line="500" w:lineRule="exact"/>
        <w:ind w:firstLine="480" w:firstLineChars="200"/>
        <w:rPr>
          <w:rFonts w:hint="eastAsia" w:ascii="宋体" w:hAnsi="宋体" w:eastAsia="宋体" w:cs="Times New Roman"/>
          <w:sz w:val="24"/>
          <w:szCs w:val="24"/>
          <w:highlight w:val="none"/>
        </w:rPr>
      </w:pPr>
      <w:r>
        <w:rPr>
          <w:rFonts w:ascii="宋体" w:hAnsi="宋体" w:eastAsia="宋体" w:cs="Times New Roman"/>
          <w:sz w:val="24"/>
          <w:szCs w:val="24"/>
          <w:highlight w:val="none"/>
        </w:rPr>
        <w:t>9</w:t>
      </w:r>
      <w:r>
        <w:rPr>
          <w:rFonts w:hint="eastAsia" w:ascii="宋体" w:hAnsi="宋体" w:eastAsia="宋体" w:cs="Times New Roman"/>
          <w:sz w:val="24"/>
          <w:szCs w:val="24"/>
          <w:highlight w:val="none"/>
        </w:rPr>
        <w:t>.</w:t>
      </w:r>
      <w:r>
        <w:rPr>
          <w:rFonts w:ascii="宋体" w:hAnsi="宋体" w:eastAsia="宋体" w:cs="Times New Roman"/>
          <w:sz w:val="24"/>
          <w:szCs w:val="24"/>
          <w:highlight w:val="none"/>
        </w:rPr>
        <w:t>2</w:t>
      </w:r>
      <w:r>
        <w:rPr>
          <w:rFonts w:hint="eastAsia" w:ascii="宋体" w:hAnsi="宋体" w:eastAsia="宋体" w:cs="Times New Roman"/>
          <w:sz w:val="24"/>
          <w:szCs w:val="24"/>
          <w:highlight w:val="none"/>
        </w:rPr>
        <w:t>.5 采购人或者采购代理机构应当在收到供应商的书面质疑后七个工作日内作出答复，并以书面形式通知质疑供应商和其他有关供应商，但答复的内容不得涉及商业秘密。</w:t>
      </w:r>
    </w:p>
    <w:p w14:paraId="1AE551A7">
      <w:pPr>
        <w:spacing w:line="500" w:lineRule="exact"/>
        <w:ind w:firstLine="480" w:firstLineChars="200"/>
        <w:rPr>
          <w:rFonts w:hint="eastAsia" w:ascii="宋体" w:hAnsi="宋体" w:eastAsia="宋体" w:cs="Times New Roman"/>
          <w:sz w:val="24"/>
          <w:szCs w:val="24"/>
          <w:highlight w:val="none"/>
        </w:rPr>
      </w:pPr>
      <w:r>
        <w:rPr>
          <w:rFonts w:ascii="宋体" w:hAnsi="宋体" w:eastAsia="宋体" w:cs="Times New Roman"/>
          <w:sz w:val="24"/>
          <w:szCs w:val="24"/>
          <w:highlight w:val="none"/>
        </w:rPr>
        <w:t>9</w:t>
      </w:r>
      <w:r>
        <w:rPr>
          <w:rFonts w:hint="eastAsia" w:ascii="宋体" w:hAnsi="宋体" w:eastAsia="宋体" w:cs="Times New Roman"/>
          <w:sz w:val="24"/>
          <w:szCs w:val="24"/>
          <w:highlight w:val="none"/>
        </w:rPr>
        <w:t>.</w:t>
      </w:r>
      <w:r>
        <w:rPr>
          <w:rFonts w:ascii="宋体" w:hAnsi="宋体" w:eastAsia="宋体" w:cs="Times New Roman"/>
          <w:sz w:val="24"/>
          <w:szCs w:val="24"/>
          <w:highlight w:val="none"/>
        </w:rPr>
        <w:t>2</w:t>
      </w:r>
      <w:r>
        <w:rPr>
          <w:rFonts w:hint="eastAsia" w:ascii="宋体" w:hAnsi="宋体" w:eastAsia="宋体" w:cs="Times New Roman"/>
          <w:sz w:val="24"/>
          <w:szCs w:val="24"/>
          <w:highlight w:val="none"/>
        </w:rPr>
        <w:t>.6 质疑单位对采购人、采购代理机构的答复不满意或者采购人、采购代理机构未在规定的时间内作出答复的，可以在答复期满后十五个工作日内向同级政府采购监督管理部门投诉。</w:t>
      </w:r>
    </w:p>
    <w:p w14:paraId="6A7A3A40">
      <w:pPr>
        <w:spacing w:line="500" w:lineRule="exact"/>
        <w:ind w:firstLine="480" w:firstLineChars="200"/>
        <w:rPr>
          <w:rFonts w:ascii="Calibri" w:hAnsi="Calibri" w:eastAsia="宋体" w:cs="Times New Roman"/>
          <w:kern w:val="0"/>
          <w:sz w:val="24"/>
          <w:szCs w:val="24"/>
          <w:highlight w:val="none"/>
        </w:rPr>
      </w:pPr>
      <w:r>
        <w:rPr>
          <w:rFonts w:ascii="宋体" w:hAnsi="宋体" w:eastAsia="宋体" w:cs="Times New Roman"/>
          <w:sz w:val="24"/>
          <w:szCs w:val="24"/>
          <w:highlight w:val="none"/>
        </w:rPr>
        <w:t>9</w:t>
      </w:r>
      <w:r>
        <w:rPr>
          <w:rFonts w:hint="eastAsia" w:ascii="宋体" w:hAnsi="宋体" w:eastAsia="宋体" w:cs="Times New Roman"/>
          <w:sz w:val="24"/>
          <w:szCs w:val="24"/>
          <w:highlight w:val="none"/>
        </w:rPr>
        <w:t>.</w:t>
      </w:r>
      <w:r>
        <w:rPr>
          <w:rFonts w:ascii="宋体" w:hAnsi="宋体" w:eastAsia="宋体" w:cs="Times New Roman"/>
          <w:sz w:val="24"/>
          <w:szCs w:val="24"/>
          <w:highlight w:val="none"/>
        </w:rPr>
        <w:t>2</w:t>
      </w:r>
      <w:r>
        <w:rPr>
          <w:rFonts w:hint="eastAsia" w:ascii="宋体" w:hAnsi="宋体" w:eastAsia="宋体" w:cs="Times New Roman"/>
          <w:sz w:val="24"/>
          <w:szCs w:val="24"/>
          <w:highlight w:val="none"/>
        </w:rPr>
        <w:t>.7 供应商质疑、投诉应当有明确的请求和必要的证明材料。供应商投诉的事项不得超出已质疑事项的范围。</w:t>
      </w:r>
      <w:r>
        <w:rPr>
          <w:rFonts w:hint="eastAsia" w:ascii="Calibri" w:hAnsi="Calibri" w:eastAsia="宋体" w:cs="Times New Roman"/>
          <w:kern w:val="0"/>
          <w:sz w:val="24"/>
          <w:szCs w:val="24"/>
          <w:highlight w:val="none"/>
        </w:rPr>
        <w:t>质疑函应当包括下列内容：</w:t>
      </w:r>
    </w:p>
    <w:p w14:paraId="6E198722">
      <w:pPr>
        <w:spacing w:line="48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1、供应商的姓名或者名称、地址、邮编、联系人及联系电话；</w:t>
      </w:r>
    </w:p>
    <w:p w14:paraId="6462140B">
      <w:pPr>
        <w:spacing w:line="48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2、质疑项目的名称、编号；</w:t>
      </w:r>
    </w:p>
    <w:p w14:paraId="21A7CB08">
      <w:pPr>
        <w:spacing w:line="48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3、具体、明确的质疑事项和与质疑事项相关的请求；</w:t>
      </w:r>
    </w:p>
    <w:p w14:paraId="3D24AE00">
      <w:pPr>
        <w:spacing w:line="48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4、事实依据；</w:t>
      </w:r>
    </w:p>
    <w:p w14:paraId="43340367">
      <w:pPr>
        <w:spacing w:line="48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5、必要的法律依据；</w:t>
      </w:r>
    </w:p>
    <w:p w14:paraId="3D73523F">
      <w:pPr>
        <w:spacing w:line="48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6、提出质疑的日期。</w:t>
      </w:r>
    </w:p>
    <w:p w14:paraId="0C270DD6">
      <w:pPr>
        <w:spacing w:line="48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质疑事项按照有关法律、法规和规章规定及招标文件要求属于保密或者处于保密阶段的事项，供应商必须提供正常的信息来源或有效证据，供应商不能提供或者拒绝提供合法的信息来源或有效证据的，其质疑将被拒绝；</w:t>
      </w:r>
    </w:p>
    <w:p w14:paraId="514A8124">
      <w:pPr>
        <w:spacing w:line="48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质疑函应提供充足有效的相关证明材料；如果涉及到产品功能或技术指标的，应出具相关制造商的证明文件；</w:t>
      </w:r>
    </w:p>
    <w:p w14:paraId="324916F9">
      <w:pPr>
        <w:spacing w:line="48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质疑材料中有外文资料的，应一并附上中文译本，并以中文译本为准。</w:t>
      </w:r>
    </w:p>
    <w:p w14:paraId="39032094">
      <w:pPr>
        <w:spacing w:line="48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供应商质疑实行实名制并须在质疑书上署名。供应商不得进行虚假、恶意质疑，不得以质疑为手段获取不当得利、实现非法目的。</w:t>
      </w:r>
    </w:p>
    <w:p w14:paraId="4805AA9A">
      <w:pPr>
        <w:spacing w:line="48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供应商可以委托代理人进行质疑和投诉。其授权委托书应当载明代理人的姓名或者名称、代理事项、具体权限、期限和相关事项。供应商为自然人的，应当由本人签</w:t>
      </w:r>
      <w:bookmarkStart w:id="186" w:name="第四部分_合同条款"/>
      <w:bookmarkEnd w:id="186"/>
      <w:r>
        <w:rPr>
          <w:rFonts w:hint="eastAsia" w:ascii="宋体" w:hAnsi="宋体" w:eastAsia="宋体" w:cs="宋体"/>
          <w:sz w:val="24"/>
          <w:szCs w:val="24"/>
          <w:highlight w:val="none"/>
        </w:rPr>
        <w:t>字；供应商为法人或者其他组织的，应当由法定代表人、主要负责人签字或者盖章，并加盖公章。代理人提出质疑和投诉，应当提交供应商签署的授权委托书。授权委托书应载明委托代理的具体权限和事项。授权委托书应当由委托人签字并加盖单位公章。</w:t>
      </w:r>
    </w:p>
    <w:p w14:paraId="1C6EB1CF">
      <w:pPr>
        <w:spacing w:line="48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质疑书提交方式。供应商或者其委托代理人应当当面提交质疑书及相关证明材料。提交质疑书时，供应商应同时提交本人身份证，委托他人代理质疑事宜的，还应提交被委托人的身份证。</w:t>
      </w:r>
    </w:p>
    <w:p w14:paraId="5DA82033">
      <w:pPr>
        <w:spacing w:line="48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供应商不得虚假质疑和恶意质疑，并对质疑内容的真实性承担责任。供应商或者其他利害关系人通过捏造事实、伪造证明材料等方式提出异议或投诉，阻碍招投标活动正常进行的，属于严重不良行为，监督部门将其列入不良行为记录名单，并依法予以处罚。</w:t>
      </w:r>
    </w:p>
    <w:p w14:paraId="15E821BE">
      <w:pPr>
        <w:spacing w:line="48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采购人或招标代理机构将在收到符合上述条件的书面质疑后7个工作日内审查质疑事项，采购人做出答复或相关处理决定，并以书面形式通知质疑供应商和其他有关供应商。</w:t>
      </w:r>
    </w:p>
    <w:p w14:paraId="05632801">
      <w:pPr>
        <w:spacing w:line="48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依法提出质疑的供应商对采购人或招标代理机构的答复不满意、以及采购人或招标代理机构未在规定的时间内做出答复的，可以在答复期满后15个工作日内向监督部门投诉。</w:t>
      </w:r>
    </w:p>
    <w:p w14:paraId="480267C2">
      <w:pPr>
        <w:spacing w:line="500" w:lineRule="exact"/>
        <w:ind w:firstLine="480" w:firstLineChars="200"/>
        <w:outlineLvl w:val="3"/>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质疑函格式详见附件1</w:t>
      </w:r>
    </w:p>
    <w:p w14:paraId="1F535C90">
      <w:pPr>
        <w:spacing w:line="48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9</w:t>
      </w:r>
      <w:r>
        <w:rPr>
          <w:rFonts w:ascii="宋体" w:hAnsi="宋体" w:eastAsia="宋体" w:cs="宋体"/>
          <w:sz w:val="24"/>
          <w:szCs w:val="24"/>
          <w:highlight w:val="none"/>
        </w:rPr>
        <w:t>.2.8</w:t>
      </w:r>
      <w:r>
        <w:rPr>
          <w:rFonts w:hint="eastAsia" w:ascii="宋体" w:hAnsi="宋体" w:eastAsia="宋体" w:cs="宋体"/>
          <w:sz w:val="24"/>
          <w:szCs w:val="24"/>
          <w:highlight w:val="none"/>
        </w:rPr>
        <w:t>投诉人在全国范围12个月内三次以上投诉查无实据的，由财政部门列入不良行为记录名单，投诉人有下列行为之一的，属于虚假、恶意投诉，由财政部门列入不良行为记录名单，禁止其1至3年内参加政府采购活动：</w:t>
      </w:r>
    </w:p>
    <w:p w14:paraId="5C12C70B">
      <w:pPr>
        <w:spacing w:line="48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1、捏造事实；</w:t>
      </w:r>
    </w:p>
    <w:p w14:paraId="576ADCD1">
      <w:pPr>
        <w:spacing w:line="48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2、提供虚假材料；</w:t>
      </w:r>
    </w:p>
    <w:p w14:paraId="39A62660">
      <w:pPr>
        <w:spacing w:line="48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3、以非法手段取得证明材料。证据来源的合法性存在明显疑问，投诉人无法证明其取得方式合法的，视为以非法手段取得证明材料。</w:t>
      </w:r>
    </w:p>
    <w:bookmarkEnd w:id="185"/>
    <w:p w14:paraId="361B12A8">
      <w:pPr>
        <w:widowControl/>
        <w:jc w:val="left"/>
        <w:rPr>
          <w:rFonts w:hint="eastAsia" w:ascii="宋体" w:hAnsi="宋体" w:eastAsia="宋体" w:cs="宋体"/>
          <w:b/>
          <w:sz w:val="24"/>
          <w:szCs w:val="24"/>
          <w:highlight w:val="none"/>
        </w:rPr>
      </w:pPr>
      <w:r>
        <w:rPr>
          <w:rFonts w:ascii="宋体" w:hAnsi="宋体" w:eastAsia="宋体" w:cs="宋体"/>
          <w:b/>
          <w:sz w:val="24"/>
          <w:szCs w:val="24"/>
          <w:highlight w:val="none"/>
        </w:rPr>
        <w:br w:type="page"/>
      </w:r>
    </w:p>
    <w:p w14:paraId="47A79272">
      <w:pPr>
        <w:spacing w:line="480" w:lineRule="exact"/>
        <w:ind w:firstLine="405" w:firstLineChars="168"/>
        <w:rPr>
          <w:rFonts w:hint="eastAsia" w:ascii="宋体" w:hAnsi="宋体" w:eastAsia="宋体" w:cs="宋体"/>
          <w:b/>
          <w:sz w:val="24"/>
          <w:szCs w:val="24"/>
          <w:highlight w:val="none"/>
        </w:rPr>
      </w:pPr>
      <w:r>
        <w:rPr>
          <w:rFonts w:hint="eastAsia" w:ascii="宋体" w:hAnsi="宋体" w:eastAsia="宋体" w:cs="宋体"/>
          <w:b/>
          <w:sz w:val="24"/>
          <w:szCs w:val="24"/>
          <w:highlight w:val="none"/>
        </w:rPr>
        <w:t>附件1：质疑函范本</w:t>
      </w:r>
    </w:p>
    <w:p w14:paraId="02A9E9F9">
      <w:pPr>
        <w:spacing w:line="480" w:lineRule="exact"/>
        <w:jc w:val="center"/>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质疑函范本</w:t>
      </w:r>
    </w:p>
    <w:p w14:paraId="4B819EAB">
      <w:pPr>
        <w:spacing w:line="480" w:lineRule="exact"/>
        <w:ind w:firstLine="480" w:firstLineChars="200"/>
        <w:outlineLvl w:val="3"/>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一、质疑供应商基本信息</w:t>
      </w:r>
    </w:p>
    <w:p w14:paraId="46B0DC37">
      <w:pPr>
        <w:spacing w:line="480" w:lineRule="exact"/>
        <w:ind w:firstLine="480" w:firstLineChars="200"/>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 xml:space="preserve">质疑供应商：                                        </w:t>
      </w:r>
    </w:p>
    <w:p w14:paraId="09FD0F83">
      <w:pPr>
        <w:spacing w:line="480" w:lineRule="exact"/>
        <w:ind w:firstLine="480" w:firstLineChars="200"/>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 xml:space="preserve">地址：                          邮编：                                 </w:t>
      </w:r>
    </w:p>
    <w:p w14:paraId="4C48CCC9">
      <w:pPr>
        <w:spacing w:line="480" w:lineRule="exact"/>
        <w:ind w:firstLine="480" w:firstLineChars="200"/>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 xml:space="preserve">联系人：                      联系电话：                              </w:t>
      </w:r>
    </w:p>
    <w:p w14:paraId="1FE51DB4">
      <w:pPr>
        <w:spacing w:line="480" w:lineRule="exact"/>
        <w:ind w:firstLine="480" w:firstLineChars="200"/>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 xml:space="preserve">授权代表：                                          </w:t>
      </w:r>
    </w:p>
    <w:p w14:paraId="33B13E56">
      <w:pPr>
        <w:spacing w:line="480" w:lineRule="exact"/>
        <w:ind w:firstLine="480" w:firstLineChars="200"/>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 xml:space="preserve">联系电话：                                            </w:t>
      </w:r>
    </w:p>
    <w:p w14:paraId="31B128B5">
      <w:pPr>
        <w:spacing w:line="480" w:lineRule="exact"/>
        <w:ind w:firstLine="480" w:firstLineChars="200"/>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 xml:space="preserve">地址：                         邮编：                                       </w:t>
      </w:r>
    </w:p>
    <w:p w14:paraId="74737BD2">
      <w:pPr>
        <w:spacing w:line="480" w:lineRule="exact"/>
        <w:ind w:firstLine="480" w:firstLineChars="200"/>
        <w:outlineLvl w:val="3"/>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rPr>
        <w:t>二、质疑项目基本情况</w:t>
      </w:r>
    </w:p>
    <w:p w14:paraId="0D621FDA">
      <w:pPr>
        <w:spacing w:line="480" w:lineRule="exact"/>
        <w:ind w:firstLine="480" w:firstLineChars="200"/>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 xml:space="preserve">质疑项目的名称：                                      </w:t>
      </w:r>
    </w:p>
    <w:p w14:paraId="086CABB7">
      <w:pPr>
        <w:spacing w:line="480" w:lineRule="exact"/>
        <w:ind w:firstLine="480" w:firstLineChars="200"/>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 xml:space="preserve">质疑项目的编号：               包号：                 </w:t>
      </w:r>
    </w:p>
    <w:p w14:paraId="4C0443D3">
      <w:pPr>
        <w:spacing w:line="480" w:lineRule="exact"/>
        <w:ind w:firstLine="480" w:firstLineChars="200"/>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 xml:space="preserve">招标人名称：                                         </w:t>
      </w:r>
    </w:p>
    <w:p w14:paraId="5AAAE645">
      <w:pPr>
        <w:spacing w:line="480" w:lineRule="exact"/>
        <w:ind w:firstLine="480" w:firstLineChars="200"/>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 xml:space="preserve">招标文件获取日期：                                           </w:t>
      </w:r>
    </w:p>
    <w:p w14:paraId="6950BF21">
      <w:pPr>
        <w:spacing w:line="480" w:lineRule="exact"/>
        <w:ind w:firstLine="480" w:firstLineChars="200"/>
        <w:outlineLvl w:val="3"/>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三、质疑事项具体内容</w:t>
      </w:r>
    </w:p>
    <w:p w14:paraId="59C13B90">
      <w:pPr>
        <w:spacing w:line="480" w:lineRule="exact"/>
        <w:ind w:firstLine="480" w:firstLineChars="200"/>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 xml:space="preserve">质疑事项1：                                         </w:t>
      </w:r>
    </w:p>
    <w:p w14:paraId="6516F6B3">
      <w:pPr>
        <w:spacing w:line="480" w:lineRule="exact"/>
        <w:ind w:firstLine="480" w:firstLineChars="200"/>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 xml:space="preserve">事实依据：                                          </w:t>
      </w:r>
    </w:p>
    <w:p w14:paraId="3D0326BD">
      <w:pPr>
        <w:spacing w:line="480" w:lineRule="exact"/>
        <w:ind w:firstLine="480" w:firstLineChars="200"/>
        <w:rPr>
          <w:rFonts w:hint="eastAsia" w:ascii="宋体" w:hAnsi="宋体" w:eastAsia="宋体" w:cs="宋体"/>
          <w:kern w:val="0"/>
          <w:sz w:val="24"/>
          <w:szCs w:val="24"/>
          <w:highlight w:val="none"/>
        </w:rPr>
      </w:pPr>
    </w:p>
    <w:p w14:paraId="3CF20836">
      <w:pPr>
        <w:spacing w:line="480" w:lineRule="exact"/>
        <w:ind w:firstLine="480" w:firstLineChars="200"/>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 xml:space="preserve">法律依据：                                          </w:t>
      </w:r>
    </w:p>
    <w:p w14:paraId="2C31DA82">
      <w:pPr>
        <w:spacing w:line="480" w:lineRule="exact"/>
        <w:ind w:firstLine="480" w:firstLineChars="200"/>
        <w:rPr>
          <w:rFonts w:hint="eastAsia" w:ascii="宋体" w:hAnsi="宋体" w:eastAsia="宋体" w:cs="宋体"/>
          <w:kern w:val="0"/>
          <w:sz w:val="24"/>
          <w:szCs w:val="24"/>
          <w:highlight w:val="none"/>
        </w:rPr>
      </w:pPr>
    </w:p>
    <w:p w14:paraId="0F986D5E">
      <w:pPr>
        <w:spacing w:line="480" w:lineRule="exact"/>
        <w:ind w:firstLine="480" w:firstLineChars="200"/>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质疑事项2</w:t>
      </w:r>
    </w:p>
    <w:p w14:paraId="65A87534">
      <w:pPr>
        <w:spacing w:line="480" w:lineRule="exact"/>
        <w:ind w:firstLine="480" w:firstLineChars="200"/>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w:t>
      </w:r>
    </w:p>
    <w:p w14:paraId="0AA545BA">
      <w:pPr>
        <w:spacing w:line="480" w:lineRule="exact"/>
        <w:ind w:firstLine="480" w:firstLineChars="200"/>
        <w:outlineLvl w:val="3"/>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rPr>
        <w:t>四、与质疑事项相关的质疑请求</w:t>
      </w:r>
    </w:p>
    <w:p w14:paraId="0170B163">
      <w:pPr>
        <w:spacing w:line="480" w:lineRule="exact"/>
        <w:ind w:firstLine="480" w:firstLineChars="200"/>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 xml:space="preserve">请求：                                               </w:t>
      </w:r>
    </w:p>
    <w:p w14:paraId="5B51DB03">
      <w:pPr>
        <w:spacing w:line="480" w:lineRule="exact"/>
        <w:ind w:firstLine="480" w:firstLineChars="200"/>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 xml:space="preserve">签字(签章)：                   公章：                      </w:t>
      </w:r>
    </w:p>
    <w:p w14:paraId="6E4BD6D5">
      <w:pPr>
        <w:autoSpaceDE w:val="0"/>
        <w:autoSpaceDN w:val="0"/>
        <w:spacing w:before="90" w:line="312" w:lineRule="auto"/>
        <w:ind w:right="95" w:firstLine="480" w:firstLineChars="200"/>
        <w:rPr>
          <w:rFonts w:hint="eastAsia" w:ascii="宋体" w:hAnsi="宋体" w:eastAsia="宋体" w:cs="宋体"/>
          <w:kern w:val="0"/>
          <w:sz w:val="24"/>
          <w:szCs w:val="24"/>
          <w:highlight w:val="none"/>
        </w:rPr>
      </w:pPr>
      <w:r>
        <w:rPr>
          <w:rFonts w:hint="eastAsia" w:ascii="宋体" w:hAnsi="宋体" w:eastAsia="宋体" w:cs="宋体"/>
          <w:sz w:val="24"/>
          <w:szCs w:val="24"/>
          <w:highlight w:val="none"/>
        </w:rPr>
        <w:t>日期：</w:t>
      </w:r>
      <w:r>
        <w:rPr>
          <w:rFonts w:hint="eastAsia" w:ascii="宋体" w:hAnsi="宋体" w:eastAsia="宋体" w:cs="Times New Roman"/>
          <w:sz w:val="24"/>
          <w:szCs w:val="24"/>
          <w:highlight w:val="none"/>
        </w:rPr>
        <w:br w:type="page"/>
      </w:r>
    </w:p>
    <w:p w14:paraId="6E7D9F63">
      <w:pPr>
        <w:pStyle w:val="7"/>
        <w:jc w:val="center"/>
        <w:rPr>
          <w:highlight w:val="none"/>
        </w:rPr>
      </w:pPr>
      <w:bookmarkStart w:id="187" w:name="_Toc21295"/>
      <w:bookmarkStart w:id="188" w:name="_Toc6120"/>
      <w:bookmarkStart w:id="189" w:name="_Toc14135"/>
      <w:r>
        <w:rPr>
          <w:rFonts w:hint="eastAsia"/>
          <w:highlight w:val="none"/>
        </w:rPr>
        <w:t>第三章  评标办法（综合评估法）</w:t>
      </w:r>
      <w:bookmarkEnd w:id="34"/>
      <w:bookmarkEnd w:id="35"/>
      <w:bookmarkEnd w:id="36"/>
      <w:bookmarkEnd w:id="37"/>
      <w:bookmarkEnd w:id="38"/>
      <w:bookmarkEnd w:id="187"/>
      <w:bookmarkEnd w:id="188"/>
      <w:bookmarkEnd w:id="189"/>
    </w:p>
    <w:p w14:paraId="64589C76">
      <w:pPr>
        <w:widowControl/>
        <w:spacing w:line="400" w:lineRule="exact"/>
        <w:ind w:firstLine="420"/>
        <w:rPr>
          <w:rFonts w:hint="eastAsia" w:ascii="宋体" w:hAnsi="宋体" w:cs="Calibri"/>
          <w:sz w:val="24"/>
          <w:highlight w:val="none"/>
        </w:rPr>
      </w:pPr>
      <w:bookmarkStart w:id="190" w:name="_Toc144974567"/>
      <w:bookmarkEnd w:id="190"/>
      <w:bookmarkStart w:id="191" w:name="_Toc466566705"/>
      <w:bookmarkEnd w:id="191"/>
      <w:bookmarkStart w:id="192" w:name="_Toc375053347"/>
      <w:bookmarkEnd w:id="192"/>
      <w:bookmarkStart w:id="193" w:name="_Toc179632618"/>
      <w:bookmarkEnd w:id="193"/>
      <w:bookmarkStart w:id="194" w:name="_Toc466566794"/>
      <w:bookmarkEnd w:id="194"/>
      <w:bookmarkStart w:id="195" w:name="_Toc152045600"/>
      <w:bookmarkEnd w:id="195"/>
      <w:bookmarkStart w:id="196" w:name="OLE_LINK1"/>
      <w:r>
        <w:rPr>
          <w:rFonts w:hint="eastAsia" w:ascii="宋体" w:hAnsi="宋体" w:cs="Calibri"/>
          <w:kern w:val="0"/>
          <w:sz w:val="24"/>
          <w:highlight w:val="none"/>
        </w:rPr>
        <w:t>本次项目的评审分为初步审查和详细审查。详细审查采用综合评分法，总分为100分。</w:t>
      </w:r>
      <w:bookmarkEnd w:id="196"/>
      <w:r>
        <w:rPr>
          <w:rFonts w:hint="eastAsia" w:ascii="宋体" w:hAnsi="宋体" w:cs="Calibri"/>
          <w:kern w:val="0"/>
          <w:sz w:val="24"/>
          <w:highlight w:val="none"/>
        </w:rPr>
        <w:t>评审因素如下：</w:t>
      </w:r>
    </w:p>
    <w:p w14:paraId="367752AE">
      <w:pPr>
        <w:widowControl/>
        <w:spacing w:line="400" w:lineRule="exact"/>
        <w:rPr>
          <w:rFonts w:hint="eastAsia" w:ascii="宋体" w:hAnsi="宋体" w:cs="Calibri"/>
          <w:b/>
          <w:bCs/>
          <w:sz w:val="24"/>
          <w:highlight w:val="none"/>
        </w:rPr>
      </w:pPr>
      <w:r>
        <w:rPr>
          <w:rFonts w:hint="eastAsia" w:ascii="宋体" w:hAnsi="宋体" w:cs="Calibri"/>
          <w:b/>
          <w:bCs/>
          <w:kern w:val="0"/>
          <w:sz w:val="24"/>
          <w:highlight w:val="none"/>
        </w:rPr>
        <w:t>一、初步审查</w:t>
      </w:r>
    </w:p>
    <w:tbl>
      <w:tblPr>
        <w:tblStyle w:val="24"/>
        <w:tblW w:w="98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5"/>
        <w:gridCol w:w="1024"/>
        <w:gridCol w:w="2647"/>
        <w:gridCol w:w="5603"/>
      </w:tblGrid>
      <w:tr w14:paraId="524BAD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9" w:hRule="atLeast"/>
          <w:jc w:val="center"/>
        </w:trPr>
        <w:tc>
          <w:tcPr>
            <w:tcW w:w="1569" w:type="dxa"/>
            <w:gridSpan w:val="2"/>
            <w:tcBorders>
              <w:top w:val="single" w:color="auto" w:sz="4" w:space="0"/>
              <w:left w:val="single" w:color="auto" w:sz="4" w:space="0"/>
              <w:bottom w:val="single" w:color="auto" w:sz="4" w:space="0"/>
              <w:right w:val="single" w:color="auto" w:sz="4" w:space="0"/>
            </w:tcBorders>
            <w:vAlign w:val="center"/>
          </w:tcPr>
          <w:p w14:paraId="1AABA1B3">
            <w:pPr>
              <w:spacing w:line="360" w:lineRule="auto"/>
              <w:jc w:val="center"/>
              <w:rPr>
                <w:rFonts w:hint="eastAsia" w:ascii="宋体" w:hAnsi="宋体" w:eastAsia="宋体" w:cs="Courier New"/>
                <w:sz w:val="24"/>
                <w:szCs w:val="21"/>
                <w:highlight w:val="none"/>
              </w:rPr>
            </w:pPr>
            <w:r>
              <w:rPr>
                <w:rFonts w:hint="eastAsia" w:ascii="宋体" w:hAnsi="宋体" w:eastAsia="宋体" w:cs="Courier New"/>
                <w:sz w:val="24"/>
                <w:szCs w:val="21"/>
                <w:highlight w:val="none"/>
              </w:rPr>
              <w:t>条款号</w:t>
            </w:r>
          </w:p>
        </w:tc>
        <w:tc>
          <w:tcPr>
            <w:tcW w:w="2647" w:type="dxa"/>
            <w:tcBorders>
              <w:top w:val="single" w:color="auto" w:sz="4" w:space="0"/>
              <w:left w:val="nil"/>
              <w:bottom w:val="single" w:color="auto" w:sz="4" w:space="0"/>
              <w:right w:val="single" w:color="auto" w:sz="4" w:space="0"/>
            </w:tcBorders>
            <w:vAlign w:val="center"/>
          </w:tcPr>
          <w:p w14:paraId="45670441">
            <w:pPr>
              <w:spacing w:line="360" w:lineRule="auto"/>
              <w:ind w:firstLine="60" w:firstLineChars="25"/>
              <w:jc w:val="center"/>
              <w:rPr>
                <w:rFonts w:hint="eastAsia" w:ascii="宋体" w:hAnsi="宋体" w:eastAsia="宋体" w:cs="Courier New"/>
                <w:sz w:val="24"/>
                <w:szCs w:val="21"/>
                <w:highlight w:val="none"/>
              </w:rPr>
            </w:pPr>
            <w:r>
              <w:rPr>
                <w:rFonts w:hint="eastAsia" w:ascii="宋体" w:hAnsi="宋体" w:eastAsia="宋体" w:cs="Courier New"/>
                <w:sz w:val="24"/>
                <w:szCs w:val="21"/>
                <w:highlight w:val="none"/>
              </w:rPr>
              <w:t>评审因素</w:t>
            </w:r>
          </w:p>
        </w:tc>
        <w:tc>
          <w:tcPr>
            <w:tcW w:w="5603" w:type="dxa"/>
            <w:tcBorders>
              <w:top w:val="single" w:color="auto" w:sz="4" w:space="0"/>
              <w:left w:val="nil"/>
              <w:bottom w:val="single" w:color="auto" w:sz="4" w:space="0"/>
              <w:right w:val="single" w:color="auto" w:sz="4" w:space="0"/>
            </w:tcBorders>
            <w:vAlign w:val="center"/>
          </w:tcPr>
          <w:p w14:paraId="1C1AFC3F">
            <w:pPr>
              <w:spacing w:line="360" w:lineRule="auto"/>
              <w:ind w:firstLine="1920" w:firstLineChars="800"/>
              <w:rPr>
                <w:rFonts w:hint="eastAsia" w:ascii="宋体" w:hAnsi="宋体" w:eastAsia="宋体" w:cs="Courier New"/>
                <w:sz w:val="24"/>
                <w:szCs w:val="21"/>
                <w:highlight w:val="none"/>
              </w:rPr>
            </w:pPr>
            <w:r>
              <w:rPr>
                <w:rFonts w:hint="eastAsia" w:ascii="宋体" w:hAnsi="宋体" w:eastAsia="宋体" w:cs="Courier New"/>
                <w:sz w:val="24"/>
                <w:szCs w:val="21"/>
                <w:highlight w:val="none"/>
              </w:rPr>
              <w:t>评审标准</w:t>
            </w:r>
          </w:p>
        </w:tc>
      </w:tr>
      <w:tr w14:paraId="6B7B9B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545" w:type="dxa"/>
            <w:vMerge w:val="restart"/>
            <w:tcBorders>
              <w:top w:val="nil"/>
              <w:left w:val="single" w:color="auto" w:sz="4" w:space="0"/>
              <w:right w:val="single" w:color="auto" w:sz="4" w:space="0"/>
            </w:tcBorders>
            <w:vAlign w:val="center"/>
          </w:tcPr>
          <w:p w14:paraId="3C3B3726">
            <w:pPr>
              <w:spacing w:line="360" w:lineRule="auto"/>
              <w:jc w:val="center"/>
              <w:rPr>
                <w:rFonts w:hint="eastAsia" w:ascii="宋体" w:hAnsi="宋体" w:eastAsia="宋体" w:cs="Courier New"/>
                <w:sz w:val="24"/>
                <w:szCs w:val="21"/>
                <w:highlight w:val="none"/>
              </w:rPr>
            </w:pPr>
            <w:r>
              <w:rPr>
                <w:rFonts w:hint="eastAsia" w:ascii="宋体" w:hAnsi="宋体" w:eastAsia="宋体" w:cs="Courier New"/>
                <w:sz w:val="24"/>
                <w:szCs w:val="21"/>
                <w:highlight w:val="none"/>
              </w:rPr>
              <w:t>初</w:t>
            </w:r>
          </w:p>
          <w:p w14:paraId="46BF7BB4">
            <w:pPr>
              <w:spacing w:line="360" w:lineRule="auto"/>
              <w:jc w:val="center"/>
              <w:rPr>
                <w:rFonts w:hint="eastAsia" w:ascii="宋体" w:hAnsi="宋体" w:eastAsia="宋体" w:cs="Courier New"/>
                <w:sz w:val="24"/>
                <w:szCs w:val="21"/>
                <w:highlight w:val="none"/>
              </w:rPr>
            </w:pPr>
            <w:r>
              <w:rPr>
                <w:rFonts w:hint="eastAsia" w:ascii="宋体" w:hAnsi="宋体" w:eastAsia="宋体" w:cs="Courier New"/>
                <w:sz w:val="24"/>
                <w:szCs w:val="21"/>
                <w:highlight w:val="none"/>
              </w:rPr>
              <w:t>步</w:t>
            </w:r>
          </w:p>
          <w:p w14:paraId="3AF98C7F">
            <w:pPr>
              <w:spacing w:line="360" w:lineRule="auto"/>
              <w:jc w:val="center"/>
              <w:rPr>
                <w:rFonts w:hint="eastAsia" w:ascii="宋体" w:hAnsi="宋体" w:eastAsia="宋体" w:cs="Courier New"/>
                <w:sz w:val="24"/>
                <w:szCs w:val="21"/>
                <w:highlight w:val="none"/>
              </w:rPr>
            </w:pPr>
            <w:r>
              <w:rPr>
                <w:rFonts w:hint="eastAsia" w:ascii="宋体" w:hAnsi="宋体" w:eastAsia="宋体" w:cs="Courier New"/>
                <w:sz w:val="24"/>
                <w:szCs w:val="21"/>
                <w:highlight w:val="none"/>
              </w:rPr>
              <w:t>评</w:t>
            </w:r>
          </w:p>
          <w:p w14:paraId="128FB164">
            <w:pPr>
              <w:spacing w:line="360" w:lineRule="auto"/>
              <w:jc w:val="center"/>
              <w:rPr>
                <w:rFonts w:hint="eastAsia" w:ascii="宋体" w:hAnsi="宋体" w:eastAsia="宋体" w:cs="Courier New"/>
                <w:sz w:val="24"/>
                <w:szCs w:val="21"/>
                <w:highlight w:val="none"/>
              </w:rPr>
            </w:pPr>
            <w:r>
              <w:rPr>
                <w:rFonts w:hint="eastAsia" w:ascii="宋体" w:hAnsi="宋体" w:eastAsia="宋体" w:cs="Courier New"/>
                <w:sz w:val="24"/>
                <w:szCs w:val="21"/>
                <w:highlight w:val="none"/>
              </w:rPr>
              <w:t>审</w:t>
            </w:r>
          </w:p>
        </w:tc>
        <w:tc>
          <w:tcPr>
            <w:tcW w:w="1024" w:type="dxa"/>
            <w:vMerge w:val="restart"/>
            <w:tcBorders>
              <w:top w:val="nil"/>
              <w:left w:val="nil"/>
              <w:bottom w:val="single" w:color="auto" w:sz="4" w:space="0"/>
              <w:right w:val="single" w:color="auto" w:sz="4" w:space="0"/>
            </w:tcBorders>
            <w:vAlign w:val="center"/>
          </w:tcPr>
          <w:p w14:paraId="22609F6C">
            <w:pPr>
              <w:spacing w:line="360" w:lineRule="auto"/>
              <w:rPr>
                <w:rFonts w:hint="eastAsia" w:ascii="宋体" w:hAnsi="宋体" w:eastAsia="宋体" w:cs="Times New Roman"/>
                <w:sz w:val="24"/>
                <w:szCs w:val="21"/>
                <w:highlight w:val="none"/>
              </w:rPr>
            </w:pPr>
            <w:r>
              <w:rPr>
                <w:rFonts w:hint="eastAsia" w:ascii="宋体" w:hAnsi="宋体" w:eastAsia="宋体" w:cs="Courier New"/>
                <w:sz w:val="24"/>
                <w:szCs w:val="21"/>
                <w:highlight w:val="none"/>
                <w:lang w:val="en-US" w:eastAsia="zh-CN"/>
              </w:rPr>
              <w:t>符合性</w:t>
            </w:r>
            <w:r>
              <w:rPr>
                <w:rFonts w:hint="eastAsia" w:ascii="宋体" w:hAnsi="宋体" w:eastAsia="宋体" w:cs="Courier New"/>
                <w:sz w:val="24"/>
                <w:szCs w:val="21"/>
                <w:highlight w:val="none"/>
              </w:rPr>
              <w:t>评审</w:t>
            </w:r>
            <w:r>
              <w:rPr>
                <w:rFonts w:hint="eastAsia" w:ascii="宋体" w:hAnsi="宋体" w:eastAsia="宋体" w:cs="Times New Roman"/>
                <w:sz w:val="24"/>
                <w:szCs w:val="21"/>
                <w:highlight w:val="none"/>
              </w:rPr>
              <w:t>标准</w:t>
            </w:r>
          </w:p>
        </w:tc>
        <w:tc>
          <w:tcPr>
            <w:tcW w:w="2647" w:type="dxa"/>
            <w:tcBorders>
              <w:top w:val="single" w:color="auto" w:sz="4" w:space="0"/>
              <w:left w:val="nil"/>
              <w:bottom w:val="single" w:color="auto" w:sz="4" w:space="0"/>
              <w:right w:val="single" w:color="auto" w:sz="4" w:space="0"/>
            </w:tcBorders>
            <w:vAlign w:val="center"/>
          </w:tcPr>
          <w:p w14:paraId="6FD0A7CE">
            <w:pPr>
              <w:spacing w:line="266" w:lineRule="auto"/>
              <w:rPr>
                <w:rFonts w:hint="eastAsia" w:ascii="宋体" w:hAnsi="宋体" w:eastAsia="宋体" w:cs="Courier New"/>
                <w:sz w:val="24"/>
                <w:szCs w:val="21"/>
                <w:highlight w:val="none"/>
              </w:rPr>
            </w:pPr>
            <w:r>
              <w:rPr>
                <w:rFonts w:hint="eastAsia" w:ascii="宋体" w:hAnsi="宋体" w:eastAsia="宋体" w:cs="Courier New"/>
                <w:sz w:val="24"/>
                <w:szCs w:val="21"/>
                <w:highlight w:val="none"/>
              </w:rPr>
              <w:t>供应商名称</w:t>
            </w:r>
          </w:p>
        </w:tc>
        <w:tc>
          <w:tcPr>
            <w:tcW w:w="5603" w:type="dxa"/>
            <w:tcBorders>
              <w:top w:val="single" w:color="auto" w:sz="4" w:space="0"/>
              <w:left w:val="nil"/>
              <w:bottom w:val="single" w:color="auto" w:sz="4" w:space="0"/>
              <w:right w:val="single" w:color="auto" w:sz="4" w:space="0"/>
            </w:tcBorders>
            <w:vAlign w:val="center"/>
          </w:tcPr>
          <w:p w14:paraId="32C2852B">
            <w:pPr>
              <w:spacing w:line="266" w:lineRule="auto"/>
              <w:rPr>
                <w:rFonts w:hint="eastAsia" w:ascii="宋体" w:hAnsi="宋体" w:eastAsia="宋体" w:cs="Courier New"/>
                <w:sz w:val="24"/>
                <w:szCs w:val="21"/>
                <w:highlight w:val="none"/>
              </w:rPr>
            </w:pPr>
            <w:r>
              <w:rPr>
                <w:rFonts w:hint="eastAsia" w:ascii="宋体" w:hAnsi="宋体" w:eastAsia="宋体" w:cs="Courier New"/>
                <w:sz w:val="24"/>
                <w:szCs w:val="21"/>
                <w:highlight w:val="none"/>
              </w:rPr>
              <w:t>与营业执照一致</w:t>
            </w:r>
          </w:p>
        </w:tc>
      </w:tr>
      <w:tr w14:paraId="3958DF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8" w:hRule="atLeast"/>
          <w:jc w:val="center"/>
        </w:trPr>
        <w:tc>
          <w:tcPr>
            <w:tcW w:w="545" w:type="dxa"/>
            <w:vMerge w:val="continue"/>
            <w:tcBorders>
              <w:left w:val="single" w:color="auto" w:sz="4" w:space="0"/>
              <w:right w:val="single" w:color="auto" w:sz="4" w:space="0"/>
            </w:tcBorders>
            <w:vAlign w:val="center"/>
          </w:tcPr>
          <w:p w14:paraId="00172D94">
            <w:pPr>
              <w:spacing w:line="360" w:lineRule="auto"/>
              <w:jc w:val="center"/>
              <w:rPr>
                <w:rFonts w:hint="eastAsia" w:ascii="宋体" w:hAnsi="宋体" w:eastAsia="宋体" w:cs="Courier New"/>
                <w:sz w:val="24"/>
                <w:szCs w:val="21"/>
                <w:highlight w:val="none"/>
              </w:rPr>
            </w:pPr>
          </w:p>
        </w:tc>
        <w:tc>
          <w:tcPr>
            <w:tcW w:w="1024" w:type="dxa"/>
            <w:vMerge w:val="continue"/>
            <w:tcBorders>
              <w:top w:val="nil"/>
              <w:left w:val="nil"/>
              <w:bottom w:val="single" w:color="auto" w:sz="4" w:space="0"/>
              <w:right w:val="single" w:color="auto" w:sz="4" w:space="0"/>
            </w:tcBorders>
            <w:vAlign w:val="center"/>
          </w:tcPr>
          <w:p w14:paraId="143C348D">
            <w:pPr>
              <w:widowControl/>
              <w:jc w:val="left"/>
              <w:rPr>
                <w:rFonts w:hint="eastAsia" w:ascii="宋体" w:hAnsi="宋体" w:eastAsia="宋体" w:cs="Times New Roman"/>
                <w:sz w:val="24"/>
                <w:szCs w:val="21"/>
                <w:highlight w:val="none"/>
              </w:rPr>
            </w:pPr>
          </w:p>
        </w:tc>
        <w:tc>
          <w:tcPr>
            <w:tcW w:w="2647" w:type="dxa"/>
            <w:tcBorders>
              <w:top w:val="single" w:color="auto" w:sz="4" w:space="0"/>
              <w:left w:val="nil"/>
              <w:bottom w:val="single" w:color="auto" w:sz="4" w:space="0"/>
              <w:right w:val="single" w:color="auto" w:sz="4" w:space="0"/>
            </w:tcBorders>
            <w:vAlign w:val="center"/>
          </w:tcPr>
          <w:p w14:paraId="64B8B806">
            <w:pPr>
              <w:spacing w:line="266" w:lineRule="auto"/>
              <w:rPr>
                <w:rFonts w:hint="eastAsia" w:ascii="宋体" w:hAnsi="宋体" w:eastAsia="宋体" w:cs="Courier New"/>
                <w:sz w:val="24"/>
                <w:szCs w:val="21"/>
                <w:highlight w:val="none"/>
              </w:rPr>
            </w:pPr>
            <w:r>
              <w:rPr>
                <w:rFonts w:hint="eastAsia" w:ascii="宋体" w:hAnsi="宋体" w:eastAsia="宋体" w:cs="Courier New"/>
                <w:sz w:val="24"/>
                <w:szCs w:val="21"/>
                <w:highlight w:val="none"/>
              </w:rPr>
              <w:t>签字盖章</w:t>
            </w:r>
          </w:p>
        </w:tc>
        <w:tc>
          <w:tcPr>
            <w:tcW w:w="5603" w:type="dxa"/>
            <w:tcBorders>
              <w:top w:val="single" w:color="auto" w:sz="4" w:space="0"/>
              <w:left w:val="nil"/>
              <w:bottom w:val="single" w:color="auto" w:sz="4" w:space="0"/>
              <w:right w:val="single" w:color="auto" w:sz="4" w:space="0"/>
            </w:tcBorders>
            <w:vAlign w:val="center"/>
          </w:tcPr>
          <w:p w14:paraId="1D78AB85">
            <w:pPr>
              <w:spacing w:line="266" w:lineRule="auto"/>
              <w:rPr>
                <w:rFonts w:hint="eastAsia" w:ascii="宋体" w:hAnsi="宋体" w:eastAsia="宋体" w:cs="Courier New"/>
                <w:sz w:val="24"/>
                <w:szCs w:val="21"/>
                <w:highlight w:val="none"/>
              </w:rPr>
            </w:pPr>
            <w:r>
              <w:rPr>
                <w:rFonts w:hint="eastAsia" w:ascii="宋体" w:hAnsi="宋体" w:eastAsia="宋体" w:cs="Courier New"/>
                <w:sz w:val="24"/>
                <w:szCs w:val="21"/>
                <w:highlight w:val="none"/>
              </w:rPr>
              <w:t>有法定代表人或其委托代理人签字或盖章并加盖单位公章</w:t>
            </w:r>
          </w:p>
        </w:tc>
      </w:tr>
      <w:tr w14:paraId="4C75B8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jc w:val="center"/>
        </w:trPr>
        <w:tc>
          <w:tcPr>
            <w:tcW w:w="545" w:type="dxa"/>
            <w:vMerge w:val="continue"/>
            <w:tcBorders>
              <w:left w:val="single" w:color="auto" w:sz="4" w:space="0"/>
              <w:right w:val="single" w:color="auto" w:sz="4" w:space="0"/>
            </w:tcBorders>
            <w:vAlign w:val="center"/>
          </w:tcPr>
          <w:p w14:paraId="218F07E1">
            <w:pPr>
              <w:spacing w:line="360" w:lineRule="auto"/>
              <w:jc w:val="center"/>
              <w:rPr>
                <w:rFonts w:hint="eastAsia" w:ascii="宋体" w:hAnsi="宋体" w:eastAsia="宋体" w:cs="Courier New"/>
                <w:sz w:val="24"/>
                <w:szCs w:val="21"/>
                <w:highlight w:val="none"/>
              </w:rPr>
            </w:pPr>
          </w:p>
        </w:tc>
        <w:tc>
          <w:tcPr>
            <w:tcW w:w="1024" w:type="dxa"/>
            <w:vMerge w:val="continue"/>
            <w:tcBorders>
              <w:top w:val="nil"/>
              <w:left w:val="nil"/>
              <w:bottom w:val="single" w:color="auto" w:sz="4" w:space="0"/>
              <w:right w:val="single" w:color="auto" w:sz="4" w:space="0"/>
            </w:tcBorders>
            <w:vAlign w:val="center"/>
          </w:tcPr>
          <w:p w14:paraId="072E0A00">
            <w:pPr>
              <w:widowControl/>
              <w:jc w:val="left"/>
              <w:rPr>
                <w:rFonts w:hint="eastAsia" w:ascii="宋体" w:hAnsi="宋体" w:eastAsia="宋体" w:cs="Times New Roman"/>
                <w:sz w:val="24"/>
                <w:szCs w:val="21"/>
                <w:highlight w:val="none"/>
              </w:rPr>
            </w:pPr>
          </w:p>
        </w:tc>
        <w:tc>
          <w:tcPr>
            <w:tcW w:w="2647" w:type="dxa"/>
            <w:tcBorders>
              <w:top w:val="single" w:color="auto" w:sz="4" w:space="0"/>
              <w:left w:val="nil"/>
              <w:bottom w:val="single" w:color="auto" w:sz="4" w:space="0"/>
              <w:right w:val="single" w:color="auto" w:sz="4" w:space="0"/>
            </w:tcBorders>
            <w:vAlign w:val="center"/>
          </w:tcPr>
          <w:p w14:paraId="0C424B84">
            <w:pPr>
              <w:spacing w:line="266" w:lineRule="auto"/>
              <w:rPr>
                <w:rFonts w:hint="eastAsia" w:ascii="宋体" w:hAnsi="宋体" w:eastAsia="宋体" w:cs="Courier New"/>
                <w:sz w:val="24"/>
                <w:szCs w:val="21"/>
                <w:highlight w:val="none"/>
              </w:rPr>
            </w:pPr>
            <w:r>
              <w:rPr>
                <w:rFonts w:hint="eastAsia" w:ascii="宋体" w:hAnsi="宋体" w:eastAsia="宋体" w:cs="Courier New"/>
                <w:sz w:val="24"/>
                <w:szCs w:val="21"/>
                <w:highlight w:val="none"/>
              </w:rPr>
              <w:t>报价唯一</w:t>
            </w:r>
          </w:p>
        </w:tc>
        <w:tc>
          <w:tcPr>
            <w:tcW w:w="5603" w:type="dxa"/>
            <w:tcBorders>
              <w:top w:val="single" w:color="auto" w:sz="4" w:space="0"/>
              <w:left w:val="nil"/>
              <w:bottom w:val="single" w:color="auto" w:sz="4" w:space="0"/>
              <w:right w:val="single" w:color="auto" w:sz="4" w:space="0"/>
            </w:tcBorders>
            <w:vAlign w:val="center"/>
          </w:tcPr>
          <w:p w14:paraId="6657AC31">
            <w:pPr>
              <w:spacing w:line="266" w:lineRule="auto"/>
              <w:rPr>
                <w:rFonts w:hint="eastAsia" w:ascii="宋体" w:hAnsi="宋体" w:eastAsia="宋体" w:cs="Courier New"/>
                <w:sz w:val="24"/>
                <w:szCs w:val="21"/>
                <w:highlight w:val="none"/>
              </w:rPr>
            </w:pPr>
            <w:r>
              <w:rPr>
                <w:rFonts w:hint="eastAsia" w:ascii="宋体" w:hAnsi="宋体" w:eastAsia="宋体" w:cs="Courier New"/>
                <w:sz w:val="24"/>
                <w:szCs w:val="21"/>
                <w:highlight w:val="none"/>
              </w:rPr>
              <w:t>只能有一个有效报价，且不超过控制价</w:t>
            </w:r>
          </w:p>
        </w:tc>
      </w:tr>
      <w:tr w14:paraId="5DD225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5" w:hRule="atLeast"/>
          <w:jc w:val="center"/>
        </w:trPr>
        <w:tc>
          <w:tcPr>
            <w:tcW w:w="545" w:type="dxa"/>
            <w:vMerge w:val="continue"/>
            <w:tcBorders>
              <w:left w:val="single" w:color="auto" w:sz="4" w:space="0"/>
              <w:right w:val="single" w:color="auto" w:sz="4" w:space="0"/>
            </w:tcBorders>
            <w:vAlign w:val="center"/>
          </w:tcPr>
          <w:p w14:paraId="5B288C04">
            <w:pPr>
              <w:spacing w:line="360" w:lineRule="auto"/>
              <w:jc w:val="center"/>
              <w:rPr>
                <w:rFonts w:hint="eastAsia" w:ascii="宋体" w:hAnsi="宋体" w:eastAsia="宋体" w:cs="Courier New"/>
                <w:sz w:val="24"/>
                <w:szCs w:val="21"/>
                <w:highlight w:val="none"/>
              </w:rPr>
            </w:pPr>
          </w:p>
        </w:tc>
        <w:tc>
          <w:tcPr>
            <w:tcW w:w="1024" w:type="dxa"/>
            <w:vMerge w:val="restart"/>
            <w:tcBorders>
              <w:top w:val="nil"/>
              <w:left w:val="nil"/>
              <w:bottom w:val="single" w:color="auto" w:sz="4" w:space="0"/>
              <w:right w:val="single" w:color="auto" w:sz="4" w:space="0"/>
            </w:tcBorders>
            <w:vAlign w:val="center"/>
          </w:tcPr>
          <w:p w14:paraId="3D904939">
            <w:pPr>
              <w:spacing w:line="360" w:lineRule="auto"/>
              <w:rPr>
                <w:rFonts w:hint="eastAsia" w:ascii="宋体" w:hAnsi="宋体" w:eastAsia="宋体" w:cs="Courier New"/>
                <w:sz w:val="24"/>
                <w:szCs w:val="21"/>
                <w:highlight w:val="none"/>
              </w:rPr>
            </w:pPr>
            <w:r>
              <w:rPr>
                <w:rFonts w:hint="eastAsia" w:ascii="宋体" w:hAnsi="宋体" w:eastAsia="宋体" w:cs="Courier New"/>
                <w:sz w:val="24"/>
                <w:szCs w:val="21"/>
                <w:highlight w:val="none"/>
              </w:rPr>
              <w:t>资格</w:t>
            </w:r>
          </w:p>
          <w:p w14:paraId="6355EC64">
            <w:pPr>
              <w:spacing w:line="360" w:lineRule="auto"/>
              <w:rPr>
                <w:rFonts w:hint="eastAsia" w:ascii="宋体" w:hAnsi="宋体" w:eastAsia="宋体" w:cs="Courier New"/>
                <w:sz w:val="24"/>
                <w:szCs w:val="21"/>
                <w:highlight w:val="none"/>
              </w:rPr>
            </w:pPr>
            <w:r>
              <w:rPr>
                <w:rFonts w:hint="eastAsia" w:ascii="宋体" w:hAnsi="宋体" w:eastAsia="宋体" w:cs="Courier New"/>
                <w:sz w:val="24"/>
                <w:szCs w:val="21"/>
                <w:highlight w:val="none"/>
              </w:rPr>
              <w:t>评审</w:t>
            </w:r>
          </w:p>
          <w:p w14:paraId="725AAC9D">
            <w:pPr>
              <w:spacing w:line="360" w:lineRule="auto"/>
              <w:rPr>
                <w:rFonts w:hint="eastAsia" w:ascii="宋体" w:hAnsi="宋体" w:eastAsia="宋体" w:cs="Times New Roman"/>
                <w:sz w:val="24"/>
                <w:szCs w:val="21"/>
                <w:highlight w:val="none"/>
              </w:rPr>
            </w:pPr>
            <w:r>
              <w:rPr>
                <w:rFonts w:hint="eastAsia" w:ascii="宋体" w:hAnsi="宋体" w:eastAsia="宋体" w:cs="Times New Roman"/>
                <w:sz w:val="24"/>
                <w:szCs w:val="21"/>
                <w:highlight w:val="none"/>
              </w:rPr>
              <w:t>标准</w:t>
            </w:r>
          </w:p>
        </w:tc>
        <w:tc>
          <w:tcPr>
            <w:tcW w:w="2647" w:type="dxa"/>
            <w:tcBorders>
              <w:top w:val="single" w:color="auto" w:sz="4" w:space="0"/>
              <w:left w:val="nil"/>
              <w:bottom w:val="single" w:color="auto" w:sz="4" w:space="0"/>
              <w:right w:val="single" w:color="auto" w:sz="4" w:space="0"/>
            </w:tcBorders>
            <w:vAlign w:val="center"/>
          </w:tcPr>
          <w:p w14:paraId="1B9CFFA5">
            <w:pPr>
              <w:spacing w:line="380" w:lineRule="exact"/>
              <w:jc w:val="left"/>
              <w:rPr>
                <w:rFonts w:hint="eastAsia" w:ascii="宋体" w:hAnsi="宋体" w:eastAsia="宋体" w:cs="Times New Roman"/>
                <w:sz w:val="24"/>
                <w:szCs w:val="21"/>
                <w:highlight w:val="none"/>
              </w:rPr>
            </w:pPr>
            <w:r>
              <w:rPr>
                <w:rFonts w:hint="eastAsia" w:ascii="宋体" w:hAnsi="宋体" w:eastAsia="宋体" w:cs="Times New Roman"/>
                <w:sz w:val="24"/>
                <w:szCs w:val="21"/>
                <w:highlight w:val="none"/>
              </w:rPr>
              <w:t>营业执照</w:t>
            </w:r>
          </w:p>
        </w:tc>
        <w:tc>
          <w:tcPr>
            <w:tcW w:w="5603" w:type="dxa"/>
            <w:tcBorders>
              <w:top w:val="single" w:color="auto" w:sz="4" w:space="0"/>
              <w:left w:val="nil"/>
              <w:bottom w:val="single" w:color="auto" w:sz="4" w:space="0"/>
              <w:right w:val="single" w:color="auto" w:sz="4" w:space="0"/>
            </w:tcBorders>
            <w:vAlign w:val="center"/>
          </w:tcPr>
          <w:p w14:paraId="7108131D">
            <w:pPr>
              <w:adjustRightInd w:val="0"/>
              <w:spacing w:line="360" w:lineRule="auto"/>
              <w:jc w:val="left"/>
              <w:textAlignment w:val="baseline"/>
              <w:rPr>
                <w:rFonts w:hint="eastAsia" w:ascii="宋体" w:hAnsi="宋体" w:eastAsia="宋体" w:cs="宋体"/>
                <w:sz w:val="24"/>
                <w:szCs w:val="21"/>
                <w:highlight w:val="none"/>
              </w:rPr>
            </w:pPr>
            <w:r>
              <w:rPr>
                <w:rFonts w:hint="eastAsia" w:ascii="宋体" w:hAnsi="宋体" w:eastAsia="宋体" w:cs="宋体"/>
                <w:sz w:val="24"/>
                <w:szCs w:val="21"/>
                <w:highlight w:val="none"/>
              </w:rPr>
              <w:t>详见第二章“供应商须知前附表”的规定</w:t>
            </w:r>
          </w:p>
        </w:tc>
      </w:tr>
      <w:tr w14:paraId="63A883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5" w:hRule="atLeast"/>
          <w:jc w:val="center"/>
        </w:trPr>
        <w:tc>
          <w:tcPr>
            <w:tcW w:w="545" w:type="dxa"/>
            <w:vMerge w:val="continue"/>
            <w:tcBorders>
              <w:left w:val="single" w:color="auto" w:sz="4" w:space="0"/>
              <w:right w:val="single" w:color="auto" w:sz="4" w:space="0"/>
            </w:tcBorders>
            <w:vAlign w:val="center"/>
          </w:tcPr>
          <w:p w14:paraId="79973C66">
            <w:pPr>
              <w:spacing w:line="360" w:lineRule="auto"/>
              <w:jc w:val="center"/>
              <w:rPr>
                <w:rFonts w:hint="eastAsia" w:ascii="宋体" w:hAnsi="宋体" w:eastAsia="宋体" w:cs="Courier New"/>
                <w:sz w:val="24"/>
                <w:szCs w:val="21"/>
                <w:highlight w:val="none"/>
              </w:rPr>
            </w:pPr>
          </w:p>
        </w:tc>
        <w:tc>
          <w:tcPr>
            <w:tcW w:w="1024" w:type="dxa"/>
            <w:vMerge w:val="continue"/>
            <w:tcBorders>
              <w:left w:val="nil"/>
              <w:right w:val="single" w:color="auto" w:sz="4" w:space="0"/>
            </w:tcBorders>
            <w:vAlign w:val="center"/>
          </w:tcPr>
          <w:p w14:paraId="650E0012">
            <w:pPr>
              <w:spacing w:line="360" w:lineRule="auto"/>
              <w:rPr>
                <w:rFonts w:hint="eastAsia" w:ascii="宋体" w:hAnsi="宋体" w:eastAsia="宋体" w:cs="Times New Roman"/>
                <w:sz w:val="24"/>
                <w:szCs w:val="21"/>
                <w:highlight w:val="none"/>
              </w:rPr>
            </w:pPr>
          </w:p>
        </w:tc>
        <w:tc>
          <w:tcPr>
            <w:tcW w:w="2647" w:type="dxa"/>
            <w:tcBorders>
              <w:top w:val="single" w:color="auto" w:sz="4" w:space="0"/>
              <w:left w:val="nil"/>
              <w:bottom w:val="single" w:color="auto" w:sz="4" w:space="0"/>
              <w:right w:val="single" w:color="auto" w:sz="4" w:space="0"/>
            </w:tcBorders>
            <w:vAlign w:val="center"/>
          </w:tcPr>
          <w:p w14:paraId="25A0683A">
            <w:pPr>
              <w:spacing w:line="380" w:lineRule="exact"/>
              <w:jc w:val="left"/>
              <w:rPr>
                <w:rFonts w:hint="eastAsia" w:ascii="宋体" w:hAnsi="宋体" w:eastAsia="宋体" w:cs="Times New Roman"/>
                <w:sz w:val="24"/>
                <w:szCs w:val="21"/>
                <w:highlight w:val="none"/>
              </w:rPr>
            </w:pPr>
            <w:r>
              <w:rPr>
                <w:rFonts w:hint="eastAsia" w:ascii="宋体" w:hAnsi="宋体" w:cs="宋体"/>
                <w:color w:val="auto"/>
                <w:kern w:val="21"/>
                <w:sz w:val="24"/>
                <w:szCs w:val="24"/>
                <w:highlight w:val="none"/>
              </w:rPr>
              <w:t>农药生产许可证</w:t>
            </w:r>
            <w:r>
              <w:rPr>
                <w:rFonts w:hint="eastAsia" w:ascii="宋体" w:hAnsi="宋体" w:cs="宋体"/>
                <w:color w:val="auto"/>
                <w:kern w:val="21"/>
                <w:sz w:val="24"/>
                <w:szCs w:val="24"/>
                <w:highlight w:val="none"/>
                <w:lang w:val="en-US" w:eastAsia="zh-CN"/>
              </w:rPr>
              <w:t>或</w:t>
            </w:r>
            <w:r>
              <w:rPr>
                <w:rFonts w:hint="eastAsia" w:ascii="宋体" w:hAnsi="宋体" w:cs="宋体"/>
                <w:color w:val="auto"/>
                <w:kern w:val="21"/>
                <w:sz w:val="24"/>
                <w:szCs w:val="24"/>
                <w:highlight w:val="none"/>
              </w:rPr>
              <w:t>农药经营许可证</w:t>
            </w:r>
          </w:p>
        </w:tc>
        <w:tc>
          <w:tcPr>
            <w:tcW w:w="5603" w:type="dxa"/>
            <w:tcBorders>
              <w:top w:val="single" w:color="auto" w:sz="4" w:space="0"/>
              <w:left w:val="nil"/>
              <w:bottom w:val="single" w:color="auto" w:sz="4" w:space="0"/>
              <w:right w:val="single" w:color="auto" w:sz="4" w:space="0"/>
            </w:tcBorders>
            <w:vAlign w:val="center"/>
          </w:tcPr>
          <w:p w14:paraId="6735DB20">
            <w:pPr>
              <w:adjustRightInd w:val="0"/>
              <w:spacing w:line="360" w:lineRule="auto"/>
              <w:jc w:val="left"/>
              <w:textAlignment w:val="baseline"/>
              <w:rPr>
                <w:rFonts w:hint="eastAsia" w:ascii="宋体" w:hAnsi="宋体" w:eastAsia="宋体" w:cs="宋体"/>
                <w:sz w:val="24"/>
                <w:szCs w:val="21"/>
                <w:highlight w:val="none"/>
              </w:rPr>
            </w:pPr>
            <w:r>
              <w:rPr>
                <w:rFonts w:hint="eastAsia" w:ascii="宋体" w:hAnsi="宋体" w:eastAsia="宋体" w:cs="宋体"/>
                <w:sz w:val="24"/>
                <w:szCs w:val="21"/>
                <w:highlight w:val="none"/>
              </w:rPr>
              <w:t>详见第二章“供应商须知前附表”的规定</w:t>
            </w:r>
          </w:p>
        </w:tc>
      </w:tr>
      <w:tr w14:paraId="57BD53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8" w:hRule="atLeast"/>
          <w:jc w:val="center"/>
        </w:trPr>
        <w:tc>
          <w:tcPr>
            <w:tcW w:w="545" w:type="dxa"/>
            <w:vMerge w:val="continue"/>
            <w:tcBorders>
              <w:left w:val="single" w:color="auto" w:sz="4" w:space="0"/>
              <w:right w:val="single" w:color="auto" w:sz="4" w:space="0"/>
            </w:tcBorders>
            <w:vAlign w:val="center"/>
          </w:tcPr>
          <w:p w14:paraId="2AFDF5EE">
            <w:pPr>
              <w:spacing w:line="360" w:lineRule="auto"/>
              <w:jc w:val="center"/>
              <w:rPr>
                <w:rFonts w:hint="eastAsia" w:ascii="宋体" w:hAnsi="宋体" w:eastAsia="宋体" w:cs="Courier New"/>
                <w:sz w:val="24"/>
                <w:szCs w:val="21"/>
                <w:highlight w:val="none"/>
              </w:rPr>
            </w:pPr>
          </w:p>
        </w:tc>
        <w:tc>
          <w:tcPr>
            <w:tcW w:w="1024" w:type="dxa"/>
            <w:vMerge w:val="continue"/>
            <w:tcBorders>
              <w:top w:val="nil"/>
              <w:left w:val="nil"/>
              <w:bottom w:val="single" w:color="auto" w:sz="4" w:space="0"/>
              <w:right w:val="single" w:color="auto" w:sz="4" w:space="0"/>
            </w:tcBorders>
            <w:vAlign w:val="center"/>
          </w:tcPr>
          <w:p w14:paraId="5F67109E">
            <w:pPr>
              <w:widowControl/>
              <w:jc w:val="left"/>
              <w:rPr>
                <w:rFonts w:hint="eastAsia" w:ascii="宋体" w:hAnsi="宋体" w:eastAsia="宋体" w:cs="Times New Roman"/>
                <w:sz w:val="24"/>
                <w:szCs w:val="21"/>
                <w:highlight w:val="none"/>
              </w:rPr>
            </w:pPr>
          </w:p>
        </w:tc>
        <w:tc>
          <w:tcPr>
            <w:tcW w:w="2647" w:type="dxa"/>
            <w:tcBorders>
              <w:top w:val="single" w:color="auto" w:sz="4" w:space="0"/>
              <w:left w:val="nil"/>
              <w:bottom w:val="single" w:color="auto" w:sz="4" w:space="0"/>
              <w:right w:val="single" w:color="auto" w:sz="4" w:space="0"/>
            </w:tcBorders>
            <w:vAlign w:val="center"/>
          </w:tcPr>
          <w:p w14:paraId="0FF565C7">
            <w:pPr>
              <w:spacing w:line="266" w:lineRule="auto"/>
              <w:rPr>
                <w:rFonts w:hint="eastAsia" w:ascii="宋体" w:hAnsi="宋体" w:eastAsia="宋体" w:cs="Courier New"/>
                <w:sz w:val="24"/>
                <w:szCs w:val="21"/>
                <w:highlight w:val="none"/>
              </w:rPr>
            </w:pPr>
            <w:r>
              <w:rPr>
                <w:rFonts w:ascii="宋体" w:hAnsi="宋体" w:eastAsia="宋体" w:cs="Courier New"/>
                <w:sz w:val="24"/>
                <w:szCs w:val="21"/>
                <w:highlight w:val="none"/>
              </w:rPr>
              <w:t>无行贿查询结果或承诺</w:t>
            </w:r>
          </w:p>
        </w:tc>
        <w:tc>
          <w:tcPr>
            <w:tcW w:w="5603" w:type="dxa"/>
            <w:tcBorders>
              <w:top w:val="single" w:color="auto" w:sz="4" w:space="0"/>
              <w:left w:val="nil"/>
              <w:bottom w:val="single" w:color="auto" w:sz="4" w:space="0"/>
              <w:right w:val="single" w:color="auto" w:sz="4" w:space="0"/>
            </w:tcBorders>
            <w:vAlign w:val="center"/>
          </w:tcPr>
          <w:p w14:paraId="544E37BE">
            <w:pPr>
              <w:adjustRightInd w:val="0"/>
              <w:spacing w:line="360" w:lineRule="auto"/>
              <w:jc w:val="left"/>
              <w:textAlignment w:val="baseline"/>
              <w:rPr>
                <w:rFonts w:hint="eastAsia" w:ascii="宋体" w:hAnsi="宋体" w:eastAsia="宋体" w:cs="宋体"/>
                <w:sz w:val="24"/>
                <w:szCs w:val="21"/>
                <w:highlight w:val="none"/>
              </w:rPr>
            </w:pPr>
            <w:r>
              <w:rPr>
                <w:rFonts w:hint="eastAsia" w:ascii="宋体" w:hAnsi="宋体" w:eastAsia="宋体" w:cs="宋体"/>
                <w:sz w:val="24"/>
                <w:szCs w:val="21"/>
                <w:highlight w:val="none"/>
              </w:rPr>
              <w:t>详见第二章“供应商须知前附表”的规定</w:t>
            </w:r>
          </w:p>
        </w:tc>
      </w:tr>
      <w:tr w14:paraId="245D33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8" w:hRule="atLeast"/>
          <w:jc w:val="center"/>
        </w:trPr>
        <w:tc>
          <w:tcPr>
            <w:tcW w:w="545" w:type="dxa"/>
            <w:vMerge w:val="continue"/>
            <w:tcBorders>
              <w:left w:val="single" w:color="auto" w:sz="4" w:space="0"/>
              <w:right w:val="single" w:color="auto" w:sz="4" w:space="0"/>
            </w:tcBorders>
            <w:vAlign w:val="center"/>
          </w:tcPr>
          <w:p w14:paraId="7F4C4E00">
            <w:pPr>
              <w:spacing w:line="360" w:lineRule="auto"/>
              <w:jc w:val="center"/>
              <w:rPr>
                <w:rFonts w:hint="eastAsia" w:ascii="宋体" w:hAnsi="宋体" w:eastAsia="宋体" w:cs="Courier New"/>
                <w:sz w:val="24"/>
                <w:szCs w:val="21"/>
                <w:highlight w:val="none"/>
              </w:rPr>
            </w:pPr>
          </w:p>
        </w:tc>
        <w:tc>
          <w:tcPr>
            <w:tcW w:w="1024" w:type="dxa"/>
            <w:vMerge w:val="continue"/>
            <w:tcBorders>
              <w:top w:val="nil"/>
              <w:left w:val="nil"/>
              <w:bottom w:val="single" w:color="auto" w:sz="4" w:space="0"/>
              <w:right w:val="single" w:color="auto" w:sz="4" w:space="0"/>
            </w:tcBorders>
            <w:vAlign w:val="center"/>
          </w:tcPr>
          <w:p w14:paraId="21BD4816">
            <w:pPr>
              <w:widowControl/>
              <w:jc w:val="left"/>
              <w:rPr>
                <w:rFonts w:hint="eastAsia" w:ascii="宋体" w:hAnsi="宋体" w:eastAsia="宋体" w:cs="Times New Roman"/>
                <w:sz w:val="24"/>
                <w:szCs w:val="21"/>
                <w:highlight w:val="none"/>
              </w:rPr>
            </w:pPr>
          </w:p>
        </w:tc>
        <w:tc>
          <w:tcPr>
            <w:tcW w:w="2647" w:type="dxa"/>
            <w:tcBorders>
              <w:top w:val="single" w:color="auto" w:sz="4" w:space="0"/>
              <w:left w:val="nil"/>
              <w:bottom w:val="single" w:color="auto" w:sz="4" w:space="0"/>
              <w:right w:val="single" w:color="auto" w:sz="4" w:space="0"/>
            </w:tcBorders>
            <w:vAlign w:val="center"/>
          </w:tcPr>
          <w:p w14:paraId="75833853">
            <w:pPr>
              <w:spacing w:line="266" w:lineRule="auto"/>
              <w:rPr>
                <w:rFonts w:hint="eastAsia" w:ascii="宋体" w:hAnsi="宋体" w:eastAsia="宋体" w:cs="Courier New"/>
                <w:sz w:val="24"/>
                <w:szCs w:val="21"/>
                <w:highlight w:val="none"/>
              </w:rPr>
            </w:pPr>
            <w:r>
              <w:rPr>
                <w:rFonts w:hint="eastAsia" w:ascii="宋体" w:hAnsi="宋体" w:eastAsia="宋体" w:cs="Courier New"/>
                <w:sz w:val="24"/>
                <w:szCs w:val="21"/>
                <w:highlight w:val="none"/>
              </w:rPr>
              <w:t>无商业贿赂及无不正当竞争行为承诺书</w:t>
            </w:r>
          </w:p>
        </w:tc>
        <w:tc>
          <w:tcPr>
            <w:tcW w:w="5603" w:type="dxa"/>
            <w:tcBorders>
              <w:top w:val="single" w:color="auto" w:sz="4" w:space="0"/>
              <w:left w:val="nil"/>
              <w:bottom w:val="single" w:color="auto" w:sz="4" w:space="0"/>
              <w:right w:val="single" w:color="auto" w:sz="4" w:space="0"/>
            </w:tcBorders>
            <w:vAlign w:val="center"/>
          </w:tcPr>
          <w:p w14:paraId="4614BB2B">
            <w:pPr>
              <w:adjustRightInd w:val="0"/>
              <w:spacing w:line="360" w:lineRule="auto"/>
              <w:jc w:val="left"/>
              <w:textAlignment w:val="baseline"/>
              <w:rPr>
                <w:rFonts w:hint="eastAsia" w:ascii="宋体" w:hAnsi="宋体" w:eastAsia="宋体" w:cs="宋体"/>
                <w:sz w:val="24"/>
                <w:szCs w:val="21"/>
                <w:highlight w:val="none"/>
              </w:rPr>
            </w:pPr>
            <w:r>
              <w:rPr>
                <w:rFonts w:hint="eastAsia" w:ascii="宋体" w:hAnsi="宋体" w:eastAsia="宋体" w:cs="宋体"/>
                <w:sz w:val="24"/>
                <w:szCs w:val="21"/>
                <w:highlight w:val="none"/>
              </w:rPr>
              <w:t>详见第二章“供应商须知前附表”的规定</w:t>
            </w:r>
          </w:p>
        </w:tc>
      </w:tr>
      <w:tr w14:paraId="2C0DC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8" w:hRule="atLeast"/>
          <w:jc w:val="center"/>
        </w:trPr>
        <w:tc>
          <w:tcPr>
            <w:tcW w:w="545" w:type="dxa"/>
            <w:vMerge w:val="continue"/>
            <w:tcBorders>
              <w:left w:val="single" w:color="auto" w:sz="4" w:space="0"/>
              <w:right w:val="single" w:color="auto" w:sz="4" w:space="0"/>
            </w:tcBorders>
            <w:vAlign w:val="center"/>
          </w:tcPr>
          <w:p w14:paraId="26901E70">
            <w:pPr>
              <w:spacing w:line="360" w:lineRule="auto"/>
              <w:jc w:val="center"/>
              <w:rPr>
                <w:rFonts w:hint="eastAsia" w:ascii="宋体" w:hAnsi="宋体" w:eastAsia="宋体" w:cs="Courier New"/>
                <w:sz w:val="24"/>
                <w:szCs w:val="21"/>
                <w:highlight w:val="none"/>
              </w:rPr>
            </w:pPr>
          </w:p>
        </w:tc>
        <w:tc>
          <w:tcPr>
            <w:tcW w:w="1024" w:type="dxa"/>
            <w:vMerge w:val="continue"/>
            <w:tcBorders>
              <w:top w:val="nil"/>
              <w:left w:val="nil"/>
              <w:bottom w:val="single" w:color="auto" w:sz="4" w:space="0"/>
              <w:right w:val="single" w:color="auto" w:sz="4" w:space="0"/>
            </w:tcBorders>
            <w:vAlign w:val="center"/>
          </w:tcPr>
          <w:p w14:paraId="01EC8396">
            <w:pPr>
              <w:widowControl/>
              <w:jc w:val="left"/>
              <w:rPr>
                <w:rFonts w:hint="eastAsia" w:ascii="宋体" w:hAnsi="宋体" w:eastAsia="宋体" w:cs="Times New Roman"/>
                <w:sz w:val="24"/>
                <w:szCs w:val="21"/>
                <w:highlight w:val="none"/>
              </w:rPr>
            </w:pPr>
          </w:p>
        </w:tc>
        <w:tc>
          <w:tcPr>
            <w:tcW w:w="2647" w:type="dxa"/>
            <w:tcBorders>
              <w:top w:val="single" w:color="auto" w:sz="4" w:space="0"/>
              <w:left w:val="nil"/>
              <w:bottom w:val="single" w:color="auto" w:sz="4" w:space="0"/>
              <w:right w:val="single" w:color="auto" w:sz="4" w:space="0"/>
            </w:tcBorders>
            <w:vAlign w:val="center"/>
          </w:tcPr>
          <w:p w14:paraId="6980BD40">
            <w:pPr>
              <w:spacing w:line="266" w:lineRule="auto"/>
              <w:rPr>
                <w:rFonts w:hint="eastAsia" w:ascii="宋体" w:hAnsi="宋体" w:eastAsia="宋体" w:cs="Courier New"/>
                <w:sz w:val="24"/>
                <w:szCs w:val="21"/>
                <w:highlight w:val="none"/>
              </w:rPr>
            </w:pPr>
            <w:r>
              <w:rPr>
                <w:rFonts w:hint="eastAsia" w:ascii="宋体" w:hAnsi="宋体" w:eastAsia="宋体" w:cs="Courier New"/>
                <w:sz w:val="24"/>
                <w:szCs w:val="21"/>
                <w:highlight w:val="none"/>
              </w:rPr>
              <w:t>“信用中国”、“中国政府采购网”查询结果</w:t>
            </w:r>
          </w:p>
        </w:tc>
        <w:tc>
          <w:tcPr>
            <w:tcW w:w="5603" w:type="dxa"/>
            <w:tcBorders>
              <w:top w:val="single" w:color="auto" w:sz="4" w:space="0"/>
              <w:left w:val="nil"/>
              <w:bottom w:val="single" w:color="auto" w:sz="4" w:space="0"/>
              <w:right w:val="single" w:color="auto" w:sz="4" w:space="0"/>
            </w:tcBorders>
            <w:vAlign w:val="center"/>
          </w:tcPr>
          <w:p w14:paraId="0AE91D18">
            <w:pPr>
              <w:adjustRightInd w:val="0"/>
              <w:spacing w:line="360" w:lineRule="auto"/>
              <w:jc w:val="left"/>
              <w:textAlignment w:val="baseline"/>
              <w:rPr>
                <w:rFonts w:hint="eastAsia" w:ascii="宋体" w:hAnsi="宋体" w:eastAsia="宋体" w:cs="宋体"/>
                <w:sz w:val="24"/>
                <w:szCs w:val="21"/>
                <w:highlight w:val="none"/>
                <w:lang w:val="zh-CN"/>
              </w:rPr>
            </w:pPr>
            <w:r>
              <w:rPr>
                <w:rFonts w:hint="eastAsia" w:ascii="宋体" w:hAnsi="宋体" w:eastAsia="宋体" w:cs="宋体"/>
                <w:sz w:val="24"/>
                <w:szCs w:val="21"/>
                <w:highlight w:val="none"/>
              </w:rPr>
              <w:t>详见第二章“供应商须知前附表”的规定</w:t>
            </w:r>
          </w:p>
        </w:tc>
      </w:tr>
      <w:tr w14:paraId="119C92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8" w:hRule="atLeast"/>
          <w:jc w:val="center"/>
        </w:trPr>
        <w:tc>
          <w:tcPr>
            <w:tcW w:w="545" w:type="dxa"/>
            <w:vMerge w:val="continue"/>
            <w:tcBorders>
              <w:left w:val="single" w:color="auto" w:sz="4" w:space="0"/>
              <w:right w:val="single" w:color="auto" w:sz="4" w:space="0"/>
            </w:tcBorders>
            <w:vAlign w:val="center"/>
          </w:tcPr>
          <w:p w14:paraId="27B907DC">
            <w:pPr>
              <w:spacing w:line="360" w:lineRule="auto"/>
              <w:jc w:val="center"/>
              <w:rPr>
                <w:rFonts w:hint="eastAsia" w:ascii="宋体" w:hAnsi="宋体" w:eastAsia="宋体" w:cs="Courier New"/>
                <w:sz w:val="24"/>
                <w:szCs w:val="21"/>
                <w:highlight w:val="none"/>
              </w:rPr>
            </w:pPr>
          </w:p>
        </w:tc>
        <w:tc>
          <w:tcPr>
            <w:tcW w:w="1024" w:type="dxa"/>
            <w:vMerge w:val="continue"/>
            <w:tcBorders>
              <w:top w:val="nil"/>
              <w:left w:val="nil"/>
              <w:bottom w:val="single" w:color="auto" w:sz="4" w:space="0"/>
              <w:right w:val="single" w:color="auto" w:sz="4" w:space="0"/>
            </w:tcBorders>
            <w:vAlign w:val="center"/>
          </w:tcPr>
          <w:p w14:paraId="006F3A99">
            <w:pPr>
              <w:widowControl/>
              <w:jc w:val="left"/>
              <w:rPr>
                <w:rFonts w:hint="eastAsia" w:ascii="宋体" w:hAnsi="宋体" w:eastAsia="宋体" w:cs="Times New Roman"/>
                <w:sz w:val="24"/>
                <w:szCs w:val="21"/>
                <w:highlight w:val="none"/>
              </w:rPr>
            </w:pPr>
          </w:p>
        </w:tc>
        <w:tc>
          <w:tcPr>
            <w:tcW w:w="2647" w:type="dxa"/>
            <w:tcBorders>
              <w:top w:val="single" w:color="auto" w:sz="4" w:space="0"/>
              <w:left w:val="nil"/>
              <w:bottom w:val="single" w:color="auto" w:sz="4" w:space="0"/>
              <w:right w:val="single" w:color="auto" w:sz="4" w:space="0"/>
            </w:tcBorders>
            <w:vAlign w:val="center"/>
          </w:tcPr>
          <w:p w14:paraId="4627B17C">
            <w:pPr>
              <w:spacing w:line="266" w:lineRule="auto"/>
              <w:rPr>
                <w:rFonts w:hint="eastAsia" w:ascii="宋体" w:hAnsi="宋体" w:eastAsia="宋体" w:cs="Courier New"/>
                <w:sz w:val="24"/>
                <w:szCs w:val="21"/>
                <w:highlight w:val="none"/>
              </w:rPr>
            </w:pPr>
            <w:r>
              <w:rPr>
                <w:rFonts w:hint="eastAsia" w:ascii="宋体" w:hAnsi="宋体" w:eastAsia="宋体" w:cs="Courier New"/>
                <w:sz w:val="24"/>
                <w:szCs w:val="21"/>
                <w:highlight w:val="none"/>
              </w:rPr>
              <w:t>“国家企业信用信息公示系统”查询结果</w:t>
            </w:r>
          </w:p>
        </w:tc>
        <w:tc>
          <w:tcPr>
            <w:tcW w:w="5603" w:type="dxa"/>
            <w:tcBorders>
              <w:top w:val="single" w:color="auto" w:sz="4" w:space="0"/>
              <w:left w:val="nil"/>
              <w:bottom w:val="single" w:color="auto" w:sz="4" w:space="0"/>
              <w:right w:val="single" w:color="auto" w:sz="4" w:space="0"/>
            </w:tcBorders>
            <w:vAlign w:val="center"/>
          </w:tcPr>
          <w:p w14:paraId="7BD0BAD6">
            <w:pPr>
              <w:adjustRightInd w:val="0"/>
              <w:spacing w:line="360" w:lineRule="auto"/>
              <w:jc w:val="left"/>
              <w:textAlignment w:val="baseline"/>
              <w:rPr>
                <w:rFonts w:hint="eastAsia" w:ascii="宋体" w:hAnsi="宋体" w:eastAsia="宋体" w:cs="宋体"/>
                <w:sz w:val="24"/>
                <w:szCs w:val="21"/>
                <w:highlight w:val="none"/>
              </w:rPr>
            </w:pPr>
            <w:r>
              <w:rPr>
                <w:rFonts w:hint="eastAsia" w:ascii="宋体" w:hAnsi="宋体" w:eastAsia="宋体" w:cs="宋体"/>
                <w:sz w:val="24"/>
                <w:szCs w:val="21"/>
                <w:highlight w:val="none"/>
              </w:rPr>
              <w:t>详见第二章“供应商须知前附表”的规定</w:t>
            </w:r>
          </w:p>
        </w:tc>
      </w:tr>
      <w:tr w14:paraId="6FC940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9" w:hRule="atLeast"/>
          <w:jc w:val="center"/>
        </w:trPr>
        <w:tc>
          <w:tcPr>
            <w:tcW w:w="545" w:type="dxa"/>
            <w:vMerge w:val="continue"/>
            <w:tcBorders>
              <w:left w:val="single" w:color="auto" w:sz="4" w:space="0"/>
              <w:right w:val="single" w:color="auto" w:sz="4" w:space="0"/>
            </w:tcBorders>
            <w:vAlign w:val="center"/>
          </w:tcPr>
          <w:p w14:paraId="3EA9AAEC">
            <w:pPr>
              <w:spacing w:line="360" w:lineRule="auto"/>
              <w:jc w:val="center"/>
              <w:rPr>
                <w:rFonts w:hint="eastAsia" w:ascii="宋体" w:hAnsi="宋体" w:eastAsia="宋体" w:cs="Courier New"/>
                <w:sz w:val="24"/>
                <w:szCs w:val="21"/>
                <w:highlight w:val="none"/>
              </w:rPr>
            </w:pPr>
          </w:p>
        </w:tc>
        <w:tc>
          <w:tcPr>
            <w:tcW w:w="1024" w:type="dxa"/>
            <w:vMerge w:val="restart"/>
            <w:tcBorders>
              <w:top w:val="nil"/>
              <w:left w:val="nil"/>
              <w:bottom w:val="single" w:color="auto" w:sz="4" w:space="0"/>
              <w:right w:val="single" w:color="auto" w:sz="4" w:space="0"/>
            </w:tcBorders>
            <w:vAlign w:val="center"/>
          </w:tcPr>
          <w:p w14:paraId="75820961">
            <w:pPr>
              <w:spacing w:line="360" w:lineRule="auto"/>
              <w:jc w:val="center"/>
              <w:rPr>
                <w:rFonts w:hint="eastAsia" w:ascii="宋体" w:hAnsi="宋体" w:eastAsia="宋体" w:cs="Courier New"/>
                <w:sz w:val="24"/>
                <w:szCs w:val="21"/>
                <w:highlight w:val="none"/>
              </w:rPr>
            </w:pPr>
            <w:r>
              <w:rPr>
                <w:rFonts w:hint="eastAsia" w:ascii="宋体" w:hAnsi="宋体" w:eastAsia="宋体" w:cs="Courier New"/>
                <w:sz w:val="24"/>
                <w:szCs w:val="21"/>
                <w:highlight w:val="none"/>
                <w:lang w:val="en-US" w:eastAsia="zh-CN"/>
              </w:rPr>
              <w:t>实质性</w:t>
            </w:r>
            <w:r>
              <w:rPr>
                <w:rFonts w:hint="eastAsia" w:ascii="宋体" w:hAnsi="宋体" w:eastAsia="宋体" w:cs="Courier New"/>
                <w:sz w:val="24"/>
                <w:szCs w:val="21"/>
                <w:highlight w:val="none"/>
              </w:rPr>
              <w:t>评审标</w:t>
            </w:r>
          </w:p>
          <w:p w14:paraId="18AED257">
            <w:pPr>
              <w:spacing w:line="360" w:lineRule="auto"/>
              <w:jc w:val="center"/>
              <w:rPr>
                <w:rFonts w:hint="eastAsia" w:ascii="宋体" w:hAnsi="宋体" w:eastAsia="宋体" w:cs="Courier New"/>
                <w:sz w:val="24"/>
                <w:szCs w:val="21"/>
                <w:highlight w:val="none"/>
              </w:rPr>
            </w:pPr>
            <w:r>
              <w:rPr>
                <w:rFonts w:hint="eastAsia" w:ascii="宋体" w:hAnsi="宋体" w:eastAsia="宋体" w:cs="Courier New"/>
                <w:sz w:val="24"/>
                <w:szCs w:val="21"/>
                <w:highlight w:val="none"/>
              </w:rPr>
              <w:t>准</w:t>
            </w:r>
          </w:p>
        </w:tc>
        <w:tc>
          <w:tcPr>
            <w:tcW w:w="2647" w:type="dxa"/>
            <w:tcBorders>
              <w:top w:val="single" w:color="auto" w:sz="4" w:space="0"/>
              <w:left w:val="nil"/>
              <w:bottom w:val="single" w:color="auto" w:sz="4" w:space="0"/>
              <w:right w:val="single" w:color="auto" w:sz="4" w:space="0"/>
            </w:tcBorders>
            <w:vAlign w:val="center"/>
          </w:tcPr>
          <w:p w14:paraId="05C81014">
            <w:pPr>
              <w:adjustRightInd w:val="0"/>
              <w:spacing w:line="360" w:lineRule="auto"/>
              <w:jc w:val="center"/>
              <w:textAlignment w:val="baseline"/>
              <w:rPr>
                <w:rFonts w:hint="eastAsia" w:ascii="宋体" w:hAnsi="宋体" w:eastAsia="宋体" w:cs="宋体"/>
                <w:sz w:val="24"/>
                <w:szCs w:val="21"/>
                <w:highlight w:val="none"/>
              </w:rPr>
            </w:pPr>
            <w:r>
              <w:rPr>
                <w:rFonts w:hint="eastAsia" w:ascii="宋体" w:hAnsi="宋体" w:eastAsia="宋体" w:cs="宋体"/>
                <w:sz w:val="24"/>
                <w:szCs w:val="21"/>
                <w:highlight w:val="none"/>
              </w:rPr>
              <w:t>供货期</w:t>
            </w:r>
          </w:p>
        </w:tc>
        <w:tc>
          <w:tcPr>
            <w:tcW w:w="5603" w:type="dxa"/>
            <w:tcBorders>
              <w:top w:val="single" w:color="auto" w:sz="4" w:space="0"/>
              <w:left w:val="nil"/>
              <w:bottom w:val="single" w:color="auto" w:sz="4" w:space="0"/>
              <w:right w:val="single" w:color="auto" w:sz="4" w:space="0"/>
            </w:tcBorders>
            <w:vAlign w:val="center"/>
          </w:tcPr>
          <w:p w14:paraId="671D72C8">
            <w:pPr>
              <w:adjustRightInd w:val="0"/>
              <w:spacing w:line="360" w:lineRule="auto"/>
              <w:jc w:val="left"/>
              <w:textAlignment w:val="baseline"/>
              <w:rPr>
                <w:rFonts w:hint="eastAsia" w:ascii="宋体" w:hAnsi="宋体" w:eastAsia="宋体" w:cs="宋体"/>
                <w:sz w:val="24"/>
                <w:szCs w:val="21"/>
                <w:highlight w:val="none"/>
                <w:lang w:val="zh-CN"/>
              </w:rPr>
            </w:pPr>
            <w:r>
              <w:rPr>
                <w:rFonts w:hint="eastAsia" w:ascii="宋体" w:hAnsi="宋体" w:eastAsia="宋体" w:cs="宋体"/>
                <w:sz w:val="24"/>
                <w:szCs w:val="21"/>
                <w:highlight w:val="none"/>
              </w:rPr>
              <w:t>详见第二章“供应商须知前附表”的规定</w:t>
            </w:r>
          </w:p>
        </w:tc>
      </w:tr>
      <w:tr w14:paraId="24614B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9" w:hRule="atLeast"/>
          <w:jc w:val="center"/>
        </w:trPr>
        <w:tc>
          <w:tcPr>
            <w:tcW w:w="545" w:type="dxa"/>
            <w:vMerge w:val="continue"/>
            <w:tcBorders>
              <w:left w:val="single" w:color="auto" w:sz="4" w:space="0"/>
              <w:right w:val="single" w:color="auto" w:sz="4" w:space="0"/>
            </w:tcBorders>
            <w:vAlign w:val="center"/>
          </w:tcPr>
          <w:p w14:paraId="16B25F58">
            <w:pPr>
              <w:spacing w:line="360" w:lineRule="auto"/>
              <w:jc w:val="center"/>
              <w:rPr>
                <w:rFonts w:hint="eastAsia" w:ascii="宋体" w:hAnsi="宋体" w:eastAsia="宋体" w:cs="Courier New"/>
                <w:sz w:val="24"/>
                <w:szCs w:val="21"/>
                <w:highlight w:val="none"/>
              </w:rPr>
            </w:pPr>
          </w:p>
        </w:tc>
        <w:tc>
          <w:tcPr>
            <w:tcW w:w="1024" w:type="dxa"/>
            <w:vMerge w:val="continue"/>
            <w:tcBorders>
              <w:top w:val="nil"/>
              <w:left w:val="nil"/>
              <w:bottom w:val="single" w:color="auto" w:sz="4" w:space="0"/>
              <w:right w:val="single" w:color="auto" w:sz="4" w:space="0"/>
            </w:tcBorders>
            <w:vAlign w:val="center"/>
          </w:tcPr>
          <w:p w14:paraId="54007E1F">
            <w:pPr>
              <w:spacing w:line="360" w:lineRule="auto"/>
              <w:jc w:val="center"/>
              <w:rPr>
                <w:rFonts w:hint="eastAsia" w:ascii="宋体" w:hAnsi="宋体" w:eastAsia="宋体" w:cs="Courier New"/>
                <w:sz w:val="24"/>
                <w:szCs w:val="21"/>
                <w:highlight w:val="none"/>
              </w:rPr>
            </w:pPr>
          </w:p>
        </w:tc>
        <w:tc>
          <w:tcPr>
            <w:tcW w:w="2647" w:type="dxa"/>
            <w:tcBorders>
              <w:top w:val="single" w:color="auto" w:sz="4" w:space="0"/>
              <w:left w:val="nil"/>
              <w:bottom w:val="single" w:color="auto" w:sz="4" w:space="0"/>
              <w:right w:val="single" w:color="auto" w:sz="4" w:space="0"/>
            </w:tcBorders>
            <w:vAlign w:val="center"/>
          </w:tcPr>
          <w:p w14:paraId="31F34C38">
            <w:pPr>
              <w:adjustRightInd w:val="0"/>
              <w:spacing w:line="360" w:lineRule="auto"/>
              <w:jc w:val="center"/>
              <w:textAlignment w:val="baseline"/>
              <w:rPr>
                <w:rFonts w:hint="eastAsia" w:ascii="宋体" w:hAnsi="宋体" w:eastAsia="宋体" w:cs="宋体"/>
                <w:sz w:val="24"/>
                <w:szCs w:val="21"/>
                <w:highlight w:val="none"/>
              </w:rPr>
            </w:pPr>
            <w:r>
              <w:rPr>
                <w:rFonts w:hint="eastAsia" w:ascii="宋体" w:hAnsi="宋体" w:eastAsia="宋体" w:cs="宋体"/>
                <w:sz w:val="24"/>
                <w:szCs w:val="21"/>
                <w:highlight w:val="none"/>
              </w:rPr>
              <w:t>质保期</w:t>
            </w:r>
          </w:p>
        </w:tc>
        <w:tc>
          <w:tcPr>
            <w:tcW w:w="5603" w:type="dxa"/>
            <w:tcBorders>
              <w:top w:val="single" w:color="auto" w:sz="4" w:space="0"/>
              <w:left w:val="nil"/>
              <w:bottom w:val="single" w:color="auto" w:sz="4" w:space="0"/>
              <w:right w:val="single" w:color="auto" w:sz="4" w:space="0"/>
            </w:tcBorders>
            <w:vAlign w:val="center"/>
          </w:tcPr>
          <w:p w14:paraId="5DBFDBD4">
            <w:pPr>
              <w:adjustRightInd w:val="0"/>
              <w:spacing w:line="360" w:lineRule="auto"/>
              <w:jc w:val="left"/>
              <w:textAlignment w:val="baseline"/>
              <w:rPr>
                <w:rFonts w:hint="eastAsia" w:ascii="宋体" w:hAnsi="宋体" w:eastAsia="宋体" w:cs="宋体"/>
                <w:sz w:val="24"/>
                <w:szCs w:val="21"/>
                <w:highlight w:val="none"/>
                <w:lang w:val="zh-CN"/>
              </w:rPr>
            </w:pPr>
            <w:r>
              <w:rPr>
                <w:rFonts w:hint="eastAsia" w:ascii="宋体" w:hAnsi="宋体" w:eastAsia="宋体" w:cs="宋体"/>
                <w:sz w:val="24"/>
                <w:szCs w:val="21"/>
                <w:highlight w:val="none"/>
              </w:rPr>
              <w:t>详见第二章“供应商须知前附表”的规定</w:t>
            </w:r>
          </w:p>
        </w:tc>
      </w:tr>
      <w:tr w14:paraId="17090A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9" w:hRule="atLeast"/>
          <w:jc w:val="center"/>
        </w:trPr>
        <w:tc>
          <w:tcPr>
            <w:tcW w:w="545" w:type="dxa"/>
            <w:vMerge w:val="continue"/>
            <w:tcBorders>
              <w:left w:val="single" w:color="auto" w:sz="4" w:space="0"/>
              <w:right w:val="single" w:color="auto" w:sz="4" w:space="0"/>
            </w:tcBorders>
            <w:vAlign w:val="center"/>
          </w:tcPr>
          <w:p w14:paraId="43A9A85F">
            <w:pPr>
              <w:widowControl/>
              <w:jc w:val="left"/>
              <w:rPr>
                <w:rFonts w:hint="eastAsia" w:ascii="宋体" w:hAnsi="宋体" w:eastAsia="宋体" w:cs="Courier New"/>
                <w:sz w:val="24"/>
                <w:szCs w:val="21"/>
                <w:highlight w:val="none"/>
              </w:rPr>
            </w:pPr>
          </w:p>
        </w:tc>
        <w:tc>
          <w:tcPr>
            <w:tcW w:w="1024" w:type="dxa"/>
            <w:vMerge w:val="continue"/>
            <w:tcBorders>
              <w:top w:val="nil"/>
              <w:left w:val="nil"/>
              <w:bottom w:val="single" w:color="auto" w:sz="4" w:space="0"/>
              <w:right w:val="single" w:color="auto" w:sz="4" w:space="0"/>
            </w:tcBorders>
            <w:vAlign w:val="center"/>
          </w:tcPr>
          <w:p w14:paraId="5EAD1AFA">
            <w:pPr>
              <w:widowControl/>
              <w:jc w:val="left"/>
              <w:rPr>
                <w:rFonts w:hint="eastAsia" w:ascii="宋体" w:hAnsi="宋体" w:eastAsia="宋体" w:cs="Courier New"/>
                <w:sz w:val="24"/>
                <w:szCs w:val="21"/>
                <w:highlight w:val="none"/>
              </w:rPr>
            </w:pPr>
          </w:p>
        </w:tc>
        <w:tc>
          <w:tcPr>
            <w:tcW w:w="2647" w:type="dxa"/>
            <w:tcBorders>
              <w:top w:val="single" w:color="auto" w:sz="4" w:space="0"/>
              <w:left w:val="nil"/>
              <w:bottom w:val="single" w:color="auto" w:sz="4" w:space="0"/>
              <w:right w:val="single" w:color="auto" w:sz="4" w:space="0"/>
            </w:tcBorders>
            <w:vAlign w:val="center"/>
          </w:tcPr>
          <w:p w14:paraId="31F0DA30">
            <w:pPr>
              <w:adjustRightInd w:val="0"/>
              <w:spacing w:line="360" w:lineRule="auto"/>
              <w:jc w:val="center"/>
              <w:textAlignment w:val="baseline"/>
              <w:rPr>
                <w:rFonts w:hint="eastAsia" w:ascii="宋体" w:hAnsi="宋体" w:eastAsia="宋体" w:cs="宋体"/>
                <w:sz w:val="24"/>
                <w:szCs w:val="21"/>
                <w:highlight w:val="none"/>
              </w:rPr>
            </w:pPr>
            <w:r>
              <w:rPr>
                <w:rFonts w:hint="eastAsia" w:ascii="宋体" w:hAnsi="宋体" w:eastAsia="宋体" w:cs="宋体"/>
                <w:sz w:val="24"/>
                <w:szCs w:val="21"/>
                <w:highlight w:val="none"/>
              </w:rPr>
              <w:t>质量要求</w:t>
            </w:r>
          </w:p>
        </w:tc>
        <w:tc>
          <w:tcPr>
            <w:tcW w:w="5603" w:type="dxa"/>
            <w:tcBorders>
              <w:top w:val="single" w:color="auto" w:sz="4" w:space="0"/>
              <w:left w:val="nil"/>
              <w:bottom w:val="single" w:color="auto" w:sz="4" w:space="0"/>
              <w:right w:val="single" w:color="auto" w:sz="4" w:space="0"/>
            </w:tcBorders>
            <w:vAlign w:val="center"/>
          </w:tcPr>
          <w:p w14:paraId="7FEF3674">
            <w:pPr>
              <w:adjustRightInd w:val="0"/>
              <w:spacing w:line="360" w:lineRule="auto"/>
              <w:jc w:val="left"/>
              <w:textAlignment w:val="baseline"/>
              <w:rPr>
                <w:rFonts w:hint="eastAsia" w:ascii="宋体" w:hAnsi="宋体" w:eastAsia="宋体" w:cs="宋体"/>
                <w:sz w:val="24"/>
                <w:szCs w:val="21"/>
                <w:highlight w:val="none"/>
                <w:lang w:val="zh-CN"/>
              </w:rPr>
            </w:pPr>
            <w:r>
              <w:rPr>
                <w:rFonts w:hint="eastAsia" w:ascii="宋体" w:hAnsi="宋体" w:eastAsia="宋体" w:cs="宋体"/>
                <w:sz w:val="24"/>
                <w:szCs w:val="21"/>
                <w:highlight w:val="none"/>
              </w:rPr>
              <w:t>详见第二章“供应商须知前附表”的规定</w:t>
            </w:r>
          </w:p>
        </w:tc>
      </w:tr>
      <w:tr w14:paraId="3C1D3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5" w:hRule="atLeast"/>
          <w:jc w:val="center"/>
        </w:trPr>
        <w:tc>
          <w:tcPr>
            <w:tcW w:w="545" w:type="dxa"/>
            <w:vMerge w:val="continue"/>
            <w:tcBorders>
              <w:left w:val="single" w:color="auto" w:sz="4" w:space="0"/>
              <w:right w:val="single" w:color="auto" w:sz="4" w:space="0"/>
            </w:tcBorders>
            <w:vAlign w:val="center"/>
          </w:tcPr>
          <w:p w14:paraId="50DA70A5">
            <w:pPr>
              <w:widowControl/>
              <w:jc w:val="left"/>
              <w:rPr>
                <w:rFonts w:hint="eastAsia" w:ascii="宋体" w:hAnsi="宋体" w:eastAsia="宋体" w:cs="Courier New"/>
                <w:sz w:val="24"/>
                <w:szCs w:val="21"/>
                <w:highlight w:val="none"/>
              </w:rPr>
            </w:pPr>
          </w:p>
        </w:tc>
        <w:tc>
          <w:tcPr>
            <w:tcW w:w="1024" w:type="dxa"/>
            <w:vMerge w:val="continue"/>
            <w:tcBorders>
              <w:top w:val="nil"/>
              <w:left w:val="nil"/>
              <w:bottom w:val="single" w:color="auto" w:sz="4" w:space="0"/>
              <w:right w:val="single" w:color="auto" w:sz="4" w:space="0"/>
            </w:tcBorders>
            <w:vAlign w:val="center"/>
          </w:tcPr>
          <w:p w14:paraId="67204367">
            <w:pPr>
              <w:widowControl/>
              <w:jc w:val="left"/>
              <w:rPr>
                <w:rFonts w:hint="eastAsia" w:ascii="宋体" w:hAnsi="宋体" w:eastAsia="宋体" w:cs="Courier New"/>
                <w:sz w:val="24"/>
                <w:szCs w:val="21"/>
                <w:highlight w:val="none"/>
              </w:rPr>
            </w:pPr>
          </w:p>
        </w:tc>
        <w:tc>
          <w:tcPr>
            <w:tcW w:w="2647" w:type="dxa"/>
            <w:tcBorders>
              <w:top w:val="single" w:color="auto" w:sz="4" w:space="0"/>
              <w:left w:val="nil"/>
              <w:bottom w:val="single" w:color="auto" w:sz="4" w:space="0"/>
              <w:right w:val="single" w:color="auto" w:sz="4" w:space="0"/>
            </w:tcBorders>
            <w:vAlign w:val="center"/>
          </w:tcPr>
          <w:p w14:paraId="5BC6C1F9">
            <w:pPr>
              <w:adjustRightInd w:val="0"/>
              <w:spacing w:line="360" w:lineRule="auto"/>
              <w:jc w:val="center"/>
              <w:textAlignment w:val="baseline"/>
              <w:rPr>
                <w:rFonts w:hint="eastAsia" w:ascii="宋体" w:hAnsi="宋体" w:eastAsia="宋体" w:cs="宋体"/>
                <w:sz w:val="24"/>
                <w:szCs w:val="21"/>
                <w:highlight w:val="none"/>
              </w:rPr>
            </w:pPr>
            <w:r>
              <w:rPr>
                <w:rFonts w:hint="eastAsia" w:ascii="宋体" w:hAnsi="宋体" w:eastAsia="宋体" w:cs="宋体"/>
                <w:sz w:val="24"/>
                <w:szCs w:val="21"/>
                <w:highlight w:val="none"/>
              </w:rPr>
              <w:t>投标有效期</w:t>
            </w:r>
          </w:p>
        </w:tc>
        <w:tc>
          <w:tcPr>
            <w:tcW w:w="5603" w:type="dxa"/>
            <w:tcBorders>
              <w:top w:val="single" w:color="auto" w:sz="4" w:space="0"/>
              <w:left w:val="nil"/>
              <w:bottom w:val="single" w:color="auto" w:sz="4" w:space="0"/>
              <w:right w:val="single" w:color="auto" w:sz="4" w:space="0"/>
            </w:tcBorders>
            <w:vAlign w:val="center"/>
          </w:tcPr>
          <w:p w14:paraId="730C5B73">
            <w:pPr>
              <w:adjustRightInd w:val="0"/>
              <w:spacing w:line="360" w:lineRule="auto"/>
              <w:jc w:val="left"/>
              <w:textAlignment w:val="baseline"/>
              <w:rPr>
                <w:rFonts w:hint="eastAsia" w:ascii="宋体" w:hAnsi="宋体" w:eastAsia="宋体" w:cs="宋体"/>
                <w:sz w:val="24"/>
                <w:szCs w:val="21"/>
                <w:highlight w:val="none"/>
                <w:lang w:val="zh-CN"/>
              </w:rPr>
            </w:pPr>
            <w:r>
              <w:rPr>
                <w:rFonts w:hint="eastAsia" w:ascii="宋体" w:hAnsi="宋体" w:eastAsia="宋体" w:cs="宋体"/>
                <w:sz w:val="24"/>
                <w:szCs w:val="21"/>
                <w:highlight w:val="none"/>
              </w:rPr>
              <w:t>详见第二章“供应商须知前附表”的规定</w:t>
            </w:r>
          </w:p>
        </w:tc>
      </w:tr>
    </w:tbl>
    <w:p w14:paraId="48CCE835">
      <w:pPr>
        <w:widowControl/>
        <w:spacing w:line="400" w:lineRule="exact"/>
        <w:rPr>
          <w:rFonts w:hint="eastAsia" w:ascii="宋体" w:hAnsi="宋体" w:cs="Calibri"/>
          <w:b/>
          <w:bCs/>
          <w:kern w:val="0"/>
          <w:sz w:val="24"/>
          <w:highlight w:val="none"/>
        </w:rPr>
      </w:pPr>
    </w:p>
    <w:p w14:paraId="12D2CFE6">
      <w:pPr>
        <w:widowControl/>
        <w:spacing w:line="400" w:lineRule="exact"/>
        <w:jc w:val="left"/>
        <w:rPr>
          <w:rFonts w:hint="eastAsia" w:ascii="宋体" w:hAnsi="宋体" w:cs="Calibri"/>
          <w:b/>
          <w:bCs/>
          <w:sz w:val="24"/>
          <w:highlight w:val="none"/>
        </w:rPr>
      </w:pPr>
      <w:r>
        <w:rPr>
          <w:rFonts w:hint="eastAsia" w:ascii="宋体" w:hAnsi="宋体" w:cs="Calibri"/>
          <w:b/>
          <w:bCs/>
          <w:kern w:val="0"/>
          <w:sz w:val="24"/>
          <w:highlight w:val="none"/>
        </w:rPr>
        <w:t>二、详细审查：</w:t>
      </w:r>
    </w:p>
    <w:p w14:paraId="3C7E647A">
      <w:pPr>
        <w:widowControl/>
        <w:rPr>
          <w:rFonts w:hint="eastAsia" w:ascii="宋体" w:hAnsi="宋体" w:eastAsia="宋体" w:cs="宋体"/>
          <w:sz w:val="24"/>
          <w:szCs w:val="32"/>
          <w:highlight w:val="none"/>
        </w:rPr>
      </w:pPr>
      <w:bookmarkStart w:id="197" w:name="_Toc16770583"/>
      <w:bookmarkEnd w:id="197"/>
      <w:bookmarkStart w:id="198" w:name="_Toc528078063"/>
      <w:bookmarkEnd w:id="198"/>
      <w:bookmarkStart w:id="199" w:name="_Toc517179004"/>
      <w:bookmarkEnd w:id="199"/>
      <w:bookmarkStart w:id="200" w:name="_Toc512514899"/>
      <w:bookmarkEnd w:id="200"/>
      <w:bookmarkStart w:id="201" w:name="_Toc43302814"/>
      <w:bookmarkStart w:id="202" w:name="_Toc13219"/>
      <w:r>
        <w:rPr>
          <w:rFonts w:hint="eastAsia" w:ascii="宋体" w:hAnsi="宋体" w:eastAsia="宋体" w:cs="宋体"/>
          <w:sz w:val="24"/>
          <w:szCs w:val="32"/>
          <w:highlight w:val="none"/>
        </w:rPr>
        <w:t>评分标准</w:t>
      </w:r>
      <w:bookmarkEnd w:id="201"/>
      <w:bookmarkEnd w:id="202"/>
    </w:p>
    <w:p w14:paraId="57E15F74">
      <w:pPr>
        <w:widowControl/>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分值构成(总分100分) 报价分</w:t>
      </w:r>
      <w:r>
        <w:rPr>
          <w:rFonts w:hint="eastAsia" w:ascii="宋体" w:hAnsi="宋体" w:eastAsia="宋体" w:cs="宋体"/>
          <w:sz w:val="24"/>
          <w:szCs w:val="24"/>
          <w:highlight w:val="none"/>
        </w:rPr>
        <w:t>：30分；技术分：</w:t>
      </w:r>
      <w:r>
        <w:rPr>
          <w:rFonts w:hint="eastAsia" w:ascii="宋体" w:hAnsi="宋体" w:eastAsia="宋体" w:cs="宋体"/>
          <w:sz w:val="24"/>
          <w:szCs w:val="24"/>
          <w:highlight w:val="none"/>
          <w:lang w:val="en-US" w:eastAsia="zh-CN"/>
        </w:rPr>
        <w:t>6</w:t>
      </w:r>
      <w:r>
        <w:rPr>
          <w:rFonts w:hint="eastAsia" w:ascii="宋体" w:hAnsi="宋体" w:eastAsia="宋体" w:cs="宋体"/>
          <w:sz w:val="24"/>
          <w:szCs w:val="24"/>
          <w:highlight w:val="none"/>
        </w:rPr>
        <w:t>0分；商务分：</w:t>
      </w:r>
      <w:r>
        <w:rPr>
          <w:rFonts w:hint="eastAsia" w:ascii="宋体" w:hAnsi="宋体" w:eastAsia="宋体" w:cs="宋体"/>
          <w:sz w:val="24"/>
          <w:szCs w:val="24"/>
          <w:highlight w:val="none"/>
          <w:lang w:val="en-US" w:eastAsia="zh-CN"/>
        </w:rPr>
        <w:t>1</w:t>
      </w:r>
      <w:r>
        <w:rPr>
          <w:rFonts w:hint="eastAsia" w:ascii="宋体" w:hAnsi="宋体" w:eastAsia="宋体" w:cs="宋体"/>
          <w:sz w:val="24"/>
          <w:szCs w:val="24"/>
          <w:highlight w:val="none"/>
        </w:rPr>
        <w:t>0分</w:t>
      </w:r>
      <w:r>
        <w:rPr>
          <w:rFonts w:hint="eastAsia" w:ascii="宋体" w:hAnsi="宋体" w:eastAsia="宋体" w:cs="宋体"/>
          <w:sz w:val="24"/>
          <w:szCs w:val="24"/>
          <w:highlight w:val="none"/>
        </w:rPr>
        <w:t>；</w:t>
      </w:r>
    </w:p>
    <w:p w14:paraId="7C17DBC0">
      <w:pPr>
        <w:widowControl/>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综合得分按公式计算：综合得分=报价得分＋技术得分＋商务得分；</w:t>
      </w:r>
    </w:p>
    <w:tbl>
      <w:tblPr>
        <w:tblStyle w:val="24"/>
        <w:tblpPr w:leftFromText="180" w:rightFromText="180" w:vertAnchor="text" w:horzAnchor="page" w:tblpXSpec="center" w:tblpY="460"/>
        <w:tblOverlap w:val="never"/>
        <w:tblW w:w="970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00"/>
        <w:gridCol w:w="1232"/>
        <w:gridCol w:w="749"/>
        <w:gridCol w:w="6426"/>
      </w:tblGrid>
      <w:tr w14:paraId="592F13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00" w:type="dxa"/>
            <w:tcBorders>
              <w:top w:val="single" w:color="auto" w:sz="4" w:space="0"/>
              <w:left w:val="single" w:color="auto" w:sz="4" w:space="0"/>
              <w:bottom w:val="single" w:color="auto" w:sz="4" w:space="0"/>
              <w:right w:val="single" w:color="auto" w:sz="4" w:space="0"/>
            </w:tcBorders>
          </w:tcPr>
          <w:p w14:paraId="3A564332">
            <w:pPr>
              <w:widowControl/>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评分项</w:t>
            </w:r>
          </w:p>
        </w:tc>
        <w:tc>
          <w:tcPr>
            <w:tcW w:w="1232" w:type="dxa"/>
            <w:tcBorders>
              <w:top w:val="single" w:color="auto" w:sz="4" w:space="0"/>
              <w:left w:val="nil"/>
              <w:bottom w:val="single" w:color="auto" w:sz="4" w:space="0"/>
              <w:right w:val="single" w:color="auto" w:sz="4" w:space="0"/>
            </w:tcBorders>
          </w:tcPr>
          <w:p w14:paraId="1A5CA51D">
            <w:pPr>
              <w:widowControl/>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评审内容</w:t>
            </w:r>
          </w:p>
        </w:tc>
        <w:tc>
          <w:tcPr>
            <w:tcW w:w="749" w:type="dxa"/>
            <w:tcBorders>
              <w:top w:val="single" w:color="auto" w:sz="4" w:space="0"/>
              <w:left w:val="nil"/>
              <w:bottom w:val="single" w:color="auto" w:sz="4" w:space="0"/>
              <w:right w:val="single" w:color="auto" w:sz="4" w:space="0"/>
            </w:tcBorders>
          </w:tcPr>
          <w:p w14:paraId="6F371C1B">
            <w:pPr>
              <w:widowControl/>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分值</w:t>
            </w:r>
          </w:p>
        </w:tc>
        <w:tc>
          <w:tcPr>
            <w:tcW w:w="6426" w:type="dxa"/>
            <w:tcBorders>
              <w:top w:val="single" w:color="auto" w:sz="4" w:space="0"/>
              <w:left w:val="nil"/>
              <w:bottom w:val="single" w:color="auto" w:sz="4" w:space="0"/>
              <w:right w:val="single" w:color="auto" w:sz="4" w:space="0"/>
            </w:tcBorders>
          </w:tcPr>
          <w:p w14:paraId="303E1818">
            <w:pPr>
              <w:widowControl/>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评分准则</w:t>
            </w:r>
          </w:p>
        </w:tc>
      </w:tr>
      <w:tr w14:paraId="40C629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jc w:val="center"/>
        </w:trPr>
        <w:tc>
          <w:tcPr>
            <w:tcW w:w="1300" w:type="dxa"/>
            <w:tcBorders>
              <w:top w:val="single" w:color="auto" w:sz="4" w:space="0"/>
              <w:left w:val="single" w:color="auto" w:sz="4" w:space="0"/>
              <w:bottom w:val="single" w:color="auto" w:sz="4" w:space="0"/>
              <w:right w:val="single" w:color="auto" w:sz="4" w:space="0"/>
            </w:tcBorders>
            <w:vAlign w:val="center"/>
          </w:tcPr>
          <w:p w14:paraId="7E1C68AD">
            <w:pPr>
              <w:widowControl/>
              <w:spacing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报价</w:t>
            </w:r>
          </w:p>
          <w:p w14:paraId="22E89F2C">
            <w:pPr>
              <w:widowControl/>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（30分）</w:t>
            </w:r>
          </w:p>
        </w:tc>
        <w:tc>
          <w:tcPr>
            <w:tcW w:w="1981" w:type="dxa"/>
            <w:gridSpan w:val="2"/>
            <w:tcBorders>
              <w:top w:val="single" w:color="auto" w:sz="4" w:space="0"/>
              <w:left w:val="nil"/>
              <w:bottom w:val="single" w:color="auto" w:sz="4" w:space="0"/>
              <w:right w:val="single" w:color="auto" w:sz="4" w:space="0"/>
            </w:tcBorders>
            <w:vAlign w:val="center"/>
          </w:tcPr>
          <w:p w14:paraId="512F2B3B">
            <w:pPr>
              <w:widowControl/>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投标报价（30分）</w:t>
            </w:r>
          </w:p>
        </w:tc>
        <w:tc>
          <w:tcPr>
            <w:tcW w:w="6426" w:type="dxa"/>
            <w:tcBorders>
              <w:top w:val="single" w:color="auto" w:sz="4" w:space="0"/>
              <w:left w:val="nil"/>
              <w:bottom w:val="single" w:color="auto" w:sz="4" w:space="0"/>
              <w:right w:val="single" w:color="auto" w:sz="4" w:space="0"/>
            </w:tcBorders>
          </w:tcPr>
          <w:p w14:paraId="07AFC491">
            <w:pPr>
              <w:spacing w:line="440" w:lineRule="exact"/>
              <w:rPr>
                <w:rFonts w:ascii="宋体" w:hAnsi="宋体" w:cs="宋体"/>
                <w:sz w:val="24"/>
                <w:szCs w:val="24"/>
                <w:highlight w:val="none"/>
              </w:rPr>
            </w:pPr>
            <w:r>
              <w:rPr>
                <w:rFonts w:hint="eastAsia" w:ascii="宋体" w:hAnsi="宋体" w:cs="宋体"/>
                <w:sz w:val="24"/>
                <w:szCs w:val="24"/>
                <w:highlight w:val="none"/>
              </w:rPr>
              <w:t>1、本次竞争性磋商分为两轮报价，响应性文件中的报价作为第一次报价，不得高于磋商控制价且不公开；第二轮报价不得高于第一轮报价, 以最终报价参与评标报价。</w:t>
            </w:r>
          </w:p>
          <w:p w14:paraId="4B0A3ACE">
            <w:pPr>
              <w:spacing w:line="440" w:lineRule="exact"/>
              <w:rPr>
                <w:rFonts w:ascii="宋体" w:hAnsi="宋体" w:cs="宋体"/>
                <w:sz w:val="24"/>
                <w:szCs w:val="24"/>
                <w:highlight w:val="none"/>
              </w:rPr>
            </w:pPr>
            <w:r>
              <w:rPr>
                <w:rFonts w:hint="eastAsia" w:ascii="宋体" w:hAnsi="宋体" w:cs="宋体"/>
                <w:sz w:val="24"/>
                <w:szCs w:val="24"/>
                <w:highlight w:val="none"/>
              </w:rPr>
              <w:t>2、价格分采用低价优先法计算，即满足竞争性磋商文件要求且最后报价最低的供应商的价格为磋商基准价，其价格分为满分，其他供应商的价格分统一按照下列公式计算：</w:t>
            </w:r>
          </w:p>
          <w:p w14:paraId="7EE99AA7">
            <w:pPr>
              <w:spacing w:line="440" w:lineRule="exact"/>
              <w:rPr>
                <w:rFonts w:ascii="宋体" w:hAnsi="宋体" w:cs="宋体"/>
                <w:sz w:val="24"/>
                <w:szCs w:val="24"/>
                <w:highlight w:val="none"/>
              </w:rPr>
            </w:pPr>
            <w:r>
              <w:rPr>
                <w:rFonts w:hint="eastAsia" w:ascii="宋体" w:hAnsi="宋体" w:cs="宋体"/>
                <w:sz w:val="24"/>
                <w:szCs w:val="24"/>
                <w:highlight w:val="none"/>
              </w:rPr>
              <w:t>价格分=（磋商基准价/最后磋商报价）×30</w:t>
            </w:r>
          </w:p>
          <w:p w14:paraId="0CF74ABD">
            <w:pPr>
              <w:spacing w:line="440" w:lineRule="exact"/>
              <w:rPr>
                <w:rFonts w:ascii="宋体" w:hAnsi="宋体" w:cs="宋体"/>
                <w:sz w:val="24"/>
                <w:szCs w:val="24"/>
                <w:highlight w:val="none"/>
              </w:rPr>
            </w:pPr>
            <w:r>
              <w:rPr>
                <w:rFonts w:hint="eastAsia" w:ascii="宋体" w:hAnsi="宋体" w:cs="宋体"/>
                <w:sz w:val="24"/>
                <w:szCs w:val="24"/>
                <w:highlight w:val="none"/>
              </w:rPr>
              <w:t>如磋商小组一致认为最低报价明显不合理，有降低质量、不能诚信履约的可能时，磋商小组有权通知供应商进行解释。如供应商未能在规定期限内作出解释，或所作解释不合理，经磋商小组取得一致意见后，对该供应商将不予推荐。</w:t>
            </w:r>
          </w:p>
          <w:p w14:paraId="3168F6C2">
            <w:pPr>
              <w:widowControl/>
              <w:spacing w:line="360" w:lineRule="auto"/>
              <w:rPr>
                <w:rFonts w:hint="eastAsia" w:ascii="宋体" w:hAnsi="宋体" w:cs="宋体"/>
                <w:color w:val="000000"/>
                <w:kern w:val="0"/>
                <w:sz w:val="24"/>
                <w:szCs w:val="24"/>
                <w:highlight w:val="none"/>
              </w:rPr>
            </w:pPr>
            <w:r>
              <w:rPr>
                <w:rFonts w:hint="eastAsia" w:ascii="宋体" w:hAnsi="宋体" w:cs="宋体"/>
                <w:color w:val="000000"/>
                <w:kern w:val="0"/>
                <w:sz w:val="24"/>
                <w:szCs w:val="24"/>
                <w:highlight w:val="none"/>
              </w:rPr>
              <w:t xml:space="preserve">3、价格扣除： </w:t>
            </w:r>
          </w:p>
          <w:p w14:paraId="0C5A362F">
            <w:pPr>
              <w:widowControl/>
              <w:spacing w:line="360" w:lineRule="auto"/>
              <w:rPr>
                <w:rFonts w:hint="eastAsia" w:ascii="宋体" w:hAnsi="宋体" w:cs="宋体"/>
                <w:color w:val="000000"/>
                <w:kern w:val="0"/>
                <w:sz w:val="24"/>
                <w:szCs w:val="24"/>
                <w:highlight w:val="none"/>
              </w:rPr>
            </w:pPr>
            <w:r>
              <w:rPr>
                <w:rFonts w:hint="eastAsia" w:ascii="宋体" w:hAnsi="宋体" w:cs="宋体"/>
                <w:color w:val="000000"/>
                <w:kern w:val="0"/>
                <w:sz w:val="24"/>
                <w:szCs w:val="24"/>
                <w:highlight w:val="none"/>
              </w:rPr>
              <w:t>（1）根据《政府采购促进中小企业发展管理办法》（财库﹝2020﹞46 号）及《关于进一步加大政府采购支持中小企业力度的通知》(财库﹝2022﹞19号)的规定，对小型、微型企业产品的价格给予20%的扣除，本项目小型、微型企业按20%扣除。对于中型企业产品的价格不予扣除。</w:t>
            </w:r>
          </w:p>
          <w:p w14:paraId="228472C9">
            <w:pPr>
              <w:widowControl/>
              <w:spacing w:line="360" w:lineRule="auto"/>
              <w:rPr>
                <w:rFonts w:hint="eastAsia" w:ascii="宋体" w:hAnsi="宋体" w:cs="宋体"/>
                <w:color w:val="000000"/>
                <w:kern w:val="0"/>
                <w:sz w:val="24"/>
                <w:szCs w:val="24"/>
                <w:highlight w:val="none"/>
              </w:rPr>
            </w:pPr>
            <w:r>
              <w:rPr>
                <w:rFonts w:hint="eastAsia" w:ascii="宋体" w:hAnsi="宋体" w:cs="宋体"/>
                <w:color w:val="000000"/>
                <w:kern w:val="0"/>
                <w:sz w:val="24"/>
                <w:szCs w:val="24"/>
                <w:highlight w:val="none"/>
              </w:rPr>
              <w:t>所投小微企业产品报价=所投小微企业产品报价×（1-20%）</w:t>
            </w:r>
          </w:p>
          <w:p w14:paraId="7019119D">
            <w:pPr>
              <w:widowControl/>
              <w:spacing w:line="360" w:lineRule="auto"/>
              <w:rPr>
                <w:rFonts w:hint="eastAsia" w:ascii="宋体" w:hAnsi="宋体" w:cs="宋体"/>
                <w:color w:val="000000"/>
                <w:kern w:val="0"/>
                <w:sz w:val="24"/>
                <w:szCs w:val="24"/>
                <w:highlight w:val="none"/>
              </w:rPr>
            </w:pPr>
            <w:r>
              <w:rPr>
                <w:rFonts w:hint="eastAsia" w:ascii="宋体" w:hAnsi="宋体" w:cs="宋体"/>
                <w:color w:val="000000"/>
                <w:kern w:val="0"/>
                <w:sz w:val="24"/>
                <w:szCs w:val="24"/>
                <w:highlight w:val="none"/>
              </w:rPr>
              <w:t>（2）根据财政部司法部《关于政府采购支持监狱企业发展有关问题的通知》（财库〔2014〕68号）规定，对于监狱企业视同为小型、微型企业，价格给予20%的扣除。</w:t>
            </w:r>
          </w:p>
          <w:p w14:paraId="5D5F6F40">
            <w:pPr>
              <w:widowControl/>
              <w:spacing w:line="360" w:lineRule="auto"/>
              <w:rPr>
                <w:rFonts w:hint="eastAsia" w:ascii="宋体" w:hAnsi="宋体" w:cs="宋体"/>
                <w:color w:val="000000"/>
                <w:kern w:val="0"/>
                <w:sz w:val="24"/>
                <w:szCs w:val="24"/>
                <w:highlight w:val="none"/>
              </w:rPr>
            </w:pPr>
            <w:r>
              <w:rPr>
                <w:rFonts w:hint="eastAsia" w:ascii="宋体" w:hAnsi="宋体" w:cs="宋体"/>
                <w:color w:val="000000"/>
                <w:kern w:val="0"/>
                <w:sz w:val="24"/>
                <w:szCs w:val="24"/>
                <w:highlight w:val="none"/>
              </w:rPr>
              <w:t>所投监狱企业产品报价=所投监狱企业产品报价×（1-20%）</w:t>
            </w:r>
          </w:p>
          <w:p w14:paraId="7EF610BA">
            <w:pPr>
              <w:widowControl/>
              <w:spacing w:line="360" w:lineRule="auto"/>
              <w:rPr>
                <w:rFonts w:hint="eastAsia" w:ascii="宋体" w:hAnsi="宋体" w:cs="宋体"/>
                <w:color w:val="000000"/>
                <w:kern w:val="0"/>
                <w:sz w:val="24"/>
                <w:szCs w:val="24"/>
                <w:highlight w:val="none"/>
              </w:rPr>
            </w:pPr>
            <w:r>
              <w:rPr>
                <w:rFonts w:hint="eastAsia" w:ascii="宋体" w:hAnsi="宋体" w:cs="宋体"/>
                <w:color w:val="000000"/>
                <w:kern w:val="0"/>
                <w:sz w:val="24"/>
                <w:szCs w:val="24"/>
                <w:highlight w:val="none"/>
              </w:rPr>
              <w:t>（3）根据财政部民政部中国残疾人联合会《关于促进残疾人就业政府采购政策的通知》（财库〔2017〕141号）规定，对于残疾人福利性单位视同为小型、微型企业，价格给予20%的扣除。</w:t>
            </w:r>
          </w:p>
          <w:p w14:paraId="7DC7F20E">
            <w:pPr>
              <w:widowControl/>
              <w:spacing w:line="360" w:lineRule="auto"/>
              <w:rPr>
                <w:rFonts w:hint="eastAsia" w:ascii="宋体" w:hAnsi="宋体" w:cs="宋体"/>
                <w:color w:val="000000"/>
                <w:kern w:val="0"/>
                <w:sz w:val="24"/>
                <w:szCs w:val="24"/>
                <w:highlight w:val="none"/>
              </w:rPr>
            </w:pPr>
            <w:r>
              <w:rPr>
                <w:rFonts w:hint="eastAsia" w:ascii="宋体" w:hAnsi="宋体" w:cs="宋体"/>
                <w:color w:val="000000"/>
                <w:kern w:val="0"/>
                <w:sz w:val="24"/>
                <w:szCs w:val="24"/>
                <w:highlight w:val="none"/>
              </w:rPr>
              <w:t>所投残疾人福利性单位企业产品报价=所投残疾人福利性单位企业产品报价×（1-20%）</w:t>
            </w:r>
          </w:p>
          <w:p w14:paraId="3CD41151">
            <w:pPr>
              <w:widowControl/>
              <w:spacing w:line="360" w:lineRule="auto"/>
              <w:rPr>
                <w:rFonts w:hint="eastAsia" w:ascii="宋体" w:hAnsi="宋体" w:eastAsia="宋体" w:cs="宋体"/>
                <w:sz w:val="24"/>
                <w:szCs w:val="24"/>
                <w:highlight w:val="none"/>
              </w:rPr>
            </w:pPr>
            <w:r>
              <w:rPr>
                <w:rFonts w:hint="eastAsia" w:ascii="宋体" w:hAnsi="宋体" w:cs="宋体"/>
                <w:color w:val="000000"/>
                <w:kern w:val="0"/>
                <w:sz w:val="24"/>
                <w:szCs w:val="24"/>
                <w:highlight w:val="none"/>
              </w:rPr>
              <w:t>同一供应商，中小微企业产品、监狱企业产品、残疾人福利性单位产品的价格扣除优惠只享受一次，不得重复享受。</w:t>
            </w:r>
          </w:p>
        </w:tc>
      </w:tr>
      <w:tr w14:paraId="476F73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6" w:hRule="atLeast"/>
          <w:jc w:val="center"/>
        </w:trPr>
        <w:tc>
          <w:tcPr>
            <w:tcW w:w="1300" w:type="dxa"/>
            <w:vMerge w:val="restart"/>
            <w:tcBorders>
              <w:top w:val="single" w:color="auto" w:sz="4" w:space="0"/>
              <w:left w:val="single" w:color="auto" w:sz="4" w:space="0"/>
              <w:right w:val="single" w:color="auto" w:sz="4" w:space="0"/>
            </w:tcBorders>
            <w:vAlign w:val="center"/>
          </w:tcPr>
          <w:p w14:paraId="0D37FEF3">
            <w:pPr>
              <w:widowControl/>
              <w:spacing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技术标</w:t>
            </w:r>
          </w:p>
          <w:p w14:paraId="383C749D">
            <w:pPr>
              <w:widowControl/>
              <w:spacing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w:t>
            </w:r>
            <w:r>
              <w:rPr>
                <w:rFonts w:hint="eastAsia" w:ascii="宋体" w:hAnsi="宋体" w:eastAsia="宋体" w:cs="宋体"/>
                <w:sz w:val="24"/>
                <w:szCs w:val="24"/>
                <w:highlight w:val="none"/>
                <w:lang w:val="en-US" w:eastAsia="zh-CN"/>
              </w:rPr>
              <w:t>60</w:t>
            </w:r>
            <w:r>
              <w:rPr>
                <w:rFonts w:hint="eastAsia" w:ascii="宋体" w:hAnsi="宋体" w:eastAsia="宋体" w:cs="宋体"/>
                <w:sz w:val="24"/>
                <w:szCs w:val="24"/>
                <w:highlight w:val="none"/>
              </w:rPr>
              <w:t>分）</w:t>
            </w:r>
          </w:p>
        </w:tc>
        <w:tc>
          <w:tcPr>
            <w:tcW w:w="1981" w:type="dxa"/>
            <w:gridSpan w:val="2"/>
            <w:tcBorders>
              <w:top w:val="single" w:color="auto" w:sz="4" w:space="0"/>
              <w:left w:val="nil"/>
              <w:right w:val="single" w:color="auto" w:sz="4" w:space="0"/>
            </w:tcBorders>
            <w:vAlign w:val="center"/>
          </w:tcPr>
          <w:p w14:paraId="5ABF62E9">
            <w:pPr>
              <w:spacing w:line="420" w:lineRule="exact"/>
              <w:rPr>
                <w:rFonts w:hint="eastAsia" w:ascii="宋体" w:hAnsi="宋体" w:eastAsia="宋体" w:cs="宋体"/>
                <w:kern w:val="0"/>
                <w:sz w:val="24"/>
                <w:szCs w:val="24"/>
                <w:highlight w:val="none"/>
              </w:rPr>
            </w:pPr>
            <w:r>
              <w:rPr>
                <w:rFonts w:hint="eastAsia" w:ascii="宋体" w:hAnsi="宋体" w:cs="宋体"/>
                <w:sz w:val="24"/>
                <w:szCs w:val="24"/>
                <w:highlight w:val="none"/>
                <w:lang w:val="zh-CN"/>
              </w:rPr>
              <w:t>技术指标响应情况（0-</w:t>
            </w:r>
            <w:r>
              <w:rPr>
                <w:rFonts w:hint="eastAsia" w:ascii="宋体" w:hAnsi="宋体" w:cs="宋体"/>
                <w:sz w:val="24"/>
                <w:szCs w:val="24"/>
                <w:highlight w:val="none"/>
              </w:rPr>
              <w:t>30</w:t>
            </w:r>
            <w:r>
              <w:rPr>
                <w:rFonts w:hint="eastAsia" w:ascii="宋体" w:hAnsi="宋体" w:cs="宋体"/>
                <w:sz w:val="24"/>
                <w:szCs w:val="24"/>
                <w:highlight w:val="none"/>
                <w:lang w:val="zh-CN"/>
              </w:rPr>
              <w:t>分）</w:t>
            </w:r>
          </w:p>
        </w:tc>
        <w:tc>
          <w:tcPr>
            <w:tcW w:w="6426" w:type="dxa"/>
            <w:tcBorders>
              <w:top w:val="single" w:color="auto" w:sz="4" w:space="0"/>
              <w:left w:val="nil"/>
              <w:bottom w:val="single" w:color="auto" w:sz="4" w:space="0"/>
              <w:right w:val="single" w:color="auto" w:sz="4" w:space="0"/>
            </w:tcBorders>
            <w:vAlign w:val="center"/>
          </w:tcPr>
          <w:p w14:paraId="25264EC9">
            <w:pPr>
              <w:spacing w:line="420" w:lineRule="exact"/>
              <w:rPr>
                <w:rFonts w:hint="eastAsia" w:ascii="宋体" w:hAnsi="宋体" w:eastAsia="宋体" w:cs="宋体"/>
                <w:kern w:val="0"/>
                <w:sz w:val="24"/>
                <w:szCs w:val="24"/>
                <w:highlight w:val="none"/>
              </w:rPr>
            </w:pPr>
            <w:r>
              <w:rPr>
                <w:rFonts w:hint="eastAsia" w:ascii="宋体" w:hAnsi="宋体" w:cs="宋体"/>
                <w:sz w:val="24"/>
                <w:szCs w:val="24"/>
                <w:highlight w:val="none"/>
                <w:lang w:val="zh-CN"/>
              </w:rPr>
              <w:t>供应商所投</w:t>
            </w:r>
            <w:r>
              <w:rPr>
                <w:rFonts w:hint="eastAsia" w:ascii="宋体" w:hAnsi="宋体" w:cs="宋体"/>
                <w:sz w:val="24"/>
                <w:szCs w:val="24"/>
                <w:highlight w:val="none"/>
              </w:rPr>
              <w:t>产品</w:t>
            </w:r>
            <w:r>
              <w:rPr>
                <w:rFonts w:hint="eastAsia" w:ascii="宋体" w:hAnsi="宋体" w:cs="宋体"/>
                <w:sz w:val="24"/>
                <w:szCs w:val="24"/>
                <w:highlight w:val="none"/>
                <w:lang w:val="zh-CN"/>
              </w:rPr>
              <w:t>的技术参数、性能指标能够全部满足</w:t>
            </w:r>
            <w:r>
              <w:rPr>
                <w:rFonts w:hint="eastAsia" w:ascii="宋体" w:hAnsi="宋体" w:cs="宋体"/>
                <w:sz w:val="24"/>
                <w:szCs w:val="24"/>
                <w:highlight w:val="none"/>
              </w:rPr>
              <w:t>竞争性磋商</w:t>
            </w:r>
            <w:r>
              <w:rPr>
                <w:rFonts w:hint="eastAsia" w:ascii="宋体" w:hAnsi="宋体" w:cs="宋体"/>
                <w:sz w:val="24"/>
                <w:szCs w:val="24"/>
                <w:highlight w:val="none"/>
                <w:lang w:val="zh-CN"/>
              </w:rPr>
              <w:t>文件要求得</w:t>
            </w:r>
            <w:r>
              <w:rPr>
                <w:rFonts w:hint="eastAsia" w:ascii="宋体" w:hAnsi="宋体" w:cs="宋体"/>
                <w:sz w:val="24"/>
                <w:szCs w:val="24"/>
                <w:highlight w:val="none"/>
              </w:rPr>
              <w:t>30分，每有一项不满足竞争性磋商文件要求的扣2分，</w:t>
            </w:r>
            <w:r>
              <w:rPr>
                <w:rFonts w:hint="eastAsia" w:ascii="宋体" w:hAnsi="宋体" w:cs="宋体"/>
                <w:sz w:val="24"/>
                <w:szCs w:val="24"/>
                <w:highlight w:val="none"/>
                <w:lang w:val="zh-CN"/>
              </w:rPr>
              <w:t>扣完为止；</w:t>
            </w:r>
          </w:p>
        </w:tc>
      </w:tr>
      <w:tr w14:paraId="51F663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jc w:val="center"/>
        </w:trPr>
        <w:tc>
          <w:tcPr>
            <w:tcW w:w="1300" w:type="dxa"/>
            <w:vMerge w:val="continue"/>
            <w:tcBorders>
              <w:left w:val="single" w:color="auto" w:sz="4" w:space="0"/>
              <w:right w:val="single" w:color="auto" w:sz="4" w:space="0"/>
            </w:tcBorders>
            <w:vAlign w:val="center"/>
          </w:tcPr>
          <w:p w14:paraId="3A1B9906">
            <w:pPr>
              <w:widowControl/>
              <w:spacing w:line="360" w:lineRule="auto"/>
              <w:rPr>
                <w:rFonts w:hint="eastAsia" w:ascii="宋体" w:hAnsi="宋体" w:eastAsia="宋体" w:cs="宋体"/>
                <w:sz w:val="24"/>
                <w:szCs w:val="24"/>
                <w:highlight w:val="none"/>
              </w:rPr>
            </w:pPr>
          </w:p>
        </w:tc>
        <w:tc>
          <w:tcPr>
            <w:tcW w:w="1981" w:type="dxa"/>
            <w:gridSpan w:val="2"/>
            <w:tcBorders>
              <w:top w:val="single" w:color="auto" w:sz="4" w:space="0"/>
              <w:left w:val="nil"/>
              <w:bottom w:val="single" w:color="auto" w:sz="4" w:space="0"/>
              <w:right w:val="single" w:color="auto" w:sz="4" w:space="0"/>
            </w:tcBorders>
            <w:vAlign w:val="center"/>
          </w:tcPr>
          <w:p w14:paraId="1FFE748F">
            <w:pPr>
              <w:spacing w:line="360" w:lineRule="auto"/>
              <w:rPr>
                <w:rFonts w:hint="eastAsia" w:ascii="宋体" w:hAnsi="宋体" w:eastAsia="宋体" w:cs="宋体"/>
                <w:sz w:val="24"/>
                <w:szCs w:val="24"/>
                <w:highlight w:val="none"/>
              </w:rPr>
            </w:pPr>
            <w:r>
              <w:rPr>
                <w:rFonts w:hint="eastAsia" w:ascii="宋体" w:hAnsi="宋体" w:cs="宋体"/>
                <w:sz w:val="24"/>
                <w:szCs w:val="24"/>
                <w:highlight w:val="none"/>
              </w:rPr>
              <w:t>供货组织方案（0-10分）</w:t>
            </w:r>
          </w:p>
        </w:tc>
        <w:tc>
          <w:tcPr>
            <w:tcW w:w="6426" w:type="dxa"/>
            <w:tcBorders>
              <w:top w:val="single" w:color="auto" w:sz="4" w:space="0"/>
              <w:left w:val="nil"/>
              <w:bottom w:val="single" w:color="auto" w:sz="4" w:space="0"/>
              <w:right w:val="single" w:color="auto" w:sz="4" w:space="0"/>
            </w:tcBorders>
            <w:vAlign w:val="center"/>
          </w:tcPr>
          <w:p w14:paraId="04708C7A">
            <w:pPr>
              <w:spacing w:line="360" w:lineRule="auto"/>
              <w:rPr>
                <w:rFonts w:hint="eastAsia" w:ascii="宋体" w:hAnsi="宋体" w:cs="宋体"/>
                <w:sz w:val="24"/>
                <w:szCs w:val="24"/>
                <w:highlight w:val="none"/>
              </w:rPr>
            </w:pPr>
            <w:r>
              <w:rPr>
                <w:rFonts w:hint="eastAsia" w:ascii="宋体" w:hAnsi="宋体" w:cs="宋体"/>
                <w:sz w:val="24"/>
                <w:szCs w:val="24"/>
                <w:highlight w:val="none"/>
              </w:rPr>
              <w:t>针对本项目采购需求所拟定的供货组织方案(包括保障措施、包装运输、进度计划等内容)进行评审:</w:t>
            </w:r>
          </w:p>
          <w:p w14:paraId="11A9766C">
            <w:pPr>
              <w:spacing w:line="360" w:lineRule="auto"/>
              <w:rPr>
                <w:rFonts w:hint="eastAsia" w:ascii="宋体" w:hAnsi="宋体" w:cs="宋体"/>
                <w:sz w:val="24"/>
                <w:szCs w:val="24"/>
                <w:highlight w:val="none"/>
              </w:rPr>
            </w:pPr>
            <w:r>
              <w:rPr>
                <w:rFonts w:hint="eastAsia" w:ascii="宋体" w:hAnsi="宋体" w:cs="宋体"/>
                <w:sz w:val="24"/>
                <w:szCs w:val="24"/>
                <w:highlight w:val="none"/>
              </w:rPr>
              <w:t>供货方案详细完整有针对性，保障措施切实可行，包装运输方案详尽、合理周全，进度计划合理可行的，得10分；</w:t>
            </w:r>
          </w:p>
          <w:p w14:paraId="206CE3ED">
            <w:pPr>
              <w:spacing w:line="360" w:lineRule="auto"/>
              <w:rPr>
                <w:rFonts w:hint="eastAsia" w:ascii="宋体" w:hAnsi="宋体" w:cs="宋体"/>
                <w:sz w:val="24"/>
                <w:szCs w:val="24"/>
                <w:highlight w:val="none"/>
              </w:rPr>
            </w:pPr>
            <w:r>
              <w:rPr>
                <w:rFonts w:hint="eastAsia" w:ascii="宋体" w:hAnsi="宋体" w:cs="宋体"/>
                <w:sz w:val="24"/>
                <w:szCs w:val="24"/>
                <w:highlight w:val="none"/>
              </w:rPr>
              <w:t>供货方案较为详细完整，保障措施比较切实可行，包装运输方案比较详尽、合理得当，进度计划基本合理的，得5分；</w:t>
            </w:r>
          </w:p>
          <w:p w14:paraId="119C4FFC">
            <w:pPr>
              <w:spacing w:line="360" w:lineRule="auto"/>
              <w:rPr>
                <w:rFonts w:hint="eastAsia" w:ascii="宋体" w:hAnsi="宋体" w:cs="宋体"/>
                <w:sz w:val="24"/>
                <w:szCs w:val="24"/>
                <w:highlight w:val="none"/>
              </w:rPr>
            </w:pPr>
            <w:r>
              <w:rPr>
                <w:rFonts w:hint="eastAsia" w:ascii="宋体" w:hAnsi="宋体" w:cs="宋体"/>
                <w:sz w:val="24"/>
                <w:szCs w:val="24"/>
                <w:highlight w:val="none"/>
              </w:rPr>
              <w:t>供货方案一般，保障措施缺乏切实可行性，包装运输方案简单，进度计划缺乏合理性的，得3分；</w:t>
            </w:r>
          </w:p>
          <w:p w14:paraId="52B042AD">
            <w:pPr>
              <w:spacing w:line="360" w:lineRule="auto"/>
              <w:rPr>
                <w:rFonts w:hint="eastAsia" w:ascii="宋体" w:hAnsi="宋体" w:eastAsia="宋体" w:cs="宋体"/>
                <w:kern w:val="0"/>
                <w:sz w:val="24"/>
                <w:szCs w:val="24"/>
                <w:highlight w:val="none"/>
              </w:rPr>
            </w:pPr>
            <w:r>
              <w:rPr>
                <w:rFonts w:hint="eastAsia" w:ascii="宋体" w:hAnsi="宋体" w:cs="宋体"/>
                <w:sz w:val="24"/>
                <w:szCs w:val="24"/>
                <w:highlight w:val="none"/>
              </w:rPr>
              <w:t>不提供不得分。</w:t>
            </w:r>
          </w:p>
        </w:tc>
      </w:tr>
      <w:tr w14:paraId="0B2C61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7" w:hRule="atLeast"/>
          <w:jc w:val="center"/>
        </w:trPr>
        <w:tc>
          <w:tcPr>
            <w:tcW w:w="1300" w:type="dxa"/>
            <w:vMerge w:val="continue"/>
            <w:tcBorders>
              <w:left w:val="single" w:color="auto" w:sz="4" w:space="0"/>
              <w:right w:val="single" w:color="auto" w:sz="4" w:space="0"/>
            </w:tcBorders>
            <w:vAlign w:val="center"/>
          </w:tcPr>
          <w:p w14:paraId="744AE30B">
            <w:pPr>
              <w:widowControl/>
              <w:spacing w:line="360" w:lineRule="auto"/>
              <w:rPr>
                <w:rFonts w:hint="eastAsia" w:ascii="宋体" w:hAnsi="宋体" w:eastAsia="宋体" w:cs="宋体"/>
                <w:sz w:val="24"/>
                <w:szCs w:val="24"/>
                <w:highlight w:val="none"/>
              </w:rPr>
            </w:pPr>
          </w:p>
        </w:tc>
        <w:tc>
          <w:tcPr>
            <w:tcW w:w="1981" w:type="dxa"/>
            <w:gridSpan w:val="2"/>
            <w:tcBorders>
              <w:top w:val="single" w:color="auto" w:sz="4" w:space="0"/>
              <w:left w:val="nil"/>
              <w:bottom w:val="single" w:color="auto" w:sz="4" w:space="0"/>
              <w:right w:val="single" w:color="auto" w:sz="4" w:space="0"/>
            </w:tcBorders>
            <w:vAlign w:val="center"/>
          </w:tcPr>
          <w:p w14:paraId="109F0897">
            <w:pPr>
              <w:autoSpaceDE w:val="0"/>
              <w:autoSpaceDN w:val="0"/>
              <w:spacing w:before="50" w:line="360" w:lineRule="auto"/>
              <w:ind w:right="97" w:rightChars="0"/>
              <w:rPr>
                <w:rFonts w:hint="eastAsia" w:ascii="宋体" w:hAnsi="宋体" w:eastAsia="宋体" w:cs="宋体"/>
                <w:kern w:val="0"/>
                <w:sz w:val="24"/>
                <w:szCs w:val="24"/>
                <w:highlight w:val="none"/>
              </w:rPr>
            </w:pPr>
            <w:r>
              <w:rPr>
                <w:rFonts w:hint="eastAsia" w:ascii="宋体" w:hAnsi="宋体" w:cs="宋体"/>
                <w:sz w:val="24"/>
                <w:szCs w:val="24"/>
                <w:highlight w:val="none"/>
              </w:rPr>
              <w:t>实施方案（0-</w:t>
            </w:r>
            <w:r>
              <w:rPr>
                <w:rFonts w:hint="eastAsia" w:ascii="宋体" w:hAnsi="宋体" w:cs="宋体"/>
                <w:sz w:val="24"/>
                <w:szCs w:val="24"/>
                <w:highlight w:val="none"/>
                <w:lang w:val="en-US" w:eastAsia="zh-CN"/>
              </w:rPr>
              <w:t>10</w:t>
            </w:r>
            <w:r>
              <w:rPr>
                <w:rFonts w:hint="eastAsia" w:ascii="宋体" w:hAnsi="宋体" w:cs="宋体"/>
                <w:sz w:val="24"/>
                <w:szCs w:val="24"/>
                <w:highlight w:val="none"/>
              </w:rPr>
              <w:t>分）</w:t>
            </w:r>
          </w:p>
        </w:tc>
        <w:tc>
          <w:tcPr>
            <w:tcW w:w="6426" w:type="dxa"/>
            <w:tcBorders>
              <w:top w:val="single" w:color="auto" w:sz="4" w:space="0"/>
              <w:left w:val="nil"/>
              <w:bottom w:val="single" w:color="auto" w:sz="4" w:space="0"/>
              <w:right w:val="single" w:color="auto" w:sz="4" w:space="0"/>
            </w:tcBorders>
            <w:vAlign w:val="center"/>
          </w:tcPr>
          <w:p w14:paraId="6992394E">
            <w:pPr>
              <w:autoSpaceDE w:val="0"/>
              <w:autoSpaceDN w:val="0"/>
              <w:spacing w:before="50" w:line="360" w:lineRule="auto"/>
              <w:ind w:right="97"/>
              <w:rPr>
                <w:rFonts w:hint="eastAsia" w:ascii="宋体" w:hAnsi="宋体" w:cs="宋体"/>
                <w:sz w:val="24"/>
                <w:szCs w:val="24"/>
                <w:highlight w:val="none"/>
              </w:rPr>
            </w:pPr>
            <w:r>
              <w:rPr>
                <w:rFonts w:hint="eastAsia" w:ascii="宋体" w:hAnsi="宋体" w:cs="宋体"/>
                <w:sz w:val="24"/>
                <w:szCs w:val="24"/>
                <w:highlight w:val="none"/>
              </w:rPr>
              <w:t xml:space="preserve">对供应商提供的项目实施方案（包括但不限于项目组织管理、项目实施流程管理、项目实施成本管理等）进行评审： </w:t>
            </w:r>
          </w:p>
          <w:p w14:paraId="3348BD02">
            <w:pPr>
              <w:autoSpaceDE w:val="0"/>
              <w:autoSpaceDN w:val="0"/>
              <w:spacing w:before="50" w:line="360" w:lineRule="auto"/>
              <w:ind w:right="97"/>
              <w:rPr>
                <w:rFonts w:hint="eastAsia" w:ascii="宋体" w:hAnsi="宋体" w:cs="宋体"/>
                <w:sz w:val="24"/>
                <w:szCs w:val="24"/>
                <w:highlight w:val="none"/>
              </w:rPr>
            </w:pPr>
            <w:r>
              <w:rPr>
                <w:rFonts w:hint="eastAsia" w:ascii="宋体" w:hAnsi="宋体" w:cs="宋体"/>
                <w:sz w:val="24"/>
                <w:szCs w:val="24"/>
                <w:highlight w:val="none"/>
              </w:rPr>
              <w:t>1.实施方案内容完整、详细、表述清晰、科学合理、切实可行，得</w:t>
            </w:r>
            <w:r>
              <w:rPr>
                <w:rFonts w:hint="eastAsia" w:ascii="宋体" w:hAnsi="宋体" w:cs="宋体"/>
                <w:sz w:val="24"/>
                <w:szCs w:val="24"/>
                <w:highlight w:val="none"/>
                <w:lang w:val="en-US" w:eastAsia="zh-CN"/>
              </w:rPr>
              <w:t>10</w:t>
            </w:r>
            <w:r>
              <w:rPr>
                <w:rFonts w:hint="eastAsia" w:ascii="宋体" w:hAnsi="宋体" w:cs="宋体"/>
                <w:sz w:val="24"/>
                <w:szCs w:val="24"/>
                <w:highlight w:val="none"/>
              </w:rPr>
              <w:t xml:space="preserve">分； </w:t>
            </w:r>
          </w:p>
          <w:p w14:paraId="39D4FE6E">
            <w:pPr>
              <w:autoSpaceDE w:val="0"/>
              <w:autoSpaceDN w:val="0"/>
              <w:spacing w:before="50" w:line="360" w:lineRule="auto"/>
              <w:ind w:right="97"/>
              <w:rPr>
                <w:rFonts w:hint="eastAsia" w:ascii="宋体" w:hAnsi="宋体" w:cs="宋体"/>
                <w:sz w:val="24"/>
                <w:szCs w:val="24"/>
                <w:highlight w:val="none"/>
              </w:rPr>
            </w:pPr>
            <w:r>
              <w:rPr>
                <w:rFonts w:hint="eastAsia" w:ascii="宋体" w:hAnsi="宋体" w:cs="宋体"/>
                <w:sz w:val="24"/>
                <w:szCs w:val="24"/>
                <w:highlight w:val="none"/>
              </w:rPr>
              <w:t xml:space="preserve">2.实施方案内容基本完整、详细、表述基本清晰、合理、可行，得5分； </w:t>
            </w:r>
          </w:p>
          <w:p w14:paraId="2F3426E7">
            <w:pPr>
              <w:autoSpaceDE w:val="0"/>
              <w:autoSpaceDN w:val="0"/>
              <w:spacing w:before="50" w:line="360" w:lineRule="auto"/>
              <w:ind w:right="97"/>
              <w:rPr>
                <w:rFonts w:hint="eastAsia" w:ascii="宋体" w:hAnsi="宋体" w:cs="宋体"/>
                <w:sz w:val="24"/>
                <w:szCs w:val="24"/>
                <w:highlight w:val="none"/>
              </w:rPr>
            </w:pPr>
            <w:r>
              <w:rPr>
                <w:rFonts w:hint="eastAsia" w:ascii="宋体" w:hAnsi="宋体" w:cs="宋体"/>
                <w:sz w:val="24"/>
                <w:szCs w:val="24"/>
                <w:highlight w:val="none"/>
              </w:rPr>
              <w:t xml:space="preserve">3.实施方案内容不够完整、表述不够清晰，得3分； </w:t>
            </w:r>
          </w:p>
          <w:p w14:paraId="51D8CA58">
            <w:pPr>
              <w:autoSpaceDE w:val="0"/>
              <w:autoSpaceDN w:val="0"/>
              <w:spacing w:before="50" w:line="360" w:lineRule="auto"/>
              <w:ind w:right="97" w:rightChars="0"/>
              <w:rPr>
                <w:rFonts w:hint="eastAsia" w:ascii="宋体" w:hAnsi="宋体" w:eastAsia="宋体" w:cs="宋体"/>
                <w:kern w:val="0"/>
                <w:sz w:val="24"/>
                <w:szCs w:val="24"/>
                <w:highlight w:val="none"/>
              </w:rPr>
            </w:pPr>
            <w:r>
              <w:rPr>
                <w:rFonts w:hint="eastAsia" w:ascii="宋体" w:hAnsi="宋体" w:cs="宋体"/>
                <w:sz w:val="24"/>
                <w:szCs w:val="24"/>
                <w:highlight w:val="none"/>
              </w:rPr>
              <w:t>4.不提供不得分。</w:t>
            </w:r>
          </w:p>
        </w:tc>
      </w:tr>
      <w:tr w14:paraId="76644B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7" w:hRule="atLeast"/>
          <w:jc w:val="center"/>
        </w:trPr>
        <w:tc>
          <w:tcPr>
            <w:tcW w:w="1300" w:type="dxa"/>
            <w:vMerge w:val="continue"/>
            <w:tcBorders>
              <w:left w:val="single" w:color="auto" w:sz="4" w:space="0"/>
              <w:right w:val="single" w:color="auto" w:sz="4" w:space="0"/>
            </w:tcBorders>
            <w:vAlign w:val="center"/>
          </w:tcPr>
          <w:p w14:paraId="40A0B030">
            <w:pPr>
              <w:widowControl/>
              <w:spacing w:line="360" w:lineRule="auto"/>
              <w:rPr>
                <w:rFonts w:hint="eastAsia" w:ascii="宋体" w:hAnsi="宋体" w:eastAsia="宋体" w:cs="宋体"/>
                <w:sz w:val="24"/>
                <w:szCs w:val="24"/>
                <w:highlight w:val="none"/>
              </w:rPr>
            </w:pPr>
          </w:p>
        </w:tc>
        <w:tc>
          <w:tcPr>
            <w:tcW w:w="1981" w:type="dxa"/>
            <w:gridSpan w:val="2"/>
            <w:tcBorders>
              <w:top w:val="single" w:color="auto" w:sz="4" w:space="0"/>
              <w:left w:val="nil"/>
              <w:bottom w:val="single" w:color="auto" w:sz="4" w:space="0"/>
              <w:right w:val="single" w:color="auto" w:sz="4" w:space="0"/>
            </w:tcBorders>
            <w:vAlign w:val="center"/>
          </w:tcPr>
          <w:p w14:paraId="6F93F521">
            <w:pPr>
              <w:autoSpaceDE w:val="0"/>
              <w:autoSpaceDN w:val="0"/>
              <w:spacing w:before="50" w:line="360" w:lineRule="auto"/>
              <w:ind w:right="97" w:rightChars="0"/>
              <w:rPr>
                <w:rFonts w:hint="eastAsia" w:ascii="宋体" w:hAnsi="宋体" w:eastAsia="宋体" w:cs="宋体"/>
                <w:sz w:val="24"/>
                <w:szCs w:val="24"/>
                <w:highlight w:val="none"/>
              </w:rPr>
            </w:pPr>
            <w:r>
              <w:rPr>
                <w:rFonts w:hint="eastAsia" w:ascii="宋体" w:hAnsi="宋体" w:eastAsia="宋体" w:cs="宋体"/>
                <w:color w:val="000000"/>
                <w:sz w:val="24"/>
                <w:highlight w:val="none"/>
              </w:rPr>
              <w:t>质量保证措施</w:t>
            </w:r>
            <w:r>
              <w:rPr>
                <w:rFonts w:hint="eastAsia" w:ascii="宋体" w:hAnsi="宋体" w:cs="宋体"/>
                <w:sz w:val="24"/>
                <w:szCs w:val="24"/>
                <w:highlight w:val="none"/>
              </w:rPr>
              <w:t>（0-10分）</w:t>
            </w:r>
          </w:p>
        </w:tc>
        <w:tc>
          <w:tcPr>
            <w:tcW w:w="6426" w:type="dxa"/>
            <w:tcBorders>
              <w:top w:val="single" w:color="auto" w:sz="4" w:space="0"/>
              <w:left w:val="nil"/>
              <w:bottom w:val="single" w:color="auto" w:sz="4" w:space="0"/>
              <w:right w:val="single" w:color="auto" w:sz="4" w:space="0"/>
            </w:tcBorders>
            <w:vAlign w:val="center"/>
          </w:tcPr>
          <w:p w14:paraId="638710B3">
            <w:pPr>
              <w:autoSpaceDE w:val="0"/>
              <w:autoSpaceDN w:val="0"/>
              <w:spacing w:before="50" w:line="360" w:lineRule="auto"/>
              <w:ind w:right="97"/>
              <w:rPr>
                <w:rFonts w:hint="eastAsia" w:ascii="宋体" w:hAnsi="宋体" w:cs="宋体"/>
                <w:sz w:val="24"/>
                <w:szCs w:val="24"/>
                <w:highlight w:val="none"/>
              </w:rPr>
            </w:pPr>
            <w:r>
              <w:rPr>
                <w:rFonts w:hint="eastAsia" w:ascii="宋体" w:hAnsi="宋体" w:eastAsia="宋体" w:cs="宋体"/>
                <w:color w:val="000000"/>
                <w:sz w:val="24"/>
                <w:highlight w:val="none"/>
              </w:rPr>
              <w:t>产品质量稳定，包装完整、环保，能够提供相关的证明并有具体的保证措施：</w:t>
            </w:r>
            <w:r>
              <w:rPr>
                <w:rFonts w:hint="eastAsia" w:ascii="宋体" w:hAnsi="宋体" w:cs="宋体"/>
                <w:sz w:val="24"/>
                <w:szCs w:val="24"/>
                <w:highlight w:val="none"/>
              </w:rPr>
              <w:t>1.方案合理可行、措施具体、针对性强的，得10分；</w:t>
            </w:r>
          </w:p>
          <w:p w14:paraId="0728B7FF">
            <w:pPr>
              <w:autoSpaceDE w:val="0"/>
              <w:autoSpaceDN w:val="0"/>
              <w:spacing w:before="50" w:line="360" w:lineRule="auto"/>
              <w:ind w:right="97"/>
              <w:rPr>
                <w:rFonts w:hint="eastAsia" w:ascii="宋体" w:hAnsi="宋体" w:cs="宋体"/>
                <w:sz w:val="24"/>
                <w:szCs w:val="24"/>
                <w:highlight w:val="none"/>
              </w:rPr>
            </w:pPr>
            <w:r>
              <w:rPr>
                <w:rFonts w:hint="eastAsia" w:ascii="宋体" w:hAnsi="宋体" w:cs="宋体"/>
                <w:sz w:val="24"/>
                <w:szCs w:val="24"/>
                <w:highlight w:val="none"/>
              </w:rPr>
              <w:t>2.方案基本可行、有措施但针对性不强的，得5分；</w:t>
            </w:r>
          </w:p>
          <w:p w14:paraId="096C91A9">
            <w:pPr>
              <w:autoSpaceDE w:val="0"/>
              <w:autoSpaceDN w:val="0"/>
              <w:spacing w:before="50" w:line="360" w:lineRule="auto"/>
              <w:ind w:right="97"/>
              <w:rPr>
                <w:rFonts w:hint="eastAsia" w:ascii="宋体" w:hAnsi="宋体" w:cs="宋体"/>
                <w:sz w:val="24"/>
                <w:szCs w:val="24"/>
                <w:highlight w:val="none"/>
              </w:rPr>
            </w:pPr>
            <w:r>
              <w:rPr>
                <w:rFonts w:hint="eastAsia" w:ascii="宋体" w:hAnsi="宋体" w:cs="宋体"/>
                <w:sz w:val="24"/>
                <w:szCs w:val="24"/>
                <w:highlight w:val="none"/>
              </w:rPr>
              <w:t>3.方案可行性差、措施和针对性差的，得3分；</w:t>
            </w:r>
          </w:p>
          <w:p w14:paraId="033B47A2">
            <w:pPr>
              <w:autoSpaceDE w:val="0"/>
              <w:autoSpaceDN w:val="0"/>
              <w:spacing w:before="50" w:line="360" w:lineRule="auto"/>
              <w:ind w:right="97" w:rightChars="0"/>
              <w:rPr>
                <w:rFonts w:hint="eastAsia" w:ascii="宋体" w:hAnsi="宋体" w:eastAsia="宋体" w:cs="宋体"/>
                <w:sz w:val="24"/>
                <w:szCs w:val="24"/>
                <w:highlight w:val="none"/>
              </w:rPr>
            </w:pPr>
            <w:r>
              <w:rPr>
                <w:rFonts w:hint="eastAsia" w:ascii="宋体" w:hAnsi="宋体" w:cs="宋体"/>
                <w:sz w:val="24"/>
                <w:szCs w:val="24"/>
                <w:highlight w:val="none"/>
                <w:lang w:eastAsia="en-US"/>
              </w:rPr>
              <w:t>4.不提供不得分。</w:t>
            </w:r>
          </w:p>
        </w:tc>
      </w:tr>
      <w:tr w14:paraId="544F88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3" w:hRule="atLeast"/>
          <w:jc w:val="center"/>
        </w:trPr>
        <w:tc>
          <w:tcPr>
            <w:tcW w:w="1300" w:type="dxa"/>
            <w:vMerge w:val="restart"/>
            <w:tcBorders>
              <w:top w:val="nil"/>
              <w:left w:val="single" w:color="auto" w:sz="4" w:space="0"/>
              <w:bottom w:val="single" w:color="auto" w:sz="4" w:space="0"/>
              <w:right w:val="single" w:color="auto" w:sz="4" w:space="0"/>
            </w:tcBorders>
            <w:vAlign w:val="center"/>
          </w:tcPr>
          <w:p w14:paraId="0296D25A">
            <w:pPr>
              <w:widowControl/>
              <w:spacing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商务标</w:t>
            </w:r>
          </w:p>
          <w:p w14:paraId="6F107DC4">
            <w:pPr>
              <w:widowControl/>
              <w:spacing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w:t>
            </w:r>
            <w:r>
              <w:rPr>
                <w:rFonts w:hint="eastAsia" w:ascii="宋体" w:hAnsi="宋体" w:eastAsia="宋体" w:cs="宋体"/>
                <w:sz w:val="24"/>
                <w:szCs w:val="24"/>
                <w:highlight w:val="none"/>
                <w:lang w:val="en-US" w:eastAsia="zh-CN"/>
              </w:rPr>
              <w:t>10</w:t>
            </w:r>
            <w:r>
              <w:rPr>
                <w:rFonts w:hint="eastAsia" w:ascii="宋体" w:hAnsi="宋体" w:eastAsia="宋体" w:cs="宋体"/>
                <w:sz w:val="24"/>
                <w:szCs w:val="24"/>
                <w:highlight w:val="none"/>
              </w:rPr>
              <w:t>分）</w:t>
            </w:r>
          </w:p>
        </w:tc>
        <w:tc>
          <w:tcPr>
            <w:tcW w:w="1981" w:type="dxa"/>
            <w:gridSpan w:val="2"/>
            <w:tcBorders>
              <w:top w:val="single" w:color="auto" w:sz="4" w:space="0"/>
              <w:left w:val="nil"/>
              <w:bottom w:val="single" w:color="auto" w:sz="4" w:space="0"/>
              <w:right w:val="single" w:color="auto" w:sz="4" w:space="0"/>
            </w:tcBorders>
            <w:vAlign w:val="center"/>
          </w:tcPr>
          <w:p w14:paraId="14A22018">
            <w:pPr>
              <w:spacing w:line="360" w:lineRule="auto"/>
              <w:jc w:val="center"/>
              <w:rPr>
                <w:rFonts w:hint="eastAsia" w:ascii="宋体" w:hAnsi="宋体" w:cs="宋体"/>
                <w:sz w:val="24"/>
                <w:szCs w:val="24"/>
                <w:highlight w:val="none"/>
              </w:rPr>
            </w:pPr>
            <w:r>
              <w:rPr>
                <w:rFonts w:hint="eastAsia" w:ascii="宋体" w:hAnsi="宋体" w:cs="宋体"/>
                <w:sz w:val="24"/>
                <w:szCs w:val="24"/>
                <w:highlight w:val="none"/>
              </w:rPr>
              <w:t>类似业绩</w:t>
            </w:r>
          </w:p>
          <w:p w14:paraId="04D15A5B">
            <w:pPr>
              <w:spacing w:line="360" w:lineRule="auto"/>
              <w:jc w:val="center"/>
              <w:rPr>
                <w:rFonts w:hint="eastAsia" w:ascii="宋体" w:hAnsi="宋体" w:eastAsia="宋体" w:cs="宋体"/>
                <w:sz w:val="24"/>
                <w:szCs w:val="24"/>
                <w:highlight w:val="none"/>
                <w:lang w:val="zh-CN" w:bidi="zh-CN"/>
              </w:rPr>
            </w:pPr>
            <w:r>
              <w:rPr>
                <w:rFonts w:hint="eastAsia" w:ascii="宋体" w:hAnsi="宋体" w:cs="宋体"/>
                <w:sz w:val="24"/>
                <w:szCs w:val="24"/>
                <w:highlight w:val="none"/>
              </w:rPr>
              <w:t>（</w:t>
            </w:r>
            <w:r>
              <w:rPr>
                <w:rFonts w:hint="eastAsia" w:ascii="宋体" w:hAnsi="宋体" w:cs="宋体"/>
                <w:sz w:val="24"/>
                <w:szCs w:val="24"/>
                <w:highlight w:val="none"/>
                <w:lang w:val="en-US" w:eastAsia="zh-CN"/>
              </w:rPr>
              <w:t>6</w:t>
            </w:r>
            <w:r>
              <w:rPr>
                <w:rFonts w:hint="eastAsia" w:ascii="宋体" w:hAnsi="宋体" w:cs="宋体"/>
                <w:sz w:val="24"/>
                <w:szCs w:val="24"/>
                <w:highlight w:val="none"/>
              </w:rPr>
              <w:t>分）</w:t>
            </w:r>
          </w:p>
        </w:tc>
        <w:tc>
          <w:tcPr>
            <w:tcW w:w="6426" w:type="dxa"/>
            <w:tcBorders>
              <w:top w:val="single" w:color="auto" w:sz="4" w:space="0"/>
              <w:left w:val="nil"/>
              <w:bottom w:val="single" w:color="auto" w:sz="4" w:space="0"/>
              <w:right w:val="single" w:color="auto" w:sz="4" w:space="0"/>
            </w:tcBorders>
            <w:vAlign w:val="center"/>
          </w:tcPr>
          <w:p w14:paraId="44FA605C">
            <w:pPr>
              <w:spacing w:line="360" w:lineRule="auto"/>
              <w:rPr>
                <w:rFonts w:hint="eastAsia" w:ascii="宋体" w:hAnsi="宋体" w:eastAsia="宋体" w:cs="宋体"/>
                <w:sz w:val="24"/>
                <w:szCs w:val="24"/>
                <w:highlight w:val="none"/>
                <w:lang w:val="zh-CN" w:bidi="zh-CN"/>
              </w:rPr>
            </w:pPr>
            <w:r>
              <w:rPr>
                <w:rFonts w:hint="eastAsia" w:ascii="宋体" w:hAnsi="宋体" w:cs="宋体"/>
                <w:sz w:val="24"/>
                <w:szCs w:val="24"/>
                <w:highlight w:val="none"/>
                <w:lang w:bidi="zh-CN"/>
              </w:rPr>
              <w:t>提供2023年1月以来已完成的类似项目业绩，每提供一份得2分，该项最高得</w:t>
            </w:r>
            <w:r>
              <w:rPr>
                <w:rFonts w:hint="eastAsia" w:ascii="宋体" w:hAnsi="宋体" w:cs="宋体"/>
                <w:sz w:val="24"/>
                <w:szCs w:val="24"/>
                <w:highlight w:val="none"/>
                <w:lang w:val="en-US" w:bidi="zh-CN"/>
              </w:rPr>
              <w:t>6</w:t>
            </w:r>
            <w:r>
              <w:rPr>
                <w:rFonts w:hint="eastAsia" w:ascii="宋体" w:hAnsi="宋体" w:cs="宋体"/>
                <w:sz w:val="24"/>
                <w:szCs w:val="24"/>
                <w:highlight w:val="none"/>
                <w:lang w:bidi="zh-CN"/>
              </w:rPr>
              <w:t>分，没有不得分；须提供政府采购类项目合同书。注：需在响应文件中提供相应证明资料，没有不得分。</w:t>
            </w:r>
          </w:p>
        </w:tc>
      </w:tr>
      <w:tr w14:paraId="25D3B6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1300" w:type="dxa"/>
            <w:vMerge w:val="continue"/>
            <w:tcBorders>
              <w:top w:val="nil"/>
              <w:left w:val="single" w:color="auto" w:sz="4" w:space="0"/>
              <w:bottom w:val="single" w:color="auto" w:sz="4" w:space="0"/>
              <w:right w:val="single" w:color="auto" w:sz="4" w:space="0"/>
            </w:tcBorders>
            <w:vAlign w:val="center"/>
          </w:tcPr>
          <w:p w14:paraId="1DE62257">
            <w:pPr>
              <w:widowControl/>
              <w:spacing w:line="360" w:lineRule="auto"/>
              <w:rPr>
                <w:rFonts w:hint="eastAsia" w:ascii="宋体" w:hAnsi="宋体" w:eastAsia="宋体" w:cs="宋体"/>
                <w:sz w:val="24"/>
                <w:szCs w:val="24"/>
                <w:highlight w:val="none"/>
              </w:rPr>
            </w:pPr>
          </w:p>
        </w:tc>
        <w:tc>
          <w:tcPr>
            <w:tcW w:w="1981" w:type="dxa"/>
            <w:gridSpan w:val="2"/>
            <w:tcBorders>
              <w:top w:val="single" w:color="auto" w:sz="4" w:space="0"/>
              <w:left w:val="nil"/>
              <w:bottom w:val="single" w:color="auto" w:sz="4" w:space="0"/>
              <w:right w:val="single" w:color="auto" w:sz="4" w:space="0"/>
            </w:tcBorders>
            <w:vAlign w:val="center"/>
          </w:tcPr>
          <w:p w14:paraId="3D863FB7">
            <w:pPr>
              <w:spacing w:line="360" w:lineRule="auto"/>
              <w:rPr>
                <w:rFonts w:hint="eastAsia" w:ascii="宋体" w:hAnsi="宋体" w:cs="宋体"/>
                <w:sz w:val="24"/>
                <w:szCs w:val="24"/>
                <w:highlight w:val="none"/>
                <w:lang w:bidi="zh-CN"/>
              </w:rPr>
            </w:pPr>
            <w:r>
              <w:rPr>
                <w:rFonts w:hint="eastAsia" w:ascii="宋体" w:hAnsi="宋体" w:cs="宋体"/>
                <w:sz w:val="24"/>
                <w:szCs w:val="24"/>
                <w:highlight w:val="none"/>
                <w:lang w:bidi="zh-CN"/>
              </w:rPr>
              <w:t>售后服务</w:t>
            </w:r>
          </w:p>
          <w:p w14:paraId="63AC71D4">
            <w:pPr>
              <w:spacing w:line="360" w:lineRule="auto"/>
              <w:rPr>
                <w:rFonts w:hint="eastAsia" w:ascii="宋体" w:hAnsi="宋体" w:eastAsia="宋体" w:cs="宋体"/>
                <w:sz w:val="24"/>
                <w:szCs w:val="24"/>
                <w:highlight w:val="none"/>
                <w:lang w:bidi="zh-CN"/>
              </w:rPr>
            </w:pPr>
            <w:r>
              <w:rPr>
                <w:rFonts w:hint="eastAsia" w:ascii="宋体" w:hAnsi="宋体" w:cs="宋体"/>
                <w:sz w:val="24"/>
                <w:szCs w:val="24"/>
                <w:highlight w:val="none"/>
                <w:lang w:bidi="zh-CN"/>
              </w:rPr>
              <w:t>（0-</w:t>
            </w:r>
            <w:r>
              <w:rPr>
                <w:rFonts w:hint="eastAsia" w:ascii="宋体" w:hAnsi="宋体" w:cs="宋体"/>
                <w:sz w:val="24"/>
                <w:szCs w:val="24"/>
                <w:highlight w:val="none"/>
                <w:lang w:val="en-US" w:bidi="zh-CN"/>
              </w:rPr>
              <w:t>4</w:t>
            </w:r>
            <w:r>
              <w:rPr>
                <w:rFonts w:hint="eastAsia" w:ascii="宋体" w:hAnsi="宋体" w:cs="宋体"/>
                <w:sz w:val="24"/>
                <w:szCs w:val="24"/>
                <w:highlight w:val="none"/>
                <w:lang w:bidi="zh-CN"/>
              </w:rPr>
              <w:t>分）</w:t>
            </w:r>
          </w:p>
        </w:tc>
        <w:tc>
          <w:tcPr>
            <w:tcW w:w="6426" w:type="dxa"/>
            <w:tcBorders>
              <w:top w:val="single" w:color="auto" w:sz="4" w:space="0"/>
              <w:left w:val="nil"/>
              <w:bottom w:val="single" w:color="auto" w:sz="4" w:space="0"/>
              <w:right w:val="single" w:color="auto" w:sz="4" w:space="0"/>
            </w:tcBorders>
            <w:vAlign w:val="center"/>
          </w:tcPr>
          <w:p w14:paraId="112B71CE">
            <w:pPr>
              <w:spacing w:line="360" w:lineRule="auto"/>
              <w:rPr>
                <w:rFonts w:hint="eastAsia" w:ascii="宋体" w:hAnsi="宋体" w:cs="宋体"/>
                <w:sz w:val="24"/>
                <w:szCs w:val="24"/>
                <w:highlight w:val="none"/>
                <w:lang w:bidi="zh-CN"/>
              </w:rPr>
            </w:pPr>
            <w:r>
              <w:rPr>
                <w:rFonts w:hint="eastAsia" w:ascii="宋体" w:hAnsi="宋体" w:cs="宋体"/>
                <w:sz w:val="24"/>
                <w:szCs w:val="24"/>
                <w:highlight w:val="none"/>
                <w:lang w:bidi="zh-CN"/>
              </w:rPr>
              <w:t>对供应商提供的售后服务方案（包括但不限于售后服务体系、售后服务形式、服务标准、故障响应处置等）进行综合评审：</w:t>
            </w:r>
          </w:p>
          <w:p w14:paraId="5AA78011">
            <w:pPr>
              <w:spacing w:line="360" w:lineRule="auto"/>
              <w:rPr>
                <w:rFonts w:hint="eastAsia" w:ascii="宋体" w:hAnsi="宋体" w:cs="宋体"/>
                <w:sz w:val="24"/>
                <w:szCs w:val="24"/>
                <w:highlight w:val="none"/>
                <w:lang w:bidi="zh-CN"/>
              </w:rPr>
            </w:pPr>
            <w:r>
              <w:rPr>
                <w:rFonts w:hint="eastAsia" w:ascii="宋体" w:hAnsi="宋体" w:cs="宋体"/>
                <w:sz w:val="24"/>
                <w:szCs w:val="24"/>
                <w:highlight w:val="none"/>
                <w:lang w:bidi="zh-CN"/>
              </w:rPr>
              <w:t>1.售后服务方案具体、合理，并有具体对应的有售后服务方案的措施且方案完善的，得</w:t>
            </w:r>
            <w:r>
              <w:rPr>
                <w:rFonts w:hint="eastAsia" w:ascii="宋体" w:hAnsi="宋体" w:cs="宋体"/>
                <w:sz w:val="24"/>
                <w:szCs w:val="24"/>
                <w:highlight w:val="none"/>
                <w:lang w:val="en-US" w:bidi="zh-CN"/>
              </w:rPr>
              <w:t>4</w:t>
            </w:r>
            <w:r>
              <w:rPr>
                <w:rFonts w:hint="eastAsia" w:ascii="宋体" w:hAnsi="宋体" w:cs="宋体"/>
                <w:sz w:val="24"/>
                <w:szCs w:val="24"/>
                <w:highlight w:val="none"/>
                <w:lang w:bidi="zh-CN"/>
              </w:rPr>
              <w:t>分；</w:t>
            </w:r>
          </w:p>
          <w:p w14:paraId="6FC1E094">
            <w:pPr>
              <w:spacing w:line="360" w:lineRule="auto"/>
              <w:rPr>
                <w:rFonts w:hint="eastAsia" w:ascii="宋体" w:hAnsi="宋体" w:cs="宋体"/>
                <w:sz w:val="24"/>
                <w:szCs w:val="24"/>
                <w:highlight w:val="none"/>
                <w:lang w:bidi="zh-CN"/>
              </w:rPr>
            </w:pPr>
            <w:r>
              <w:rPr>
                <w:rFonts w:hint="eastAsia" w:ascii="宋体" w:hAnsi="宋体" w:cs="宋体"/>
                <w:sz w:val="24"/>
                <w:szCs w:val="24"/>
                <w:highlight w:val="none"/>
                <w:lang w:bidi="zh-CN"/>
              </w:rPr>
              <w:t>2.售后服务基本合理，售后服务方案措施不够详细、方案不够完善，得</w:t>
            </w:r>
            <w:r>
              <w:rPr>
                <w:rFonts w:hint="eastAsia" w:ascii="宋体" w:hAnsi="宋体" w:cs="宋体"/>
                <w:sz w:val="24"/>
                <w:szCs w:val="24"/>
                <w:highlight w:val="none"/>
                <w:lang w:val="en-US" w:bidi="zh-CN"/>
              </w:rPr>
              <w:t>2</w:t>
            </w:r>
            <w:r>
              <w:rPr>
                <w:rFonts w:hint="eastAsia" w:ascii="宋体" w:hAnsi="宋体" w:cs="宋体"/>
                <w:sz w:val="24"/>
                <w:szCs w:val="24"/>
                <w:highlight w:val="none"/>
                <w:lang w:bidi="zh-CN"/>
              </w:rPr>
              <w:t>分；</w:t>
            </w:r>
          </w:p>
          <w:p w14:paraId="2B78E481">
            <w:pPr>
              <w:spacing w:line="360" w:lineRule="auto"/>
              <w:rPr>
                <w:rFonts w:hint="eastAsia" w:ascii="宋体" w:hAnsi="宋体" w:cs="宋体"/>
                <w:sz w:val="24"/>
                <w:szCs w:val="24"/>
                <w:highlight w:val="none"/>
                <w:lang w:bidi="zh-CN"/>
              </w:rPr>
            </w:pPr>
            <w:r>
              <w:rPr>
                <w:rFonts w:hint="eastAsia" w:ascii="宋体" w:hAnsi="宋体" w:cs="宋体"/>
                <w:sz w:val="24"/>
                <w:szCs w:val="24"/>
                <w:highlight w:val="none"/>
                <w:lang w:bidi="zh-CN"/>
              </w:rPr>
              <w:t>3.售后服务不合理，售后服务方案措施差得1分；</w:t>
            </w:r>
          </w:p>
          <w:p w14:paraId="104FCF6D">
            <w:pPr>
              <w:spacing w:line="360" w:lineRule="auto"/>
              <w:rPr>
                <w:rFonts w:hint="eastAsia" w:ascii="宋体" w:hAnsi="宋体" w:eastAsia="宋体" w:cs="宋体"/>
                <w:sz w:val="24"/>
                <w:szCs w:val="24"/>
                <w:highlight w:val="none"/>
                <w:lang w:bidi="zh-CN"/>
              </w:rPr>
            </w:pPr>
            <w:r>
              <w:rPr>
                <w:rFonts w:hint="eastAsia" w:ascii="宋体" w:hAnsi="宋体" w:cs="宋体"/>
                <w:sz w:val="24"/>
                <w:szCs w:val="24"/>
                <w:highlight w:val="none"/>
                <w:lang w:bidi="zh-CN"/>
              </w:rPr>
              <w:t>4.不提供不得分。</w:t>
            </w:r>
          </w:p>
        </w:tc>
      </w:tr>
      <w:tr w14:paraId="082DF9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9707" w:type="dxa"/>
            <w:gridSpan w:val="4"/>
            <w:tcBorders>
              <w:top w:val="single" w:color="auto" w:sz="4" w:space="0"/>
              <w:left w:val="single" w:color="auto" w:sz="4" w:space="0"/>
              <w:bottom w:val="single" w:color="auto" w:sz="4" w:space="0"/>
              <w:right w:val="single" w:color="auto" w:sz="4" w:space="0"/>
            </w:tcBorders>
            <w:vAlign w:val="center"/>
          </w:tcPr>
          <w:p w14:paraId="25860DE9">
            <w:pPr>
              <w:widowControl w:val="0"/>
              <w:adjustRightInd w:val="0"/>
              <w:snapToGrid w:val="0"/>
              <w:spacing w:line="360" w:lineRule="auto"/>
              <w:jc w:val="both"/>
              <w:rPr>
                <w:rFonts w:hint="eastAsia" w:ascii="宋体" w:hAnsi="宋体" w:cs="宋体"/>
                <w:bCs/>
                <w:color w:val="auto"/>
                <w:kern w:val="2"/>
                <w:sz w:val="24"/>
                <w:szCs w:val="24"/>
                <w:highlight w:val="none"/>
              </w:rPr>
            </w:pPr>
            <w:r>
              <w:rPr>
                <w:rFonts w:hint="eastAsia" w:ascii="宋体" w:hAnsi="宋体" w:cs="宋体"/>
                <w:bCs/>
                <w:color w:val="auto"/>
                <w:kern w:val="2"/>
                <w:sz w:val="24"/>
                <w:szCs w:val="24"/>
                <w:highlight w:val="none"/>
              </w:rPr>
              <w:t>注：评审中资格审查、评审打分以响应文件中原件扫描件为准且必须内容齐全、真实有效、清晰可辨。响应性文件的内容真实性由供应商自行承担。</w:t>
            </w:r>
          </w:p>
          <w:p w14:paraId="29AB3E27">
            <w:pPr>
              <w:widowControl w:val="0"/>
              <w:adjustRightInd w:val="0"/>
              <w:snapToGrid w:val="0"/>
              <w:spacing w:line="360" w:lineRule="auto"/>
              <w:jc w:val="both"/>
              <w:rPr>
                <w:rFonts w:hint="eastAsia" w:ascii="宋体" w:hAnsi="宋体" w:cs="宋体"/>
                <w:bCs/>
                <w:color w:val="auto"/>
                <w:kern w:val="2"/>
                <w:sz w:val="24"/>
                <w:szCs w:val="24"/>
                <w:highlight w:val="none"/>
                <w:lang w:val="en-US" w:eastAsia="zh-CN"/>
              </w:rPr>
            </w:pPr>
            <w:r>
              <w:rPr>
                <w:rFonts w:hint="eastAsia" w:ascii="宋体" w:hAnsi="宋体" w:cs="宋体"/>
                <w:bCs/>
                <w:color w:val="auto"/>
                <w:sz w:val="24"/>
                <w:szCs w:val="24"/>
                <w:highlight w:val="none"/>
              </w:rPr>
              <w:t>1</w:t>
            </w:r>
            <w:r>
              <w:rPr>
                <w:rFonts w:hint="eastAsia" w:ascii="宋体" w:hAnsi="宋体" w:cs="宋体"/>
                <w:bCs/>
                <w:color w:val="auto"/>
                <w:kern w:val="2"/>
                <w:sz w:val="24"/>
                <w:szCs w:val="24"/>
                <w:highlight w:val="none"/>
                <w:lang w:eastAsia="zh-CN"/>
              </w:rPr>
              <w:t>、</w:t>
            </w:r>
            <w:r>
              <w:rPr>
                <w:rFonts w:hint="eastAsia" w:ascii="宋体" w:hAnsi="宋体" w:cs="宋体"/>
                <w:bCs/>
                <w:color w:val="auto"/>
                <w:kern w:val="2"/>
                <w:sz w:val="24"/>
                <w:szCs w:val="24"/>
                <w:highlight w:val="none"/>
                <w:lang w:val="en-US" w:eastAsia="zh-CN"/>
              </w:rPr>
              <w:t>评审中出现下列情形之一的，评标委员会可以启动异常低价投标（响应）审查程序：</w:t>
            </w:r>
          </w:p>
          <w:p w14:paraId="7819D280">
            <w:pPr>
              <w:widowControl w:val="0"/>
              <w:adjustRightInd w:val="0"/>
              <w:snapToGrid w:val="0"/>
              <w:spacing w:line="360" w:lineRule="auto"/>
              <w:ind w:firstLine="240" w:firstLineChars="100"/>
              <w:jc w:val="both"/>
              <w:rPr>
                <w:rFonts w:hint="eastAsia" w:ascii="宋体" w:hAnsi="宋体" w:cs="宋体"/>
                <w:bCs/>
                <w:color w:val="auto"/>
                <w:kern w:val="2"/>
                <w:sz w:val="24"/>
                <w:szCs w:val="24"/>
                <w:highlight w:val="none"/>
                <w:lang w:val="en-US" w:eastAsia="zh-CN"/>
              </w:rPr>
            </w:pPr>
            <w:r>
              <w:rPr>
                <w:rFonts w:hint="eastAsia" w:ascii="宋体" w:hAnsi="宋体" w:cs="宋体"/>
                <w:bCs/>
                <w:color w:val="auto"/>
                <w:kern w:val="2"/>
                <w:sz w:val="24"/>
                <w:szCs w:val="24"/>
                <w:highlight w:val="none"/>
                <w:lang w:val="en-US" w:eastAsia="zh-CN"/>
              </w:rPr>
              <w:t>1.投标（响应）报价低于全部通过符合性审查供应商投标（响应）报价平均值50%的，即投标（响应）报价＜全部通过符合性审查供应商投标（响应）报价平均值×50%；</w:t>
            </w:r>
          </w:p>
          <w:p w14:paraId="4E883E84">
            <w:pPr>
              <w:widowControl w:val="0"/>
              <w:adjustRightInd w:val="0"/>
              <w:snapToGrid w:val="0"/>
              <w:spacing w:line="360" w:lineRule="auto"/>
              <w:ind w:firstLine="240" w:firstLineChars="100"/>
              <w:jc w:val="both"/>
              <w:rPr>
                <w:rFonts w:hint="eastAsia" w:ascii="宋体" w:hAnsi="宋体" w:cs="宋体"/>
                <w:bCs/>
                <w:color w:val="auto"/>
                <w:kern w:val="2"/>
                <w:sz w:val="24"/>
                <w:szCs w:val="24"/>
                <w:highlight w:val="none"/>
                <w:lang w:val="en-US" w:eastAsia="zh-CN"/>
              </w:rPr>
            </w:pPr>
            <w:r>
              <w:rPr>
                <w:rFonts w:hint="eastAsia" w:ascii="宋体" w:hAnsi="宋体" w:cs="宋体"/>
                <w:bCs/>
                <w:color w:val="auto"/>
                <w:kern w:val="2"/>
                <w:sz w:val="24"/>
                <w:szCs w:val="24"/>
                <w:highlight w:val="none"/>
                <w:lang w:val="en-US" w:eastAsia="zh-CN"/>
              </w:rPr>
              <w:t>2.投标（响应）报价低于通过符合性审查且报价次低供应商投标（响应）报价 50%的，即投标（响应）报价＜通过符合性审查且报价次低供应商投标（响应）报价×50%；</w:t>
            </w:r>
          </w:p>
          <w:p w14:paraId="44C0CB6C">
            <w:pPr>
              <w:widowControl w:val="0"/>
              <w:adjustRightInd w:val="0"/>
              <w:snapToGrid w:val="0"/>
              <w:spacing w:line="360" w:lineRule="auto"/>
              <w:ind w:firstLine="240" w:firstLineChars="100"/>
              <w:jc w:val="both"/>
              <w:rPr>
                <w:rFonts w:hint="eastAsia" w:ascii="宋体" w:hAnsi="宋体" w:cs="宋体"/>
                <w:bCs/>
                <w:color w:val="auto"/>
                <w:kern w:val="2"/>
                <w:sz w:val="24"/>
                <w:szCs w:val="24"/>
                <w:highlight w:val="none"/>
                <w:lang w:val="en-US" w:eastAsia="zh-CN"/>
              </w:rPr>
            </w:pPr>
            <w:r>
              <w:rPr>
                <w:rFonts w:hint="eastAsia" w:ascii="宋体" w:hAnsi="宋体" w:cs="宋体"/>
                <w:bCs/>
                <w:color w:val="auto"/>
                <w:kern w:val="2"/>
                <w:sz w:val="24"/>
                <w:szCs w:val="24"/>
                <w:highlight w:val="none"/>
                <w:lang w:val="en-US" w:eastAsia="zh-CN"/>
              </w:rPr>
              <w:t>3.投标（响应）报价低于采购项目最高限价45%的，即投标（响应）报价＜采购项目最高限价×45%；</w:t>
            </w:r>
          </w:p>
          <w:p w14:paraId="4AD5D19F">
            <w:pPr>
              <w:widowControl w:val="0"/>
              <w:adjustRightInd w:val="0"/>
              <w:snapToGrid w:val="0"/>
              <w:spacing w:line="360" w:lineRule="auto"/>
              <w:ind w:firstLine="240" w:firstLineChars="100"/>
              <w:jc w:val="both"/>
              <w:rPr>
                <w:rFonts w:hint="eastAsia" w:ascii="宋体" w:hAnsi="宋体" w:cs="宋体"/>
                <w:bCs/>
                <w:color w:val="auto"/>
                <w:kern w:val="2"/>
                <w:sz w:val="24"/>
                <w:szCs w:val="24"/>
                <w:highlight w:val="none"/>
                <w:lang w:val="en-US" w:eastAsia="zh-CN"/>
              </w:rPr>
            </w:pPr>
            <w:r>
              <w:rPr>
                <w:rFonts w:hint="eastAsia" w:ascii="宋体" w:hAnsi="宋体" w:cs="宋体"/>
                <w:bCs/>
                <w:color w:val="auto"/>
                <w:kern w:val="2"/>
                <w:sz w:val="24"/>
                <w:szCs w:val="24"/>
                <w:highlight w:val="none"/>
                <w:lang w:val="en-US" w:eastAsia="zh-CN"/>
              </w:rPr>
              <w:t>4.评审委员会基于专业判断，认为供应商报价过低，有可能影响产品质量或者不能诚信履约的其他情形。</w:t>
            </w:r>
          </w:p>
          <w:p w14:paraId="61D9F116">
            <w:pPr>
              <w:widowControl w:val="0"/>
              <w:adjustRightInd w:val="0"/>
              <w:snapToGrid w:val="0"/>
              <w:spacing w:line="360" w:lineRule="auto"/>
              <w:ind w:firstLine="240" w:firstLineChars="100"/>
              <w:jc w:val="both"/>
              <w:rPr>
                <w:rFonts w:hint="eastAsia" w:ascii="宋体" w:hAnsi="宋体" w:cs="宋体"/>
                <w:bCs/>
                <w:color w:val="auto"/>
                <w:kern w:val="2"/>
                <w:sz w:val="24"/>
                <w:szCs w:val="24"/>
                <w:highlight w:val="none"/>
                <w:lang w:val="en-US" w:eastAsia="zh-CN"/>
              </w:rPr>
            </w:pPr>
            <w:r>
              <w:rPr>
                <w:rFonts w:hint="eastAsia" w:ascii="宋体" w:hAnsi="宋体" w:cs="宋体"/>
                <w:bCs/>
                <w:color w:val="auto"/>
                <w:kern w:val="2"/>
                <w:sz w:val="24"/>
                <w:szCs w:val="24"/>
                <w:highlight w:val="none"/>
                <w:lang w:eastAsia="zh-CN"/>
              </w:rPr>
              <w:t>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r>
              <w:rPr>
                <w:rFonts w:hint="eastAsia" w:ascii="宋体" w:hAnsi="宋体" w:cs="宋体"/>
                <w:bCs/>
                <w:color w:val="auto"/>
                <w:kern w:val="2"/>
                <w:sz w:val="24"/>
                <w:szCs w:val="24"/>
                <w:highlight w:val="none"/>
                <w:lang w:val="en-US" w:eastAsia="zh-CN"/>
              </w:rPr>
              <w:t>。</w:t>
            </w:r>
          </w:p>
          <w:p w14:paraId="76589B42">
            <w:pPr>
              <w:widowControl w:val="0"/>
              <w:adjustRightInd w:val="0"/>
              <w:snapToGrid w:val="0"/>
              <w:spacing w:line="360" w:lineRule="auto"/>
              <w:ind w:firstLine="240" w:firstLineChars="100"/>
              <w:jc w:val="both"/>
              <w:rPr>
                <w:rFonts w:hint="eastAsia" w:ascii="宋体" w:hAnsi="宋体" w:cs="宋体"/>
                <w:bCs/>
                <w:color w:val="auto"/>
                <w:kern w:val="2"/>
                <w:sz w:val="24"/>
                <w:szCs w:val="24"/>
                <w:highlight w:val="none"/>
              </w:rPr>
            </w:pPr>
            <w:r>
              <w:rPr>
                <w:rFonts w:hint="eastAsia" w:ascii="宋体" w:hAnsi="宋体" w:cs="宋体"/>
                <w:bCs/>
                <w:color w:val="auto"/>
                <w:kern w:val="2"/>
                <w:sz w:val="24"/>
                <w:szCs w:val="24"/>
                <w:highlight w:val="none"/>
                <w:lang w:eastAsia="zh-CN"/>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14:paraId="09A1547F">
            <w:pPr>
              <w:spacing w:line="360" w:lineRule="auto"/>
              <w:rPr>
                <w:rFonts w:hint="eastAsia" w:ascii="宋体" w:hAnsi="宋体" w:eastAsia="宋体" w:cs="宋体"/>
                <w:sz w:val="24"/>
                <w:szCs w:val="24"/>
                <w:highlight w:val="none"/>
                <w:lang w:bidi="zh-CN"/>
              </w:rPr>
            </w:pPr>
            <w:r>
              <w:rPr>
                <w:rFonts w:hint="eastAsia" w:ascii="宋体" w:hAnsi="宋体" w:cs="宋体"/>
                <w:bCs/>
                <w:color w:val="auto"/>
                <w:kern w:val="2"/>
                <w:sz w:val="24"/>
                <w:szCs w:val="24"/>
                <w:highlight w:val="none"/>
              </w:rPr>
              <w:t>2、评标开始后，不再接受任何补充材料。</w:t>
            </w:r>
          </w:p>
        </w:tc>
      </w:tr>
    </w:tbl>
    <w:p w14:paraId="36C0B401">
      <w:pPr>
        <w:widowControl/>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供应商综合得分按下列公式计算（计算分值均保留两位小数）；</w:t>
      </w:r>
    </w:p>
    <w:p w14:paraId="19C658D1">
      <w:pPr>
        <w:widowControl/>
        <w:spacing w:line="360" w:lineRule="auto"/>
        <w:rPr>
          <w:rFonts w:hint="eastAsia" w:ascii="宋体" w:hAnsi="宋体" w:cs="Calibri"/>
          <w:szCs w:val="21"/>
          <w:highlight w:val="none"/>
        </w:rPr>
      </w:pPr>
      <w:r>
        <w:rPr>
          <w:rFonts w:hint="eastAsia" w:ascii="宋体" w:hAnsi="宋体" w:cs="Calibri"/>
          <w:b/>
          <w:bCs/>
          <w:kern w:val="0"/>
          <w:sz w:val="24"/>
          <w:highlight w:val="none"/>
        </w:rPr>
        <w:t>注：评分办法中要求材料均以原件扫描件为准，保证清晰可见。</w:t>
      </w:r>
    </w:p>
    <w:p w14:paraId="694A0438">
      <w:pPr>
        <w:spacing w:line="480" w:lineRule="exact"/>
        <w:jc w:val="left"/>
        <w:outlineLvl w:val="1"/>
        <w:rPr>
          <w:rFonts w:hint="eastAsia" w:ascii="宋体" w:hAnsi="宋体" w:eastAsia="宋体" w:cs="宋体"/>
          <w:b/>
          <w:bCs/>
          <w:sz w:val="24"/>
          <w:szCs w:val="24"/>
          <w:highlight w:val="none"/>
        </w:rPr>
      </w:pPr>
      <w:bookmarkStart w:id="203" w:name="_Toc19222"/>
      <w:r>
        <w:rPr>
          <w:rFonts w:hint="eastAsia" w:ascii="宋体" w:hAnsi="宋体" w:eastAsia="宋体" w:cs="宋体"/>
          <w:b/>
          <w:bCs/>
          <w:sz w:val="24"/>
          <w:szCs w:val="24"/>
          <w:highlight w:val="none"/>
        </w:rPr>
        <w:t>三、综合评估法</w:t>
      </w:r>
      <w:bookmarkEnd w:id="203"/>
    </w:p>
    <w:p w14:paraId="5790BE52">
      <w:pPr>
        <w:spacing w:line="460" w:lineRule="exact"/>
        <w:ind w:firstLine="480" w:firstLineChars="200"/>
        <w:jc w:val="left"/>
        <w:outlineLvl w:val="2"/>
        <w:rPr>
          <w:rFonts w:hint="eastAsia" w:ascii="宋体" w:hAnsi="宋体" w:eastAsia="宋体" w:cs="宋体"/>
          <w:sz w:val="24"/>
          <w:szCs w:val="24"/>
          <w:highlight w:val="none"/>
        </w:rPr>
      </w:pPr>
      <w:bookmarkStart w:id="204" w:name="_Toc22573"/>
      <w:r>
        <w:rPr>
          <w:rFonts w:hint="eastAsia" w:ascii="宋体" w:hAnsi="宋体" w:eastAsia="宋体" w:cs="宋体"/>
          <w:sz w:val="24"/>
          <w:szCs w:val="24"/>
          <w:highlight w:val="none"/>
        </w:rPr>
        <w:t>3.1、本次采用综合评估法。</w:t>
      </w:r>
      <w:bookmarkEnd w:id="204"/>
    </w:p>
    <w:p w14:paraId="66E231CB">
      <w:pPr>
        <w:spacing w:line="46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磋商小组按与各供应商分别单独就采购需求、质量和服务等进行磋商，并将磋商内容记录在案，磋商结束后，磋商小组将要求实质性响应竞争性磋商文件的供应商在规定时间内提交最后报价。在规定时间内没有提交最后报价的磋商供应商，将视其首次报价为最终报价。未通过实质性响应的供应商将不再进行最后报价。经磋商确定最终采购需求和提交最后报价的供应商后，由磋商小组采用综合评分法对提交最后报价的供应商的响应文件和最后报价进行综合评分。</w:t>
      </w:r>
    </w:p>
    <w:p w14:paraId="0E9D2911">
      <w:pPr>
        <w:spacing w:line="46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磋商小组对满足采购文件实质性要求的响应文件，按照本章规定的评分标准进行打分，按最终得分由高到低顺序推荐候选成交供应商。得分相同的，按照最后报价由低到高的顺序推荐。评审得分且最后报价相同的，按照技术指标优劣顺序推荐。</w:t>
      </w:r>
    </w:p>
    <w:p w14:paraId="3E3D2F5E">
      <w:pPr>
        <w:spacing w:line="460" w:lineRule="exact"/>
        <w:ind w:firstLine="520" w:firstLineChars="217"/>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3.2、评分分值计算保留小数点后两位，小数点后第三位“四舍五入”。</w:t>
      </w:r>
    </w:p>
    <w:p w14:paraId="4C4EF9D9">
      <w:pPr>
        <w:spacing w:line="460" w:lineRule="exact"/>
        <w:ind w:firstLine="520" w:firstLineChars="217"/>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3.3、在评标过程中，凡遇到磋商文件中无界定或界定不清、前后不一致使磋商小组成员意见有分歧且又难以协商一致的问题，均由磋商小组成员投票予以表决，少数服从多数原则确定。 </w:t>
      </w:r>
    </w:p>
    <w:p w14:paraId="0CD3C55D">
      <w:pPr>
        <w:spacing w:line="460" w:lineRule="exact"/>
        <w:ind w:firstLine="480" w:firstLineChars="200"/>
        <w:jc w:val="left"/>
        <w:outlineLvl w:val="2"/>
        <w:rPr>
          <w:rFonts w:hint="eastAsia" w:ascii="宋体" w:hAnsi="宋体" w:eastAsia="宋体" w:cs="宋体"/>
          <w:sz w:val="24"/>
          <w:szCs w:val="24"/>
          <w:highlight w:val="none"/>
        </w:rPr>
      </w:pPr>
      <w:bookmarkStart w:id="205" w:name="_Toc23408"/>
      <w:r>
        <w:rPr>
          <w:rFonts w:hint="eastAsia" w:ascii="宋体" w:hAnsi="宋体" w:eastAsia="宋体" w:cs="宋体"/>
          <w:sz w:val="24"/>
          <w:szCs w:val="24"/>
          <w:highlight w:val="none"/>
        </w:rPr>
        <w:t>3.4、磋商小组完成评审后，向采购人出具评审报告。</w:t>
      </w:r>
      <w:bookmarkEnd w:id="205"/>
    </w:p>
    <w:p w14:paraId="334737DC">
      <w:pPr>
        <w:spacing w:line="480" w:lineRule="exact"/>
        <w:jc w:val="left"/>
        <w:outlineLvl w:val="1"/>
        <w:rPr>
          <w:rFonts w:hint="eastAsia" w:ascii="宋体" w:hAnsi="宋体" w:eastAsia="宋体" w:cs="宋体"/>
          <w:b/>
          <w:bCs/>
          <w:sz w:val="24"/>
          <w:szCs w:val="24"/>
          <w:highlight w:val="none"/>
        </w:rPr>
      </w:pPr>
      <w:bookmarkStart w:id="206" w:name="_Toc30530"/>
      <w:r>
        <w:rPr>
          <w:rFonts w:hint="eastAsia" w:ascii="宋体" w:hAnsi="宋体" w:eastAsia="宋体" w:cs="宋体"/>
          <w:b/>
          <w:bCs/>
          <w:sz w:val="24"/>
          <w:szCs w:val="24"/>
          <w:highlight w:val="none"/>
        </w:rPr>
        <w:t>四、磋商程序</w:t>
      </w:r>
      <w:bookmarkEnd w:id="206"/>
      <w:r>
        <w:rPr>
          <w:rFonts w:hint="eastAsia" w:ascii="宋体" w:hAnsi="宋体" w:eastAsia="宋体" w:cs="宋体"/>
          <w:b/>
          <w:bCs/>
          <w:sz w:val="24"/>
          <w:szCs w:val="24"/>
          <w:highlight w:val="none"/>
        </w:rPr>
        <w:t xml:space="preserve"> </w:t>
      </w:r>
    </w:p>
    <w:p w14:paraId="4E36B9CE">
      <w:pPr>
        <w:spacing w:line="480" w:lineRule="exact"/>
        <w:ind w:firstLine="482" w:firstLineChars="200"/>
        <w:jc w:val="left"/>
        <w:outlineLvl w:val="2"/>
        <w:rPr>
          <w:rFonts w:hint="eastAsia" w:ascii="宋体" w:hAnsi="宋体" w:eastAsia="宋体" w:cs="宋体"/>
          <w:b/>
          <w:bCs/>
          <w:sz w:val="24"/>
          <w:szCs w:val="24"/>
          <w:highlight w:val="none"/>
        </w:rPr>
      </w:pPr>
      <w:bookmarkStart w:id="207" w:name="_Toc880"/>
      <w:r>
        <w:rPr>
          <w:rFonts w:hint="eastAsia" w:ascii="宋体" w:hAnsi="宋体" w:eastAsia="宋体" w:cs="宋体"/>
          <w:b/>
          <w:bCs/>
          <w:sz w:val="24"/>
          <w:szCs w:val="24"/>
          <w:highlight w:val="none"/>
        </w:rPr>
        <w:t>4.1 初步评审</w:t>
      </w:r>
      <w:bookmarkEnd w:id="207"/>
      <w:r>
        <w:rPr>
          <w:rFonts w:hint="eastAsia" w:ascii="宋体" w:hAnsi="宋体" w:eastAsia="宋体" w:cs="宋体"/>
          <w:b/>
          <w:bCs/>
          <w:sz w:val="24"/>
          <w:szCs w:val="24"/>
          <w:highlight w:val="none"/>
        </w:rPr>
        <w:t xml:space="preserve"> </w:t>
      </w:r>
    </w:p>
    <w:p w14:paraId="2482E73C">
      <w:pPr>
        <w:spacing w:line="46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4.1.</w:t>
      </w:r>
      <w:r>
        <w:rPr>
          <w:rFonts w:ascii="宋体" w:hAnsi="宋体" w:eastAsia="宋体" w:cs="宋体"/>
          <w:sz w:val="24"/>
          <w:szCs w:val="24"/>
          <w:highlight w:val="none"/>
        </w:rPr>
        <w:t>1</w:t>
      </w:r>
      <w:r>
        <w:rPr>
          <w:rFonts w:hint="eastAsia" w:ascii="宋体" w:hAnsi="宋体" w:eastAsia="宋体" w:cs="宋体"/>
          <w:sz w:val="24"/>
          <w:szCs w:val="24"/>
          <w:highlight w:val="none"/>
        </w:rPr>
        <w:t xml:space="preserve">磋商小组依据本章附表 1 初步评审表规定的标准对磋商响应文件进行初步评审。有一项不符合评审标准的，作无效标处理。 </w:t>
      </w:r>
    </w:p>
    <w:p w14:paraId="4CEDA2A4">
      <w:pPr>
        <w:spacing w:line="460" w:lineRule="exact"/>
        <w:ind w:firstLine="480" w:firstLineChars="200"/>
        <w:jc w:val="left"/>
        <w:outlineLvl w:val="3"/>
        <w:rPr>
          <w:rFonts w:hint="eastAsia" w:ascii="宋体" w:hAnsi="宋体" w:eastAsia="宋体" w:cs="宋体"/>
          <w:sz w:val="24"/>
          <w:szCs w:val="24"/>
          <w:highlight w:val="none"/>
        </w:rPr>
      </w:pPr>
      <w:r>
        <w:rPr>
          <w:rFonts w:hint="eastAsia" w:ascii="宋体" w:hAnsi="宋体" w:eastAsia="宋体" w:cs="宋体"/>
          <w:sz w:val="24"/>
          <w:szCs w:val="24"/>
          <w:highlight w:val="none"/>
        </w:rPr>
        <w:t>4.1.</w:t>
      </w:r>
      <w:r>
        <w:rPr>
          <w:rFonts w:ascii="宋体" w:hAnsi="宋体" w:eastAsia="宋体" w:cs="宋体"/>
          <w:sz w:val="24"/>
          <w:szCs w:val="24"/>
          <w:highlight w:val="none"/>
        </w:rPr>
        <w:t>2</w:t>
      </w:r>
      <w:r>
        <w:rPr>
          <w:rFonts w:hint="eastAsia" w:ascii="宋体" w:hAnsi="宋体" w:eastAsia="宋体" w:cs="宋体"/>
          <w:sz w:val="24"/>
          <w:szCs w:val="24"/>
          <w:highlight w:val="none"/>
        </w:rPr>
        <w:t xml:space="preserve">供应商有以下情形之一的，其磋商作无效标处理： </w:t>
      </w:r>
    </w:p>
    <w:p w14:paraId="5385501C">
      <w:pPr>
        <w:spacing w:line="46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（1）串通磋商或弄虚作假或有其他违法行为的； </w:t>
      </w:r>
    </w:p>
    <w:p w14:paraId="3C5F168B">
      <w:pPr>
        <w:spacing w:line="46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（2）不按磋商小组要求澄清、说明或补正的。 </w:t>
      </w:r>
    </w:p>
    <w:p w14:paraId="26F09A34">
      <w:pPr>
        <w:spacing w:line="46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4.1.</w:t>
      </w:r>
      <w:r>
        <w:rPr>
          <w:rFonts w:ascii="宋体" w:hAnsi="宋体" w:eastAsia="宋体" w:cs="宋体"/>
          <w:sz w:val="24"/>
          <w:szCs w:val="24"/>
          <w:highlight w:val="none"/>
        </w:rPr>
        <w:t>3</w:t>
      </w:r>
      <w:r>
        <w:rPr>
          <w:rFonts w:hint="eastAsia" w:ascii="宋体" w:hAnsi="宋体" w:eastAsia="宋体" w:cs="宋体"/>
          <w:sz w:val="24"/>
          <w:szCs w:val="24"/>
          <w:highlight w:val="none"/>
        </w:rPr>
        <w:t xml:space="preserve">磋商报价有算术错误的，磋商小组按以下原则对磋商报价进行修正，修正的价格经供应商确认后具有约束力。供应商不接受修正价格的，其磋商作废标处理。 </w:t>
      </w:r>
    </w:p>
    <w:p w14:paraId="77589035">
      <w:pPr>
        <w:spacing w:line="46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（1）磋商文件中的大写金额与小写金额不一致的，以大写金额为准； </w:t>
      </w:r>
    </w:p>
    <w:p w14:paraId="1BA140DC">
      <w:pPr>
        <w:spacing w:line="46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（2）总价金额与依据单价计算出的结果不一致的，以单价金额为准修正总价，但单价金额小数点有明显错误的除外。</w:t>
      </w:r>
    </w:p>
    <w:p w14:paraId="1441F84A">
      <w:pPr>
        <w:spacing w:line="460" w:lineRule="exact"/>
        <w:ind w:firstLine="482" w:firstLineChars="200"/>
        <w:jc w:val="left"/>
        <w:outlineLvl w:val="2"/>
        <w:rPr>
          <w:rFonts w:hint="eastAsia" w:ascii="宋体" w:hAnsi="宋体" w:eastAsia="宋体" w:cs="宋体"/>
          <w:b/>
          <w:bCs/>
          <w:sz w:val="24"/>
          <w:szCs w:val="24"/>
          <w:highlight w:val="none"/>
        </w:rPr>
      </w:pPr>
      <w:bookmarkStart w:id="208" w:name="_Toc3753"/>
      <w:r>
        <w:rPr>
          <w:rFonts w:hint="eastAsia" w:ascii="宋体" w:hAnsi="宋体" w:eastAsia="宋体" w:cs="宋体"/>
          <w:b/>
          <w:bCs/>
          <w:sz w:val="24"/>
          <w:szCs w:val="24"/>
          <w:highlight w:val="none"/>
        </w:rPr>
        <w:t>4.2详细评审</w:t>
      </w:r>
      <w:bookmarkEnd w:id="208"/>
      <w:r>
        <w:rPr>
          <w:rFonts w:hint="eastAsia" w:ascii="宋体" w:hAnsi="宋体" w:eastAsia="宋体" w:cs="宋体"/>
          <w:b/>
          <w:bCs/>
          <w:sz w:val="24"/>
          <w:szCs w:val="24"/>
          <w:highlight w:val="none"/>
        </w:rPr>
        <w:t xml:space="preserve"> </w:t>
      </w:r>
    </w:p>
    <w:p w14:paraId="41DEE37C">
      <w:pPr>
        <w:spacing w:line="46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4.2.1磋商小组按本章评标办法前附表规定的量化因素和分值进行打分，并计算出综合评估得分。</w:t>
      </w:r>
    </w:p>
    <w:p w14:paraId="1EC9D328">
      <w:pPr>
        <w:spacing w:line="46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4.2.2在评审过程中，磋商小组发现供应商的磋商报价明显低于其他供应商的报价，并有可能低于其企业成本的，则磋商小组可以要求该供应商作出说明并提供相关证明材料。供应商不能合理说明或不能提供相关证明材料的，经磋商小组</w:t>
      </w:r>
      <w:r>
        <w:rPr>
          <w:rFonts w:hint="eastAsia" w:ascii="宋体" w:hAnsi="宋体" w:eastAsia="宋体" w:cs="宋体"/>
          <w:spacing w:val="6"/>
          <w:sz w:val="24"/>
          <w:szCs w:val="20"/>
          <w:highlight w:val="none"/>
        </w:rPr>
        <w:t>小组认定，属于恶性竞标的，可以按废标处理；磋商小组将不对无效响应文件或废标的供应商进行评审或打分。</w:t>
      </w:r>
      <w:r>
        <w:rPr>
          <w:rFonts w:hint="eastAsia" w:ascii="宋体" w:hAnsi="宋体" w:eastAsia="宋体" w:cs="宋体"/>
          <w:sz w:val="24"/>
          <w:szCs w:val="24"/>
          <w:highlight w:val="none"/>
        </w:rPr>
        <w:t xml:space="preserve"> </w:t>
      </w:r>
    </w:p>
    <w:p w14:paraId="3FB66778">
      <w:pPr>
        <w:spacing w:line="460" w:lineRule="exact"/>
        <w:ind w:firstLine="482" w:firstLineChars="200"/>
        <w:jc w:val="left"/>
        <w:outlineLvl w:val="2"/>
        <w:rPr>
          <w:rFonts w:hint="eastAsia" w:ascii="宋体" w:hAnsi="宋体" w:eastAsia="宋体" w:cs="宋体"/>
          <w:b/>
          <w:bCs/>
          <w:sz w:val="24"/>
          <w:szCs w:val="24"/>
          <w:highlight w:val="none"/>
        </w:rPr>
      </w:pPr>
      <w:bookmarkStart w:id="209" w:name="_Toc12705"/>
      <w:r>
        <w:rPr>
          <w:rFonts w:hint="eastAsia" w:ascii="宋体" w:hAnsi="宋体" w:eastAsia="宋体" w:cs="宋体"/>
          <w:b/>
          <w:bCs/>
          <w:sz w:val="24"/>
          <w:szCs w:val="24"/>
          <w:highlight w:val="none"/>
        </w:rPr>
        <w:t>4.3磋商文件的澄清和补正</w:t>
      </w:r>
      <w:bookmarkEnd w:id="209"/>
      <w:r>
        <w:rPr>
          <w:rFonts w:hint="eastAsia" w:ascii="宋体" w:hAnsi="宋体" w:eastAsia="宋体" w:cs="宋体"/>
          <w:b/>
          <w:bCs/>
          <w:sz w:val="24"/>
          <w:szCs w:val="24"/>
          <w:highlight w:val="none"/>
        </w:rPr>
        <w:t xml:space="preserve"> </w:t>
      </w:r>
    </w:p>
    <w:p w14:paraId="53AC3A70">
      <w:pPr>
        <w:spacing w:line="46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4.3.1在磋商过程中，磋商小组可以要求供应商对所提交磋商响应文件中不明确的内容进行澄清或说明，或者对细微偏差进行补正。磋商小组不接受供应商主动提出的澄清、说明或补正。 </w:t>
      </w:r>
    </w:p>
    <w:p w14:paraId="114ABE58">
      <w:pPr>
        <w:spacing w:line="46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4.3.2澄清、说明和补正不得改变磋商文件的实质性内容（算术性错误修正的除外）。供应商的澄清、说明和补正属于磋商响应文件的组成部分。 </w:t>
      </w:r>
    </w:p>
    <w:p w14:paraId="7B74FFC5">
      <w:pPr>
        <w:spacing w:line="46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4.3.3磋商小组对供应商提交的澄清、说明或补正有疑问的，可以要求供应商进一步澄清、说明或补正，直至满足磋商小组的要求。 </w:t>
      </w:r>
    </w:p>
    <w:p w14:paraId="5285258C">
      <w:pPr>
        <w:spacing w:line="460" w:lineRule="exact"/>
        <w:ind w:firstLine="482" w:firstLineChars="200"/>
        <w:jc w:val="left"/>
        <w:outlineLvl w:val="2"/>
        <w:rPr>
          <w:rFonts w:hint="eastAsia" w:ascii="宋体" w:hAnsi="宋体" w:eastAsia="宋体" w:cs="宋体"/>
          <w:b/>
          <w:bCs/>
          <w:sz w:val="24"/>
          <w:szCs w:val="24"/>
          <w:highlight w:val="none"/>
        </w:rPr>
      </w:pPr>
      <w:bookmarkStart w:id="210" w:name="_Toc16129"/>
      <w:r>
        <w:rPr>
          <w:rFonts w:hint="eastAsia" w:ascii="宋体" w:hAnsi="宋体" w:eastAsia="宋体" w:cs="宋体"/>
          <w:b/>
          <w:bCs/>
          <w:sz w:val="24"/>
          <w:szCs w:val="24"/>
          <w:highlight w:val="none"/>
        </w:rPr>
        <w:t>4.4、计分办法</w:t>
      </w:r>
      <w:bookmarkEnd w:id="210"/>
    </w:p>
    <w:p w14:paraId="58FE44CC">
      <w:pPr>
        <w:spacing w:line="46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根据磋商文件、响应文件，按照评分办法，得出每个评委对响应单位的评标分数。响应单位的最终得分为所有评委对其打分的算术平均值。计分过程按四舍五入取至小数点后两位，最终得分取至小数点后二位。</w:t>
      </w:r>
    </w:p>
    <w:p w14:paraId="2DA23741">
      <w:pPr>
        <w:spacing w:line="460" w:lineRule="exact"/>
        <w:ind w:firstLine="482" w:firstLineChars="200"/>
        <w:jc w:val="left"/>
        <w:outlineLvl w:val="2"/>
        <w:rPr>
          <w:rFonts w:hint="eastAsia" w:ascii="宋体" w:hAnsi="宋体" w:eastAsia="宋体" w:cs="宋体"/>
          <w:b/>
          <w:bCs/>
          <w:sz w:val="24"/>
          <w:szCs w:val="24"/>
          <w:highlight w:val="none"/>
        </w:rPr>
      </w:pPr>
      <w:bookmarkStart w:id="211" w:name="_Toc10110"/>
      <w:r>
        <w:rPr>
          <w:rFonts w:hint="eastAsia" w:ascii="宋体" w:hAnsi="宋体" w:eastAsia="宋体" w:cs="宋体"/>
          <w:b/>
          <w:bCs/>
          <w:sz w:val="24"/>
          <w:szCs w:val="24"/>
          <w:highlight w:val="none"/>
        </w:rPr>
        <w:t>4.5  磋商结果</w:t>
      </w:r>
      <w:bookmarkEnd w:id="211"/>
    </w:p>
    <w:p w14:paraId="432E76BB">
      <w:pPr>
        <w:spacing w:line="46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磋商小组按照得分由高到低的顺序推荐3名中标候选人。磋商小组完成磋商后，应当向采购人提交磋商报告。</w:t>
      </w:r>
    </w:p>
    <w:p w14:paraId="688DADA9">
      <w:pPr>
        <w:spacing w:line="460" w:lineRule="exact"/>
        <w:ind w:firstLine="482" w:firstLineChars="200"/>
        <w:jc w:val="left"/>
        <w:outlineLvl w:val="2"/>
        <w:rPr>
          <w:rFonts w:hint="eastAsia" w:ascii="宋体" w:hAnsi="宋体" w:eastAsia="宋体" w:cs="宋体"/>
          <w:b/>
          <w:bCs/>
          <w:sz w:val="24"/>
          <w:szCs w:val="24"/>
          <w:highlight w:val="none"/>
        </w:rPr>
      </w:pPr>
      <w:bookmarkStart w:id="212" w:name="_Toc8670"/>
      <w:r>
        <w:rPr>
          <w:rFonts w:hint="eastAsia" w:ascii="宋体" w:hAnsi="宋体" w:eastAsia="宋体" w:cs="宋体"/>
          <w:b/>
          <w:bCs/>
          <w:sz w:val="24"/>
          <w:szCs w:val="24"/>
          <w:highlight w:val="none"/>
        </w:rPr>
        <w:t>4.6 定标办法</w:t>
      </w:r>
      <w:bookmarkEnd w:id="212"/>
    </w:p>
    <w:p w14:paraId="1E4C2269">
      <w:pPr>
        <w:spacing w:line="46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（1）磋商小组应当根据供应商最终得分由高到低的顺序推荐3名成交候选供应商，出具磋商评审报告。</w:t>
      </w:r>
    </w:p>
    <w:p w14:paraId="69D0CCD7">
      <w:pPr>
        <w:spacing w:line="46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最终得分相同的，按照最后报价由低到高的顺序推荐。最终得分和最后报价均相同的，按照技术指标优劣顺序或磋商小组举手表决，少数服从多数的原则推荐。</w:t>
      </w:r>
    </w:p>
    <w:p w14:paraId="0A4F44E0">
      <w:pPr>
        <w:spacing w:line="46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（2）采购人按磋商小组写出磋商报告确定排序第一的响应单位为成交人。</w:t>
      </w:r>
    </w:p>
    <w:p w14:paraId="1E120704">
      <w:pPr>
        <w:spacing w:line="46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3）成交供应商拒绝签订政府采购合同的，采购人可以按照“财库【2014】214号”文第二十八条第二款规定的原则确定其他供应商作为成交供应商并签订政府采购合同，也可以重新开展采购活动。拒绝签订政府采购合同的成交供应商不得参加对该项目重新开展的采购活动。</w:t>
      </w:r>
    </w:p>
    <w:p w14:paraId="34A3DC6D">
      <w:pPr>
        <w:spacing w:line="360" w:lineRule="auto"/>
        <w:ind w:firstLine="456" w:firstLineChars="200"/>
        <w:jc w:val="left"/>
        <w:rPr>
          <w:highlight w:val="none"/>
        </w:rPr>
      </w:pPr>
      <w:r>
        <w:rPr>
          <w:rFonts w:hint="eastAsia" w:ascii="宋体" w:hAnsi="宋体" w:cs="宋体"/>
          <w:spacing w:val="-6"/>
          <w:kern w:val="0"/>
          <w:sz w:val="24"/>
          <w:highlight w:val="none"/>
        </w:rPr>
        <w:br w:type="page"/>
      </w:r>
    </w:p>
    <w:p w14:paraId="0D4C0F60">
      <w:pPr>
        <w:pStyle w:val="7"/>
        <w:jc w:val="center"/>
        <w:rPr>
          <w:highlight w:val="none"/>
        </w:rPr>
      </w:pPr>
      <w:bookmarkStart w:id="213" w:name="_Toc13565_WPSOffice_Level1"/>
      <w:bookmarkStart w:id="214" w:name="_Toc2414"/>
      <w:bookmarkStart w:id="215" w:name="_Toc8518"/>
      <w:bookmarkStart w:id="216" w:name="_Toc11512_WPSOffice_Level1"/>
      <w:bookmarkStart w:id="217" w:name="_Toc26959_WPSOffice_Level1"/>
      <w:bookmarkStart w:id="218" w:name="_Toc17744"/>
      <w:bookmarkStart w:id="219" w:name="_Toc6551_WPSOffice_Level1"/>
      <w:bookmarkStart w:id="220" w:name="_Toc9767"/>
      <w:r>
        <w:rPr>
          <w:rFonts w:hint="eastAsia"/>
          <w:highlight w:val="none"/>
        </w:rPr>
        <w:t>第四章  合同主要条款及格式</w:t>
      </w:r>
      <w:bookmarkEnd w:id="213"/>
      <w:bookmarkEnd w:id="214"/>
      <w:bookmarkEnd w:id="215"/>
      <w:bookmarkEnd w:id="216"/>
      <w:bookmarkEnd w:id="217"/>
      <w:bookmarkEnd w:id="218"/>
      <w:bookmarkEnd w:id="219"/>
      <w:bookmarkEnd w:id="220"/>
    </w:p>
    <w:p w14:paraId="39F69E2E">
      <w:pPr>
        <w:widowControl/>
        <w:jc w:val="left"/>
        <w:rPr>
          <w:rFonts w:hint="eastAsia" w:ascii="宋体" w:hAnsi="宋体" w:eastAsia="宋体" w:cs="宋体"/>
          <w:kern w:val="0"/>
          <w:sz w:val="24"/>
          <w:szCs w:val="24"/>
          <w:highlight w:val="none"/>
        </w:rPr>
      </w:pPr>
    </w:p>
    <w:p w14:paraId="451F2F6A">
      <w:pPr>
        <w:widowControl/>
        <w:jc w:val="left"/>
        <w:rPr>
          <w:rFonts w:hint="eastAsia" w:ascii="宋体" w:hAnsi="宋体" w:eastAsia="宋体" w:cs="宋体"/>
          <w:kern w:val="0"/>
          <w:sz w:val="24"/>
          <w:szCs w:val="24"/>
          <w:highlight w:val="none"/>
        </w:rPr>
      </w:pPr>
    </w:p>
    <w:p w14:paraId="586AD424">
      <w:pPr>
        <w:widowControl/>
        <w:spacing w:line="360" w:lineRule="auto"/>
        <w:ind w:firstLine="482" w:firstLineChars="200"/>
        <w:jc w:val="left"/>
        <w:rPr>
          <w:rFonts w:hint="eastAsia" w:ascii="宋体" w:hAnsi="宋体" w:cs="宋体"/>
          <w:b/>
          <w:bCs/>
          <w:sz w:val="24"/>
          <w:szCs w:val="24"/>
          <w:highlight w:val="none"/>
        </w:rPr>
      </w:pPr>
      <w:r>
        <w:rPr>
          <w:rFonts w:hint="eastAsia" w:ascii="宋体" w:hAnsi="宋体" w:cs="宋体"/>
          <w:b/>
          <w:bCs/>
          <w:sz w:val="24"/>
          <w:szCs w:val="24"/>
          <w:highlight w:val="none"/>
        </w:rPr>
        <w:t>由项目采购单位与成交单位根据本磋商文件、成交单位响应文件及成交通知书，协商签订本项目采购合同。</w:t>
      </w:r>
    </w:p>
    <w:p w14:paraId="155952BB">
      <w:pPr>
        <w:pStyle w:val="9"/>
        <w:rPr>
          <w:rFonts w:hint="eastAsia" w:ascii="宋体" w:hAnsi="宋体" w:cs="宋体"/>
          <w:b/>
          <w:bCs/>
          <w:sz w:val="24"/>
          <w:szCs w:val="24"/>
          <w:highlight w:val="none"/>
        </w:rPr>
      </w:pPr>
    </w:p>
    <w:p w14:paraId="1EC787C2">
      <w:pPr>
        <w:pStyle w:val="9"/>
        <w:jc w:val="center"/>
        <w:rPr>
          <w:rFonts w:hint="eastAsia" w:ascii="宋体" w:hAnsi="宋体" w:eastAsia="宋体" w:cs="宋体"/>
          <w:b/>
          <w:bCs/>
          <w:spacing w:val="-20"/>
          <w:kern w:val="44"/>
          <w:sz w:val="24"/>
          <w:szCs w:val="24"/>
          <w:highlight w:val="none"/>
        </w:rPr>
      </w:pPr>
    </w:p>
    <w:p w14:paraId="67AFDD50">
      <w:pPr>
        <w:pStyle w:val="9"/>
        <w:jc w:val="center"/>
        <w:rPr>
          <w:rFonts w:hint="eastAsia" w:ascii="宋体" w:hAnsi="宋体" w:eastAsia="宋体" w:cs="宋体"/>
          <w:b/>
          <w:bCs/>
          <w:spacing w:val="-20"/>
          <w:kern w:val="44"/>
          <w:sz w:val="24"/>
          <w:szCs w:val="24"/>
          <w:highlight w:val="none"/>
        </w:rPr>
      </w:pPr>
    </w:p>
    <w:p w14:paraId="60CA3CF9">
      <w:pPr>
        <w:pStyle w:val="9"/>
        <w:jc w:val="center"/>
        <w:rPr>
          <w:rFonts w:hint="eastAsia" w:ascii="宋体" w:hAnsi="宋体" w:eastAsia="宋体" w:cs="宋体"/>
          <w:b/>
          <w:bCs/>
          <w:spacing w:val="-20"/>
          <w:kern w:val="44"/>
          <w:sz w:val="24"/>
          <w:szCs w:val="24"/>
          <w:highlight w:val="none"/>
        </w:rPr>
      </w:pPr>
    </w:p>
    <w:p w14:paraId="49920069">
      <w:pPr>
        <w:pStyle w:val="9"/>
        <w:jc w:val="center"/>
        <w:rPr>
          <w:rFonts w:hint="eastAsia" w:ascii="宋体" w:hAnsi="宋体" w:eastAsia="宋体" w:cs="宋体"/>
          <w:b/>
          <w:bCs/>
          <w:spacing w:val="-20"/>
          <w:kern w:val="44"/>
          <w:sz w:val="24"/>
          <w:szCs w:val="24"/>
          <w:highlight w:val="none"/>
        </w:rPr>
      </w:pPr>
    </w:p>
    <w:p w14:paraId="0126A1D4">
      <w:pPr>
        <w:pStyle w:val="9"/>
        <w:jc w:val="center"/>
        <w:rPr>
          <w:rFonts w:hint="eastAsia" w:ascii="宋体" w:hAnsi="宋体" w:eastAsia="宋体" w:cs="宋体"/>
          <w:b/>
          <w:bCs/>
          <w:spacing w:val="-20"/>
          <w:kern w:val="44"/>
          <w:sz w:val="24"/>
          <w:szCs w:val="24"/>
          <w:highlight w:val="none"/>
        </w:rPr>
      </w:pPr>
    </w:p>
    <w:p w14:paraId="421AE1C9">
      <w:pPr>
        <w:pStyle w:val="9"/>
        <w:jc w:val="center"/>
        <w:rPr>
          <w:rFonts w:hint="eastAsia" w:ascii="宋体" w:hAnsi="宋体" w:eastAsia="宋体" w:cs="宋体"/>
          <w:b/>
          <w:bCs/>
          <w:spacing w:val="-20"/>
          <w:kern w:val="44"/>
          <w:sz w:val="24"/>
          <w:szCs w:val="24"/>
          <w:highlight w:val="none"/>
        </w:rPr>
      </w:pPr>
    </w:p>
    <w:p w14:paraId="1C54B676">
      <w:pPr>
        <w:pStyle w:val="9"/>
        <w:jc w:val="center"/>
        <w:rPr>
          <w:rFonts w:hint="eastAsia" w:ascii="宋体" w:hAnsi="宋体" w:eastAsia="宋体" w:cs="宋体"/>
          <w:b/>
          <w:bCs/>
          <w:spacing w:val="-20"/>
          <w:kern w:val="44"/>
          <w:sz w:val="24"/>
          <w:szCs w:val="24"/>
          <w:highlight w:val="none"/>
        </w:rPr>
      </w:pPr>
    </w:p>
    <w:p w14:paraId="78E89505">
      <w:pPr>
        <w:pStyle w:val="9"/>
        <w:jc w:val="center"/>
        <w:rPr>
          <w:rFonts w:hint="eastAsia" w:ascii="宋体" w:hAnsi="宋体" w:eastAsia="宋体" w:cs="宋体"/>
          <w:b/>
          <w:bCs/>
          <w:spacing w:val="-20"/>
          <w:kern w:val="44"/>
          <w:sz w:val="24"/>
          <w:szCs w:val="24"/>
          <w:highlight w:val="none"/>
        </w:rPr>
      </w:pPr>
      <w:r>
        <w:rPr>
          <w:rFonts w:hint="eastAsia" w:ascii="宋体" w:hAnsi="宋体" w:eastAsia="宋体" w:cs="宋体"/>
          <w:b/>
          <w:bCs/>
          <w:spacing w:val="-20"/>
          <w:kern w:val="44"/>
          <w:sz w:val="24"/>
          <w:szCs w:val="24"/>
          <w:highlight w:val="none"/>
        </w:rPr>
        <w:t>政府采购货物买卖合同</w:t>
      </w:r>
    </w:p>
    <w:p w14:paraId="0DA9DDF3">
      <w:pPr>
        <w:pStyle w:val="9"/>
        <w:jc w:val="center"/>
        <w:rPr>
          <w:rFonts w:hint="eastAsia" w:ascii="宋体" w:hAnsi="宋体" w:eastAsia="宋体" w:cs="宋体"/>
          <w:b/>
          <w:bCs/>
          <w:spacing w:val="-20"/>
          <w:kern w:val="44"/>
          <w:sz w:val="24"/>
          <w:szCs w:val="24"/>
          <w:highlight w:val="none"/>
        </w:rPr>
      </w:pPr>
      <w:r>
        <w:rPr>
          <w:rFonts w:hint="eastAsia" w:ascii="宋体" w:hAnsi="宋体" w:eastAsia="宋体" w:cs="宋体"/>
          <w:b/>
          <w:bCs/>
          <w:spacing w:val="-20"/>
          <w:kern w:val="44"/>
          <w:sz w:val="24"/>
          <w:szCs w:val="24"/>
          <w:highlight w:val="none"/>
        </w:rPr>
        <w:t>（试行）</w:t>
      </w:r>
    </w:p>
    <w:p w14:paraId="48B473F1">
      <w:pPr>
        <w:rPr>
          <w:rFonts w:hint="eastAsia" w:ascii="宋体" w:hAnsi="宋体" w:eastAsia="宋体" w:cs="宋体"/>
          <w:b/>
          <w:bCs/>
          <w:spacing w:val="-20"/>
          <w:kern w:val="44"/>
          <w:sz w:val="24"/>
          <w:szCs w:val="24"/>
          <w:highlight w:val="none"/>
        </w:rPr>
      </w:pPr>
    </w:p>
    <w:p w14:paraId="4DD0B506">
      <w:pPr>
        <w:rPr>
          <w:rFonts w:hint="eastAsia" w:ascii="宋体" w:hAnsi="宋体" w:eastAsia="宋体" w:cs="宋体"/>
          <w:b/>
          <w:bCs/>
          <w:spacing w:val="-20"/>
          <w:kern w:val="44"/>
          <w:sz w:val="24"/>
          <w:szCs w:val="24"/>
          <w:highlight w:val="none"/>
        </w:rPr>
      </w:pPr>
    </w:p>
    <w:p w14:paraId="5ABD842A">
      <w:pPr>
        <w:rPr>
          <w:rFonts w:hint="eastAsia" w:ascii="宋体" w:hAnsi="宋体" w:eastAsia="宋体" w:cs="宋体"/>
          <w:b/>
          <w:bCs/>
          <w:spacing w:val="-20"/>
          <w:kern w:val="44"/>
          <w:sz w:val="24"/>
          <w:szCs w:val="24"/>
          <w:highlight w:val="none"/>
        </w:rPr>
      </w:pPr>
    </w:p>
    <w:p w14:paraId="3384290F">
      <w:pPr>
        <w:spacing w:line="360" w:lineRule="auto"/>
        <w:ind w:left="420" w:leftChars="200"/>
        <w:rPr>
          <w:rFonts w:hint="eastAsia" w:ascii="宋体" w:hAnsi="宋体" w:eastAsia="宋体" w:cs="宋体"/>
          <w:sz w:val="24"/>
          <w:szCs w:val="24"/>
          <w:highlight w:val="none"/>
        </w:rPr>
      </w:pPr>
      <w:r>
        <w:rPr>
          <w:rFonts w:hint="eastAsia" w:ascii="宋体" w:hAnsi="宋体" w:eastAsia="宋体" w:cs="宋体"/>
          <w:kern w:val="0"/>
          <w:sz w:val="24"/>
          <w:szCs w:val="24"/>
          <w:highlight w:val="none"/>
        </w:rPr>
        <w:t>项目名称：</w:t>
      </w:r>
      <w:r>
        <w:rPr>
          <w:rFonts w:hint="eastAsia" w:ascii="宋体" w:hAnsi="宋体" w:eastAsia="宋体" w:cs="宋体"/>
          <w:sz w:val="24"/>
          <w:szCs w:val="24"/>
          <w:highlight w:val="none"/>
          <w:u w:val="single"/>
        </w:rPr>
        <w:t xml:space="preserve">                             </w:t>
      </w:r>
    </w:p>
    <w:p w14:paraId="7027EA34">
      <w:pPr>
        <w:spacing w:line="360" w:lineRule="auto"/>
        <w:ind w:left="420" w:leftChars="200"/>
        <w:rPr>
          <w:rFonts w:hint="eastAsia" w:ascii="宋体" w:hAnsi="宋体" w:eastAsia="宋体" w:cs="宋体"/>
          <w:sz w:val="24"/>
          <w:szCs w:val="24"/>
          <w:highlight w:val="none"/>
          <w:u w:val="single"/>
        </w:rPr>
      </w:pPr>
      <w:r>
        <w:rPr>
          <w:rFonts w:hint="eastAsia" w:ascii="宋体" w:hAnsi="宋体" w:eastAsia="宋体" w:cs="宋体"/>
          <w:sz w:val="24"/>
          <w:szCs w:val="24"/>
          <w:highlight w:val="none"/>
        </w:rPr>
        <w:t>合同编号：</w:t>
      </w:r>
      <w:r>
        <w:rPr>
          <w:rFonts w:hint="eastAsia" w:ascii="宋体" w:hAnsi="宋体" w:eastAsia="宋体" w:cs="宋体"/>
          <w:sz w:val="24"/>
          <w:szCs w:val="24"/>
          <w:highlight w:val="none"/>
          <w:u w:val="single"/>
        </w:rPr>
        <w:t xml:space="preserve">                             </w:t>
      </w:r>
    </w:p>
    <w:p w14:paraId="4650D137">
      <w:pPr>
        <w:spacing w:line="360" w:lineRule="auto"/>
        <w:ind w:left="420" w:leftChars="200"/>
        <w:rPr>
          <w:rFonts w:hint="eastAsia" w:ascii="宋体" w:hAnsi="宋体" w:eastAsia="宋体" w:cs="宋体"/>
          <w:sz w:val="24"/>
          <w:szCs w:val="24"/>
          <w:highlight w:val="none"/>
        </w:rPr>
      </w:pPr>
      <w:r>
        <w:rPr>
          <w:rFonts w:hint="eastAsia" w:ascii="宋体" w:hAnsi="宋体" w:eastAsia="宋体" w:cs="宋体"/>
          <w:sz w:val="24"/>
          <w:szCs w:val="24"/>
          <w:highlight w:val="none"/>
        </w:rPr>
        <w:t>甲    方：</w:t>
      </w:r>
      <w:r>
        <w:rPr>
          <w:rFonts w:hint="eastAsia" w:ascii="宋体" w:hAnsi="宋体" w:eastAsia="宋体" w:cs="宋体"/>
          <w:sz w:val="24"/>
          <w:szCs w:val="24"/>
          <w:highlight w:val="none"/>
          <w:u w:val="single"/>
        </w:rPr>
        <w:t xml:space="preserve">                             </w:t>
      </w:r>
    </w:p>
    <w:p w14:paraId="2576FC6E">
      <w:pPr>
        <w:spacing w:line="360" w:lineRule="auto"/>
        <w:ind w:left="420" w:leftChars="200"/>
        <w:rPr>
          <w:rFonts w:hint="eastAsia" w:ascii="宋体" w:hAnsi="宋体" w:eastAsia="宋体" w:cs="宋体"/>
          <w:sz w:val="24"/>
          <w:szCs w:val="24"/>
          <w:highlight w:val="none"/>
          <w:u w:val="single"/>
        </w:rPr>
      </w:pPr>
      <w:r>
        <w:rPr>
          <w:rFonts w:hint="eastAsia" w:ascii="宋体" w:hAnsi="宋体" w:eastAsia="宋体" w:cs="宋体"/>
          <w:sz w:val="24"/>
          <w:szCs w:val="24"/>
          <w:highlight w:val="none"/>
        </w:rPr>
        <w:t>乙    方：</w:t>
      </w:r>
      <w:r>
        <w:rPr>
          <w:rFonts w:hint="eastAsia" w:ascii="宋体" w:hAnsi="宋体" w:eastAsia="宋体" w:cs="宋体"/>
          <w:sz w:val="24"/>
          <w:szCs w:val="24"/>
          <w:highlight w:val="none"/>
          <w:u w:val="single"/>
        </w:rPr>
        <w:t xml:space="preserve">                             </w:t>
      </w:r>
    </w:p>
    <w:p w14:paraId="60BECC72">
      <w:pPr>
        <w:spacing w:line="360" w:lineRule="auto"/>
        <w:ind w:left="420" w:leftChars="200"/>
        <w:rPr>
          <w:rFonts w:hint="eastAsia" w:ascii="宋体" w:hAnsi="宋体" w:eastAsia="宋体" w:cs="宋体"/>
          <w:sz w:val="24"/>
          <w:szCs w:val="24"/>
          <w:highlight w:val="none"/>
        </w:rPr>
      </w:pPr>
      <w:r>
        <w:rPr>
          <w:rFonts w:hint="eastAsia" w:ascii="宋体" w:hAnsi="宋体" w:eastAsia="宋体" w:cs="宋体"/>
          <w:sz w:val="24"/>
          <w:szCs w:val="24"/>
          <w:highlight w:val="none"/>
        </w:rPr>
        <w:t>签订时间：</w:t>
      </w:r>
      <w:r>
        <w:rPr>
          <w:rFonts w:hint="eastAsia" w:ascii="宋体" w:hAnsi="宋体" w:eastAsia="宋体" w:cs="宋体"/>
          <w:sz w:val="24"/>
          <w:szCs w:val="24"/>
          <w:highlight w:val="none"/>
          <w:u w:val="single"/>
        </w:rPr>
        <w:t xml:space="preserve">                             </w:t>
      </w:r>
    </w:p>
    <w:p w14:paraId="12B60C01">
      <w:pPr>
        <w:rPr>
          <w:rFonts w:hint="eastAsia" w:ascii="宋体" w:hAnsi="宋体" w:eastAsia="宋体" w:cs="宋体"/>
          <w:sz w:val="24"/>
          <w:szCs w:val="24"/>
          <w:highlight w:val="none"/>
        </w:rPr>
      </w:pPr>
    </w:p>
    <w:p w14:paraId="6CF74CFD">
      <w:pPr>
        <w:rPr>
          <w:rFonts w:hint="eastAsia" w:ascii="宋体" w:hAnsi="宋体" w:eastAsia="宋体" w:cs="宋体"/>
          <w:sz w:val="24"/>
          <w:szCs w:val="24"/>
          <w:highlight w:val="none"/>
        </w:rPr>
      </w:pPr>
      <w:r>
        <w:rPr>
          <w:rFonts w:hint="eastAsia" w:ascii="宋体" w:hAnsi="宋体" w:eastAsia="宋体" w:cs="宋体"/>
          <w:sz w:val="24"/>
          <w:szCs w:val="24"/>
          <w:highlight w:val="none"/>
        </w:rPr>
        <w:br w:type="page"/>
      </w:r>
    </w:p>
    <w:p w14:paraId="665182D0">
      <w:pPr>
        <w:rPr>
          <w:rFonts w:hint="eastAsia" w:ascii="宋体" w:hAnsi="宋体" w:eastAsia="宋体" w:cs="宋体"/>
          <w:sz w:val="24"/>
          <w:szCs w:val="24"/>
          <w:highlight w:val="none"/>
        </w:rPr>
      </w:pPr>
    </w:p>
    <w:p w14:paraId="60145DF8">
      <w:pPr>
        <w:rPr>
          <w:rFonts w:hint="eastAsia" w:ascii="宋体" w:hAnsi="宋体" w:eastAsia="宋体" w:cs="宋体"/>
          <w:sz w:val="24"/>
          <w:szCs w:val="24"/>
          <w:highlight w:val="none"/>
        </w:rPr>
      </w:pPr>
    </w:p>
    <w:p w14:paraId="0865EF54">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使 用 说 明</w:t>
      </w:r>
    </w:p>
    <w:p w14:paraId="499B2323">
      <w:pPr>
        <w:ind w:firstLine="480" w:firstLineChars="200"/>
        <w:rPr>
          <w:rFonts w:hint="eastAsia" w:ascii="宋体" w:hAnsi="宋体" w:eastAsia="宋体" w:cs="宋体"/>
          <w:sz w:val="24"/>
          <w:szCs w:val="24"/>
          <w:highlight w:val="none"/>
        </w:rPr>
      </w:pPr>
    </w:p>
    <w:p w14:paraId="5F9FC357">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1.本合同标准文本适用于购买现成货物的采购项目，不包括需要供应商定制开发、创新研发的货物采购项目。</w:t>
      </w:r>
    </w:p>
    <w:p w14:paraId="0F15C157">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2.本合同标准文本为政府采购货物买卖合同编制提供参考，可以结合采购项目具体情况，对文本作必要的调整修订后使用。</w:t>
      </w:r>
    </w:p>
    <w:p w14:paraId="50A6ED30">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3.本合同标准文本各条款中，如涉及填写多家供应商、制造商，多种采购标的、分包主要内容等信息的，可根据采购项目具体情况添加信息项。</w:t>
      </w:r>
    </w:p>
    <w:p w14:paraId="2EE62853">
      <w:pPr>
        <w:ind w:firstLine="480" w:firstLineChars="200"/>
        <w:rPr>
          <w:rFonts w:hint="eastAsia" w:ascii="宋体" w:hAnsi="宋体" w:eastAsia="宋体" w:cs="宋体"/>
          <w:sz w:val="24"/>
          <w:szCs w:val="24"/>
          <w:highlight w:val="none"/>
        </w:rPr>
        <w:sectPr>
          <w:headerReference r:id="rId8" w:type="default"/>
          <w:footerReference r:id="rId9" w:type="default"/>
          <w:pgSz w:w="11906" w:h="16838"/>
          <w:pgMar w:top="1440" w:right="1800" w:bottom="1440" w:left="1800" w:header="851" w:footer="992" w:gutter="0"/>
          <w:pgNumType w:start="1"/>
          <w:cols w:space="425" w:num="1"/>
          <w:docGrid w:type="lines" w:linePitch="312" w:charSpace="0"/>
        </w:sectPr>
      </w:pPr>
    </w:p>
    <w:p w14:paraId="4EA5C27B">
      <w:pPr>
        <w:pStyle w:val="6"/>
        <w:adjustRightInd w:val="0"/>
        <w:snapToGrid w:val="0"/>
        <w:spacing w:line="400" w:lineRule="exact"/>
        <w:jc w:val="center"/>
        <w:rPr>
          <w:rFonts w:hint="eastAsia" w:ascii="宋体" w:hAnsi="宋体" w:eastAsia="宋体" w:cs="宋体"/>
          <w:b w:val="0"/>
          <w:bCs w:val="0"/>
          <w:sz w:val="24"/>
          <w:szCs w:val="24"/>
          <w:highlight w:val="none"/>
        </w:rPr>
      </w:pPr>
      <w:bookmarkStart w:id="221" w:name="_Toc22209"/>
      <w:bookmarkStart w:id="222" w:name="_Toc21053"/>
      <w:r>
        <w:rPr>
          <w:rFonts w:hint="eastAsia" w:ascii="宋体" w:hAnsi="宋体" w:eastAsia="宋体" w:cs="宋体"/>
          <w:b w:val="0"/>
          <w:bCs w:val="0"/>
          <w:sz w:val="24"/>
          <w:szCs w:val="24"/>
          <w:highlight w:val="none"/>
        </w:rPr>
        <w:t>第一节 政府采购合同协议书</w:t>
      </w:r>
      <w:bookmarkEnd w:id="221"/>
      <w:bookmarkEnd w:id="222"/>
    </w:p>
    <w:p w14:paraId="4822C9B7">
      <w:pPr>
        <w:adjustRightInd w:val="0"/>
        <w:snapToGrid w:val="0"/>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甲方（全称）：</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（采购人、受采购人委托签订合同的单位或采购</w:t>
      </w:r>
      <w:r>
        <w:rPr>
          <w:rFonts w:hint="eastAsia" w:ascii="宋体" w:hAnsi="宋体" w:eastAsia="宋体" w:cs="宋体"/>
          <w:sz w:val="24"/>
          <w:szCs w:val="24"/>
          <w:highlight w:val="none"/>
        </w:rPr>
        <w:tab/>
      </w:r>
      <w:r>
        <w:rPr>
          <w:rFonts w:hint="eastAsia" w:ascii="宋体" w:hAnsi="宋体" w:eastAsia="宋体" w:cs="宋体"/>
          <w:sz w:val="24"/>
          <w:szCs w:val="24"/>
          <w:highlight w:val="none"/>
        </w:rPr>
        <w:t xml:space="preserve">                                   文件约定的合同甲方）</w:t>
      </w:r>
    </w:p>
    <w:p w14:paraId="79A153EF">
      <w:pPr>
        <w:adjustRightInd w:val="0"/>
        <w:snapToGrid w:val="0"/>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乙方1（全称）：</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（供应商）</w:t>
      </w:r>
    </w:p>
    <w:p w14:paraId="3D1DEB97">
      <w:pPr>
        <w:adjustRightInd w:val="0"/>
        <w:snapToGrid w:val="0"/>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乙方2（全称）：</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（联合体成员供应商或其他合同主体）（如有）</w:t>
      </w:r>
    </w:p>
    <w:p w14:paraId="3FE3CBC2">
      <w:pPr>
        <w:adjustRightInd w:val="0"/>
        <w:snapToGrid w:val="0"/>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乙方3（全称）</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（联合体成员供应商或其他合同主体）（如有）</w:t>
      </w:r>
    </w:p>
    <w:p w14:paraId="210CAB65">
      <w:pPr>
        <w:pStyle w:val="10"/>
        <w:snapToGrid w:val="0"/>
        <w:spacing w:after="0" w:line="360" w:lineRule="auto"/>
        <w:ind w:left="0" w:firstLine="480" w:firstLineChars="200"/>
        <w:rPr>
          <w:rFonts w:hint="eastAsia" w:ascii="宋体" w:hAnsi="宋体" w:cs="宋体"/>
          <w:szCs w:val="24"/>
          <w:highlight w:val="none"/>
        </w:rPr>
      </w:pPr>
      <w:r>
        <w:rPr>
          <w:rFonts w:hint="eastAsia" w:ascii="宋体" w:hAnsi="宋体" w:cs="宋体"/>
          <w:szCs w:val="24"/>
          <w:highlight w:val="none"/>
        </w:rPr>
        <w:t xml:space="preserve">依据《中华人民共和国民法典》、《中华人民共和国政府采购法》等有关的法律法规，以及本采购项目的招标/谈判文件等采购文件、乙方的《投标（响应）文件》及《中标（成交）通知书》，甲乙双方同意签订本合同。具体情况及要求如下：     </w:t>
      </w:r>
    </w:p>
    <w:p w14:paraId="7E17F3F7">
      <w:pPr>
        <w:numPr>
          <w:ilvl w:val="0"/>
          <w:numId w:val="1"/>
        </w:numPr>
        <w:adjustRightInd w:val="0"/>
        <w:snapToGrid w:val="0"/>
        <w:spacing w:line="360" w:lineRule="auto"/>
        <w:ind w:firstLine="482" w:firstLineChars="200"/>
        <w:rPr>
          <w:rFonts w:hint="eastAsia" w:ascii="宋体" w:hAnsi="宋体" w:eastAsia="宋体" w:cs="宋体"/>
          <w:b/>
          <w:sz w:val="24"/>
          <w:szCs w:val="24"/>
          <w:highlight w:val="none"/>
        </w:rPr>
      </w:pPr>
      <w:r>
        <w:rPr>
          <w:rFonts w:hint="eastAsia" w:ascii="宋体" w:hAnsi="宋体" w:eastAsia="宋体" w:cs="宋体"/>
          <w:b/>
          <w:sz w:val="24"/>
          <w:szCs w:val="24"/>
          <w:highlight w:val="none"/>
        </w:rPr>
        <w:t>项目信息</w:t>
      </w:r>
    </w:p>
    <w:p w14:paraId="77F7465C">
      <w:pPr>
        <w:pStyle w:val="10"/>
        <w:numPr>
          <w:ilvl w:val="0"/>
          <w:numId w:val="2"/>
        </w:numPr>
        <w:snapToGrid w:val="0"/>
        <w:spacing w:after="0" w:line="360" w:lineRule="auto"/>
        <w:ind w:left="0" w:firstLine="480" w:firstLineChars="200"/>
        <w:rPr>
          <w:rFonts w:hint="eastAsia" w:ascii="宋体" w:hAnsi="宋体" w:cs="宋体"/>
          <w:szCs w:val="24"/>
          <w:highlight w:val="none"/>
          <w:u w:val="single"/>
        </w:rPr>
      </w:pPr>
      <w:r>
        <w:rPr>
          <w:rFonts w:hint="eastAsia" w:ascii="宋体" w:hAnsi="宋体" w:cs="宋体"/>
          <w:szCs w:val="24"/>
          <w:highlight w:val="none"/>
        </w:rPr>
        <w:t>采购项目名称：</w:t>
      </w:r>
      <w:r>
        <w:rPr>
          <w:rFonts w:hint="eastAsia" w:ascii="宋体" w:hAnsi="宋体" w:cs="宋体"/>
          <w:szCs w:val="24"/>
          <w:highlight w:val="none"/>
          <w:u w:val="single"/>
        </w:rPr>
        <w:t xml:space="preserve">                                          </w:t>
      </w:r>
    </w:p>
    <w:p w14:paraId="64532C88">
      <w:pPr>
        <w:pStyle w:val="10"/>
        <w:numPr>
          <w:ilvl w:val="255"/>
          <w:numId w:val="0"/>
        </w:numPr>
        <w:tabs>
          <w:tab w:val="left" w:pos="999"/>
        </w:tabs>
        <w:snapToGrid w:val="0"/>
        <w:spacing w:after="0" w:line="360" w:lineRule="auto"/>
        <w:ind w:firstLine="480" w:firstLineChars="200"/>
        <w:rPr>
          <w:rFonts w:hint="eastAsia" w:ascii="宋体" w:hAnsi="宋体" w:cs="宋体"/>
          <w:szCs w:val="24"/>
          <w:highlight w:val="none"/>
        </w:rPr>
      </w:pPr>
      <w:r>
        <w:rPr>
          <w:rFonts w:hint="eastAsia" w:ascii="宋体" w:hAnsi="宋体" w:cs="宋体"/>
          <w:szCs w:val="24"/>
          <w:highlight w:val="none"/>
        </w:rPr>
        <w:t>采购项目编号：</w:t>
      </w:r>
      <w:r>
        <w:rPr>
          <w:rFonts w:hint="eastAsia" w:ascii="宋体" w:hAnsi="宋体" w:cs="宋体"/>
          <w:szCs w:val="24"/>
          <w:highlight w:val="none"/>
          <w:u w:val="single"/>
        </w:rPr>
        <w:t xml:space="preserve">                                          </w:t>
      </w:r>
    </w:p>
    <w:p w14:paraId="65E05A03">
      <w:pPr>
        <w:pStyle w:val="10"/>
        <w:snapToGrid w:val="0"/>
        <w:spacing w:after="0" w:line="360" w:lineRule="auto"/>
        <w:ind w:left="0" w:firstLine="480" w:firstLineChars="200"/>
        <w:rPr>
          <w:rFonts w:hint="eastAsia" w:ascii="宋体" w:hAnsi="宋体" w:cs="宋体"/>
          <w:szCs w:val="24"/>
          <w:highlight w:val="none"/>
        </w:rPr>
      </w:pPr>
      <w:r>
        <w:rPr>
          <w:rFonts w:hint="eastAsia" w:ascii="宋体" w:hAnsi="宋体" w:cs="宋体"/>
          <w:szCs w:val="24"/>
          <w:highlight w:val="none"/>
        </w:rPr>
        <w:t>（2）采购计划编号：</w:t>
      </w:r>
      <w:r>
        <w:rPr>
          <w:rFonts w:hint="eastAsia" w:ascii="宋体" w:hAnsi="宋体" w:cs="宋体"/>
          <w:szCs w:val="24"/>
          <w:highlight w:val="none"/>
          <w:u w:val="single"/>
        </w:rPr>
        <w:t xml:space="preserve">                                          </w:t>
      </w:r>
      <w:r>
        <w:rPr>
          <w:rFonts w:hint="eastAsia" w:ascii="宋体" w:hAnsi="宋体" w:cs="宋体"/>
          <w:szCs w:val="24"/>
          <w:highlight w:val="none"/>
        </w:rPr>
        <w:t xml:space="preserve"> </w:t>
      </w:r>
    </w:p>
    <w:p w14:paraId="6AEA018D">
      <w:pPr>
        <w:adjustRightInd w:val="0"/>
        <w:snapToGrid w:val="0"/>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（3）项目内容：</w:t>
      </w:r>
    </w:p>
    <w:p w14:paraId="2E4A5D9C">
      <w:pPr>
        <w:adjustRightInd w:val="0"/>
        <w:snapToGrid w:val="0"/>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采购标的及数量（台/套</w:t>
      </w:r>
      <w:r>
        <w:rPr>
          <w:rFonts w:hint="eastAsia" w:ascii="宋体" w:hAnsi="宋体" w:eastAsia="宋体" w:cs="宋体"/>
          <w:sz w:val="24"/>
          <w:szCs w:val="24"/>
          <w:highlight w:val="none"/>
          <w:lang w:val="en"/>
        </w:rPr>
        <w:t>/个/架/组等</w:t>
      </w:r>
      <w:r>
        <w:rPr>
          <w:rFonts w:hint="eastAsia" w:ascii="宋体" w:hAnsi="宋体" w:eastAsia="宋体" w:cs="宋体"/>
          <w:sz w:val="24"/>
          <w:szCs w:val="24"/>
          <w:highlight w:val="none"/>
        </w:rPr>
        <w:t>）：</w:t>
      </w:r>
      <w:r>
        <w:rPr>
          <w:rFonts w:hint="eastAsia" w:ascii="宋体" w:hAnsi="宋体" w:eastAsia="宋体" w:cs="宋体"/>
          <w:sz w:val="24"/>
          <w:szCs w:val="24"/>
          <w:highlight w:val="none"/>
          <w:u w:val="single"/>
        </w:rPr>
        <w:t xml:space="preserve">                       </w:t>
      </w:r>
    </w:p>
    <w:p w14:paraId="75F5E5FC">
      <w:pPr>
        <w:numPr>
          <w:ilvl w:val="255"/>
          <w:numId w:val="0"/>
        </w:numPr>
        <w:adjustRightInd w:val="0"/>
        <w:snapToGrid w:val="0"/>
        <w:spacing w:line="360" w:lineRule="auto"/>
        <w:ind w:firstLine="480" w:firstLineChars="200"/>
        <w:rPr>
          <w:rFonts w:hint="eastAsia" w:ascii="宋体" w:hAnsi="宋体" w:eastAsia="宋体" w:cs="宋体"/>
          <w:sz w:val="24"/>
          <w:szCs w:val="24"/>
          <w:highlight w:val="none"/>
          <w:lang w:val="en"/>
        </w:rPr>
      </w:pPr>
      <w:r>
        <w:rPr>
          <w:rFonts w:hint="eastAsia" w:ascii="宋体" w:hAnsi="宋体" w:eastAsia="宋体" w:cs="宋体"/>
          <w:sz w:val="24"/>
          <w:szCs w:val="24"/>
          <w:highlight w:val="none"/>
        </w:rPr>
        <w:t>品牌：</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u w:val="single"/>
          <w:lang w:val="en"/>
        </w:rPr>
        <w:t xml:space="preserve">   </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u w:val="single"/>
          <w:lang w:val="en"/>
        </w:rPr>
        <w:t xml:space="preserve"> </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lang w:val="en"/>
        </w:rPr>
        <w:t xml:space="preserve">     </w:t>
      </w:r>
      <w:r>
        <w:rPr>
          <w:rFonts w:hint="eastAsia" w:ascii="宋体" w:hAnsi="宋体" w:eastAsia="宋体" w:cs="宋体"/>
          <w:sz w:val="24"/>
          <w:szCs w:val="24"/>
          <w:highlight w:val="none"/>
        </w:rPr>
        <w:t>规格型号：</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u w:val="single"/>
          <w:lang w:val="en"/>
        </w:rPr>
        <w:t xml:space="preserve">  </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u w:val="single"/>
          <w:lang w:val="en"/>
        </w:rPr>
        <w:t xml:space="preserve">   </w:t>
      </w:r>
    </w:p>
    <w:p w14:paraId="7584FD37">
      <w:pPr>
        <w:adjustRightInd w:val="0"/>
        <w:snapToGrid w:val="0"/>
        <w:spacing w:line="360" w:lineRule="auto"/>
        <w:ind w:firstLine="480" w:firstLineChars="200"/>
        <w:rPr>
          <w:rFonts w:hint="eastAsia" w:ascii="宋体" w:hAnsi="宋体" w:eastAsia="宋体" w:cs="宋体"/>
          <w:sz w:val="24"/>
          <w:szCs w:val="24"/>
          <w:highlight w:val="none"/>
          <w:u w:val="single"/>
        </w:rPr>
      </w:pPr>
      <w:r>
        <w:rPr>
          <w:rFonts w:hint="eastAsia" w:ascii="宋体" w:hAnsi="宋体" w:eastAsia="宋体" w:cs="宋体"/>
          <w:sz w:val="24"/>
          <w:szCs w:val="24"/>
          <w:highlight w:val="none"/>
        </w:rPr>
        <w:t>采购标的的技术要求、商务要求具体见附件。</w:t>
      </w:r>
    </w:p>
    <w:p w14:paraId="09F30CD0">
      <w:pPr>
        <w:numPr>
          <w:ilvl w:val="255"/>
          <w:numId w:val="0"/>
        </w:numPr>
        <w:adjustRightInd w:val="0"/>
        <w:snapToGrid w:val="0"/>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①涉及信息类产品，请填写该产品关键部件的品牌、型号：</w:t>
      </w:r>
    </w:p>
    <w:p w14:paraId="4C3F3558">
      <w:pPr>
        <w:numPr>
          <w:ilvl w:val="255"/>
          <w:numId w:val="0"/>
        </w:numPr>
        <w:adjustRightInd w:val="0"/>
        <w:snapToGrid w:val="0"/>
        <w:spacing w:line="360" w:lineRule="auto"/>
        <w:ind w:firstLine="480" w:firstLineChars="200"/>
        <w:rPr>
          <w:rFonts w:hint="eastAsia" w:ascii="宋体" w:hAnsi="宋体" w:eastAsia="宋体" w:cs="宋体"/>
          <w:kern w:val="0"/>
          <w:sz w:val="24"/>
          <w:szCs w:val="24"/>
          <w:highlight w:val="none"/>
          <w:u w:val="single"/>
        </w:rPr>
      </w:pPr>
      <w:r>
        <w:rPr>
          <w:rFonts w:hint="eastAsia" w:ascii="宋体" w:hAnsi="宋体" w:eastAsia="宋体" w:cs="宋体"/>
          <w:sz w:val="24"/>
          <w:szCs w:val="24"/>
          <w:highlight w:val="none"/>
        </w:rPr>
        <w:t>标的名称：</w:t>
      </w:r>
      <w:r>
        <w:rPr>
          <w:rFonts w:hint="eastAsia" w:ascii="宋体" w:hAnsi="宋体" w:eastAsia="宋体" w:cs="宋体"/>
          <w:kern w:val="0"/>
          <w:sz w:val="24"/>
          <w:szCs w:val="24"/>
          <w:highlight w:val="none"/>
          <w:u w:val="single"/>
        </w:rPr>
        <w:t xml:space="preserve">      </w:t>
      </w:r>
      <w:r>
        <w:rPr>
          <w:rFonts w:hint="eastAsia" w:ascii="宋体" w:hAnsi="宋体" w:eastAsia="宋体" w:cs="宋体"/>
          <w:kern w:val="0"/>
          <w:sz w:val="24"/>
          <w:szCs w:val="24"/>
          <w:highlight w:val="none"/>
          <w:u w:val="single"/>
          <w:lang w:val="en"/>
        </w:rPr>
        <w:t xml:space="preserve">               </w:t>
      </w:r>
      <w:r>
        <w:rPr>
          <w:rFonts w:hint="eastAsia" w:ascii="宋体" w:hAnsi="宋体" w:eastAsia="宋体" w:cs="宋体"/>
          <w:kern w:val="0"/>
          <w:sz w:val="24"/>
          <w:szCs w:val="24"/>
          <w:highlight w:val="none"/>
          <w:u w:val="single"/>
        </w:rPr>
        <w:t xml:space="preserve">    </w:t>
      </w:r>
    </w:p>
    <w:p w14:paraId="2FEE4A22">
      <w:pPr>
        <w:numPr>
          <w:ilvl w:val="255"/>
          <w:numId w:val="0"/>
        </w:numPr>
        <w:adjustRightInd w:val="0"/>
        <w:snapToGrid w:val="0"/>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关键部件：</w:t>
      </w:r>
      <w:r>
        <w:rPr>
          <w:rFonts w:hint="eastAsia" w:ascii="宋体" w:hAnsi="宋体" w:eastAsia="宋体" w:cs="宋体"/>
          <w:kern w:val="0"/>
          <w:sz w:val="24"/>
          <w:szCs w:val="24"/>
          <w:highlight w:val="none"/>
          <w:u w:val="single"/>
        </w:rPr>
        <w:t xml:space="preserve">          </w:t>
      </w:r>
      <w:r>
        <w:rPr>
          <w:rFonts w:hint="eastAsia" w:ascii="宋体" w:hAnsi="宋体" w:eastAsia="宋体" w:cs="宋体"/>
          <w:kern w:val="0"/>
          <w:sz w:val="24"/>
          <w:szCs w:val="24"/>
          <w:highlight w:val="none"/>
        </w:rPr>
        <w:t xml:space="preserve"> </w:t>
      </w:r>
      <w:r>
        <w:rPr>
          <w:rFonts w:hint="eastAsia" w:ascii="宋体" w:hAnsi="宋体" w:eastAsia="宋体" w:cs="宋体"/>
          <w:sz w:val="24"/>
          <w:szCs w:val="24"/>
          <w:highlight w:val="none"/>
        </w:rPr>
        <w:t>品牌：</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 xml:space="preserve"> 型号：</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 xml:space="preserve"> </w:t>
      </w:r>
    </w:p>
    <w:p w14:paraId="639EDA08">
      <w:pPr>
        <w:pStyle w:val="63"/>
        <w:spacing w:line="360" w:lineRule="auto"/>
        <w:ind w:firstLine="480"/>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w:t>
      </w:r>
      <w:r>
        <w:rPr>
          <w:rFonts w:hint="eastAsia" w:ascii="宋体" w:hAnsi="宋体" w:eastAsia="宋体" w:cs="宋体"/>
          <w:kern w:val="2"/>
          <w:sz w:val="24"/>
          <w:szCs w:val="24"/>
          <w:highlight w:val="none"/>
        </w:rPr>
        <w:t>关键部件</w:t>
      </w:r>
      <w:r>
        <w:rPr>
          <w:rFonts w:hint="eastAsia" w:ascii="宋体" w:hAnsi="宋体" w:eastAsia="宋体" w:cs="宋体"/>
          <w:sz w:val="24"/>
          <w:szCs w:val="24"/>
          <w:highlight w:val="none"/>
        </w:rPr>
        <w:t>：</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 xml:space="preserve"> 品牌：</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 xml:space="preserve"> 型号：</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 xml:space="preserve"> </w:t>
      </w:r>
    </w:p>
    <w:p w14:paraId="601F6362">
      <w:pPr>
        <w:pStyle w:val="63"/>
        <w:spacing w:line="360" w:lineRule="auto"/>
        <w:ind w:firstLine="480"/>
        <w:rPr>
          <w:rFonts w:hint="eastAsia" w:ascii="宋体" w:hAnsi="宋体" w:eastAsia="宋体" w:cs="宋体"/>
          <w:sz w:val="24"/>
          <w:szCs w:val="24"/>
          <w:highlight w:val="none"/>
        </w:rPr>
      </w:pPr>
      <w:r>
        <w:rPr>
          <w:rFonts w:hint="eastAsia" w:ascii="宋体" w:hAnsi="宋体" w:eastAsia="宋体" w:cs="宋体"/>
          <w:sz w:val="24"/>
          <w:szCs w:val="24"/>
          <w:highlight w:val="none"/>
        </w:rPr>
        <w:t>关键部件：</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 xml:space="preserve"> 品牌：</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 xml:space="preserve"> 型号：</w:t>
      </w:r>
      <w:r>
        <w:rPr>
          <w:rFonts w:hint="eastAsia" w:ascii="宋体" w:hAnsi="宋体" w:eastAsia="宋体" w:cs="宋体"/>
          <w:sz w:val="24"/>
          <w:szCs w:val="24"/>
          <w:highlight w:val="none"/>
          <w:u w:val="single"/>
        </w:rPr>
        <w:t xml:space="preserve">       </w:t>
      </w:r>
    </w:p>
    <w:p w14:paraId="2F3497D2">
      <w:pPr>
        <w:pStyle w:val="63"/>
        <w:numPr>
          <w:ilvl w:val="255"/>
          <w:numId w:val="0"/>
        </w:numPr>
        <w:snapToGrid w:val="0"/>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（注：关键部件是指财政部会同有关部门发布的政府采购需求标准规定的需要通过国家有关部门指定的测评机构开展的安全可靠测评的软硬件，如CPU芯片、操作系统、数据库等。）</w:t>
      </w:r>
    </w:p>
    <w:p w14:paraId="0FB11860">
      <w:pPr>
        <w:pStyle w:val="63"/>
        <w:numPr>
          <w:ilvl w:val="255"/>
          <w:numId w:val="0"/>
        </w:numPr>
        <w:snapToGrid w:val="0"/>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②涉及车辆采购，请填写是否属于新能源汽车：</w:t>
      </w:r>
    </w:p>
    <w:p w14:paraId="1800E07C">
      <w:pPr>
        <w:pStyle w:val="63"/>
        <w:numPr>
          <w:ilvl w:val="255"/>
          <w:numId w:val="0"/>
        </w:numPr>
        <w:snapToGrid w:val="0"/>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sym w:font="Wingdings" w:char="00A8"/>
      </w:r>
      <w:r>
        <w:rPr>
          <w:rFonts w:hint="eastAsia" w:ascii="宋体" w:hAnsi="宋体" w:eastAsia="宋体" w:cs="宋体"/>
          <w:sz w:val="24"/>
          <w:szCs w:val="24"/>
          <w:highlight w:val="none"/>
        </w:rPr>
        <w:t>是，《政府采购品目分类目录》底级品目名称：</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 xml:space="preserve"> 数量：</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 xml:space="preserve"> 金额：</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 xml:space="preserve"> </w:t>
      </w:r>
    </w:p>
    <w:p w14:paraId="74B0C511">
      <w:pPr>
        <w:pStyle w:val="63"/>
        <w:numPr>
          <w:ilvl w:val="255"/>
          <w:numId w:val="0"/>
        </w:numPr>
        <w:snapToGrid w:val="0"/>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sym w:font="Wingdings" w:char="00A8"/>
      </w:r>
      <w:r>
        <w:rPr>
          <w:rFonts w:hint="eastAsia" w:ascii="宋体" w:hAnsi="宋体" w:eastAsia="宋体" w:cs="宋体"/>
          <w:sz w:val="24"/>
          <w:szCs w:val="24"/>
          <w:highlight w:val="none"/>
        </w:rPr>
        <w:t>否</w:t>
      </w:r>
    </w:p>
    <w:p w14:paraId="3C851D14">
      <w:pPr>
        <w:pStyle w:val="63"/>
        <w:numPr>
          <w:ilvl w:val="255"/>
          <w:numId w:val="0"/>
        </w:numPr>
        <w:snapToGrid w:val="0"/>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w:t>
      </w:r>
      <w:r>
        <w:rPr>
          <w:rFonts w:hint="eastAsia" w:ascii="宋体" w:hAnsi="宋体" w:eastAsia="宋体" w:cs="宋体"/>
          <w:sz w:val="24"/>
          <w:szCs w:val="24"/>
          <w:highlight w:val="none"/>
          <w:lang w:val="en"/>
        </w:rPr>
        <w:t>4</w:t>
      </w:r>
      <w:r>
        <w:rPr>
          <w:rFonts w:hint="eastAsia" w:ascii="宋体" w:hAnsi="宋体" w:eastAsia="宋体" w:cs="宋体"/>
          <w:sz w:val="24"/>
          <w:szCs w:val="24"/>
          <w:highlight w:val="none"/>
        </w:rPr>
        <w:t>）政府采购组织形式：</w:t>
      </w:r>
      <w:r>
        <w:rPr>
          <w:rFonts w:hint="eastAsia" w:ascii="宋体" w:hAnsi="宋体" w:eastAsia="宋体" w:cs="宋体"/>
          <w:sz w:val="24"/>
          <w:szCs w:val="24"/>
          <w:highlight w:val="none"/>
        </w:rPr>
        <w:sym w:font="Wingdings" w:char="00A8"/>
      </w:r>
      <w:r>
        <w:rPr>
          <w:rFonts w:hint="eastAsia" w:ascii="宋体" w:hAnsi="宋体" w:eastAsia="宋体" w:cs="宋体"/>
          <w:sz w:val="24"/>
          <w:szCs w:val="24"/>
          <w:highlight w:val="none"/>
        </w:rPr>
        <w:t xml:space="preserve">政府集中采购  </w:t>
      </w:r>
      <w:r>
        <w:rPr>
          <w:rFonts w:hint="eastAsia" w:ascii="宋体" w:hAnsi="宋体" w:eastAsia="宋体" w:cs="宋体"/>
          <w:sz w:val="24"/>
          <w:szCs w:val="24"/>
          <w:highlight w:val="none"/>
        </w:rPr>
        <w:sym w:font="Wingdings" w:char="00A8"/>
      </w:r>
      <w:r>
        <w:rPr>
          <w:rFonts w:hint="eastAsia" w:ascii="宋体" w:hAnsi="宋体" w:eastAsia="宋体" w:cs="宋体"/>
          <w:sz w:val="24"/>
          <w:szCs w:val="24"/>
          <w:highlight w:val="none"/>
        </w:rPr>
        <w:t xml:space="preserve">部门集中采购  </w:t>
      </w:r>
      <w:r>
        <w:rPr>
          <w:rFonts w:hint="eastAsia" w:ascii="宋体" w:hAnsi="宋体" w:eastAsia="宋体" w:cs="宋体"/>
          <w:sz w:val="24"/>
          <w:szCs w:val="24"/>
          <w:highlight w:val="none"/>
        </w:rPr>
        <w:sym w:font="Wingdings" w:char="00A8"/>
      </w:r>
      <w:r>
        <w:rPr>
          <w:rFonts w:hint="eastAsia" w:ascii="宋体" w:hAnsi="宋体" w:eastAsia="宋体" w:cs="宋体"/>
          <w:sz w:val="24"/>
          <w:szCs w:val="24"/>
          <w:highlight w:val="none"/>
        </w:rPr>
        <w:t>分散采购</w:t>
      </w:r>
    </w:p>
    <w:p w14:paraId="59B96480">
      <w:pPr>
        <w:pStyle w:val="63"/>
        <w:numPr>
          <w:ilvl w:val="255"/>
          <w:numId w:val="0"/>
        </w:numPr>
        <w:snapToGrid w:val="0"/>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w:t>
      </w:r>
      <w:r>
        <w:rPr>
          <w:rFonts w:hint="eastAsia" w:ascii="宋体" w:hAnsi="宋体" w:eastAsia="宋体" w:cs="宋体"/>
          <w:sz w:val="24"/>
          <w:szCs w:val="24"/>
          <w:highlight w:val="none"/>
          <w:lang w:val="en"/>
        </w:rPr>
        <w:t>5</w:t>
      </w:r>
      <w:r>
        <w:rPr>
          <w:rFonts w:hint="eastAsia" w:ascii="宋体" w:hAnsi="宋体" w:eastAsia="宋体" w:cs="宋体"/>
          <w:sz w:val="24"/>
          <w:szCs w:val="24"/>
          <w:highlight w:val="none"/>
        </w:rPr>
        <w:t>）政府采购方式：</w:t>
      </w:r>
      <w:r>
        <w:rPr>
          <w:rFonts w:hint="eastAsia" w:ascii="宋体" w:hAnsi="宋体" w:eastAsia="宋体" w:cs="宋体"/>
          <w:sz w:val="24"/>
          <w:szCs w:val="24"/>
          <w:highlight w:val="none"/>
        </w:rPr>
        <w:sym w:font="Wingdings" w:char="00A8"/>
      </w:r>
      <w:r>
        <w:rPr>
          <w:rFonts w:hint="eastAsia" w:ascii="宋体" w:hAnsi="宋体" w:eastAsia="宋体" w:cs="宋体"/>
          <w:sz w:val="24"/>
          <w:szCs w:val="24"/>
          <w:highlight w:val="none"/>
        </w:rPr>
        <w:t xml:space="preserve">公开招标 </w:t>
      </w:r>
      <w:r>
        <w:rPr>
          <w:rFonts w:hint="eastAsia" w:ascii="宋体" w:hAnsi="宋体" w:eastAsia="宋体" w:cs="宋体"/>
          <w:sz w:val="24"/>
          <w:szCs w:val="24"/>
          <w:highlight w:val="none"/>
        </w:rPr>
        <w:sym w:font="Wingdings" w:char="00A8"/>
      </w:r>
      <w:r>
        <w:rPr>
          <w:rFonts w:hint="eastAsia" w:ascii="宋体" w:hAnsi="宋体" w:eastAsia="宋体" w:cs="宋体"/>
          <w:sz w:val="24"/>
          <w:szCs w:val="24"/>
          <w:highlight w:val="none"/>
        </w:rPr>
        <w:t xml:space="preserve">邀请招标 </w:t>
      </w:r>
      <w:r>
        <w:rPr>
          <w:rFonts w:hint="eastAsia" w:ascii="宋体" w:hAnsi="宋体" w:eastAsia="宋体" w:cs="宋体"/>
          <w:sz w:val="24"/>
          <w:szCs w:val="24"/>
          <w:highlight w:val="none"/>
        </w:rPr>
        <w:sym w:font="Wingdings" w:char="00A8"/>
      </w:r>
      <w:r>
        <w:rPr>
          <w:rFonts w:hint="eastAsia" w:ascii="宋体" w:hAnsi="宋体" w:eastAsia="宋体" w:cs="宋体"/>
          <w:sz w:val="24"/>
          <w:szCs w:val="24"/>
          <w:highlight w:val="none"/>
        </w:rPr>
        <w:t xml:space="preserve">竞争性谈判 </w:t>
      </w:r>
      <w:r>
        <w:rPr>
          <w:rFonts w:hint="eastAsia" w:ascii="宋体" w:hAnsi="宋体" w:eastAsia="宋体" w:cs="宋体"/>
          <w:sz w:val="24"/>
          <w:szCs w:val="24"/>
          <w:highlight w:val="none"/>
        </w:rPr>
        <w:sym w:font="Wingdings" w:char="00A8"/>
      </w:r>
      <w:r>
        <w:rPr>
          <w:rFonts w:hint="eastAsia" w:ascii="宋体" w:hAnsi="宋体" w:eastAsia="宋体" w:cs="宋体"/>
          <w:sz w:val="24"/>
          <w:szCs w:val="24"/>
          <w:highlight w:val="none"/>
        </w:rPr>
        <w:t>竞争性磋商</w:t>
      </w:r>
    </w:p>
    <w:p w14:paraId="38517358">
      <w:pPr>
        <w:pStyle w:val="63"/>
        <w:numPr>
          <w:ilvl w:val="255"/>
          <w:numId w:val="0"/>
        </w:numPr>
        <w:snapToGrid w:val="0"/>
        <w:spacing w:line="360" w:lineRule="auto"/>
        <w:ind w:firstLine="480" w:firstLineChars="200"/>
        <w:rPr>
          <w:rFonts w:hint="eastAsia" w:ascii="宋体" w:hAnsi="宋体" w:eastAsia="宋体" w:cs="宋体"/>
          <w:sz w:val="24"/>
          <w:szCs w:val="24"/>
          <w:highlight w:val="none"/>
          <w:u w:val="single"/>
        </w:rPr>
      </w:pPr>
      <w:r>
        <w:rPr>
          <w:rFonts w:hint="eastAsia" w:ascii="宋体" w:hAnsi="宋体" w:eastAsia="宋体" w:cs="宋体"/>
          <w:sz w:val="24"/>
          <w:szCs w:val="24"/>
          <w:highlight w:val="none"/>
        </w:rPr>
        <w:sym w:font="Wingdings" w:char="00A8"/>
      </w:r>
      <w:r>
        <w:rPr>
          <w:rFonts w:hint="eastAsia" w:ascii="宋体" w:hAnsi="宋体" w:eastAsia="宋体" w:cs="宋体"/>
          <w:sz w:val="24"/>
          <w:szCs w:val="24"/>
          <w:highlight w:val="none"/>
        </w:rPr>
        <w:t xml:space="preserve">询价 </w:t>
      </w:r>
      <w:r>
        <w:rPr>
          <w:rFonts w:hint="eastAsia" w:ascii="宋体" w:hAnsi="宋体" w:eastAsia="宋体" w:cs="宋体"/>
          <w:sz w:val="24"/>
          <w:szCs w:val="24"/>
          <w:highlight w:val="none"/>
        </w:rPr>
        <w:sym w:font="Wingdings" w:char="00A8"/>
      </w:r>
      <w:r>
        <w:rPr>
          <w:rFonts w:hint="eastAsia" w:ascii="宋体" w:hAnsi="宋体" w:eastAsia="宋体" w:cs="宋体"/>
          <w:sz w:val="24"/>
          <w:szCs w:val="24"/>
          <w:highlight w:val="none"/>
        </w:rPr>
        <w:t xml:space="preserve">单一来源 </w:t>
      </w:r>
      <w:r>
        <w:rPr>
          <w:rFonts w:hint="eastAsia" w:ascii="宋体" w:hAnsi="宋体" w:eastAsia="宋体" w:cs="宋体"/>
          <w:sz w:val="24"/>
          <w:szCs w:val="24"/>
          <w:highlight w:val="none"/>
        </w:rPr>
        <w:sym w:font="Wingdings" w:char="00A8"/>
      </w:r>
      <w:r>
        <w:rPr>
          <w:rFonts w:hint="eastAsia" w:ascii="宋体" w:hAnsi="宋体" w:eastAsia="宋体" w:cs="宋体"/>
          <w:sz w:val="24"/>
          <w:szCs w:val="24"/>
          <w:highlight w:val="none"/>
        </w:rPr>
        <w:t xml:space="preserve">框架协议 </w:t>
      </w:r>
      <w:r>
        <w:rPr>
          <w:rFonts w:hint="eastAsia" w:ascii="宋体" w:hAnsi="宋体" w:eastAsia="宋体" w:cs="宋体"/>
          <w:sz w:val="24"/>
          <w:szCs w:val="24"/>
          <w:highlight w:val="none"/>
        </w:rPr>
        <w:sym w:font="Wingdings" w:char="00A8"/>
      </w:r>
      <w:r>
        <w:rPr>
          <w:rFonts w:hint="eastAsia" w:ascii="宋体" w:hAnsi="宋体" w:eastAsia="宋体" w:cs="宋体"/>
          <w:sz w:val="24"/>
          <w:szCs w:val="24"/>
          <w:highlight w:val="none"/>
        </w:rPr>
        <w:t>其他：</w:t>
      </w:r>
      <w:r>
        <w:rPr>
          <w:rFonts w:hint="eastAsia" w:ascii="宋体" w:hAnsi="宋体" w:eastAsia="宋体" w:cs="宋体"/>
          <w:sz w:val="24"/>
          <w:szCs w:val="24"/>
          <w:highlight w:val="none"/>
          <w:u w:val="single"/>
        </w:rPr>
        <w:t xml:space="preserve">          </w:t>
      </w:r>
    </w:p>
    <w:p w14:paraId="27C2BF93">
      <w:pPr>
        <w:pStyle w:val="63"/>
        <w:numPr>
          <w:ilvl w:val="255"/>
          <w:numId w:val="0"/>
        </w:numPr>
        <w:snapToGrid w:val="0"/>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（注：在框架协议采购的第二阶段，可选择使用该合同文本）</w:t>
      </w:r>
    </w:p>
    <w:p w14:paraId="753C449D">
      <w:pPr>
        <w:pStyle w:val="63"/>
        <w:numPr>
          <w:ilvl w:val="255"/>
          <w:numId w:val="0"/>
        </w:numPr>
        <w:snapToGrid w:val="0"/>
        <w:spacing w:line="360" w:lineRule="auto"/>
        <w:ind w:firstLine="480" w:firstLineChars="200"/>
        <w:rPr>
          <w:rFonts w:hint="eastAsia" w:ascii="宋体" w:hAnsi="宋体" w:eastAsia="宋体" w:cs="宋体"/>
          <w:kern w:val="2"/>
          <w:sz w:val="24"/>
          <w:szCs w:val="24"/>
          <w:highlight w:val="none"/>
        </w:rPr>
      </w:pPr>
      <w:r>
        <w:rPr>
          <w:rFonts w:hint="eastAsia" w:ascii="宋体" w:hAnsi="宋体" w:eastAsia="宋体" w:cs="宋体"/>
          <w:sz w:val="24"/>
          <w:szCs w:val="24"/>
          <w:highlight w:val="none"/>
        </w:rPr>
        <w:t xml:space="preserve"> （</w:t>
      </w:r>
      <w:r>
        <w:rPr>
          <w:rFonts w:hint="eastAsia" w:ascii="宋体" w:hAnsi="宋体" w:eastAsia="宋体" w:cs="宋体"/>
          <w:sz w:val="24"/>
          <w:szCs w:val="24"/>
          <w:highlight w:val="none"/>
          <w:lang w:val="en"/>
        </w:rPr>
        <w:t>6</w:t>
      </w:r>
      <w:r>
        <w:rPr>
          <w:rFonts w:hint="eastAsia" w:ascii="宋体" w:hAnsi="宋体" w:eastAsia="宋体" w:cs="宋体"/>
          <w:sz w:val="24"/>
          <w:szCs w:val="24"/>
          <w:highlight w:val="none"/>
        </w:rPr>
        <w:t>）</w:t>
      </w:r>
      <w:r>
        <w:rPr>
          <w:rFonts w:hint="eastAsia" w:ascii="宋体" w:hAnsi="宋体" w:eastAsia="宋体" w:cs="宋体"/>
          <w:kern w:val="2"/>
          <w:sz w:val="24"/>
          <w:szCs w:val="24"/>
          <w:highlight w:val="none"/>
        </w:rPr>
        <w:t>中标（成交）采购标的制造商是否为中小企业：</w:t>
      </w:r>
      <w:r>
        <w:rPr>
          <w:rFonts w:hint="eastAsia" w:ascii="宋体" w:hAnsi="宋体" w:eastAsia="宋体" w:cs="宋体"/>
          <w:kern w:val="2"/>
          <w:sz w:val="24"/>
          <w:szCs w:val="24"/>
          <w:highlight w:val="none"/>
        </w:rPr>
        <w:sym w:font="Wingdings" w:char="00A8"/>
      </w:r>
      <w:r>
        <w:rPr>
          <w:rFonts w:hint="eastAsia" w:ascii="宋体" w:hAnsi="宋体" w:eastAsia="宋体" w:cs="宋体"/>
          <w:kern w:val="2"/>
          <w:sz w:val="24"/>
          <w:szCs w:val="24"/>
          <w:highlight w:val="none"/>
        </w:rPr>
        <w:t xml:space="preserve">是      </w:t>
      </w:r>
      <w:r>
        <w:rPr>
          <w:rFonts w:hint="eastAsia" w:ascii="宋体" w:hAnsi="宋体" w:eastAsia="宋体" w:cs="宋体"/>
          <w:kern w:val="2"/>
          <w:sz w:val="24"/>
          <w:szCs w:val="24"/>
          <w:highlight w:val="none"/>
        </w:rPr>
        <w:sym w:font="Wingdings" w:char="00A8"/>
      </w:r>
      <w:r>
        <w:rPr>
          <w:rFonts w:hint="eastAsia" w:ascii="宋体" w:hAnsi="宋体" w:eastAsia="宋体" w:cs="宋体"/>
          <w:kern w:val="2"/>
          <w:sz w:val="24"/>
          <w:szCs w:val="24"/>
          <w:highlight w:val="none"/>
        </w:rPr>
        <w:t>否</w:t>
      </w:r>
    </w:p>
    <w:p w14:paraId="24212F8D">
      <w:pPr>
        <w:numPr>
          <w:ilvl w:val="255"/>
          <w:numId w:val="0"/>
        </w:numPr>
        <w:adjustRightInd w:val="0"/>
        <w:snapToGrid w:val="0"/>
        <w:spacing w:line="360" w:lineRule="auto"/>
        <w:ind w:firstLine="480" w:firstLineChars="200"/>
        <w:rPr>
          <w:rFonts w:hint="eastAsia" w:ascii="宋体" w:hAnsi="宋体" w:eastAsia="宋体" w:cs="宋体"/>
          <w:iCs/>
          <w:sz w:val="24"/>
          <w:szCs w:val="24"/>
          <w:highlight w:val="none"/>
        </w:rPr>
      </w:pPr>
      <w:r>
        <w:rPr>
          <w:rFonts w:hint="eastAsia" w:ascii="宋体" w:hAnsi="宋体" w:eastAsia="宋体" w:cs="宋体"/>
          <w:sz w:val="24"/>
          <w:szCs w:val="24"/>
          <w:highlight w:val="none"/>
        </w:rPr>
        <w:t>本合同是否为专门面向中小企业的采购合同（中小企业预留合同）：</w:t>
      </w:r>
      <w:r>
        <w:rPr>
          <w:rFonts w:hint="eastAsia" w:ascii="宋体" w:hAnsi="宋体" w:eastAsia="宋体" w:cs="宋体"/>
          <w:iCs/>
          <w:sz w:val="24"/>
          <w:szCs w:val="24"/>
          <w:highlight w:val="none"/>
        </w:rPr>
        <w:sym w:font="Wingdings" w:char="00A8"/>
      </w:r>
      <w:r>
        <w:rPr>
          <w:rFonts w:hint="eastAsia" w:ascii="宋体" w:hAnsi="宋体" w:eastAsia="宋体" w:cs="宋体"/>
          <w:iCs/>
          <w:sz w:val="24"/>
          <w:szCs w:val="24"/>
          <w:highlight w:val="none"/>
        </w:rPr>
        <w:t xml:space="preserve">是    </w:t>
      </w:r>
      <w:r>
        <w:rPr>
          <w:rFonts w:hint="eastAsia" w:ascii="宋体" w:hAnsi="宋体" w:eastAsia="宋体" w:cs="宋体"/>
          <w:iCs/>
          <w:sz w:val="24"/>
          <w:szCs w:val="24"/>
          <w:highlight w:val="none"/>
        </w:rPr>
        <w:sym w:font="Wingdings" w:char="00A8"/>
      </w:r>
      <w:r>
        <w:rPr>
          <w:rFonts w:hint="eastAsia" w:ascii="宋体" w:hAnsi="宋体" w:eastAsia="宋体" w:cs="宋体"/>
          <w:iCs/>
          <w:sz w:val="24"/>
          <w:szCs w:val="24"/>
          <w:highlight w:val="none"/>
        </w:rPr>
        <w:t>否</w:t>
      </w:r>
    </w:p>
    <w:p w14:paraId="2829F915">
      <w:pPr>
        <w:numPr>
          <w:ilvl w:val="255"/>
          <w:numId w:val="0"/>
        </w:numPr>
        <w:adjustRightInd w:val="0"/>
        <w:snapToGrid w:val="0"/>
        <w:spacing w:line="360" w:lineRule="auto"/>
        <w:ind w:firstLine="480" w:firstLineChars="200"/>
        <w:rPr>
          <w:rFonts w:hint="eastAsia" w:ascii="宋体" w:hAnsi="宋体" w:eastAsia="宋体" w:cs="宋体"/>
          <w:iCs/>
          <w:sz w:val="24"/>
          <w:szCs w:val="24"/>
          <w:highlight w:val="none"/>
        </w:rPr>
      </w:pPr>
      <w:r>
        <w:rPr>
          <w:rFonts w:hint="eastAsia" w:ascii="宋体" w:hAnsi="宋体" w:eastAsia="宋体" w:cs="宋体"/>
          <w:sz w:val="24"/>
          <w:szCs w:val="24"/>
          <w:highlight w:val="none"/>
        </w:rPr>
        <w:t xml:space="preserve">         若本项目不专门面向中小企业采购，是否给予小微企业评审优惠：</w:t>
      </w:r>
      <w:r>
        <w:rPr>
          <w:rFonts w:hint="eastAsia" w:ascii="宋体" w:hAnsi="宋体" w:eastAsia="宋体" w:cs="宋体"/>
          <w:iCs/>
          <w:sz w:val="24"/>
          <w:szCs w:val="24"/>
          <w:highlight w:val="none"/>
        </w:rPr>
        <w:sym w:font="Wingdings" w:char="00A8"/>
      </w:r>
      <w:r>
        <w:rPr>
          <w:rFonts w:hint="eastAsia" w:ascii="宋体" w:hAnsi="宋体" w:eastAsia="宋体" w:cs="宋体"/>
          <w:iCs/>
          <w:sz w:val="24"/>
          <w:szCs w:val="24"/>
          <w:highlight w:val="none"/>
        </w:rPr>
        <w:t xml:space="preserve">是   </w:t>
      </w:r>
      <w:r>
        <w:rPr>
          <w:rFonts w:hint="eastAsia" w:ascii="宋体" w:hAnsi="宋体" w:eastAsia="宋体" w:cs="宋体"/>
          <w:iCs/>
          <w:sz w:val="24"/>
          <w:szCs w:val="24"/>
          <w:highlight w:val="none"/>
        </w:rPr>
        <w:sym w:font="Wingdings" w:char="00A8"/>
      </w:r>
      <w:r>
        <w:rPr>
          <w:rFonts w:hint="eastAsia" w:ascii="宋体" w:hAnsi="宋体" w:eastAsia="宋体" w:cs="宋体"/>
          <w:iCs/>
          <w:sz w:val="24"/>
          <w:szCs w:val="24"/>
          <w:highlight w:val="none"/>
        </w:rPr>
        <w:t>否</w:t>
      </w:r>
    </w:p>
    <w:p w14:paraId="6D4571B1">
      <w:pPr>
        <w:numPr>
          <w:ilvl w:val="255"/>
          <w:numId w:val="0"/>
        </w:numPr>
        <w:adjustRightInd w:val="0"/>
        <w:snapToGrid w:val="0"/>
        <w:spacing w:line="360" w:lineRule="auto"/>
        <w:ind w:firstLine="480" w:firstLineChars="200"/>
        <w:rPr>
          <w:rFonts w:hint="eastAsia" w:ascii="宋体" w:hAnsi="宋体" w:eastAsia="宋体" w:cs="宋体"/>
          <w:iCs/>
          <w:sz w:val="24"/>
          <w:szCs w:val="24"/>
          <w:highlight w:val="none"/>
        </w:rPr>
      </w:pPr>
      <w:r>
        <w:rPr>
          <w:rFonts w:hint="eastAsia" w:ascii="宋体" w:hAnsi="宋体" w:eastAsia="宋体" w:cs="宋体"/>
          <w:sz w:val="24"/>
          <w:szCs w:val="24"/>
          <w:highlight w:val="none"/>
        </w:rPr>
        <w:t xml:space="preserve">         中标（成交）采购标的制造商是否为残疾人福利性单位：</w:t>
      </w:r>
      <w:r>
        <w:rPr>
          <w:rFonts w:hint="eastAsia" w:ascii="宋体" w:hAnsi="宋体" w:eastAsia="宋体" w:cs="宋体"/>
          <w:iCs/>
          <w:sz w:val="24"/>
          <w:szCs w:val="24"/>
          <w:highlight w:val="none"/>
        </w:rPr>
        <w:sym w:font="Wingdings" w:char="00A8"/>
      </w:r>
      <w:r>
        <w:rPr>
          <w:rFonts w:hint="eastAsia" w:ascii="宋体" w:hAnsi="宋体" w:eastAsia="宋体" w:cs="宋体"/>
          <w:iCs/>
          <w:sz w:val="24"/>
          <w:szCs w:val="24"/>
          <w:highlight w:val="none"/>
        </w:rPr>
        <w:t xml:space="preserve">是   </w:t>
      </w:r>
      <w:r>
        <w:rPr>
          <w:rFonts w:hint="eastAsia" w:ascii="宋体" w:hAnsi="宋体" w:eastAsia="宋体" w:cs="宋体"/>
          <w:iCs/>
          <w:sz w:val="24"/>
          <w:szCs w:val="24"/>
          <w:highlight w:val="none"/>
        </w:rPr>
        <w:sym w:font="Wingdings" w:char="00A8"/>
      </w:r>
      <w:r>
        <w:rPr>
          <w:rFonts w:hint="eastAsia" w:ascii="宋体" w:hAnsi="宋体" w:eastAsia="宋体" w:cs="宋体"/>
          <w:iCs/>
          <w:sz w:val="24"/>
          <w:szCs w:val="24"/>
          <w:highlight w:val="none"/>
        </w:rPr>
        <w:t>否</w:t>
      </w:r>
    </w:p>
    <w:p w14:paraId="1C27960E">
      <w:pPr>
        <w:snapToGrid w:val="0"/>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中标（成交）采购标的制造商是否为监狱企业：</w:t>
      </w:r>
      <w:r>
        <w:rPr>
          <w:rFonts w:hint="eastAsia" w:ascii="宋体" w:hAnsi="宋体" w:eastAsia="宋体" w:cs="宋体"/>
          <w:iCs/>
          <w:sz w:val="24"/>
          <w:szCs w:val="24"/>
          <w:highlight w:val="none"/>
        </w:rPr>
        <w:sym w:font="Wingdings" w:char="00A8"/>
      </w:r>
      <w:r>
        <w:rPr>
          <w:rFonts w:hint="eastAsia" w:ascii="宋体" w:hAnsi="宋体" w:eastAsia="宋体" w:cs="宋体"/>
          <w:iCs/>
          <w:sz w:val="24"/>
          <w:szCs w:val="24"/>
          <w:highlight w:val="none"/>
        </w:rPr>
        <w:t xml:space="preserve">是       </w:t>
      </w:r>
      <w:r>
        <w:rPr>
          <w:rFonts w:hint="eastAsia" w:ascii="宋体" w:hAnsi="宋体" w:eastAsia="宋体" w:cs="宋体"/>
          <w:iCs/>
          <w:sz w:val="24"/>
          <w:szCs w:val="24"/>
          <w:highlight w:val="none"/>
        </w:rPr>
        <w:sym w:font="Wingdings" w:char="00A8"/>
      </w:r>
      <w:r>
        <w:rPr>
          <w:rFonts w:hint="eastAsia" w:ascii="宋体" w:hAnsi="宋体" w:eastAsia="宋体" w:cs="宋体"/>
          <w:iCs/>
          <w:sz w:val="24"/>
          <w:szCs w:val="24"/>
          <w:highlight w:val="none"/>
        </w:rPr>
        <w:t>否</w:t>
      </w:r>
    </w:p>
    <w:p w14:paraId="35B44937">
      <w:pPr>
        <w:adjustRightInd w:val="0"/>
        <w:snapToGrid w:val="0"/>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w:t>
      </w:r>
      <w:r>
        <w:rPr>
          <w:rFonts w:hint="eastAsia" w:ascii="宋体" w:hAnsi="宋体" w:eastAsia="宋体" w:cs="宋体"/>
          <w:sz w:val="24"/>
          <w:szCs w:val="24"/>
          <w:highlight w:val="none"/>
          <w:lang w:val="en"/>
        </w:rPr>
        <w:t>7</w:t>
      </w:r>
      <w:r>
        <w:rPr>
          <w:rFonts w:hint="eastAsia" w:ascii="宋体" w:hAnsi="宋体" w:eastAsia="宋体" w:cs="宋体"/>
          <w:sz w:val="24"/>
          <w:szCs w:val="24"/>
          <w:highlight w:val="none"/>
        </w:rPr>
        <w:t>）合同是否分包：</w:t>
      </w:r>
      <w:r>
        <w:rPr>
          <w:rFonts w:hint="eastAsia" w:ascii="宋体" w:hAnsi="宋体" w:eastAsia="宋体" w:cs="宋体"/>
          <w:iCs/>
          <w:sz w:val="24"/>
          <w:szCs w:val="24"/>
          <w:highlight w:val="none"/>
        </w:rPr>
        <w:sym w:font="Wingdings" w:char="00A8"/>
      </w:r>
      <w:r>
        <w:rPr>
          <w:rFonts w:hint="eastAsia" w:ascii="宋体" w:hAnsi="宋体" w:eastAsia="宋体" w:cs="宋体"/>
          <w:iCs/>
          <w:sz w:val="24"/>
          <w:szCs w:val="24"/>
          <w:highlight w:val="none"/>
        </w:rPr>
        <w:t xml:space="preserve">是       </w:t>
      </w:r>
      <w:r>
        <w:rPr>
          <w:rFonts w:hint="eastAsia" w:ascii="宋体" w:hAnsi="宋体" w:eastAsia="宋体" w:cs="宋体"/>
          <w:iCs/>
          <w:sz w:val="24"/>
          <w:szCs w:val="24"/>
          <w:highlight w:val="none"/>
        </w:rPr>
        <w:sym w:font="Wingdings" w:char="00A8"/>
      </w:r>
      <w:r>
        <w:rPr>
          <w:rFonts w:hint="eastAsia" w:ascii="宋体" w:hAnsi="宋体" w:eastAsia="宋体" w:cs="宋体"/>
          <w:iCs/>
          <w:sz w:val="24"/>
          <w:szCs w:val="24"/>
          <w:highlight w:val="none"/>
        </w:rPr>
        <w:t>否</w:t>
      </w:r>
    </w:p>
    <w:p w14:paraId="60698A50">
      <w:pPr>
        <w:adjustRightInd w:val="0"/>
        <w:snapToGrid w:val="0"/>
        <w:spacing w:line="360" w:lineRule="auto"/>
        <w:ind w:firstLine="480" w:firstLineChars="200"/>
        <w:rPr>
          <w:rFonts w:hint="eastAsia" w:ascii="宋体" w:hAnsi="宋体" w:eastAsia="宋体" w:cs="宋体"/>
          <w:sz w:val="24"/>
          <w:szCs w:val="24"/>
          <w:highlight w:val="none"/>
          <w:u w:val="single"/>
        </w:rPr>
      </w:pPr>
      <w:r>
        <w:rPr>
          <w:rFonts w:hint="eastAsia" w:ascii="宋体" w:hAnsi="宋体" w:eastAsia="宋体" w:cs="宋体"/>
          <w:sz w:val="24"/>
          <w:szCs w:val="24"/>
          <w:highlight w:val="none"/>
        </w:rPr>
        <w:t xml:space="preserve"> 分包主要内容：</w:t>
      </w:r>
      <w:r>
        <w:rPr>
          <w:rFonts w:hint="eastAsia" w:ascii="宋体" w:hAnsi="宋体" w:eastAsia="宋体" w:cs="宋体"/>
          <w:sz w:val="24"/>
          <w:szCs w:val="24"/>
          <w:highlight w:val="none"/>
          <w:u w:val="single"/>
        </w:rPr>
        <w:t xml:space="preserve">                                            </w:t>
      </w:r>
    </w:p>
    <w:p w14:paraId="4BEBF5E7">
      <w:pPr>
        <w:adjustRightInd w:val="0"/>
        <w:snapToGrid w:val="0"/>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分包供应商/制造商名称（如供应商和制造商不同，请分别填写）：</w:t>
      </w:r>
    </w:p>
    <w:p w14:paraId="36458CC4">
      <w:pPr>
        <w:adjustRightInd w:val="0"/>
        <w:snapToGrid w:val="0"/>
        <w:spacing w:line="360" w:lineRule="auto"/>
        <w:ind w:firstLine="480" w:firstLineChars="200"/>
        <w:rPr>
          <w:rFonts w:hint="eastAsia" w:ascii="宋体" w:hAnsi="宋体" w:eastAsia="宋体" w:cs="宋体"/>
          <w:sz w:val="24"/>
          <w:szCs w:val="24"/>
          <w:highlight w:val="none"/>
          <w:u w:val="single"/>
        </w:rPr>
      </w:pPr>
      <w:r>
        <w:rPr>
          <w:rFonts w:hint="eastAsia" w:ascii="宋体" w:hAnsi="宋体" w:eastAsia="宋体" w:cs="宋体"/>
          <w:sz w:val="24"/>
          <w:szCs w:val="24"/>
          <w:highlight w:val="none"/>
        </w:rPr>
        <w:t xml:space="preserve"> </w:t>
      </w:r>
      <w:r>
        <w:rPr>
          <w:rFonts w:hint="eastAsia" w:ascii="宋体" w:hAnsi="宋体" w:eastAsia="宋体" w:cs="宋体"/>
          <w:sz w:val="24"/>
          <w:szCs w:val="24"/>
          <w:highlight w:val="none"/>
          <w:u w:val="single"/>
        </w:rPr>
        <w:t xml:space="preserve">                                                          </w:t>
      </w:r>
    </w:p>
    <w:p w14:paraId="2535F99F">
      <w:pPr>
        <w:adjustRightInd w:val="0"/>
        <w:snapToGrid w:val="0"/>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分包供应商/制造商类型（如果供应商和制造商不同，只填写制造商类型）：</w:t>
      </w:r>
    </w:p>
    <w:p w14:paraId="22B60801">
      <w:pPr>
        <w:adjustRightInd w:val="0"/>
        <w:snapToGrid w:val="0"/>
        <w:spacing w:line="360" w:lineRule="auto"/>
        <w:ind w:firstLine="480" w:firstLineChars="200"/>
        <w:rPr>
          <w:rFonts w:hint="eastAsia" w:ascii="宋体" w:hAnsi="宋体" w:eastAsia="宋体" w:cs="宋体"/>
          <w:iCs/>
          <w:sz w:val="24"/>
          <w:szCs w:val="24"/>
          <w:highlight w:val="none"/>
        </w:rPr>
      </w:pPr>
      <w:r>
        <w:rPr>
          <w:rFonts w:hint="eastAsia" w:ascii="宋体" w:hAnsi="宋体" w:eastAsia="宋体" w:cs="宋体"/>
          <w:iCs/>
          <w:sz w:val="24"/>
          <w:szCs w:val="24"/>
          <w:highlight w:val="none"/>
        </w:rPr>
        <w:t xml:space="preserve"> </w:t>
      </w:r>
      <w:r>
        <w:rPr>
          <w:rFonts w:hint="eastAsia" w:ascii="宋体" w:hAnsi="宋体" w:eastAsia="宋体" w:cs="宋体"/>
          <w:iCs/>
          <w:sz w:val="24"/>
          <w:szCs w:val="24"/>
          <w:highlight w:val="none"/>
        </w:rPr>
        <w:sym w:font="Wingdings" w:char="00A8"/>
      </w:r>
      <w:r>
        <w:rPr>
          <w:rFonts w:hint="eastAsia" w:ascii="宋体" w:hAnsi="宋体" w:eastAsia="宋体" w:cs="宋体"/>
          <w:iCs/>
          <w:sz w:val="24"/>
          <w:szCs w:val="24"/>
          <w:highlight w:val="none"/>
        </w:rPr>
        <w:t xml:space="preserve">大型企业  </w:t>
      </w:r>
      <w:r>
        <w:rPr>
          <w:rFonts w:hint="eastAsia" w:ascii="宋体" w:hAnsi="宋体" w:eastAsia="宋体" w:cs="宋体"/>
          <w:iCs/>
          <w:sz w:val="24"/>
          <w:szCs w:val="24"/>
          <w:highlight w:val="none"/>
        </w:rPr>
        <w:sym w:font="Wingdings" w:char="00A8"/>
      </w:r>
      <w:r>
        <w:rPr>
          <w:rFonts w:hint="eastAsia" w:ascii="宋体" w:hAnsi="宋体" w:eastAsia="宋体" w:cs="宋体"/>
          <w:iCs/>
          <w:sz w:val="24"/>
          <w:szCs w:val="24"/>
          <w:highlight w:val="none"/>
        </w:rPr>
        <w:t xml:space="preserve">中型企业  </w:t>
      </w:r>
      <w:r>
        <w:rPr>
          <w:rFonts w:hint="eastAsia" w:ascii="宋体" w:hAnsi="宋体" w:eastAsia="宋体" w:cs="宋体"/>
          <w:iCs/>
          <w:sz w:val="24"/>
          <w:szCs w:val="24"/>
          <w:highlight w:val="none"/>
        </w:rPr>
        <w:sym w:font="Wingdings" w:char="00A8"/>
      </w:r>
      <w:r>
        <w:rPr>
          <w:rFonts w:hint="eastAsia" w:ascii="宋体" w:hAnsi="宋体" w:eastAsia="宋体" w:cs="宋体"/>
          <w:iCs/>
          <w:sz w:val="24"/>
          <w:szCs w:val="24"/>
          <w:highlight w:val="none"/>
        </w:rPr>
        <w:t xml:space="preserve">小微型企业  </w:t>
      </w:r>
    </w:p>
    <w:p w14:paraId="3C5DCD87">
      <w:pPr>
        <w:adjustRightInd w:val="0"/>
        <w:snapToGrid w:val="0"/>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iCs/>
          <w:sz w:val="24"/>
          <w:szCs w:val="24"/>
          <w:highlight w:val="none"/>
        </w:rPr>
        <w:t xml:space="preserve"> </w:t>
      </w:r>
      <w:r>
        <w:rPr>
          <w:rFonts w:hint="eastAsia" w:ascii="宋体" w:hAnsi="宋体" w:eastAsia="宋体" w:cs="宋体"/>
          <w:iCs/>
          <w:sz w:val="24"/>
          <w:szCs w:val="24"/>
          <w:highlight w:val="none"/>
        </w:rPr>
        <w:sym w:font="Wingdings" w:char="00A8"/>
      </w:r>
      <w:r>
        <w:rPr>
          <w:rFonts w:hint="eastAsia" w:ascii="宋体" w:hAnsi="宋体" w:eastAsia="宋体" w:cs="宋体"/>
          <w:iCs/>
          <w:sz w:val="24"/>
          <w:szCs w:val="24"/>
          <w:highlight w:val="none"/>
        </w:rPr>
        <w:t xml:space="preserve">残疾人福利性单位 </w:t>
      </w:r>
      <w:r>
        <w:rPr>
          <w:rFonts w:hint="eastAsia" w:ascii="宋体" w:hAnsi="宋体" w:eastAsia="宋体" w:cs="宋体"/>
          <w:iCs/>
          <w:sz w:val="24"/>
          <w:szCs w:val="24"/>
          <w:highlight w:val="none"/>
        </w:rPr>
        <w:sym w:font="Wingdings" w:char="00A8"/>
      </w:r>
      <w:r>
        <w:rPr>
          <w:rFonts w:hint="eastAsia" w:ascii="宋体" w:hAnsi="宋体" w:eastAsia="宋体" w:cs="宋体"/>
          <w:iCs/>
          <w:sz w:val="24"/>
          <w:szCs w:val="24"/>
          <w:highlight w:val="none"/>
        </w:rPr>
        <w:t xml:space="preserve">监狱企业 </w:t>
      </w:r>
      <w:r>
        <w:rPr>
          <w:rFonts w:hint="eastAsia" w:ascii="宋体" w:hAnsi="宋体" w:eastAsia="宋体" w:cs="宋体"/>
          <w:iCs/>
          <w:sz w:val="24"/>
          <w:szCs w:val="24"/>
          <w:highlight w:val="none"/>
        </w:rPr>
        <w:sym w:font="Wingdings" w:char="00A8"/>
      </w:r>
      <w:r>
        <w:rPr>
          <w:rFonts w:hint="eastAsia" w:ascii="宋体" w:hAnsi="宋体" w:eastAsia="宋体" w:cs="宋体"/>
          <w:iCs/>
          <w:sz w:val="24"/>
          <w:szCs w:val="24"/>
          <w:highlight w:val="none"/>
        </w:rPr>
        <w:t>其他</w:t>
      </w:r>
    </w:p>
    <w:p w14:paraId="75A29299">
      <w:pPr>
        <w:numPr>
          <w:ilvl w:val="255"/>
          <w:numId w:val="0"/>
        </w:numPr>
        <w:adjustRightInd w:val="0"/>
        <w:snapToGrid w:val="0"/>
        <w:spacing w:line="360" w:lineRule="auto"/>
        <w:ind w:firstLine="480" w:firstLineChars="200"/>
        <w:rPr>
          <w:rFonts w:hint="eastAsia" w:ascii="宋体" w:hAnsi="宋体" w:eastAsia="宋体" w:cs="宋体"/>
          <w:iCs/>
          <w:sz w:val="24"/>
          <w:szCs w:val="24"/>
          <w:highlight w:val="none"/>
        </w:rPr>
      </w:pPr>
      <w:r>
        <w:rPr>
          <w:rFonts w:hint="eastAsia" w:ascii="宋体" w:hAnsi="宋体" w:eastAsia="宋体" w:cs="宋体"/>
          <w:sz w:val="24"/>
          <w:szCs w:val="24"/>
          <w:highlight w:val="none"/>
        </w:rPr>
        <w:t>（</w:t>
      </w:r>
      <w:r>
        <w:rPr>
          <w:rFonts w:hint="eastAsia" w:ascii="宋体" w:hAnsi="宋体" w:eastAsia="宋体" w:cs="宋体"/>
          <w:sz w:val="24"/>
          <w:szCs w:val="24"/>
          <w:highlight w:val="none"/>
          <w:lang w:val="en"/>
        </w:rPr>
        <w:t>8</w:t>
      </w:r>
      <w:r>
        <w:rPr>
          <w:rFonts w:hint="eastAsia" w:ascii="宋体" w:hAnsi="宋体" w:eastAsia="宋体" w:cs="宋体"/>
          <w:sz w:val="24"/>
          <w:szCs w:val="24"/>
          <w:highlight w:val="none"/>
        </w:rPr>
        <w:t>）中标（成交）供应商是否为外商投资企业：</w:t>
      </w:r>
      <w:r>
        <w:rPr>
          <w:rFonts w:hint="eastAsia" w:ascii="宋体" w:hAnsi="宋体" w:eastAsia="宋体" w:cs="宋体"/>
          <w:iCs/>
          <w:sz w:val="24"/>
          <w:szCs w:val="24"/>
          <w:highlight w:val="none"/>
        </w:rPr>
        <w:sym w:font="Wingdings" w:char="00A8"/>
      </w:r>
      <w:r>
        <w:rPr>
          <w:rFonts w:hint="eastAsia" w:ascii="宋体" w:hAnsi="宋体" w:eastAsia="宋体" w:cs="宋体"/>
          <w:iCs/>
          <w:sz w:val="24"/>
          <w:szCs w:val="24"/>
          <w:highlight w:val="none"/>
        </w:rPr>
        <w:t xml:space="preserve">是       </w:t>
      </w:r>
      <w:r>
        <w:rPr>
          <w:rFonts w:hint="eastAsia" w:ascii="宋体" w:hAnsi="宋体" w:eastAsia="宋体" w:cs="宋体"/>
          <w:iCs/>
          <w:sz w:val="24"/>
          <w:szCs w:val="24"/>
          <w:highlight w:val="none"/>
        </w:rPr>
        <w:sym w:font="Wingdings" w:char="00A8"/>
      </w:r>
      <w:r>
        <w:rPr>
          <w:rFonts w:hint="eastAsia" w:ascii="宋体" w:hAnsi="宋体" w:eastAsia="宋体" w:cs="宋体"/>
          <w:iCs/>
          <w:sz w:val="24"/>
          <w:szCs w:val="24"/>
          <w:highlight w:val="none"/>
        </w:rPr>
        <w:t>否</w:t>
      </w:r>
    </w:p>
    <w:p w14:paraId="78DF009F">
      <w:pPr>
        <w:pStyle w:val="63"/>
        <w:tabs>
          <w:tab w:val="left" w:pos="1340"/>
        </w:tabs>
        <w:spacing w:line="360" w:lineRule="auto"/>
        <w:ind w:firstLine="480"/>
        <w:rPr>
          <w:rFonts w:hint="eastAsia" w:ascii="宋体" w:hAnsi="宋体" w:eastAsia="宋体" w:cs="宋体"/>
          <w:sz w:val="24"/>
          <w:szCs w:val="24"/>
          <w:highlight w:val="none"/>
          <w:u w:val="single"/>
        </w:rPr>
      </w:pPr>
      <w:r>
        <w:rPr>
          <w:rFonts w:hint="eastAsia" w:ascii="宋体" w:hAnsi="宋体" w:eastAsia="宋体" w:cs="宋体"/>
          <w:sz w:val="24"/>
          <w:szCs w:val="24"/>
          <w:highlight w:val="none"/>
        </w:rPr>
        <w:t xml:space="preserve"> 外商投资企业类型：</w:t>
      </w:r>
      <w:r>
        <w:rPr>
          <w:rFonts w:hint="eastAsia" w:ascii="宋体" w:hAnsi="宋体" w:eastAsia="宋体" w:cs="宋体"/>
          <w:iCs/>
          <w:sz w:val="24"/>
          <w:szCs w:val="24"/>
          <w:highlight w:val="none"/>
        </w:rPr>
        <w:sym w:font="Wingdings" w:char="00A8"/>
      </w:r>
      <w:r>
        <w:rPr>
          <w:rFonts w:hint="eastAsia" w:ascii="宋体" w:hAnsi="宋体" w:eastAsia="宋体" w:cs="宋体"/>
          <w:sz w:val="24"/>
          <w:szCs w:val="24"/>
          <w:highlight w:val="none"/>
        </w:rPr>
        <w:t xml:space="preserve">全部由外国投资者投资  </w:t>
      </w:r>
      <w:r>
        <w:rPr>
          <w:rFonts w:hint="eastAsia" w:ascii="宋体" w:hAnsi="宋体" w:eastAsia="宋体" w:cs="宋体"/>
          <w:iCs/>
          <w:sz w:val="24"/>
          <w:szCs w:val="24"/>
          <w:highlight w:val="none"/>
        </w:rPr>
        <w:sym w:font="Wingdings" w:char="00A8"/>
      </w:r>
      <w:r>
        <w:rPr>
          <w:rFonts w:hint="eastAsia" w:ascii="宋体" w:hAnsi="宋体" w:eastAsia="宋体" w:cs="宋体"/>
          <w:iCs/>
          <w:sz w:val="24"/>
          <w:szCs w:val="24"/>
          <w:highlight w:val="none"/>
        </w:rPr>
        <w:t>部分由外国投资者投资</w:t>
      </w:r>
    </w:p>
    <w:p w14:paraId="1E27DC82">
      <w:pPr>
        <w:numPr>
          <w:ilvl w:val="255"/>
          <w:numId w:val="0"/>
        </w:numPr>
        <w:adjustRightInd w:val="0"/>
        <w:snapToGrid w:val="0"/>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w:t>
      </w:r>
      <w:r>
        <w:rPr>
          <w:rFonts w:hint="eastAsia" w:ascii="宋体" w:hAnsi="宋体" w:eastAsia="宋体" w:cs="宋体"/>
          <w:sz w:val="24"/>
          <w:szCs w:val="24"/>
          <w:highlight w:val="none"/>
          <w:lang w:val="en"/>
        </w:rPr>
        <w:t>9</w:t>
      </w:r>
      <w:r>
        <w:rPr>
          <w:rFonts w:hint="eastAsia" w:ascii="宋体" w:hAnsi="宋体" w:eastAsia="宋体" w:cs="宋体"/>
          <w:sz w:val="24"/>
          <w:szCs w:val="24"/>
          <w:highlight w:val="none"/>
        </w:rPr>
        <w:t>）是否涉及进口产品：</w:t>
      </w:r>
    </w:p>
    <w:p w14:paraId="7A432DBB">
      <w:pPr>
        <w:numPr>
          <w:ilvl w:val="255"/>
          <w:numId w:val="0"/>
        </w:numPr>
        <w:adjustRightInd w:val="0"/>
        <w:snapToGrid w:val="0"/>
        <w:spacing w:line="360" w:lineRule="auto"/>
        <w:ind w:firstLine="480" w:firstLineChars="200"/>
        <w:rPr>
          <w:rFonts w:hint="eastAsia" w:ascii="宋体" w:hAnsi="宋体" w:eastAsia="宋体" w:cs="宋体"/>
          <w:sz w:val="24"/>
          <w:szCs w:val="24"/>
          <w:highlight w:val="none"/>
          <w:u w:val="single"/>
        </w:rPr>
      </w:pPr>
      <w:r>
        <w:rPr>
          <w:rFonts w:hint="eastAsia" w:ascii="宋体" w:hAnsi="宋体" w:eastAsia="宋体" w:cs="宋体"/>
          <w:sz w:val="24"/>
          <w:szCs w:val="24"/>
          <w:highlight w:val="none"/>
        </w:rPr>
        <w:t xml:space="preserve"> </w:t>
      </w:r>
      <w:r>
        <w:rPr>
          <w:rFonts w:hint="eastAsia" w:ascii="宋体" w:hAnsi="宋体" w:eastAsia="宋体" w:cs="宋体"/>
          <w:sz w:val="24"/>
          <w:szCs w:val="24"/>
          <w:highlight w:val="none"/>
        </w:rPr>
        <w:sym w:font="Wingdings" w:char="00A8"/>
      </w:r>
      <w:r>
        <w:rPr>
          <w:rFonts w:hint="eastAsia" w:ascii="宋体" w:hAnsi="宋体" w:eastAsia="宋体" w:cs="宋体"/>
          <w:sz w:val="24"/>
          <w:szCs w:val="24"/>
          <w:highlight w:val="none"/>
        </w:rPr>
        <w:t>是，《政府采购品目分类目录》底级品目名称：</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 xml:space="preserve"> 金额：</w:t>
      </w:r>
      <w:r>
        <w:rPr>
          <w:rFonts w:hint="eastAsia" w:ascii="宋体" w:hAnsi="宋体" w:eastAsia="宋体" w:cs="宋体"/>
          <w:sz w:val="24"/>
          <w:szCs w:val="24"/>
          <w:highlight w:val="none"/>
          <w:u w:val="single"/>
        </w:rPr>
        <w:t xml:space="preserve">        </w:t>
      </w:r>
    </w:p>
    <w:p w14:paraId="7E3E5C36">
      <w:pPr>
        <w:numPr>
          <w:ilvl w:val="255"/>
          <w:numId w:val="0"/>
        </w:numPr>
        <w:adjustRightInd w:val="0"/>
        <w:snapToGrid w:val="0"/>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国别：</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 xml:space="preserve"> 品牌：</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 xml:space="preserve"> 规格型号：</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 xml:space="preserve">      </w:t>
      </w:r>
    </w:p>
    <w:p w14:paraId="3964786E">
      <w:pPr>
        <w:adjustRightInd w:val="0"/>
        <w:snapToGrid w:val="0"/>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w:t>
      </w:r>
      <w:r>
        <w:rPr>
          <w:rFonts w:hint="eastAsia" w:ascii="宋体" w:hAnsi="宋体" w:eastAsia="宋体" w:cs="宋体"/>
          <w:sz w:val="24"/>
          <w:szCs w:val="24"/>
          <w:highlight w:val="none"/>
        </w:rPr>
        <w:sym w:font="Wingdings" w:char="00A8"/>
      </w:r>
      <w:r>
        <w:rPr>
          <w:rFonts w:hint="eastAsia" w:ascii="宋体" w:hAnsi="宋体" w:eastAsia="宋体" w:cs="宋体"/>
          <w:sz w:val="24"/>
          <w:szCs w:val="24"/>
          <w:highlight w:val="none"/>
        </w:rPr>
        <w:t>否</w:t>
      </w:r>
    </w:p>
    <w:p w14:paraId="5E6CF4B1">
      <w:pPr>
        <w:numPr>
          <w:ilvl w:val="255"/>
          <w:numId w:val="0"/>
        </w:numPr>
        <w:tabs>
          <w:tab w:val="left" w:pos="740"/>
        </w:tabs>
        <w:adjustRightInd w:val="0"/>
        <w:snapToGrid w:val="0"/>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（1</w:t>
      </w:r>
      <w:r>
        <w:rPr>
          <w:rFonts w:hint="eastAsia" w:ascii="宋体" w:hAnsi="宋体" w:eastAsia="宋体" w:cs="宋体"/>
          <w:sz w:val="24"/>
          <w:szCs w:val="24"/>
          <w:highlight w:val="none"/>
          <w:lang w:val="en"/>
        </w:rPr>
        <w:t>0</w:t>
      </w:r>
      <w:r>
        <w:rPr>
          <w:rFonts w:hint="eastAsia" w:ascii="宋体" w:hAnsi="宋体" w:eastAsia="宋体" w:cs="宋体"/>
          <w:sz w:val="24"/>
          <w:szCs w:val="24"/>
          <w:highlight w:val="none"/>
        </w:rPr>
        <w:t>）是否涉及节能产品：</w:t>
      </w:r>
    </w:p>
    <w:p w14:paraId="14F41740">
      <w:pPr>
        <w:numPr>
          <w:ilvl w:val="255"/>
          <w:numId w:val="0"/>
        </w:numPr>
        <w:tabs>
          <w:tab w:val="left" w:pos="740"/>
        </w:tabs>
        <w:adjustRightInd w:val="0"/>
        <w:snapToGrid w:val="0"/>
        <w:spacing w:line="360" w:lineRule="auto"/>
        <w:ind w:firstLine="480" w:firstLineChars="200"/>
        <w:rPr>
          <w:rFonts w:hint="eastAsia" w:ascii="宋体" w:hAnsi="宋体" w:eastAsia="宋体" w:cs="宋体"/>
          <w:iCs/>
          <w:sz w:val="24"/>
          <w:szCs w:val="24"/>
          <w:highlight w:val="none"/>
        </w:rPr>
      </w:pPr>
      <w:r>
        <w:rPr>
          <w:rFonts w:hint="eastAsia" w:ascii="宋体" w:hAnsi="宋体" w:eastAsia="宋体" w:cs="宋体"/>
          <w:sz w:val="24"/>
          <w:szCs w:val="24"/>
          <w:highlight w:val="none"/>
        </w:rPr>
        <w:t xml:space="preserve">         </w:t>
      </w:r>
      <w:r>
        <w:rPr>
          <w:rFonts w:hint="eastAsia" w:ascii="宋体" w:hAnsi="宋体" w:eastAsia="宋体" w:cs="宋体"/>
          <w:sz w:val="24"/>
          <w:szCs w:val="24"/>
          <w:highlight w:val="none"/>
        </w:rPr>
        <w:sym w:font="Wingdings" w:char="00A8"/>
      </w:r>
      <w:r>
        <w:rPr>
          <w:rFonts w:hint="eastAsia" w:ascii="宋体" w:hAnsi="宋体" w:eastAsia="宋体" w:cs="宋体"/>
          <w:sz w:val="24"/>
          <w:szCs w:val="24"/>
          <w:highlight w:val="none"/>
        </w:rPr>
        <w:t>是，《节能产品政府采购品目清单》的底级品目名称：</w:t>
      </w:r>
      <w:r>
        <w:rPr>
          <w:rFonts w:hint="eastAsia" w:ascii="宋体" w:hAnsi="宋体" w:eastAsia="宋体" w:cs="宋体"/>
          <w:sz w:val="24"/>
          <w:szCs w:val="24"/>
          <w:highlight w:val="none"/>
          <w:u w:val="single"/>
        </w:rPr>
        <w:t xml:space="preserve">         </w:t>
      </w:r>
      <w:r>
        <w:rPr>
          <w:rFonts w:hint="eastAsia" w:ascii="宋体" w:hAnsi="宋体" w:eastAsia="宋体" w:cs="宋体"/>
          <w:iCs/>
          <w:sz w:val="24"/>
          <w:szCs w:val="24"/>
          <w:highlight w:val="none"/>
        </w:rPr>
        <w:t xml:space="preserve">     </w:t>
      </w:r>
    </w:p>
    <w:p w14:paraId="732CA9C5">
      <w:pPr>
        <w:numPr>
          <w:ilvl w:val="255"/>
          <w:numId w:val="0"/>
        </w:numPr>
        <w:tabs>
          <w:tab w:val="left" w:pos="740"/>
        </w:tabs>
        <w:adjustRightInd w:val="0"/>
        <w:snapToGrid w:val="0"/>
        <w:spacing w:line="360" w:lineRule="auto"/>
        <w:ind w:firstLine="480" w:firstLineChars="200"/>
        <w:rPr>
          <w:rFonts w:hint="eastAsia" w:ascii="宋体" w:hAnsi="宋体" w:eastAsia="宋体" w:cs="宋体"/>
          <w:iCs/>
          <w:sz w:val="24"/>
          <w:szCs w:val="24"/>
          <w:highlight w:val="none"/>
        </w:rPr>
      </w:pPr>
      <w:r>
        <w:rPr>
          <w:rFonts w:hint="eastAsia" w:ascii="宋体" w:hAnsi="宋体" w:eastAsia="宋体" w:cs="宋体"/>
          <w:iCs/>
          <w:sz w:val="24"/>
          <w:szCs w:val="24"/>
          <w:highlight w:val="none"/>
        </w:rPr>
        <w:t xml:space="preserve"> </w:t>
      </w:r>
      <w:r>
        <w:rPr>
          <w:rFonts w:hint="eastAsia" w:ascii="宋体" w:hAnsi="宋体" w:eastAsia="宋体" w:cs="宋体"/>
          <w:iCs/>
          <w:sz w:val="24"/>
          <w:szCs w:val="24"/>
          <w:highlight w:val="none"/>
        </w:rPr>
        <w:sym w:font="Wingdings" w:char="00A8"/>
      </w:r>
      <w:r>
        <w:rPr>
          <w:rFonts w:hint="eastAsia" w:ascii="宋体" w:hAnsi="宋体" w:eastAsia="宋体" w:cs="宋体"/>
          <w:iCs/>
          <w:sz w:val="24"/>
          <w:szCs w:val="24"/>
          <w:highlight w:val="none"/>
        </w:rPr>
        <w:t xml:space="preserve">强制采购       </w:t>
      </w:r>
      <w:r>
        <w:rPr>
          <w:rFonts w:hint="eastAsia" w:ascii="宋体" w:hAnsi="宋体" w:eastAsia="宋体" w:cs="宋体"/>
          <w:iCs/>
          <w:sz w:val="24"/>
          <w:szCs w:val="24"/>
          <w:highlight w:val="none"/>
        </w:rPr>
        <w:sym w:font="Wingdings" w:char="00A8"/>
      </w:r>
      <w:r>
        <w:rPr>
          <w:rFonts w:hint="eastAsia" w:ascii="宋体" w:hAnsi="宋体" w:eastAsia="宋体" w:cs="宋体"/>
          <w:iCs/>
          <w:sz w:val="24"/>
          <w:szCs w:val="24"/>
          <w:highlight w:val="none"/>
        </w:rPr>
        <w:t xml:space="preserve">优先采购    </w:t>
      </w:r>
    </w:p>
    <w:p w14:paraId="1379DB43">
      <w:pPr>
        <w:numPr>
          <w:ilvl w:val="255"/>
          <w:numId w:val="0"/>
        </w:numPr>
        <w:tabs>
          <w:tab w:val="left" w:pos="740"/>
        </w:tabs>
        <w:adjustRightInd w:val="0"/>
        <w:snapToGrid w:val="0"/>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iCs/>
          <w:sz w:val="24"/>
          <w:szCs w:val="24"/>
          <w:highlight w:val="none"/>
        </w:rPr>
        <w:t xml:space="preserve">         </w:t>
      </w:r>
      <w:r>
        <w:rPr>
          <w:rFonts w:hint="eastAsia" w:ascii="宋体" w:hAnsi="宋体" w:eastAsia="宋体" w:cs="宋体"/>
          <w:sz w:val="24"/>
          <w:szCs w:val="24"/>
          <w:highlight w:val="none"/>
        </w:rPr>
        <w:sym w:font="Wingdings" w:char="00A8"/>
      </w:r>
      <w:r>
        <w:rPr>
          <w:rFonts w:hint="eastAsia" w:ascii="宋体" w:hAnsi="宋体" w:eastAsia="宋体" w:cs="宋体"/>
          <w:sz w:val="24"/>
          <w:szCs w:val="24"/>
          <w:highlight w:val="none"/>
        </w:rPr>
        <w:t>否</w:t>
      </w:r>
    </w:p>
    <w:p w14:paraId="44DD5402">
      <w:pPr>
        <w:numPr>
          <w:ilvl w:val="255"/>
          <w:numId w:val="0"/>
        </w:numPr>
        <w:tabs>
          <w:tab w:val="left" w:pos="740"/>
        </w:tabs>
        <w:adjustRightInd w:val="0"/>
        <w:snapToGrid w:val="0"/>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是否涉及环境标志产品：</w:t>
      </w:r>
    </w:p>
    <w:p w14:paraId="79ECB32E">
      <w:pPr>
        <w:numPr>
          <w:ilvl w:val="255"/>
          <w:numId w:val="0"/>
        </w:numPr>
        <w:tabs>
          <w:tab w:val="left" w:pos="740"/>
        </w:tabs>
        <w:adjustRightInd w:val="0"/>
        <w:snapToGrid w:val="0"/>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w:t>
      </w:r>
      <w:r>
        <w:rPr>
          <w:rFonts w:hint="eastAsia" w:ascii="宋体" w:hAnsi="宋体" w:eastAsia="宋体" w:cs="宋体"/>
          <w:sz w:val="24"/>
          <w:szCs w:val="24"/>
          <w:highlight w:val="none"/>
        </w:rPr>
        <w:sym w:font="Wingdings" w:char="00A8"/>
      </w:r>
      <w:r>
        <w:rPr>
          <w:rFonts w:hint="eastAsia" w:ascii="宋体" w:hAnsi="宋体" w:eastAsia="宋体" w:cs="宋体"/>
          <w:sz w:val="24"/>
          <w:szCs w:val="24"/>
          <w:highlight w:val="none"/>
        </w:rPr>
        <w:t>是，《环境标志产品政府采购品目清单》的底级品目名称：</w:t>
      </w:r>
      <w:r>
        <w:rPr>
          <w:rFonts w:hint="eastAsia" w:ascii="宋体" w:hAnsi="宋体" w:eastAsia="宋体" w:cs="宋体"/>
          <w:sz w:val="24"/>
          <w:szCs w:val="24"/>
          <w:highlight w:val="none"/>
          <w:u w:val="single"/>
        </w:rPr>
        <w:t xml:space="preserve">         </w:t>
      </w:r>
      <w:r>
        <w:rPr>
          <w:rFonts w:hint="eastAsia" w:ascii="宋体" w:hAnsi="宋体" w:eastAsia="宋体" w:cs="宋体"/>
          <w:iCs/>
          <w:sz w:val="24"/>
          <w:szCs w:val="24"/>
          <w:highlight w:val="none"/>
        </w:rPr>
        <w:t xml:space="preserve"> </w:t>
      </w:r>
    </w:p>
    <w:p w14:paraId="08A2DF7B">
      <w:pPr>
        <w:numPr>
          <w:ilvl w:val="255"/>
          <w:numId w:val="0"/>
        </w:numPr>
        <w:tabs>
          <w:tab w:val="left" w:pos="740"/>
        </w:tabs>
        <w:adjustRightInd w:val="0"/>
        <w:snapToGrid w:val="0"/>
        <w:spacing w:line="360" w:lineRule="auto"/>
        <w:ind w:firstLine="480" w:firstLineChars="200"/>
        <w:rPr>
          <w:rFonts w:hint="eastAsia" w:ascii="宋体" w:hAnsi="宋体" w:eastAsia="宋体" w:cs="宋体"/>
          <w:iCs/>
          <w:sz w:val="24"/>
          <w:szCs w:val="24"/>
          <w:highlight w:val="none"/>
        </w:rPr>
      </w:pPr>
      <w:r>
        <w:rPr>
          <w:rFonts w:hint="eastAsia" w:ascii="宋体" w:hAnsi="宋体" w:eastAsia="宋体" w:cs="宋体"/>
          <w:iCs/>
          <w:sz w:val="24"/>
          <w:szCs w:val="24"/>
          <w:highlight w:val="none"/>
        </w:rPr>
        <w:t xml:space="preserve">                </w:t>
      </w:r>
      <w:r>
        <w:rPr>
          <w:rFonts w:hint="eastAsia" w:ascii="宋体" w:hAnsi="宋体" w:eastAsia="宋体" w:cs="宋体"/>
          <w:iCs/>
          <w:sz w:val="24"/>
          <w:szCs w:val="24"/>
          <w:highlight w:val="none"/>
        </w:rPr>
        <w:sym w:font="Wingdings" w:char="00A8"/>
      </w:r>
      <w:r>
        <w:rPr>
          <w:rFonts w:hint="eastAsia" w:ascii="宋体" w:hAnsi="宋体" w:eastAsia="宋体" w:cs="宋体"/>
          <w:iCs/>
          <w:sz w:val="24"/>
          <w:szCs w:val="24"/>
          <w:highlight w:val="none"/>
        </w:rPr>
        <w:t xml:space="preserve">强制采购       </w:t>
      </w:r>
      <w:r>
        <w:rPr>
          <w:rFonts w:hint="eastAsia" w:ascii="宋体" w:hAnsi="宋体" w:eastAsia="宋体" w:cs="宋体"/>
          <w:iCs/>
          <w:sz w:val="24"/>
          <w:szCs w:val="24"/>
          <w:highlight w:val="none"/>
        </w:rPr>
        <w:sym w:font="Wingdings" w:char="00A8"/>
      </w:r>
      <w:r>
        <w:rPr>
          <w:rFonts w:hint="eastAsia" w:ascii="宋体" w:hAnsi="宋体" w:eastAsia="宋体" w:cs="宋体"/>
          <w:iCs/>
          <w:sz w:val="24"/>
          <w:szCs w:val="24"/>
          <w:highlight w:val="none"/>
        </w:rPr>
        <w:t xml:space="preserve">优先采购    </w:t>
      </w:r>
    </w:p>
    <w:p w14:paraId="6B641738">
      <w:pPr>
        <w:numPr>
          <w:ilvl w:val="255"/>
          <w:numId w:val="0"/>
        </w:numPr>
        <w:tabs>
          <w:tab w:val="left" w:pos="740"/>
        </w:tabs>
        <w:adjustRightInd w:val="0"/>
        <w:snapToGrid w:val="0"/>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iCs/>
          <w:sz w:val="24"/>
          <w:szCs w:val="24"/>
          <w:highlight w:val="none"/>
        </w:rPr>
        <w:t xml:space="preserve">         </w:t>
      </w:r>
      <w:r>
        <w:rPr>
          <w:rFonts w:hint="eastAsia" w:ascii="宋体" w:hAnsi="宋体" w:eastAsia="宋体" w:cs="宋体"/>
          <w:sz w:val="24"/>
          <w:szCs w:val="24"/>
          <w:highlight w:val="none"/>
        </w:rPr>
        <w:sym w:font="Wingdings" w:char="00A8"/>
      </w:r>
      <w:r>
        <w:rPr>
          <w:rFonts w:hint="eastAsia" w:ascii="宋体" w:hAnsi="宋体" w:eastAsia="宋体" w:cs="宋体"/>
          <w:sz w:val="24"/>
          <w:szCs w:val="24"/>
          <w:highlight w:val="none"/>
        </w:rPr>
        <w:t>否</w:t>
      </w:r>
    </w:p>
    <w:p w14:paraId="79DBBF9E">
      <w:pPr>
        <w:pStyle w:val="63"/>
        <w:numPr>
          <w:ilvl w:val="255"/>
          <w:numId w:val="0"/>
        </w:numPr>
        <w:snapToGrid w:val="0"/>
        <w:spacing w:line="360" w:lineRule="auto"/>
        <w:ind w:firstLine="480" w:firstLineChars="200"/>
        <w:rPr>
          <w:rFonts w:hint="eastAsia" w:ascii="宋体" w:hAnsi="宋体" w:eastAsia="宋体" w:cs="宋体"/>
          <w:kern w:val="2"/>
          <w:sz w:val="24"/>
          <w:szCs w:val="24"/>
          <w:highlight w:val="none"/>
        </w:rPr>
      </w:pPr>
      <w:r>
        <w:rPr>
          <w:rFonts w:hint="eastAsia" w:ascii="宋体" w:hAnsi="宋体" w:eastAsia="宋体" w:cs="宋体"/>
          <w:sz w:val="24"/>
          <w:szCs w:val="24"/>
          <w:highlight w:val="none"/>
        </w:rPr>
        <w:t xml:space="preserve">          </w:t>
      </w:r>
      <w:r>
        <w:rPr>
          <w:rFonts w:hint="eastAsia" w:ascii="宋体" w:hAnsi="宋体" w:eastAsia="宋体" w:cs="宋体"/>
          <w:kern w:val="2"/>
          <w:sz w:val="24"/>
          <w:szCs w:val="24"/>
          <w:highlight w:val="none"/>
        </w:rPr>
        <w:t xml:space="preserve">是否涉及绿色产品： </w:t>
      </w:r>
    </w:p>
    <w:p w14:paraId="7E530F66">
      <w:pPr>
        <w:pStyle w:val="63"/>
        <w:spacing w:line="360" w:lineRule="auto"/>
        <w:ind w:firstLine="480"/>
        <w:rPr>
          <w:rFonts w:hint="eastAsia" w:ascii="宋体" w:hAnsi="宋体" w:eastAsia="宋体" w:cs="宋体"/>
          <w:sz w:val="24"/>
          <w:szCs w:val="24"/>
          <w:highlight w:val="none"/>
          <w:u w:val="single"/>
        </w:rPr>
      </w:pPr>
      <w:r>
        <w:rPr>
          <w:rFonts w:hint="eastAsia" w:ascii="宋体" w:hAnsi="宋体" w:eastAsia="宋体" w:cs="宋体"/>
          <w:kern w:val="2"/>
          <w:sz w:val="24"/>
          <w:szCs w:val="24"/>
          <w:highlight w:val="none"/>
        </w:rPr>
        <w:t xml:space="preserve">     </w:t>
      </w:r>
      <w:r>
        <w:rPr>
          <w:rFonts w:hint="eastAsia" w:ascii="宋体" w:hAnsi="宋体" w:eastAsia="宋体" w:cs="宋体"/>
          <w:kern w:val="2"/>
          <w:sz w:val="24"/>
          <w:szCs w:val="24"/>
          <w:highlight w:val="none"/>
        </w:rPr>
        <w:sym w:font="Wingdings" w:char="00A8"/>
      </w:r>
      <w:r>
        <w:rPr>
          <w:rFonts w:hint="eastAsia" w:ascii="宋体" w:hAnsi="宋体" w:eastAsia="宋体" w:cs="宋体"/>
          <w:kern w:val="2"/>
          <w:sz w:val="24"/>
          <w:szCs w:val="24"/>
          <w:highlight w:val="none"/>
        </w:rPr>
        <w:t>是，绿色产品政府采购相关政策确定的底级品目名称：</w:t>
      </w:r>
      <w:r>
        <w:rPr>
          <w:rFonts w:hint="eastAsia" w:ascii="宋体" w:hAnsi="宋体" w:eastAsia="宋体" w:cs="宋体"/>
          <w:sz w:val="24"/>
          <w:szCs w:val="24"/>
          <w:highlight w:val="none"/>
          <w:u w:val="single"/>
        </w:rPr>
        <w:t xml:space="preserve">         </w:t>
      </w:r>
    </w:p>
    <w:p w14:paraId="5382B7C3">
      <w:pPr>
        <w:numPr>
          <w:ilvl w:val="255"/>
          <w:numId w:val="0"/>
        </w:numPr>
        <w:tabs>
          <w:tab w:val="left" w:pos="740"/>
        </w:tabs>
        <w:adjustRightInd w:val="0"/>
        <w:snapToGrid w:val="0"/>
        <w:spacing w:line="360" w:lineRule="auto"/>
        <w:ind w:firstLine="480" w:firstLineChars="200"/>
        <w:rPr>
          <w:rFonts w:hint="eastAsia" w:ascii="宋体" w:hAnsi="宋体" w:eastAsia="宋体" w:cs="宋体"/>
          <w:iCs/>
          <w:sz w:val="24"/>
          <w:szCs w:val="24"/>
          <w:highlight w:val="none"/>
        </w:rPr>
      </w:pPr>
      <w:r>
        <w:rPr>
          <w:rFonts w:hint="eastAsia" w:ascii="宋体" w:hAnsi="宋体" w:eastAsia="宋体" w:cs="宋体"/>
          <w:iCs/>
          <w:sz w:val="24"/>
          <w:szCs w:val="24"/>
          <w:highlight w:val="none"/>
        </w:rPr>
        <w:t xml:space="preserve">                </w:t>
      </w:r>
      <w:r>
        <w:rPr>
          <w:rFonts w:hint="eastAsia" w:ascii="宋体" w:hAnsi="宋体" w:eastAsia="宋体" w:cs="宋体"/>
          <w:iCs/>
          <w:sz w:val="24"/>
          <w:szCs w:val="24"/>
          <w:highlight w:val="none"/>
        </w:rPr>
        <w:sym w:font="Wingdings" w:char="00A8"/>
      </w:r>
      <w:r>
        <w:rPr>
          <w:rFonts w:hint="eastAsia" w:ascii="宋体" w:hAnsi="宋体" w:eastAsia="宋体" w:cs="宋体"/>
          <w:iCs/>
          <w:sz w:val="24"/>
          <w:szCs w:val="24"/>
          <w:highlight w:val="none"/>
        </w:rPr>
        <w:t xml:space="preserve">强制采购       </w:t>
      </w:r>
      <w:r>
        <w:rPr>
          <w:rFonts w:hint="eastAsia" w:ascii="宋体" w:hAnsi="宋体" w:eastAsia="宋体" w:cs="宋体"/>
          <w:iCs/>
          <w:sz w:val="24"/>
          <w:szCs w:val="24"/>
          <w:highlight w:val="none"/>
        </w:rPr>
        <w:sym w:font="Wingdings" w:char="00A8"/>
      </w:r>
      <w:r>
        <w:rPr>
          <w:rFonts w:hint="eastAsia" w:ascii="宋体" w:hAnsi="宋体" w:eastAsia="宋体" w:cs="宋体"/>
          <w:iCs/>
          <w:sz w:val="24"/>
          <w:szCs w:val="24"/>
          <w:highlight w:val="none"/>
        </w:rPr>
        <w:t xml:space="preserve">优先采购    </w:t>
      </w:r>
    </w:p>
    <w:p w14:paraId="58D0897B">
      <w:pPr>
        <w:pStyle w:val="63"/>
        <w:spacing w:line="360" w:lineRule="auto"/>
        <w:ind w:firstLine="480"/>
        <w:rPr>
          <w:rFonts w:hint="eastAsia" w:ascii="宋体" w:hAnsi="宋体" w:eastAsia="宋体" w:cs="宋体"/>
          <w:sz w:val="24"/>
          <w:szCs w:val="24"/>
          <w:highlight w:val="none"/>
        </w:rPr>
      </w:pPr>
      <w:r>
        <w:rPr>
          <w:rFonts w:hint="eastAsia" w:ascii="宋体" w:hAnsi="宋体" w:eastAsia="宋体" w:cs="宋体"/>
          <w:kern w:val="2"/>
          <w:sz w:val="24"/>
          <w:szCs w:val="24"/>
          <w:highlight w:val="none"/>
        </w:rPr>
        <w:t xml:space="preserve">     </w:t>
      </w:r>
      <w:r>
        <w:rPr>
          <w:rFonts w:hint="eastAsia" w:ascii="宋体" w:hAnsi="宋体" w:eastAsia="宋体" w:cs="宋体"/>
          <w:kern w:val="2"/>
          <w:sz w:val="24"/>
          <w:szCs w:val="24"/>
          <w:highlight w:val="none"/>
        </w:rPr>
        <w:sym w:font="Wingdings" w:char="00A8"/>
      </w:r>
      <w:r>
        <w:rPr>
          <w:rFonts w:hint="eastAsia" w:ascii="宋体" w:hAnsi="宋体" w:eastAsia="宋体" w:cs="宋体"/>
          <w:kern w:val="2"/>
          <w:sz w:val="24"/>
          <w:szCs w:val="24"/>
          <w:highlight w:val="none"/>
        </w:rPr>
        <w:t>否</w:t>
      </w:r>
    </w:p>
    <w:p w14:paraId="53372520">
      <w:pPr>
        <w:numPr>
          <w:ilvl w:val="255"/>
          <w:numId w:val="0"/>
        </w:numPr>
        <w:adjustRightInd w:val="0"/>
        <w:snapToGrid w:val="0"/>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（1</w:t>
      </w:r>
      <w:r>
        <w:rPr>
          <w:rFonts w:hint="eastAsia" w:ascii="宋体" w:hAnsi="宋体" w:eastAsia="宋体" w:cs="宋体"/>
          <w:sz w:val="24"/>
          <w:szCs w:val="24"/>
          <w:highlight w:val="none"/>
          <w:lang w:val="en"/>
        </w:rPr>
        <w:t>1</w:t>
      </w:r>
      <w:r>
        <w:rPr>
          <w:rFonts w:hint="eastAsia" w:ascii="宋体" w:hAnsi="宋体" w:eastAsia="宋体" w:cs="宋体"/>
          <w:sz w:val="24"/>
          <w:szCs w:val="24"/>
          <w:highlight w:val="none"/>
        </w:rPr>
        <w:t>）涉及商品包装和快递包装的，是否参考《商品包装政府采购需求标准（试行）》、《快递包装政府采购需求标准（试行）》明确产品及相关快递服务的具体包装要求：</w:t>
      </w:r>
    </w:p>
    <w:p w14:paraId="0598169E">
      <w:pPr>
        <w:numPr>
          <w:ilvl w:val="255"/>
          <w:numId w:val="0"/>
        </w:numPr>
        <w:adjustRightInd w:val="0"/>
        <w:snapToGrid w:val="0"/>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sym w:font="Wingdings" w:char="00A8"/>
      </w:r>
      <w:r>
        <w:rPr>
          <w:rFonts w:hint="eastAsia" w:ascii="宋体" w:hAnsi="宋体" w:eastAsia="宋体" w:cs="宋体"/>
          <w:sz w:val="24"/>
          <w:szCs w:val="24"/>
          <w:highlight w:val="none"/>
        </w:rPr>
        <w:t xml:space="preserve">是       </w:t>
      </w:r>
      <w:r>
        <w:rPr>
          <w:rFonts w:hint="eastAsia" w:ascii="宋体" w:hAnsi="宋体" w:eastAsia="宋体" w:cs="宋体"/>
          <w:sz w:val="24"/>
          <w:szCs w:val="24"/>
          <w:highlight w:val="none"/>
        </w:rPr>
        <w:sym w:font="Wingdings" w:char="00A8"/>
      </w:r>
      <w:r>
        <w:rPr>
          <w:rFonts w:hint="eastAsia" w:ascii="宋体" w:hAnsi="宋体" w:eastAsia="宋体" w:cs="宋体"/>
          <w:sz w:val="24"/>
          <w:szCs w:val="24"/>
          <w:highlight w:val="none"/>
        </w:rPr>
        <w:t xml:space="preserve">否      </w:t>
      </w:r>
      <w:r>
        <w:rPr>
          <w:rFonts w:hint="eastAsia" w:ascii="宋体" w:hAnsi="宋体" w:eastAsia="宋体" w:cs="宋体"/>
          <w:sz w:val="24"/>
          <w:szCs w:val="24"/>
          <w:highlight w:val="none"/>
        </w:rPr>
        <w:sym w:font="Wingdings" w:char="00A8"/>
      </w:r>
      <w:r>
        <w:rPr>
          <w:rFonts w:hint="eastAsia" w:ascii="宋体" w:hAnsi="宋体" w:eastAsia="宋体" w:cs="宋体"/>
          <w:sz w:val="24"/>
          <w:szCs w:val="24"/>
          <w:highlight w:val="none"/>
        </w:rPr>
        <w:t>不涉及</w:t>
      </w:r>
    </w:p>
    <w:p w14:paraId="36A864A5">
      <w:pPr>
        <w:numPr>
          <w:ilvl w:val="0"/>
          <w:numId w:val="1"/>
        </w:numPr>
        <w:adjustRightInd w:val="0"/>
        <w:snapToGrid w:val="0"/>
        <w:spacing w:line="360" w:lineRule="auto"/>
        <w:ind w:firstLine="482" w:firstLineChars="200"/>
        <w:rPr>
          <w:rFonts w:hint="eastAsia" w:ascii="宋体" w:hAnsi="宋体" w:eastAsia="宋体" w:cs="宋体"/>
          <w:b/>
          <w:sz w:val="24"/>
          <w:szCs w:val="24"/>
          <w:highlight w:val="none"/>
        </w:rPr>
      </w:pPr>
      <w:r>
        <w:rPr>
          <w:rFonts w:hint="eastAsia" w:ascii="宋体" w:hAnsi="宋体" w:eastAsia="宋体" w:cs="宋体"/>
          <w:b/>
          <w:sz w:val="24"/>
          <w:szCs w:val="24"/>
          <w:highlight w:val="none"/>
        </w:rPr>
        <w:t>合同金额</w:t>
      </w:r>
    </w:p>
    <w:p w14:paraId="7529DF16">
      <w:pPr>
        <w:adjustRightInd w:val="0"/>
        <w:snapToGrid w:val="0"/>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（1）合同金额小写：</w:t>
      </w:r>
      <w:r>
        <w:rPr>
          <w:rFonts w:hint="eastAsia" w:ascii="宋体" w:hAnsi="宋体" w:eastAsia="宋体" w:cs="宋体"/>
          <w:sz w:val="24"/>
          <w:szCs w:val="24"/>
          <w:highlight w:val="none"/>
          <w:u w:val="single"/>
        </w:rPr>
        <w:t xml:space="preserve">                           </w:t>
      </w:r>
    </w:p>
    <w:p w14:paraId="62604454">
      <w:pPr>
        <w:adjustRightInd w:val="0"/>
        <w:snapToGrid w:val="0"/>
        <w:spacing w:line="360" w:lineRule="auto"/>
        <w:ind w:firstLine="480" w:firstLineChars="200"/>
        <w:rPr>
          <w:rFonts w:hint="eastAsia" w:ascii="宋体" w:hAnsi="宋体" w:eastAsia="宋体" w:cs="宋体"/>
          <w:sz w:val="24"/>
          <w:szCs w:val="24"/>
          <w:highlight w:val="none"/>
          <w:u w:val="single"/>
        </w:rPr>
      </w:pPr>
      <w:r>
        <w:rPr>
          <w:rFonts w:hint="eastAsia" w:ascii="宋体" w:hAnsi="宋体" w:eastAsia="宋体" w:cs="宋体"/>
          <w:sz w:val="24"/>
          <w:szCs w:val="24"/>
          <w:highlight w:val="none"/>
        </w:rPr>
        <w:t xml:space="preserve">                 大写：</w:t>
      </w:r>
      <w:r>
        <w:rPr>
          <w:rFonts w:hint="eastAsia" w:ascii="宋体" w:hAnsi="宋体" w:eastAsia="宋体" w:cs="宋体"/>
          <w:sz w:val="24"/>
          <w:szCs w:val="24"/>
          <w:highlight w:val="none"/>
          <w:u w:val="single"/>
        </w:rPr>
        <w:t xml:space="preserve">                           </w:t>
      </w:r>
    </w:p>
    <w:p w14:paraId="222A35BD">
      <w:pPr>
        <w:adjustRightInd w:val="0"/>
        <w:snapToGrid w:val="0"/>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分包金额（如有）小写：</w:t>
      </w:r>
      <w:r>
        <w:rPr>
          <w:rFonts w:hint="eastAsia" w:ascii="宋体" w:hAnsi="宋体" w:eastAsia="宋体" w:cs="宋体"/>
          <w:sz w:val="24"/>
          <w:szCs w:val="24"/>
          <w:highlight w:val="none"/>
          <w:u w:val="single"/>
        </w:rPr>
        <w:t xml:space="preserve">                   </w:t>
      </w:r>
    </w:p>
    <w:p w14:paraId="485C6ABA">
      <w:pPr>
        <w:adjustRightInd w:val="0"/>
        <w:snapToGrid w:val="0"/>
        <w:spacing w:line="360" w:lineRule="auto"/>
        <w:ind w:firstLine="480" w:firstLineChars="200"/>
        <w:rPr>
          <w:rFonts w:hint="eastAsia" w:ascii="宋体" w:hAnsi="宋体" w:eastAsia="宋体" w:cs="宋体"/>
          <w:sz w:val="24"/>
          <w:szCs w:val="24"/>
          <w:highlight w:val="none"/>
          <w:u w:val="single"/>
        </w:rPr>
      </w:pPr>
      <w:r>
        <w:rPr>
          <w:rFonts w:hint="eastAsia" w:ascii="宋体" w:hAnsi="宋体" w:eastAsia="宋体" w:cs="宋体"/>
          <w:sz w:val="24"/>
          <w:szCs w:val="24"/>
          <w:highlight w:val="none"/>
        </w:rPr>
        <w:t xml:space="preserve">                     大写：</w:t>
      </w:r>
      <w:r>
        <w:rPr>
          <w:rFonts w:hint="eastAsia" w:ascii="宋体" w:hAnsi="宋体" w:eastAsia="宋体" w:cs="宋体"/>
          <w:sz w:val="24"/>
          <w:szCs w:val="24"/>
          <w:highlight w:val="none"/>
          <w:u w:val="single"/>
        </w:rPr>
        <w:t xml:space="preserve">                       </w:t>
      </w:r>
    </w:p>
    <w:p w14:paraId="1C773DF6">
      <w:pPr>
        <w:adjustRightInd w:val="0"/>
        <w:snapToGrid w:val="0"/>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（注：固定单价合同应填写单价和最高限价）</w:t>
      </w:r>
    </w:p>
    <w:p w14:paraId="2590B86C">
      <w:pPr>
        <w:numPr>
          <w:ilvl w:val="255"/>
          <w:numId w:val="0"/>
        </w:numPr>
        <w:adjustRightInd w:val="0"/>
        <w:snapToGrid w:val="0"/>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（2）合同定价方式（采用组合定价方式的，可以勾选多项）：</w:t>
      </w:r>
    </w:p>
    <w:p w14:paraId="3BFFC799">
      <w:pPr>
        <w:adjustRightInd w:val="0"/>
        <w:snapToGrid w:val="0"/>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iCs/>
          <w:sz w:val="24"/>
          <w:szCs w:val="24"/>
          <w:highlight w:val="none"/>
        </w:rPr>
        <w:t xml:space="preserve">  </w:t>
      </w:r>
      <w:r>
        <w:rPr>
          <w:rFonts w:hint="eastAsia" w:ascii="宋体" w:hAnsi="宋体" w:eastAsia="宋体" w:cs="宋体"/>
          <w:iCs/>
          <w:sz w:val="24"/>
          <w:szCs w:val="24"/>
          <w:highlight w:val="none"/>
        </w:rPr>
        <w:sym w:font="Wingdings" w:char="00A8"/>
      </w:r>
      <w:r>
        <w:rPr>
          <w:rFonts w:hint="eastAsia" w:ascii="宋体" w:hAnsi="宋体" w:eastAsia="宋体" w:cs="宋体"/>
          <w:iCs/>
          <w:sz w:val="24"/>
          <w:szCs w:val="24"/>
          <w:highlight w:val="none"/>
        </w:rPr>
        <w:t xml:space="preserve">固定总价 </w:t>
      </w:r>
      <w:r>
        <w:rPr>
          <w:rFonts w:hint="eastAsia" w:ascii="宋体" w:hAnsi="宋体" w:eastAsia="宋体" w:cs="宋体"/>
          <w:iCs/>
          <w:sz w:val="24"/>
          <w:szCs w:val="24"/>
          <w:highlight w:val="none"/>
        </w:rPr>
        <w:sym w:font="Wingdings" w:char="00A8"/>
      </w:r>
      <w:r>
        <w:rPr>
          <w:rFonts w:hint="eastAsia" w:ascii="宋体" w:hAnsi="宋体" w:eastAsia="宋体" w:cs="宋体"/>
          <w:iCs/>
          <w:sz w:val="24"/>
          <w:szCs w:val="24"/>
          <w:highlight w:val="none"/>
        </w:rPr>
        <w:t xml:space="preserve">固定单价 </w:t>
      </w:r>
      <w:r>
        <w:rPr>
          <w:rFonts w:hint="eastAsia" w:ascii="宋体" w:hAnsi="宋体" w:eastAsia="宋体" w:cs="宋体"/>
          <w:iCs/>
          <w:sz w:val="24"/>
          <w:szCs w:val="24"/>
          <w:highlight w:val="none"/>
        </w:rPr>
        <w:sym w:font="Wingdings" w:char="00A8"/>
      </w:r>
      <w:r>
        <w:rPr>
          <w:rFonts w:hint="eastAsia" w:ascii="宋体" w:hAnsi="宋体" w:eastAsia="宋体" w:cs="宋体"/>
          <w:iCs/>
          <w:sz w:val="24"/>
          <w:szCs w:val="24"/>
          <w:highlight w:val="none"/>
        </w:rPr>
        <w:t xml:space="preserve">固定费率 </w:t>
      </w:r>
      <w:r>
        <w:rPr>
          <w:rFonts w:hint="eastAsia" w:ascii="宋体" w:hAnsi="宋体" w:eastAsia="宋体" w:cs="宋体"/>
          <w:iCs/>
          <w:sz w:val="24"/>
          <w:szCs w:val="24"/>
          <w:highlight w:val="none"/>
        </w:rPr>
        <w:sym w:font="Wingdings" w:char="00A8"/>
      </w:r>
      <w:r>
        <w:rPr>
          <w:rFonts w:hint="eastAsia" w:ascii="宋体" w:hAnsi="宋体" w:eastAsia="宋体" w:cs="宋体"/>
          <w:iCs/>
          <w:sz w:val="24"/>
          <w:szCs w:val="24"/>
          <w:highlight w:val="none"/>
        </w:rPr>
        <w:t xml:space="preserve">成本补偿 </w:t>
      </w:r>
      <w:r>
        <w:rPr>
          <w:rFonts w:hint="eastAsia" w:ascii="宋体" w:hAnsi="宋体" w:eastAsia="宋体" w:cs="宋体"/>
          <w:iCs/>
          <w:sz w:val="24"/>
          <w:szCs w:val="24"/>
          <w:highlight w:val="none"/>
        </w:rPr>
        <w:sym w:font="Wingdings" w:char="00A8"/>
      </w:r>
      <w:r>
        <w:rPr>
          <w:rFonts w:hint="eastAsia" w:ascii="宋体" w:hAnsi="宋体" w:eastAsia="宋体" w:cs="宋体"/>
          <w:iCs/>
          <w:sz w:val="24"/>
          <w:szCs w:val="24"/>
          <w:highlight w:val="none"/>
        </w:rPr>
        <w:t xml:space="preserve">绩效激励 </w:t>
      </w:r>
      <w:r>
        <w:rPr>
          <w:rFonts w:hint="eastAsia" w:ascii="宋体" w:hAnsi="宋体" w:eastAsia="宋体" w:cs="宋体"/>
          <w:iCs/>
          <w:sz w:val="24"/>
          <w:szCs w:val="24"/>
          <w:highlight w:val="none"/>
        </w:rPr>
        <w:sym w:font="Wingdings" w:char="00A8"/>
      </w:r>
      <w:r>
        <w:rPr>
          <w:rFonts w:hint="eastAsia" w:ascii="宋体" w:hAnsi="宋体" w:eastAsia="宋体" w:cs="宋体"/>
          <w:iCs/>
          <w:sz w:val="24"/>
          <w:szCs w:val="24"/>
          <w:highlight w:val="none"/>
        </w:rPr>
        <w:t>其他</w:t>
      </w:r>
      <w:r>
        <w:rPr>
          <w:rFonts w:hint="eastAsia" w:ascii="宋体" w:hAnsi="宋体" w:eastAsia="宋体" w:cs="宋体"/>
          <w:sz w:val="24"/>
          <w:szCs w:val="24"/>
          <w:highlight w:val="none"/>
          <w:u w:val="single"/>
        </w:rPr>
        <w:t xml:space="preserve">       </w:t>
      </w:r>
    </w:p>
    <w:p w14:paraId="5E99138B">
      <w:pPr>
        <w:pStyle w:val="48"/>
        <w:spacing w:line="360" w:lineRule="auto"/>
        <w:ind w:firstLine="480"/>
        <w:rPr>
          <w:rFonts w:hint="eastAsia" w:ascii="宋体" w:hAnsi="宋体" w:eastAsia="宋体" w:cs="宋体"/>
          <w:sz w:val="24"/>
          <w:highlight w:val="none"/>
        </w:rPr>
      </w:pPr>
      <w:r>
        <w:rPr>
          <w:rFonts w:hint="eastAsia" w:ascii="宋体" w:hAnsi="宋体" w:eastAsia="宋体" w:cs="宋体"/>
          <w:sz w:val="24"/>
          <w:highlight w:val="none"/>
        </w:rPr>
        <w:t>（3）付款方式（按项目实际勾选填写）：</w:t>
      </w:r>
    </w:p>
    <w:p w14:paraId="318FA8F8">
      <w:pPr>
        <w:adjustRightInd w:val="0"/>
        <w:snapToGrid w:val="0"/>
        <w:spacing w:line="360" w:lineRule="auto"/>
        <w:ind w:firstLine="480" w:firstLineChars="200"/>
        <w:rPr>
          <w:rFonts w:hint="eastAsia" w:ascii="宋体" w:hAnsi="宋体" w:eastAsia="宋体" w:cs="宋体"/>
          <w:sz w:val="24"/>
          <w:szCs w:val="24"/>
          <w:highlight w:val="none"/>
          <w:u w:val="single"/>
        </w:rPr>
      </w:pPr>
      <w:r>
        <w:rPr>
          <w:rFonts w:hint="eastAsia" w:ascii="宋体" w:hAnsi="宋体" w:eastAsia="宋体" w:cs="宋体"/>
          <w:sz w:val="24"/>
          <w:szCs w:val="24"/>
          <w:highlight w:val="none"/>
        </w:rPr>
        <w:sym w:font="Wingdings" w:char="00A8"/>
      </w:r>
      <w:r>
        <w:rPr>
          <w:rFonts w:hint="eastAsia" w:ascii="宋体" w:hAnsi="宋体" w:eastAsia="宋体" w:cs="宋体"/>
          <w:sz w:val="24"/>
          <w:szCs w:val="24"/>
          <w:highlight w:val="none"/>
        </w:rPr>
        <w:t>全额付款：</w:t>
      </w:r>
      <w:r>
        <w:rPr>
          <w:rFonts w:hint="eastAsia" w:ascii="宋体" w:hAnsi="宋体" w:eastAsia="宋体" w:cs="宋体"/>
          <w:sz w:val="24"/>
          <w:szCs w:val="24"/>
          <w:highlight w:val="none"/>
          <w:u w:val="single"/>
        </w:rPr>
        <w:t xml:space="preserve">     （应明确一次性支付合同款项的条件）                    </w:t>
      </w:r>
    </w:p>
    <w:p w14:paraId="6F51F407">
      <w:pPr>
        <w:snapToGrid w:val="0"/>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sym w:font="Wingdings" w:char="00A8"/>
      </w:r>
      <w:r>
        <w:rPr>
          <w:rFonts w:hint="eastAsia" w:ascii="宋体" w:hAnsi="宋体" w:eastAsia="宋体" w:cs="宋体"/>
          <w:sz w:val="24"/>
          <w:szCs w:val="24"/>
          <w:highlight w:val="none"/>
        </w:rPr>
        <w:t>分期付款：</w:t>
      </w:r>
      <w:r>
        <w:rPr>
          <w:rFonts w:hint="eastAsia" w:ascii="宋体" w:hAnsi="宋体" w:eastAsia="宋体" w:cs="宋体"/>
          <w:sz w:val="24"/>
          <w:szCs w:val="24"/>
          <w:highlight w:val="none"/>
          <w:u w:val="single"/>
        </w:rPr>
        <w:t xml:space="preserve">  （应明确分期支付合同款项的各期比例和支付条件，各期支付条件应与分期履约验收情况挂钩） </w:t>
      </w:r>
      <w:r>
        <w:rPr>
          <w:rFonts w:hint="eastAsia" w:ascii="宋体" w:hAnsi="宋体" w:eastAsia="宋体" w:cs="宋体"/>
          <w:sz w:val="24"/>
          <w:szCs w:val="24"/>
          <w:highlight w:val="none"/>
        </w:rPr>
        <w:t>，其中涉及预付款的：</w:t>
      </w:r>
      <w:r>
        <w:rPr>
          <w:rFonts w:hint="eastAsia" w:ascii="宋体" w:hAnsi="宋体" w:eastAsia="宋体" w:cs="宋体"/>
          <w:sz w:val="24"/>
          <w:szCs w:val="24"/>
          <w:highlight w:val="none"/>
          <w:u w:val="single"/>
        </w:rPr>
        <w:t xml:space="preserve"> （应明确预付款的支付比例和支付条件） </w:t>
      </w:r>
    </w:p>
    <w:p w14:paraId="360BAAC0">
      <w:pPr>
        <w:adjustRightInd w:val="0"/>
        <w:snapToGrid w:val="0"/>
        <w:spacing w:line="360" w:lineRule="auto"/>
        <w:ind w:firstLine="480" w:firstLineChars="200"/>
        <w:rPr>
          <w:rFonts w:hint="eastAsia" w:ascii="宋体" w:hAnsi="宋体" w:eastAsia="宋体" w:cs="宋体"/>
          <w:sz w:val="24"/>
          <w:szCs w:val="24"/>
          <w:highlight w:val="none"/>
          <w:u w:val="single"/>
        </w:rPr>
      </w:pPr>
      <w:r>
        <w:rPr>
          <w:rFonts w:hint="eastAsia" w:ascii="宋体" w:hAnsi="宋体" w:eastAsia="宋体" w:cs="宋体"/>
          <w:sz w:val="24"/>
          <w:szCs w:val="24"/>
          <w:highlight w:val="none"/>
        </w:rPr>
        <w:sym w:font="Wingdings" w:char="00A8"/>
      </w:r>
      <w:r>
        <w:rPr>
          <w:rFonts w:hint="eastAsia" w:ascii="宋体" w:hAnsi="宋体" w:eastAsia="宋体" w:cs="宋体"/>
          <w:sz w:val="24"/>
          <w:szCs w:val="24"/>
          <w:highlight w:val="none"/>
        </w:rPr>
        <w:t>成本补偿：</w:t>
      </w:r>
      <w:r>
        <w:rPr>
          <w:rFonts w:hint="eastAsia" w:ascii="宋体" w:hAnsi="宋体" w:eastAsia="宋体" w:cs="宋体"/>
          <w:sz w:val="24"/>
          <w:szCs w:val="24"/>
          <w:highlight w:val="none"/>
          <w:u w:val="single"/>
        </w:rPr>
        <w:t xml:space="preserve">      （应明确按照成本补偿方式的支付方式和支付条件）   </w:t>
      </w:r>
    </w:p>
    <w:p w14:paraId="78A26B7A">
      <w:pPr>
        <w:adjustRightInd w:val="0"/>
        <w:snapToGrid w:val="0"/>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sym w:font="Wingdings" w:char="00A8"/>
      </w:r>
      <w:r>
        <w:rPr>
          <w:rFonts w:hint="eastAsia" w:ascii="宋体" w:hAnsi="宋体" w:eastAsia="宋体" w:cs="宋体"/>
          <w:sz w:val="24"/>
          <w:szCs w:val="24"/>
          <w:highlight w:val="none"/>
        </w:rPr>
        <w:t>绩效激励：</w:t>
      </w:r>
      <w:r>
        <w:rPr>
          <w:rFonts w:hint="eastAsia" w:ascii="宋体" w:hAnsi="宋体" w:eastAsia="宋体" w:cs="宋体"/>
          <w:sz w:val="24"/>
          <w:szCs w:val="24"/>
          <w:highlight w:val="none"/>
          <w:u w:val="single"/>
        </w:rPr>
        <w:t xml:space="preserve">      （应明确按照绩效激励方式的支付方式和支付条件）   </w:t>
      </w:r>
    </w:p>
    <w:p w14:paraId="0A021E76">
      <w:pPr>
        <w:numPr>
          <w:ilvl w:val="0"/>
          <w:numId w:val="1"/>
        </w:numPr>
        <w:adjustRightInd w:val="0"/>
        <w:snapToGrid w:val="0"/>
        <w:spacing w:line="360" w:lineRule="auto"/>
        <w:ind w:firstLine="482" w:firstLineChars="200"/>
        <w:rPr>
          <w:rFonts w:hint="eastAsia" w:ascii="宋体" w:hAnsi="宋体" w:eastAsia="宋体" w:cs="宋体"/>
          <w:b/>
          <w:sz w:val="24"/>
          <w:szCs w:val="24"/>
          <w:highlight w:val="none"/>
          <w:u w:val="single"/>
        </w:rPr>
      </w:pPr>
      <w:r>
        <w:rPr>
          <w:rFonts w:hint="eastAsia" w:ascii="宋体" w:hAnsi="宋体" w:eastAsia="宋体" w:cs="宋体"/>
          <w:b/>
          <w:sz w:val="24"/>
          <w:szCs w:val="24"/>
          <w:highlight w:val="none"/>
        </w:rPr>
        <w:t>合同履行</w:t>
      </w:r>
    </w:p>
    <w:p w14:paraId="0E574127">
      <w:pPr>
        <w:adjustRightInd w:val="0"/>
        <w:snapToGrid w:val="0"/>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（1）起始日期：</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年</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月</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日，完成日期：</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年</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月</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日。</w:t>
      </w:r>
    </w:p>
    <w:p w14:paraId="446B360E">
      <w:pPr>
        <w:adjustRightInd w:val="0"/>
        <w:snapToGrid w:val="0"/>
        <w:spacing w:line="360" w:lineRule="auto"/>
        <w:ind w:firstLine="480" w:firstLineChars="200"/>
        <w:rPr>
          <w:rFonts w:hint="eastAsia" w:ascii="宋体" w:hAnsi="宋体" w:eastAsia="宋体" w:cs="宋体"/>
          <w:sz w:val="24"/>
          <w:szCs w:val="24"/>
          <w:highlight w:val="none"/>
          <w:u w:val="single"/>
        </w:rPr>
      </w:pPr>
      <w:r>
        <w:rPr>
          <w:rFonts w:hint="eastAsia" w:ascii="宋体" w:hAnsi="宋体" w:eastAsia="宋体" w:cs="宋体"/>
          <w:sz w:val="24"/>
          <w:szCs w:val="24"/>
          <w:highlight w:val="none"/>
        </w:rPr>
        <w:t>（2）履约地点</w:t>
      </w:r>
      <w:r>
        <w:rPr>
          <w:rFonts w:hint="eastAsia" w:ascii="宋体" w:hAnsi="宋体" w:eastAsia="宋体" w:cs="宋体"/>
          <w:bCs/>
          <w:sz w:val="24"/>
          <w:szCs w:val="24"/>
          <w:highlight w:val="none"/>
        </w:rPr>
        <w:t>：</w:t>
      </w:r>
      <w:r>
        <w:rPr>
          <w:rFonts w:hint="eastAsia" w:ascii="宋体" w:hAnsi="宋体" w:eastAsia="宋体" w:cs="宋体"/>
          <w:sz w:val="24"/>
          <w:szCs w:val="24"/>
          <w:highlight w:val="none"/>
          <w:u w:val="single"/>
        </w:rPr>
        <w:t xml:space="preserve">                             </w:t>
      </w:r>
    </w:p>
    <w:p w14:paraId="60059C76">
      <w:pPr>
        <w:adjustRightInd w:val="0"/>
        <w:snapToGrid w:val="0"/>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bCs/>
          <w:sz w:val="24"/>
          <w:szCs w:val="24"/>
          <w:highlight w:val="none"/>
        </w:rPr>
        <w:t>（3）履约担保：</w:t>
      </w:r>
      <w:r>
        <w:rPr>
          <w:rFonts w:hint="eastAsia" w:ascii="宋体" w:hAnsi="宋体" w:eastAsia="宋体" w:cs="宋体"/>
          <w:sz w:val="24"/>
          <w:szCs w:val="24"/>
          <w:highlight w:val="none"/>
        </w:rPr>
        <w:t>是否收取履约保证金：</w:t>
      </w:r>
      <w:r>
        <w:rPr>
          <w:rFonts w:hint="eastAsia" w:ascii="宋体" w:hAnsi="宋体" w:eastAsia="宋体" w:cs="宋体"/>
          <w:sz w:val="24"/>
          <w:szCs w:val="24"/>
          <w:highlight w:val="none"/>
        </w:rPr>
        <w:sym w:font="Wingdings" w:char="00A8"/>
      </w:r>
      <w:r>
        <w:rPr>
          <w:rFonts w:hint="eastAsia" w:ascii="宋体" w:hAnsi="宋体" w:eastAsia="宋体" w:cs="宋体"/>
          <w:sz w:val="24"/>
          <w:szCs w:val="24"/>
          <w:highlight w:val="none"/>
        </w:rPr>
        <w:t xml:space="preserve">是    </w:t>
      </w:r>
      <w:r>
        <w:rPr>
          <w:rFonts w:hint="eastAsia" w:ascii="宋体" w:hAnsi="宋体" w:eastAsia="宋体" w:cs="宋体"/>
          <w:sz w:val="24"/>
          <w:szCs w:val="24"/>
          <w:highlight w:val="none"/>
        </w:rPr>
        <w:sym w:font="Wingdings" w:char="00A8"/>
      </w:r>
      <w:r>
        <w:rPr>
          <w:rFonts w:hint="eastAsia" w:ascii="宋体" w:hAnsi="宋体" w:eastAsia="宋体" w:cs="宋体"/>
          <w:sz w:val="24"/>
          <w:szCs w:val="24"/>
          <w:highlight w:val="none"/>
        </w:rPr>
        <w:t>否</w:t>
      </w:r>
    </w:p>
    <w:p w14:paraId="525051DA">
      <w:pPr>
        <w:pStyle w:val="63"/>
        <w:spacing w:line="360" w:lineRule="auto"/>
        <w:ind w:firstLine="480"/>
        <w:rPr>
          <w:rFonts w:hint="eastAsia" w:ascii="宋体" w:hAnsi="宋体" w:eastAsia="宋体" w:cs="宋体"/>
          <w:sz w:val="24"/>
          <w:szCs w:val="24"/>
          <w:highlight w:val="none"/>
        </w:rPr>
      </w:pPr>
      <w:r>
        <w:rPr>
          <w:rFonts w:hint="eastAsia" w:ascii="宋体" w:hAnsi="宋体" w:eastAsia="宋体" w:cs="宋体"/>
          <w:bCs/>
          <w:sz w:val="24"/>
          <w:szCs w:val="24"/>
          <w:highlight w:val="none"/>
        </w:rPr>
        <w:t xml:space="preserve">  </w:t>
      </w:r>
      <w:r>
        <w:rPr>
          <w:rFonts w:hint="eastAsia" w:ascii="宋体" w:hAnsi="宋体" w:eastAsia="宋体" w:cs="宋体"/>
          <w:sz w:val="24"/>
          <w:szCs w:val="24"/>
          <w:highlight w:val="none"/>
        </w:rPr>
        <w:t xml:space="preserve">  收取履约保证金形式：</w:t>
      </w:r>
      <w:r>
        <w:rPr>
          <w:rFonts w:hint="eastAsia" w:ascii="宋体" w:hAnsi="宋体" w:eastAsia="宋体" w:cs="宋体"/>
          <w:bCs/>
          <w:sz w:val="24"/>
          <w:szCs w:val="24"/>
          <w:highlight w:val="none"/>
          <w:u w:val="single"/>
        </w:rPr>
        <w:t xml:space="preserve">                            </w:t>
      </w:r>
    </w:p>
    <w:p w14:paraId="6E61031E">
      <w:pPr>
        <w:pStyle w:val="63"/>
        <w:spacing w:line="360" w:lineRule="auto"/>
        <w:ind w:firstLine="480"/>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收取履约保证金金额：</w:t>
      </w:r>
      <w:r>
        <w:rPr>
          <w:rFonts w:hint="eastAsia" w:ascii="宋体" w:hAnsi="宋体" w:eastAsia="宋体" w:cs="宋体"/>
          <w:bCs/>
          <w:sz w:val="24"/>
          <w:szCs w:val="24"/>
          <w:highlight w:val="none"/>
          <w:u w:val="single"/>
        </w:rPr>
        <w:t xml:space="preserve">                            </w:t>
      </w:r>
    </w:p>
    <w:p w14:paraId="1AC17775">
      <w:pPr>
        <w:snapToGrid w:val="0"/>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bCs/>
          <w:sz w:val="24"/>
          <w:szCs w:val="24"/>
          <w:highlight w:val="none"/>
        </w:rPr>
        <w:t xml:space="preserve">    履约担保期限：</w:t>
      </w:r>
      <w:r>
        <w:rPr>
          <w:rFonts w:hint="eastAsia" w:ascii="宋体" w:hAnsi="宋体" w:eastAsia="宋体" w:cs="宋体"/>
          <w:bCs/>
          <w:sz w:val="24"/>
          <w:szCs w:val="24"/>
          <w:highlight w:val="none"/>
          <w:u w:val="single"/>
        </w:rPr>
        <w:t xml:space="preserve">                                  </w:t>
      </w:r>
    </w:p>
    <w:p w14:paraId="0B108A2A">
      <w:pPr>
        <w:adjustRightInd w:val="0"/>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（4）分期履行要求：</w:t>
      </w:r>
      <w:r>
        <w:rPr>
          <w:rFonts w:hint="eastAsia" w:ascii="宋体" w:hAnsi="宋体" w:eastAsia="宋体" w:cs="宋体"/>
          <w:bCs/>
          <w:sz w:val="24"/>
          <w:szCs w:val="24"/>
          <w:highlight w:val="none"/>
          <w:u w:val="single"/>
        </w:rPr>
        <w:t xml:space="preserve">                                                        </w:t>
      </w:r>
    </w:p>
    <w:p w14:paraId="14912BC0">
      <w:pPr>
        <w:adjustRightInd w:val="0"/>
        <w:snapToGrid w:val="0"/>
        <w:spacing w:line="360" w:lineRule="auto"/>
        <w:ind w:firstLine="480" w:firstLineChars="200"/>
        <w:rPr>
          <w:rFonts w:hint="eastAsia" w:ascii="宋体" w:hAnsi="宋体" w:eastAsia="宋体" w:cs="宋体"/>
          <w:sz w:val="24"/>
          <w:szCs w:val="24"/>
          <w:highlight w:val="none"/>
          <w:u w:val="single"/>
        </w:rPr>
      </w:pPr>
      <w:r>
        <w:rPr>
          <w:rFonts w:hint="eastAsia" w:ascii="宋体" w:hAnsi="宋体" w:eastAsia="宋体" w:cs="宋体"/>
          <w:bCs/>
          <w:sz w:val="24"/>
          <w:szCs w:val="24"/>
          <w:highlight w:val="none"/>
        </w:rPr>
        <w:t>（5）风险处置措施和替代方案：</w:t>
      </w:r>
      <w:r>
        <w:rPr>
          <w:rFonts w:hint="eastAsia" w:ascii="宋体" w:hAnsi="宋体" w:eastAsia="宋体" w:cs="宋体"/>
          <w:sz w:val="24"/>
          <w:szCs w:val="24"/>
          <w:highlight w:val="none"/>
          <w:u w:val="single"/>
        </w:rPr>
        <w:t xml:space="preserve">                                                               </w:t>
      </w:r>
    </w:p>
    <w:p w14:paraId="20482AF6">
      <w:pPr>
        <w:numPr>
          <w:ilvl w:val="0"/>
          <w:numId w:val="1"/>
        </w:numPr>
        <w:adjustRightInd w:val="0"/>
        <w:snapToGrid w:val="0"/>
        <w:spacing w:line="360" w:lineRule="auto"/>
        <w:ind w:firstLine="482" w:firstLineChars="200"/>
        <w:rPr>
          <w:rFonts w:hint="eastAsia" w:ascii="宋体" w:hAnsi="宋体" w:eastAsia="宋体" w:cs="宋体"/>
          <w:b/>
          <w:sz w:val="24"/>
          <w:szCs w:val="24"/>
          <w:highlight w:val="none"/>
        </w:rPr>
      </w:pPr>
      <w:r>
        <w:rPr>
          <w:rFonts w:hint="eastAsia" w:ascii="宋体" w:hAnsi="宋体" w:eastAsia="宋体" w:cs="宋体"/>
          <w:b/>
          <w:sz w:val="24"/>
          <w:szCs w:val="24"/>
          <w:highlight w:val="none"/>
        </w:rPr>
        <w:t>合同验收</w:t>
      </w:r>
    </w:p>
    <w:p w14:paraId="0BA4DA6A">
      <w:pPr>
        <w:numPr>
          <w:ilvl w:val="0"/>
          <w:numId w:val="3"/>
        </w:numPr>
        <w:adjustRightInd w:val="0"/>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验收组织方式：</w:t>
      </w:r>
      <w:r>
        <w:rPr>
          <w:rFonts w:hint="eastAsia" w:ascii="宋体" w:hAnsi="宋体" w:eastAsia="宋体" w:cs="宋体"/>
          <w:sz w:val="24"/>
          <w:szCs w:val="24"/>
          <w:highlight w:val="none"/>
        </w:rPr>
        <w:sym w:font="Wingdings" w:char="00A8"/>
      </w:r>
      <w:r>
        <w:rPr>
          <w:rFonts w:hint="eastAsia" w:ascii="宋体" w:hAnsi="宋体" w:eastAsia="宋体" w:cs="宋体"/>
          <w:bCs/>
          <w:sz w:val="24"/>
          <w:szCs w:val="24"/>
          <w:highlight w:val="none"/>
        </w:rPr>
        <w:t xml:space="preserve">自行组织 </w:t>
      </w:r>
      <w:r>
        <w:rPr>
          <w:rFonts w:hint="eastAsia" w:ascii="宋体" w:hAnsi="宋体" w:eastAsia="宋体" w:cs="宋体"/>
          <w:sz w:val="24"/>
          <w:szCs w:val="24"/>
          <w:highlight w:val="none"/>
        </w:rPr>
        <w:sym w:font="Wingdings" w:char="00A8"/>
      </w:r>
      <w:r>
        <w:rPr>
          <w:rFonts w:hint="eastAsia" w:ascii="宋体" w:hAnsi="宋体" w:eastAsia="宋体" w:cs="宋体"/>
          <w:bCs/>
          <w:sz w:val="24"/>
          <w:szCs w:val="24"/>
          <w:highlight w:val="none"/>
        </w:rPr>
        <w:t>委托第三方组织</w:t>
      </w:r>
    </w:p>
    <w:p w14:paraId="4E5BCD14">
      <w:pPr>
        <w:adjustRightInd w:val="0"/>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 xml:space="preserve">         验收主体：</w:t>
      </w:r>
      <w:r>
        <w:rPr>
          <w:rFonts w:hint="eastAsia" w:ascii="宋体" w:hAnsi="宋体" w:eastAsia="宋体" w:cs="宋体"/>
          <w:bCs/>
          <w:sz w:val="24"/>
          <w:szCs w:val="24"/>
          <w:highlight w:val="none"/>
          <w:u w:val="single"/>
        </w:rPr>
        <w:t xml:space="preserve">                  </w:t>
      </w:r>
    </w:p>
    <w:p w14:paraId="32D7576D">
      <w:pPr>
        <w:adjustRightInd w:val="0"/>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 xml:space="preserve">        是否邀请本项目的其他供应商参加验收：</w:t>
      </w:r>
      <w:r>
        <w:rPr>
          <w:rFonts w:hint="eastAsia" w:ascii="宋体" w:hAnsi="宋体" w:eastAsia="宋体" w:cs="宋体"/>
          <w:sz w:val="24"/>
          <w:szCs w:val="24"/>
          <w:highlight w:val="none"/>
        </w:rPr>
        <w:sym w:font="Wingdings" w:char="00A8"/>
      </w:r>
      <w:r>
        <w:rPr>
          <w:rFonts w:hint="eastAsia" w:ascii="宋体" w:hAnsi="宋体" w:eastAsia="宋体" w:cs="宋体"/>
          <w:bCs/>
          <w:sz w:val="24"/>
          <w:szCs w:val="24"/>
          <w:highlight w:val="none"/>
        </w:rPr>
        <w:t xml:space="preserve">是  </w:t>
      </w:r>
      <w:r>
        <w:rPr>
          <w:rFonts w:hint="eastAsia" w:ascii="宋体" w:hAnsi="宋体" w:eastAsia="宋体" w:cs="宋体"/>
          <w:sz w:val="24"/>
          <w:szCs w:val="24"/>
          <w:highlight w:val="none"/>
        </w:rPr>
        <w:sym w:font="Wingdings" w:char="00A8"/>
      </w:r>
      <w:r>
        <w:rPr>
          <w:rFonts w:hint="eastAsia" w:ascii="宋体" w:hAnsi="宋体" w:eastAsia="宋体" w:cs="宋体"/>
          <w:bCs/>
          <w:sz w:val="24"/>
          <w:szCs w:val="24"/>
          <w:highlight w:val="none"/>
        </w:rPr>
        <w:t>否</w:t>
      </w:r>
    </w:p>
    <w:p w14:paraId="0A41BE4D">
      <w:pPr>
        <w:adjustRightInd w:val="0"/>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是否邀请专家参加验收：</w:t>
      </w:r>
      <w:r>
        <w:rPr>
          <w:rFonts w:hint="eastAsia" w:ascii="宋体" w:hAnsi="宋体" w:eastAsia="宋体" w:cs="宋体"/>
          <w:sz w:val="24"/>
          <w:szCs w:val="24"/>
          <w:highlight w:val="none"/>
        </w:rPr>
        <w:sym w:font="Wingdings" w:char="00A8"/>
      </w:r>
      <w:r>
        <w:rPr>
          <w:rFonts w:hint="eastAsia" w:ascii="宋体" w:hAnsi="宋体" w:eastAsia="宋体" w:cs="宋体"/>
          <w:bCs/>
          <w:sz w:val="24"/>
          <w:szCs w:val="24"/>
          <w:highlight w:val="none"/>
        </w:rPr>
        <w:t xml:space="preserve">是  </w:t>
      </w:r>
      <w:r>
        <w:rPr>
          <w:rFonts w:hint="eastAsia" w:ascii="宋体" w:hAnsi="宋体" w:eastAsia="宋体" w:cs="宋体"/>
          <w:sz w:val="24"/>
          <w:szCs w:val="24"/>
          <w:highlight w:val="none"/>
        </w:rPr>
        <w:sym w:font="Wingdings" w:char="00A8"/>
      </w:r>
      <w:r>
        <w:rPr>
          <w:rFonts w:hint="eastAsia" w:ascii="宋体" w:hAnsi="宋体" w:eastAsia="宋体" w:cs="宋体"/>
          <w:bCs/>
          <w:sz w:val="24"/>
          <w:szCs w:val="24"/>
          <w:highlight w:val="none"/>
        </w:rPr>
        <w:t>否</w:t>
      </w:r>
    </w:p>
    <w:p w14:paraId="172E5150">
      <w:pPr>
        <w:adjustRightInd w:val="0"/>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是否邀请服务对象参加验收：</w:t>
      </w:r>
      <w:r>
        <w:rPr>
          <w:rFonts w:hint="eastAsia" w:ascii="宋体" w:hAnsi="宋体" w:eastAsia="宋体" w:cs="宋体"/>
          <w:sz w:val="24"/>
          <w:szCs w:val="24"/>
          <w:highlight w:val="none"/>
        </w:rPr>
        <w:sym w:font="Wingdings" w:char="00A8"/>
      </w:r>
      <w:r>
        <w:rPr>
          <w:rFonts w:hint="eastAsia" w:ascii="宋体" w:hAnsi="宋体" w:eastAsia="宋体" w:cs="宋体"/>
          <w:bCs/>
          <w:sz w:val="24"/>
          <w:szCs w:val="24"/>
          <w:highlight w:val="none"/>
        </w:rPr>
        <w:t xml:space="preserve">是  </w:t>
      </w:r>
      <w:r>
        <w:rPr>
          <w:rFonts w:hint="eastAsia" w:ascii="宋体" w:hAnsi="宋体" w:eastAsia="宋体" w:cs="宋体"/>
          <w:sz w:val="24"/>
          <w:szCs w:val="24"/>
          <w:highlight w:val="none"/>
        </w:rPr>
        <w:sym w:font="Wingdings" w:char="00A8"/>
      </w:r>
      <w:r>
        <w:rPr>
          <w:rFonts w:hint="eastAsia" w:ascii="宋体" w:hAnsi="宋体" w:eastAsia="宋体" w:cs="宋体"/>
          <w:bCs/>
          <w:sz w:val="24"/>
          <w:szCs w:val="24"/>
          <w:highlight w:val="none"/>
        </w:rPr>
        <w:t>否</w:t>
      </w:r>
    </w:p>
    <w:p w14:paraId="66F22C86">
      <w:pPr>
        <w:adjustRightInd w:val="0"/>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是否邀请第三方检测机构参加验收：</w:t>
      </w:r>
      <w:r>
        <w:rPr>
          <w:rFonts w:hint="eastAsia" w:ascii="宋体" w:hAnsi="宋体" w:eastAsia="宋体" w:cs="宋体"/>
          <w:sz w:val="24"/>
          <w:szCs w:val="24"/>
          <w:highlight w:val="none"/>
        </w:rPr>
        <w:sym w:font="Wingdings" w:char="00A8"/>
      </w:r>
      <w:r>
        <w:rPr>
          <w:rFonts w:hint="eastAsia" w:ascii="宋体" w:hAnsi="宋体" w:eastAsia="宋体" w:cs="宋体"/>
          <w:bCs/>
          <w:sz w:val="24"/>
          <w:szCs w:val="24"/>
          <w:highlight w:val="none"/>
        </w:rPr>
        <w:t xml:space="preserve">是  </w:t>
      </w:r>
      <w:r>
        <w:rPr>
          <w:rFonts w:hint="eastAsia" w:ascii="宋体" w:hAnsi="宋体" w:eastAsia="宋体" w:cs="宋体"/>
          <w:sz w:val="24"/>
          <w:szCs w:val="24"/>
          <w:highlight w:val="none"/>
        </w:rPr>
        <w:sym w:font="Wingdings" w:char="00A8"/>
      </w:r>
      <w:r>
        <w:rPr>
          <w:rFonts w:hint="eastAsia" w:ascii="宋体" w:hAnsi="宋体" w:eastAsia="宋体" w:cs="宋体"/>
          <w:bCs/>
          <w:sz w:val="24"/>
          <w:szCs w:val="24"/>
          <w:highlight w:val="none"/>
        </w:rPr>
        <w:t>否</w:t>
      </w:r>
    </w:p>
    <w:p w14:paraId="73A2EEF0">
      <w:pPr>
        <w:adjustRightInd w:val="0"/>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是否进行抽查检测：</w:t>
      </w:r>
      <w:r>
        <w:rPr>
          <w:rFonts w:hint="eastAsia" w:ascii="宋体" w:hAnsi="宋体" w:eastAsia="宋体" w:cs="宋体"/>
          <w:sz w:val="24"/>
          <w:szCs w:val="24"/>
          <w:highlight w:val="none"/>
        </w:rPr>
        <w:sym w:font="Wingdings" w:char="00A8"/>
      </w:r>
      <w:r>
        <w:rPr>
          <w:rFonts w:hint="eastAsia" w:ascii="宋体" w:hAnsi="宋体" w:eastAsia="宋体" w:cs="宋体"/>
          <w:bCs/>
          <w:sz w:val="24"/>
          <w:szCs w:val="24"/>
          <w:highlight w:val="none"/>
        </w:rPr>
        <w:t>是，抽查比例：</w:t>
      </w:r>
      <w:r>
        <w:rPr>
          <w:rFonts w:hint="eastAsia" w:ascii="宋体" w:hAnsi="宋体" w:eastAsia="宋体" w:cs="宋体"/>
          <w:bCs/>
          <w:sz w:val="24"/>
          <w:szCs w:val="24"/>
          <w:highlight w:val="none"/>
          <w:u w:val="single"/>
        </w:rPr>
        <w:t xml:space="preserve">        </w:t>
      </w:r>
      <w:r>
        <w:rPr>
          <w:rFonts w:hint="eastAsia" w:ascii="宋体" w:hAnsi="宋体" w:eastAsia="宋体" w:cs="宋体"/>
          <w:bCs/>
          <w:sz w:val="24"/>
          <w:szCs w:val="24"/>
          <w:highlight w:val="none"/>
        </w:rPr>
        <w:t xml:space="preserve"> </w:t>
      </w:r>
      <w:r>
        <w:rPr>
          <w:rFonts w:hint="eastAsia" w:ascii="宋体" w:hAnsi="宋体" w:eastAsia="宋体" w:cs="宋体"/>
          <w:sz w:val="24"/>
          <w:szCs w:val="24"/>
          <w:highlight w:val="none"/>
        </w:rPr>
        <w:sym w:font="Wingdings" w:char="00A8"/>
      </w:r>
      <w:r>
        <w:rPr>
          <w:rFonts w:hint="eastAsia" w:ascii="宋体" w:hAnsi="宋体" w:eastAsia="宋体" w:cs="宋体"/>
          <w:bCs/>
          <w:sz w:val="24"/>
          <w:szCs w:val="24"/>
          <w:highlight w:val="none"/>
        </w:rPr>
        <w:t>否</w:t>
      </w:r>
    </w:p>
    <w:p w14:paraId="4CB55A5C">
      <w:pPr>
        <w:adjustRightInd w:val="0"/>
        <w:snapToGrid w:val="0"/>
        <w:spacing w:line="360" w:lineRule="auto"/>
        <w:ind w:firstLine="480" w:firstLineChars="200"/>
        <w:rPr>
          <w:rFonts w:hint="eastAsia" w:ascii="宋体" w:hAnsi="宋体" w:eastAsia="宋体" w:cs="宋体"/>
          <w:bCs/>
          <w:sz w:val="24"/>
          <w:szCs w:val="24"/>
          <w:highlight w:val="none"/>
          <w:u w:val="single"/>
        </w:rPr>
      </w:pPr>
      <w:r>
        <w:rPr>
          <w:rFonts w:hint="eastAsia" w:ascii="宋体" w:hAnsi="宋体" w:eastAsia="宋体" w:cs="宋体"/>
          <w:bCs/>
          <w:sz w:val="24"/>
          <w:szCs w:val="24"/>
          <w:highlight w:val="none"/>
        </w:rPr>
        <w:t>是否存在破坏性检测：</w:t>
      </w:r>
      <w:r>
        <w:rPr>
          <w:rFonts w:hint="eastAsia" w:ascii="宋体" w:hAnsi="宋体" w:eastAsia="宋体" w:cs="宋体"/>
          <w:sz w:val="24"/>
          <w:szCs w:val="24"/>
          <w:highlight w:val="none"/>
        </w:rPr>
        <w:sym w:font="Wingdings" w:char="00A8"/>
      </w:r>
      <w:r>
        <w:rPr>
          <w:rFonts w:hint="eastAsia" w:ascii="宋体" w:hAnsi="宋体" w:eastAsia="宋体" w:cs="宋体"/>
          <w:bCs/>
          <w:sz w:val="24"/>
          <w:szCs w:val="24"/>
          <w:highlight w:val="none"/>
        </w:rPr>
        <w:t>是，</w:t>
      </w:r>
      <w:r>
        <w:rPr>
          <w:rFonts w:hint="eastAsia" w:ascii="宋体" w:hAnsi="宋体" w:eastAsia="宋体" w:cs="宋体"/>
          <w:bCs/>
          <w:sz w:val="24"/>
          <w:szCs w:val="24"/>
          <w:highlight w:val="none"/>
          <w:u w:val="single"/>
        </w:rPr>
        <w:t>（应明确对被破坏的检测产品的处理方式）</w:t>
      </w:r>
    </w:p>
    <w:p w14:paraId="645847EC">
      <w:pPr>
        <w:adjustRightInd w:val="0"/>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 xml:space="preserve">                    </w:t>
      </w:r>
      <w:r>
        <w:rPr>
          <w:rFonts w:hint="eastAsia" w:ascii="宋体" w:hAnsi="宋体" w:eastAsia="宋体" w:cs="宋体"/>
          <w:sz w:val="24"/>
          <w:szCs w:val="24"/>
          <w:highlight w:val="none"/>
        </w:rPr>
        <w:sym w:font="Wingdings" w:char="00A8"/>
      </w:r>
      <w:r>
        <w:rPr>
          <w:rFonts w:hint="eastAsia" w:ascii="宋体" w:hAnsi="宋体" w:eastAsia="宋体" w:cs="宋体"/>
          <w:bCs/>
          <w:sz w:val="24"/>
          <w:szCs w:val="24"/>
          <w:highlight w:val="none"/>
        </w:rPr>
        <w:t>否</w:t>
      </w:r>
    </w:p>
    <w:p w14:paraId="29CC1409">
      <w:pPr>
        <w:adjustRightInd w:val="0"/>
        <w:snapToGrid w:val="0"/>
        <w:spacing w:line="360" w:lineRule="auto"/>
        <w:ind w:firstLine="480" w:firstLineChars="200"/>
        <w:rPr>
          <w:rFonts w:hint="eastAsia" w:ascii="宋体" w:hAnsi="宋体" w:eastAsia="宋体" w:cs="宋体"/>
          <w:bCs/>
          <w:sz w:val="24"/>
          <w:szCs w:val="24"/>
          <w:highlight w:val="none"/>
          <w:u w:val="single"/>
        </w:rPr>
      </w:pPr>
      <w:r>
        <w:rPr>
          <w:rFonts w:hint="eastAsia" w:ascii="宋体" w:hAnsi="宋体" w:eastAsia="宋体" w:cs="宋体"/>
          <w:bCs/>
          <w:sz w:val="24"/>
          <w:szCs w:val="24"/>
          <w:highlight w:val="none"/>
        </w:rPr>
        <w:t>验收组织的其他事项：</w:t>
      </w:r>
      <w:r>
        <w:rPr>
          <w:rFonts w:hint="eastAsia" w:ascii="宋体" w:hAnsi="宋体" w:eastAsia="宋体" w:cs="宋体"/>
          <w:bCs/>
          <w:sz w:val="24"/>
          <w:szCs w:val="24"/>
          <w:highlight w:val="none"/>
          <w:u w:val="single"/>
        </w:rPr>
        <w:t xml:space="preserve">                </w:t>
      </w:r>
    </w:p>
    <w:p w14:paraId="152954F2">
      <w:pPr>
        <w:adjustRightInd w:val="0"/>
        <w:snapToGrid w:val="0"/>
        <w:spacing w:line="360" w:lineRule="auto"/>
        <w:ind w:firstLine="480" w:firstLineChars="200"/>
        <w:rPr>
          <w:rFonts w:hint="eastAsia" w:ascii="宋体" w:hAnsi="宋体" w:eastAsia="宋体" w:cs="宋体"/>
          <w:bCs/>
          <w:sz w:val="24"/>
          <w:szCs w:val="24"/>
          <w:highlight w:val="none"/>
          <w:u w:val="single"/>
        </w:rPr>
      </w:pPr>
      <w:r>
        <w:rPr>
          <w:rFonts w:hint="eastAsia" w:ascii="宋体" w:hAnsi="宋体" w:eastAsia="宋体" w:cs="宋体"/>
          <w:bCs/>
          <w:sz w:val="24"/>
          <w:szCs w:val="24"/>
          <w:highlight w:val="none"/>
        </w:rPr>
        <w:t>（2）履约验收时间：</w:t>
      </w:r>
      <w:r>
        <w:rPr>
          <w:rFonts w:hint="eastAsia" w:ascii="宋体" w:hAnsi="宋体" w:eastAsia="宋体" w:cs="宋体"/>
          <w:bCs/>
          <w:sz w:val="24"/>
          <w:szCs w:val="24"/>
          <w:highlight w:val="none"/>
          <w:u w:val="single"/>
        </w:rPr>
        <w:t xml:space="preserve">（计划于何时验收/供应商提出验收申请之日起   日内组织验收） </w:t>
      </w:r>
    </w:p>
    <w:p w14:paraId="6DAC79D0">
      <w:pPr>
        <w:adjustRightInd w:val="0"/>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（3）履约验收方式：</w:t>
      </w:r>
      <w:r>
        <w:rPr>
          <w:rFonts w:hint="eastAsia" w:ascii="宋体" w:hAnsi="宋体" w:eastAsia="宋体" w:cs="宋体"/>
          <w:sz w:val="24"/>
          <w:szCs w:val="24"/>
          <w:highlight w:val="none"/>
        </w:rPr>
        <w:sym w:font="Wingdings" w:char="00A8"/>
      </w:r>
      <w:r>
        <w:rPr>
          <w:rFonts w:hint="eastAsia" w:ascii="宋体" w:hAnsi="宋体" w:eastAsia="宋体" w:cs="宋体"/>
          <w:bCs/>
          <w:sz w:val="24"/>
          <w:szCs w:val="24"/>
          <w:highlight w:val="none"/>
        </w:rPr>
        <w:t xml:space="preserve">一次性验收         </w:t>
      </w:r>
    </w:p>
    <w:p w14:paraId="0CCA1FB8">
      <w:pPr>
        <w:adjustRightInd w:val="0"/>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 xml:space="preserve">                       </w:t>
      </w:r>
      <w:r>
        <w:rPr>
          <w:rFonts w:hint="eastAsia" w:ascii="宋体" w:hAnsi="宋体" w:eastAsia="宋体" w:cs="宋体"/>
          <w:sz w:val="24"/>
          <w:szCs w:val="24"/>
          <w:highlight w:val="none"/>
        </w:rPr>
        <w:sym w:font="Wingdings" w:char="00A8"/>
      </w:r>
      <w:r>
        <w:rPr>
          <w:rFonts w:hint="eastAsia" w:ascii="宋体" w:hAnsi="宋体" w:eastAsia="宋体" w:cs="宋体"/>
          <w:bCs/>
          <w:sz w:val="24"/>
          <w:szCs w:val="24"/>
          <w:highlight w:val="none"/>
        </w:rPr>
        <w:t>分期/分项验收：</w:t>
      </w:r>
      <w:r>
        <w:rPr>
          <w:rFonts w:hint="eastAsia" w:ascii="宋体" w:hAnsi="宋体" w:eastAsia="宋体" w:cs="宋体"/>
          <w:bCs/>
          <w:sz w:val="24"/>
          <w:szCs w:val="24"/>
          <w:highlight w:val="none"/>
          <w:u w:val="single"/>
        </w:rPr>
        <w:t xml:space="preserve"> （应明确分期</w:t>
      </w:r>
      <w:r>
        <w:rPr>
          <w:rFonts w:hint="eastAsia" w:ascii="宋体" w:hAnsi="宋体" w:eastAsia="宋体" w:cs="宋体"/>
          <w:bCs/>
          <w:sz w:val="24"/>
          <w:szCs w:val="24"/>
          <w:highlight w:val="none"/>
          <w:u w:val="single"/>
          <w:lang w:val="en"/>
        </w:rPr>
        <w:t>/分项验收的工作安排</w:t>
      </w:r>
      <w:r>
        <w:rPr>
          <w:rFonts w:hint="eastAsia" w:ascii="宋体" w:hAnsi="宋体" w:eastAsia="宋体" w:cs="宋体"/>
          <w:bCs/>
          <w:sz w:val="24"/>
          <w:szCs w:val="24"/>
          <w:highlight w:val="none"/>
          <w:u w:val="single"/>
        </w:rPr>
        <w:t xml:space="preserve">）  </w:t>
      </w:r>
    </w:p>
    <w:p w14:paraId="412F92C3">
      <w:pPr>
        <w:adjustRightInd w:val="0"/>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（4）履约验收程序：</w:t>
      </w:r>
      <w:r>
        <w:rPr>
          <w:rFonts w:hint="eastAsia" w:ascii="宋体" w:hAnsi="宋体" w:eastAsia="宋体" w:cs="宋体"/>
          <w:bCs/>
          <w:sz w:val="24"/>
          <w:szCs w:val="24"/>
          <w:highlight w:val="none"/>
          <w:u w:val="single"/>
        </w:rPr>
        <w:t xml:space="preserve">                                         </w:t>
      </w:r>
    </w:p>
    <w:p w14:paraId="591E102A">
      <w:pPr>
        <w:adjustRightInd w:val="0"/>
        <w:snapToGrid w:val="0"/>
        <w:spacing w:line="360" w:lineRule="auto"/>
        <w:ind w:firstLine="480" w:firstLineChars="200"/>
        <w:rPr>
          <w:rFonts w:hint="eastAsia" w:ascii="宋体" w:hAnsi="宋体" w:eastAsia="宋体" w:cs="宋体"/>
          <w:bCs/>
          <w:sz w:val="24"/>
          <w:szCs w:val="24"/>
          <w:highlight w:val="none"/>
          <w:u w:val="single"/>
        </w:rPr>
      </w:pPr>
      <w:r>
        <w:rPr>
          <w:rFonts w:hint="eastAsia" w:ascii="宋体" w:hAnsi="宋体" w:eastAsia="宋体" w:cs="宋体"/>
          <w:bCs/>
          <w:sz w:val="24"/>
          <w:szCs w:val="24"/>
          <w:highlight w:val="none"/>
        </w:rPr>
        <w:t>（5）履约验收的内容：</w:t>
      </w:r>
      <w:r>
        <w:rPr>
          <w:rFonts w:hint="eastAsia" w:ascii="宋体" w:hAnsi="宋体" w:eastAsia="宋体" w:cs="宋体"/>
          <w:bCs/>
          <w:sz w:val="24"/>
          <w:szCs w:val="24"/>
          <w:highlight w:val="none"/>
          <w:u w:val="single"/>
        </w:rPr>
        <w:t xml:space="preserve"> （应当包括每一项技术和商务要求的履约情况，特别是落实政府采购扶持中小企业，支持绿色发展和乡村振兴等政策情况）                                      </w:t>
      </w:r>
    </w:p>
    <w:p w14:paraId="715F067A">
      <w:pPr>
        <w:adjustRightInd w:val="0"/>
        <w:snapToGrid w:val="0"/>
        <w:spacing w:line="360" w:lineRule="auto"/>
        <w:ind w:firstLine="480" w:firstLineChars="200"/>
        <w:rPr>
          <w:rFonts w:hint="eastAsia" w:ascii="宋体" w:hAnsi="宋体" w:eastAsia="宋体" w:cs="宋体"/>
          <w:bCs/>
          <w:sz w:val="24"/>
          <w:szCs w:val="24"/>
          <w:highlight w:val="none"/>
          <w:u w:val="single"/>
        </w:rPr>
      </w:pPr>
      <w:r>
        <w:rPr>
          <w:rFonts w:hint="eastAsia" w:ascii="宋体" w:hAnsi="宋体" w:eastAsia="宋体" w:cs="宋体"/>
          <w:bCs/>
          <w:sz w:val="24"/>
          <w:szCs w:val="24"/>
          <w:highlight w:val="none"/>
        </w:rPr>
        <w:t>（6）履约验收标准：</w:t>
      </w:r>
      <w:r>
        <w:rPr>
          <w:rFonts w:hint="eastAsia" w:ascii="宋体" w:hAnsi="宋体" w:eastAsia="宋体" w:cs="宋体"/>
          <w:bCs/>
          <w:sz w:val="24"/>
          <w:szCs w:val="24"/>
          <w:highlight w:val="none"/>
          <w:u w:val="single"/>
        </w:rPr>
        <w:t xml:space="preserve">                                         </w:t>
      </w:r>
    </w:p>
    <w:p w14:paraId="658873C0">
      <w:pPr>
        <w:pStyle w:val="63"/>
        <w:spacing w:line="360" w:lineRule="auto"/>
        <w:ind w:firstLine="480"/>
        <w:rPr>
          <w:rFonts w:hint="eastAsia" w:ascii="宋体" w:hAnsi="宋体" w:eastAsia="宋体" w:cs="宋体"/>
          <w:sz w:val="24"/>
          <w:szCs w:val="24"/>
          <w:highlight w:val="none"/>
        </w:rPr>
      </w:pPr>
      <w:r>
        <w:rPr>
          <w:rFonts w:hint="eastAsia" w:ascii="宋体" w:hAnsi="宋体" w:eastAsia="宋体" w:cs="宋体"/>
          <w:bCs/>
          <w:sz w:val="24"/>
          <w:szCs w:val="24"/>
          <w:highlight w:val="none"/>
        </w:rPr>
        <w:t>（7）是否以采购活动中供应商提供的样品作为参考：</w:t>
      </w:r>
      <w:r>
        <w:rPr>
          <w:rFonts w:hint="eastAsia" w:ascii="宋体" w:hAnsi="宋体" w:eastAsia="宋体" w:cs="宋体"/>
          <w:sz w:val="24"/>
          <w:szCs w:val="24"/>
          <w:highlight w:val="none"/>
        </w:rPr>
        <w:sym w:font="Wingdings" w:char="00A8"/>
      </w:r>
      <w:r>
        <w:rPr>
          <w:rFonts w:hint="eastAsia" w:ascii="宋体" w:hAnsi="宋体" w:eastAsia="宋体" w:cs="宋体"/>
          <w:bCs/>
          <w:sz w:val="24"/>
          <w:szCs w:val="24"/>
          <w:highlight w:val="none"/>
        </w:rPr>
        <w:t xml:space="preserve">是  </w:t>
      </w:r>
      <w:r>
        <w:rPr>
          <w:rFonts w:hint="eastAsia" w:ascii="宋体" w:hAnsi="宋体" w:eastAsia="宋体" w:cs="宋体"/>
          <w:sz w:val="24"/>
          <w:szCs w:val="24"/>
          <w:highlight w:val="none"/>
        </w:rPr>
        <w:sym w:font="Wingdings" w:char="00A8"/>
      </w:r>
      <w:r>
        <w:rPr>
          <w:rFonts w:hint="eastAsia" w:ascii="宋体" w:hAnsi="宋体" w:eastAsia="宋体" w:cs="宋体"/>
          <w:bCs/>
          <w:sz w:val="24"/>
          <w:szCs w:val="24"/>
          <w:highlight w:val="none"/>
        </w:rPr>
        <w:t>否</w:t>
      </w:r>
    </w:p>
    <w:p w14:paraId="3ECD6949">
      <w:pPr>
        <w:adjustRightInd w:val="0"/>
        <w:snapToGrid w:val="0"/>
        <w:spacing w:line="360" w:lineRule="auto"/>
        <w:ind w:firstLine="480" w:firstLineChars="200"/>
        <w:rPr>
          <w:rFonts w:hint="eastAsia" w:ascii="宋体" w:hAnsi="宋体" w:eastAsia="宋体" w:cs="宋体"/>
          <w:bCs/>
          <w:sz w:val="24"/>
          <w:szCs w:val="24"/>
          <w:highlight w:val="none"/>
          <w:u w:val="single"/>
        </w:rPr>
      </w:pPr>
      <w:r>
        <w:rPr>
          <w:rFonts w:hint="eastAsia" w:ascii="宋体" w:hAnsi="宋体" w:eastAsia="宋体" w:cs="宋体"/>
          <w:bCs/>
          <w:sz w:val="24"/>
          <w:szCs w:val="24"/>
          <w:highlight w:val="none"/>
        </w:rPr>
        <w:t>（8）履约验收其他事项：</w:t>
      </w:r>
      <w:r>
        <w:rPr>
          <w:rFonts w:hint="eastAsia" w:ascii="宋体" w:hAnsi="宋体" w:eastAsia="宋体" w:cs="宋体"/>
          <w:bCs/>
          <w:sz w:val="24"/>
          <w:szCs w:val="24"/>
          <w:highlight w:val="none"/>
          <w:u w:val="single"/>
        </w:rPr>
        <w:t xml:space="preserve">      （产权过户登记等）          </w:t>
      </w:r>
    </w:p>
    <w:p w14:paraId="694CFBDF">
      <w:pPr>
        <w:numPr>
          <w:ilvl w:val="0"/>
          <w:numId w:val="1"/>
        </w:numPr>
        <w:adjustRightInd w:val="0"/>
        <w:snapToGrid w:val="0"/>
        <w:spacing w:line="360" w:lineRule="auto"/>
        <w:ind w:firstLine="482" w:firstLineChars="200"/>
        <w:rPr>
          <w:rFonts w:hint="eastAsia" w:ascii="宋体" w:hAnsi="宋体" w:eastAsia="宋体" w:cs="宋体"/>
          <w:b/>
          <w:sz w:val="24"/>
          <w:szCs w:val="24"/>
          <w:highlight w:val="none"/>
        </w:rPr>
      </w:pPr>
      <w:r>
        <w:rPr>
          <w:rFonts w:hint="eastAsia" w:ascii="宋体" w:hAnsi="宋体" w:eastAsia="宋体" w:cs="宋体"/>
          <w:b/>
          <w:sz w:val="24"/>
          <w:szCs w:val="24"/>
          <w:highlight w:val="none"/>
        </w:rPr>
        <w:t>组成合同的文件</w:t>
      </w:r>
    </w:p>
    <w:p w14:paraId="4967787F">
      <w:pPr>
        <w:adjustRightInd w:val="0"/>
        <w:snapToGrid w:val="0"/>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本协议书与下列文件一起构成合同文件，如下述文件之间有任何抵触、矛盾或歧义，应按以下顺序解释：</w:t>
      </w:r>
    </w:p>
    <w:p w14:paraId="21867BDA">
      <w:pPr>
        <w:adjustRightInd w:val="0"/>
        <w:snapToGrid w:val="0"/>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（1）政府采购合同协议书及其变更、补充协议</w:t>
      </w:r>
    </w:p>
    <w:p w14:paraId="3F4A1A42">
      <w:pPr>
        <w:adjustRightInd w:val="0"/>
        <w:snapToGrid w:val="0"/>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（2）政府采购合同专用条款</w:t>
      </w:r>
    </w:p>
    <w:p w14:paraId="18DE3B6F">
      <w:pPr>
        <w:adjustRightInd w:val="0"/>
        <w:snapToGrid w:val="0"/>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（3）政府采购合同通用条款</w:t>
      </w:r>
    </w:p>
    <w:p w14:paraId="209AC28E">
      <w:pPr>
        <w:adjustRightInd w:val="0"/>
        <w:snapToGrid w:val="0"/>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（4）中标（成交）通知书</w:t>
      </w:r>
    </w:p>
    <w:p w14:paraId="6C268206">
      <w:pPr>
        <w:adjustRightInd w:val="0"/>
        <w:snapToGrid w:val="0"/>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（5）投标（响应）文件</w:t>
      </w:r>
    </w:p>
    <w:p w14:paraId="1C57021D">
      <w:pPr>
        <w:adjustRightInd w:val="0"/>
        <w:snapToGrid w:val="0"/>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（6）采购文件</w:t>
      </w:r>
    </w:p>
    <w:p w14:paraId="50F8D598">
      <w:pPr>
        <w:adjustRightInd w:val="0"/>
        <w:snapToGrid w:val="0"/>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（7）有关技术文件，图纸</w:t>
      </w:r>
    </w:p>
    <w:p w14:paraId="752717DC">
      <w:pPr>
        <w:pStyle w:val="63"/>
        <w:spacing w:line="360" w:lineRule="auto"/>
        <w:ind w:firstLine="480"/>
        <w:rPr>
          <w:rFonts w:hint="eastAsia" w:ascii="宋体" w:hAnsi="宋体" w:eastAsia="宋体" w:cs="宋体"/>
          <w:kern w:val="2"/>
          <w:sz w:val="24"/>
          <w:szCs w:val="24"/>
          <w:highlight w:val="none"/>
        </w:rPr>
      </w:pPr>
      <w:r>
        <w:rPr>
          <w:rFonts w:hint="eastAsia" w:ascii="宋体" w:hAnsi="宋体" w:eastAsia="宋体" w:cs="宋体"/>
          <w:sz w:val="24"/>
          <w:szCs w:val="24"/>
          <w:highlight w:val="none"/>
        </w:rPr>
        <w:t>（8）</w:t>
      </w:r>
      <w:r>
        <w:rPr>
          <w:rFonts w:hint="eastAsia" w:ascii="宋体" w:hAnsi="宋体" w:eastAsia="宋体" w:cs="宋体"/>
          <w:kern w:val="2"/>
          <w:sz w:val="24"/>
          <w:szCs w:val="24"/>
          <w:highlight w:val="none"/>
        </w:rPr>
        <w:t>国家法律、行政法规和规章制度规定或合同约定的作为合同组成部分的其他文件</w:t>
      </w:r>
    </w:p>
    <w:p w14:paraId="77CB457C">
      <w:pPr>
        <w:numPr>
          <w:ilvl w:val="0"/>
          <w:numId w:val="1"/>
        </w:numPr>
        <w:adjustRightInd w:val="0"/>
        <w:snapToGrid w:val="0"/>
        <w:spacing w:line="360" w:lineRule="auto"/>
        <w:ind w:firstLine="482" w:firstLineChars="200"/>
        <w:rPr>
          <w:rFonts w:hint="eastAsia" w:ascii="宋体" w:hAnsi="宋体" w:eastAsia="宋体" w:cs="宋体"/>
          <w:b/>
          <w:sz w:val="24"/>
          <w:szCs w:val="24"/>
          <w:highlight w:val="none"/>
        </w:rPr>
      </w:pPr>
      <w:r>
        <w:rPr>
          <w:rFonts w:hint="eastAsia" w:ascii="宋体" w:hAnsi="宋体" w:eastAsia="宋体" w:cs="宋体"/>
          <w:b/>
          <w:sz w:val="24"/>
          <w:szCs w:val="24"/>
          <w:highlight w:val="none"/>
        </w:rPr>
        <w:t>合同生效</w:t>
      </w:r>
    </w:p>
    <w:p w14:paraId="4C359BE9">
      <w:pPr>
        <w:adjustRightInd w:val="0"/>
        <w:snapToGrid w:val="0"/>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本合同自</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生效。</w:t>
      </w:r>
    </w:p>
    <w:p w14:paraId="3FAB08D8">
      <w:pPr>
        <w:numPr>
          <w:ilvl w:val="0"/>
          <w:numId w:val="1"/>
        </w:numPr>
        <w:adjustRightInd w:val="0"/>
        <w:snapToGrid w:val="0"/>
        <w:spacing w:line="360" w:lineRule="auto"/>
        <w:ind w:firstLine="482" w:firstLineChars="200"/>
        <w:rPr>
          <w:rFonts w:hint="eastAsia" w:ascii="宋体" w:hAnsi="宋体" w:eastAsia="宋体" w:cs="宋体"/>
          <w:b/>
          <w:sz w:val="24"/>
          <w:szCs w:val="24"/>
          <w:highlight w:val="none"/>
        </w:rPr>
      </w:pPr>
      <w:r>
        <w:rPr>
          <w:rFonts w:hint="eastAsia" w:ascii="宋体" w:hAnsi="宋体" w:eastAsia="宋体" w:cs="宋体"/>
          <w:b/>
          <w:sz w:val="24"/>
          <w:szCs w:val="24"/>
          <w:highlight w:val="none"/>
        </w:rPr>
        <w:t>合同份数</w:t>
      </w:r>
    </w:p>
    <w:p w14:paraId="1F7F2016">
      <w:pPr>
        <w:adjustRightInd w:val="0"/>
        <w:snapToGrid w:val="0"/>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本合同一式</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份，甲方执</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份，乙方执</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份，均具有同等法律效力。</w:t>
      </w:r>
    </w:p>
    <w:p w14:paraId="6AFEA8C2">
      <w:pPr>
        <w:adjustRightInd w:val="0"/>
        <w:snapToGrid w:val="0"/>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合同订立时间：</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年</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月</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日</w:t>
      </w:r>
    </w:p>
    <w:p w14:paraId="469D003B">
      <w:pPr>
        <w:adjustRightInd w:val="0"/>
        <w:snapToGrid w:val="0"/>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合同订立地点：</w:t>
      </w:r>
      <w:r>
        <w:rPr>
          <w:rFonts w:hint="eastAsia" w:ascii="宋体" w:hAnsi="宋体" w:eastAsia="宋体" w:cs="宋体"/>
          <w:sz w:val="24"/>
          <w:szCs w:val="24"/>
          <w:highlight w:val="none"/>
          <w:u w:val="single"/>
        </w:rPr>
        <w:t xml:space="preserve">                           </w:t>
      </w:r>
    </w:p>
    <w:p w14:paraId="101EA4B0">
      <w:pPr>
        <w:adjustRightInd w:val="0"/>
        <w:snapToGrid w:val="0"/>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附件：具体标的及其技术要求和商务要求、联合协议、分包意向协议等。</w:t>
      </w:r>
    </w:p>
    <w:p w14:paraId="02A0B1D5">
      <w:pPr>
        <w:pStyle w:val="48"/>
        <w:spacing w:line="400" w:lineRule="exact"/>
        <w:ind w:firstLine="480"/>
        <w:rPr>
          <w:rFonts w:hint="eastAsia" w:ascii="宋体" w:hAnsi="宋体" w:eastAsia="宋体" w:cs="宋体"/>
          <w:sz w:val="24"/>
          <w:highlight w:val="none"/>
        </w:rPr>
      </w:pPr>
    </w:p>
    <w:p w14:paraId="69D2ED33">
      <w:pPr>
        <w:pStyle w:val="6"/>
        <w:adjustRightInd w:val="0"/>
        <w:snapToGrid w:val="0"/>
        <w:spacing w:before="120" w:beforeLines="50"/>
        <w:jc w:val="center"/>
        <w:rPr>
          <w:rFonts w:hint="eastAsia" w:ascii="宋体" w:hAnsi="宋体" w:eastAsia="宋体" w:cs="宋体"/>
          <w:sz w:val="24"/>
          <w:szCs w:val="24"/>
          <w:highlight w:val="none"/>
        </w:rPr>
      </w:pPr>
      <w:bookmarkStart w:id="223" w:name="_Toc27624"/>
      <w:bookmarkStart w:id="224" w:name="_Toc10654"/>
      <w:r>
        <w:rPr>
          <w:rFonts w:hint="eastAsia" w:ascii="宋体" w:hAnsi="宋体" w:eastAsia="宋体" w:cs="宋体"/>
          <w:b w:val="0"/>
          <w:bCs w:val="0"/>
          <w:sz w:val="24"/>
          <w:szCs w:val="24"/>
          <w:highlight w:val="none"/>
        </w:rPr>
        <w:t>第二节 政府采购合同通用条款</w:t>
      </w:r>
      <w:bookmarkEnd w:id="223"/>
      <w:bookmarkEnd w:id="224"/>
    </w:p>
    <w:p w14:paraId="5BE2BFE7">
      <w:pPr>
        <w:tabs>
          <w:tab w:val="left" w:pos="8820"/>
          <w:tab w:val="left" w:pos="9345"/>
          <w:tab w:val="left" w:pos="9765"/>
        </w:tabs>
        <w:adjustRightInd w:val="0"/>
        <w:snapToGrid w:val="0"/>
        <w:spacing w:line="400" w:lineRule="exact"/>
        <w:jc w:val="left"/>
        <w:rPr>
          <w:rFonts w:hint="eastAsia" w:ascii="宋体" w:hAnsi="宋体" w:eastAsia="宋体" w:cs="宋体"/>
          <w:b/>
          <w:bCs/>
          <w:sz w:val="24"/>
          <w:szCs w:val="24"/>
          <w:highlight w:val="none"/>
        </w:rPr>
      </w:pPr>
      <w:r>
        <w:rPr>
          <w:rFonts w:hint="eastAsia" w:ascii="宋体" w:hAnsi="宋体" w:eastAsia="宋体" w:cs="宋体"/>
          <w:b/>
          <w:sz w:val="24"/>
          <w:szCs w:val="24"/>
          <w:highlight w:val="none"/>
        </w:rPr>
        <w:t xml:space="preserve">1. </w:t>
      </w:r>
      <w:r>
        <w:rPr>
          <w:rFonts w:hint="eastAsia" w:ascii="宋体" w:hAnsi="宋体" w:eastAsia="宋体" w:cs="宋体"/>
          <w:b/>
          <w:bCs/>
          <w:sz w:val="24"/>
          <w:szCs w:val="24"/>
          <w:highlight w:val="none"/>
        </w:rPr>
        <w:t>定义</w:t>
      </w:r>
    </w:p>
    <w:p w14:paraId="24E8F3DC">
      <w:pPr>
        <w:autoSpaceDE w:val="0"/>
        <w:autoSpaceDN w:val="0"/>
        <w:adjustRightInd w:val="0"/>
        <w:snapToGrid w:val="0"/>
        <w:spacing w:line="40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1.1合同当事人</w:t>
      </w:r>
    </w:p>
    <w:p w14:paraId="17E00AD4">
      <w:pPr>
        <w:autoSpaceDE w:val="0"/>
        <w:autoSpaceDN w:val="0"/>
        <w:adjustRightInd w:val="0"/>
        <w:snapToGrid w:val="0"/>
        <w:spacing w:line="40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（1）采购人（以下称甲方）是指使用财政性资金，通过政府采购方式向供应商购买货物及其相关服务的国家机关、事业单位、团体组织。</w:t>
      </w:r>
    </w:p>
    <w:p w14:paraId="090C1A92">
      <w:pPr>
        <w:autoSpaceDE w:val="0"/>
        <w:autoSpaceDN w:val="0"/>
        <w:adjustRightInd w:val="0"/>
        <w:snapToGrid w:val="0"/>
        <w:spacing w:line="40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（2）供应商（以下称乙方）是指参加政府采购活动并且中标（成交），向采购人提供合同约定的货物及其相关服务的法人、非法人组织或者自然人。</w:t>
      </w:r>
    </w:p>
    <w:p w14:paraId="30640551">
      <w:pPr>
        <w:autoSpaceDE w:val="0"/>
        <w:autoSpaceDN w:val="0"/>
        <w:adjustRightInd w:val="0"/>
        <w:snapToGrid w:val="0"/>
        <w:spacing w:line="40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（3）其他合同主体是指除采购人和供应商以外，</w:t>
      </w:r>
      <w:r>
        <w:rPr>
          <w:rFonts w:hint="eastAsia" w:ascii="宋体" w:hAnsi="宋体" w:eastAsia="宋体" w:cs="宋体"/>
          <w:bCs/>
          <w:sz w:val="24"/>
          <w:szCs w:val="24"/>
          <w:highlight w:val="none"/>
        </w:rPr>
        <w:t>依法参与合同缔结或履行，享有权利、承担义务的合同当事人</w:t>
      </w:r>
      <w:r>
        <w:rPr>
          <w:rFonts w:hint="eastAsia" w:ascii="宋体" w:hAnsi="宋体" w:eastAsia="宋体" w:cs="宋体"/>
          <w:sz w:val="24"/>
          <w:szCs w:val="24"/>
          <w:highlight w:val="none"/>
        </w:rPr>
        <w:t>。</w:t>
      </w:r>
    </w:p>
    <w:p w14:paraId="082CC9B3">
      <w:pPr>
        <w:tabs>
          <w:tab w:val="left" w:pos="570"/>
          <w:tab w:val="left" w:pos="9240"/>
          <w:tab w:val="left" w:pos="9555"/>
        </w:tabs>
        <w:adjustRightInd w:val="0"/>
        <w:snapToGrid w:val="0"/>
        <w:spacing w:line="40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1.2本合同下列术语应解释为：</w:t>
      </w:r>
    </w:p>
    <w:p w14:paraId="39428044">
      <w:pPr>
        <w:adjustRightInd w:val="0"/>
        <w:snapToGrid w:val="0"/>
        <w:spacing w:line="40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（1）“合同”系指</w:t>
      </w:r>
      <w:r>
        <w:rPr>
          <w:rFonts w:hint="eastAsia" w:ascii="宋体" w:hAnsi="宋体" w:eastAsia="宋体" w:cs="宋体"/>
          <w:bCs/>
          <w:sz w:val="24"/>
          <w:szCs w:val="24"/>
          <w:highlight w:val="none"/>
        </w:rPr>
        <w:t>合同当事人意思表示达成一致的任何协议，包括签署的</w:t>
      </w:r>
      <w:r>
        <w:rPr>
          <w:rFonts w:hint="eastAsia" w:ascii="宋体" w:hAnsi="宋体" w:eastAsia="宋体" w:cs="宋体"/>
          <w:sz w:val="24"/>
          <w:szCs w:val="24"/>
          <w:highlight w:val="none"/>
        </w:rPr>
        <w:t>政府采购合同协议书及其变更、补充协议，政府采购合同专用条款，政府采购合同通用条款，中标（成交）通知书，投标（响应）文件，采购文件，有关技术文件和图纸，以及国家法律、行政法规和规章制度规定或合同约定的作为合同组成部分的其他文件。</w:t>
      </w:r>
    </w:p>
    <w:p w14:paraId="473F78EF">
      <w:pPr>
        <w:tabs>
          <w:tab w:val="left" w:pos="570"/>
          <w:tab w:val="left" w:pos="9240"/>
          <w:tab w:val="left" w:pos="9555"/>
        </w:tabs>
        <w:adjustRightInd w:val="0"/>
        <w:snapToGrid w:val="0"/>
        <w:spacing w:line="40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（2）“合同价款”系指根据本合同规定乙方在全面履行合同义务后甲方应支付给乙方的价款。</w:t>
      </w:r>
    </w:p>
    <w:p w14:paraId="690F468F">
      <w:pPr>
        <w:tabs>
          <w:tab w:val="left" w:pos="570"/>
          <w:tab w:val="left" w:pos="9240"/>
          <w:tab w:val="left" w:pos="9555"/>
        </w:tabs>
        <w:adjustRightInd w:val="0"/>
        <w:snapToGrid w:val="0"/>
        <w:spacing w:line="40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（3）“货物”系指乙方根据本合同规定须向甲方提供的各种形态和种类的物品，包括原材料、设备、产品（包括软件）及相关的其备品备件、工具、手册及</w:t>
      </w:r>
      <w:r>
        <w:rPr>
          <w:rFonts w:hint="eastAsia" w:ascii="宋体" w:hAnsi="宋体" w:eastAsia="宋体" w:cs="宋体"/>
          <w:sz w:val="24"/>
          <w:szCs w:val="24"/>
          <w:highlight w:val="none"/>
          <w:lang w:val="en"/>
        </w:rPr>
        <w:t>其他</w:t>
      </w:r>
      <w:r>
        <w:rPr>
          <w:rFonts w:hint="eastAsia" w:ascii="宋体" w:hAnsi="宋体" w:eastAsia="宋体" w:cs="宋体"/>
          <w:sz w:val="24"/>
          <w:szCs w:val="24"/>
          <w:highlight w:val="none"/>
        </w:rPr>
        <w:t>技术资料和材料等。</w:t>
      </w:r>
    </w:p>
    <w:p w14:paraId="0A12BEB5">
      <w:pPr>
        <w:adjustRightInd w:val="0"/>
        <w:snapToGrid w:val="0"/>
        <w:spacing w:line="40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（4）“相关服务”系指根据合同规定，乙方应提供的与货物有关的技术、管理和</w:t>
      </w:r>
      <w:r>
        <w:rPr>
          <w:rFonts w:hint="eastAsia" w:ascii="宋体" w:hAnsi="宋体" w:eastAsia="宋体" w:cs="宋体"/>
          <w:sz w:val="24"/>
          <w:szCs w:val="24"/>
          <w:highlight w:val="none"/>
          <w:lang w:val="en"/>
        </w:rPr>
        <w:t>其他</w:t>
      </w:r>
      <w:r>
        <w:rPr>
          <w:rFonts w:hint="eastAsia" w:ascii="宋体" w:hAnsi="宋体" w:eastAsia="宋体" w:cs="宋体"/>
          <w:sz w:val="24"/>
          <w:szCs w:val="24"/>
          <w:highlight w:val="none"/>
        </w:rPr>
        <w:t>服务，包括但不限于：管理和质量保证、运输、保险、检验、现场准备、安装、集成、调试、培训、维修、废弃处置、技术支持等以及合同中规定乙方应承担的</w:t>
      </w:r>
      <w:r>
        <w:rPr>
          <w:rFonts w:hint="eastAsia" w:ascii="宋体" w:hAnsi="宋体" w:eastAsia="宋体" w:cs="宋体"/>
          <w:sz w:val="24"/>
          <w:szCs w:val="24"/>
          <w:highlight w:val="none"/>
          <w:lang w:val="en"/>
        </w:rPr>
        <w:t>其他</w:t>
      </w:r>
      <w:r>
        <w:rPr>
          <w:rFonts w:hint="eastAsia" w:ascii="宋体" w:hAnsi="宋体" w:eastAsia="宋体" w:cs="宋体"/>
          <w:sz w:val="24"/>
          <w:szCs w:val="24"/>
          <w:highlight w:val="none"/>
        </w:rPr>
        <w:t>义务。</w:t>
      </w:r>
    </w:p>
    <w:p w14:paraId="0C2AE8AB">
      <w:pPr>
        <w:adjustRightInd w:val="0"/>
        <w:snapToGrid w:val="0"/>
        <w:spacing w:line="40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（5）“分包”系指中标（成交）供应商按采购文件、投标（响应）文件的规定，根据分包意向协议，将中标（成交）项目中的部分履约内容，分给具有相应资质条件的供应商履行合同的行为。</w:t>
      </w:r>
    </w:p>
    <w:p w14:paraId="652CA376">
      <w:pPr>
        <w:tabs>
          <w:tab w:val="left" w:pos="570"/>
          <w:tab w:val="left" w:pos="9240"/>
          <w:tab w:val="left" w:pos="9555"/>
        </w:tabs>
        <w:adjustRightInd w:val="0"/>
        <w:snapToGrid w:val="0"/>
        <w:spacing w:line="40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6）“联合体”系指由两个以上的自然人、法人或者非法人组织组成，以一个供应商的身份共同参加政府采购的主体。联合体各方应在签订合同协议书前向甲方提交联合协议，且明确牵头人及各成员单位的工作分工、权利、义务、责任，联合体各方应共同与甲方签订合同，就合同约定的事项对甲方承担连带责任。联合体具体要求见【</w:t>
      </w:r>
      <w:r>
        <w:rPr>
          <w:rFonts w:hint="eastAsia" w:ascii="宋体" w:hAnsi="宋体" w:eastAsia="宋体" w:cs="宋体"/>
          <w:b/>
          <w:bCs/>
          <w:sz w:val="24"/>
          <w:szCs w:val="24"/>
          <w:highlight w:val="none"/>
        </w:rPr>
        <w:t>政府采购合同专用条款</w:t>
      </w:r>
      <w:r>
        <w:rPr>
          <w:rFonts w:hint="eastAsia" w:ascii="宋体" w:hAnsi="宋体" w:eastAsia="宋体" w:cs="宋体"/>
          <w:sz w:val="24"/>
          <w:szCs w:val="24"/>
          <w:highlight w:val="none"/>
        </w:rPr>
        <w:t>】。</w:t>
      </w:r>
    </w:p>
    <w:p w14:paraId="7C87E0AC">
      <w:pPr>
        <w:tabs>
          <w:tab w:val="left" w:pos="570"/>
          <w:tab w:val="left" w:pos="9240"/>
          <w:tab w:val="left" w:pos="9555"/>
        </w:tabs>
        <w:adjustRightInd w:val="0"/>
        <w:snapToGrid w:val="0"/>
        <w:spacing w:line="40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（7）其他术语解释，见【</w:t>
      </w:r>
      <w:r>
        <w:rPr>
          <w:rFonts w:hint="eastAsia" w:ascii="宋体" w:hAnsi="宋体" w:eastAsia="宋体" w:cs="宋体"/>
          <w:b/>
          <w:bCs/>
          <w:sz w:val="24"/>
          <w:szCs w:val="24"/>
          <w:highlight w:val="none"/>
        </w:rPr>
        <w:t>政府采购合同专用条款</w:t>
      </w:r>
      <w:r>
        <w:rPr>
          <w:rFonts w:hint="eastAsia" w:ascii="宋体" w:hAnsi="宋体" w:eastAsia="宋体" w:cs="宋体"/>
          <w:sz w:val="24"/>
          <w:szCs w:val="24"/>
          <w:highlight w:val="none"/>
        </w:rPr>
        <w:t>】。</w:t>
      </w:r>
    </w:p>
    <w:p w14:paraId="03C31B87">
      <w:pPr>
        <w:numPr>
          <w:ilvl w:val="0"/>
          <w:numId w:val="4"/>
        </w:numPr>
        <w:autoSpaceDE w:val="0"/>
        <w:autoSpaceDN w:val="0"/>
        <w:adjustRightInd w:val="0"/>
        <w:snapToGrid w:val="0"/>
        <w:spacing w:line="400" w:lineRule="exact"/>
        <w:jc w:val="left"/>
        <w:rPr>
          <w:rFonts w:hint="eastAsia" w:ascii="宋体" w:hAnsi="宋体" w:eastAsia="宋体" w:cs="宋体"/>
          <w:b/>
          <w:bCs/>
          <w:sz w:val="24"/>
          <w:szCs w:val="24"/>
          <w:highlight w:val="none"/>
        </w:rPr>
      </w:pPr>
      <w:r>
        <w:rPr>
          <w:rFonts w:hint="eastAsia" w:ascii="宋体" w:hAnsi="宋体" w:eastAsia="宋体" w:cs="宋体"/>
          <w:b/>
          <w:sz w:val="24"/>
          <w:szCs w:val="24"/>
          <w:highlight w:val="none"/>
        </w:rPr>
        <w:t>合同标的及金额</w:t>
      </w:r>
    </w:p>
    <w:p w14:paraId="6F03B307">
      <w:pPr>
        <w:autoSpaceDE w:val="0"/>
        <w:autoSpaceDN w:val="0"/>
        <w:adjustRightInd w:val="0"/>
        <w:snapToGrid w:val="0"/>
        <w:spacing w:line="400" w:lineRule="exact"/>
        <w:ind w:firstLine="480" w:firstLineChars="200"/>
        <w:jc w:val="left"/>
        <w:rPr>
          <w:rFonts w:hint="eastAsia" w:ascii="宋体" w:hAnsi="宋体" w:eastAsia="宋体" w:cs="宋体"/>
          <w:b/>
          <w:bCs/>
          <w:i/>
          <w:iCs/>
          <w:sz w:val="24"/>
          <w:szCs w:val="24"/>
          <w:highlight w:val="none"/>
        </w:rPr>
      </w:pPr>
      <w:r>
        <w:rPr>
          <w:rFonts w:hint="eastAsia" w:ascii="宋体" w:hAnsi="宋体" w:eastAsia="宋体" w:cs="宋体"/>
          <w:sz w:val="24"/>
          <w:szCs w:val="24"/>
          <w:highlight w:val="none"/>
        </w:rPr>
        <w:t>2.1 合同标的及金额应与中标（成交）结果一致。乙方为履行本合同而发生的所有费用均应包含在合同价款中，甲方不再另行支付</w:t>
      </w:r>
      <w:r>
        <w:rPr>
          <w:rFonts w:hint="eastAsia" w:ascii="宋体" w:hAnsi="宋体" w:eastAsia="宋体" w:cs="宋体"/>
          <w:sz w:val="24"/>
          <w:szCs w:val="24"/>
          <w:highlight w:val="none"/>
          <w:lang w:val="en"/>
        </w:rPr>
        <w:t>其他</w:t>
      </w:r>
      <w:r>
        <w:rPr>
          <w:rFonts w:hint="eastAsia" w:ascii="宋体" w:hAnsi="宋体" w:eastAsia="宋体" w:cs="宋体"/>
          <w:sz w:val="24"/>
          <w:szCs w:val="24"/>
          <w:highlight w:val="none"/>
        </w:rPr>
        <w:t>任何费用。</w:t>
      </w:r>
    </w:p>
    <w:p w14:paraId="7BF7FB17">
      <w:pPr>
        <w:adjustRightInd w:val="0"/>
        <w:snapToGrid w:val="0"/>
        <w:spacing w:line="400" w:lineRule="exact"/>
        <w:jc w:val="left"/>
        <w:rPr>
          <w:rFonts w:hint="eastAsia" w:ascii="宋体" w:hAnsi="宋体" w:eastAsia="宋体" w:cs="宋体"/>
          <w:b/>
          <w:sz w:val="24"/>
          <w:szCs w:val="24"/>
          <w:highlight w:val="none"/>
        </w:rPr>
      </w:pPr>
      <w:r>
        <w:rPr>
          <w:rFonts w:hint="eastAsia" w:ascii="宋体" w:hAnsi="宋体" w:eastAsia="宋体" w:cs="宋体"/>
          <w:b/>
          <w:sz w:val="24"/>
          <w:szCs w:val="24"/>
          <w:highlight w:val="none"/>
        </w:rPr>
        <w:t>3. 履行合同的时间、地点和方式</w:t>
      </w:r>
    </w:p>
    <w:p w14:paraId="7368A2C1">
      <w:pPr>
        <w:autoSpaceDE w:val="0"/>
        <w:autoSpaceDN w:val="0"/>
        <w:adjustRightInd w:val="0"/>
        <w:snapToGrid w:val="0"/>
        <w:spacing w:line="40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3.1 乙方应当在约定的时间、地点，按照约定方式履行合同。</w:t>
      </w:r>
    </w:p>
    <w:p w14:paraId="1038BAA1">
      <w:pPr>
        <w:autoSpaceDE w:val="0"/>
        <w:autoSpaceDN w:val="0"/>
        <w:adjustRightInd w:val="0"/>
        <w:snapToGrid w:val="0"/>
        <w:spacing w:line="400" w:lineRule="exact"/>
        <w:jc w:val="left"/>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4. 甲方的权利和义务</w:t>
      </w:r>
    </w:p>
    <w:p w14:paraId="6B5C7758">
      <w:pPr>
        <w:autoSpaceDE w:val="0"/>
        <w:autoSpaceDN w:val="0"/>
        <w:adjustRightInd w:val="0"/>
        <w:snapToGrid w:val="0"/>
        <w:spacing w:line="40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4.1 签署合同后，甲方应确定项目负责人（或项目联系人），负责与本合同有关的事务。甲方有权对乙方的履约行为进行检查，并及时确认乙方提交的事项。甲方应当配合乙方完成相关项目实施工作。</w:t>
      </w:r>
    </w:p>
    <w:p w14:paraId="555B6866">
      <w:pPr>
        <w:autoSpaceDE w:val="0"/>
        <w:autoSpaceDN w:val="0"/>
        <w:adjustRightInd w:val="0"/>
        <w:snapToGrid w:val="0"/>
        <w:spacing w:line="40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4.2 甲方有权要求乙方按时提交各阶段有关安排计划，并有权定期核对乙方提供货物数量、规格、质量等内容。甲方有权督促乙方工作并要求乙方更换不符合要求的货物。</w:t>
      </w:r>
    </w:p>
    <w:p w14:paraId="2EC0ED98">
      <w:pPr>
        <w:autoSpaceDE w:val="0"/>
        <w:autoSpaceDN w:val="0"/>
        <w:adjustRightInd w:val="0"/>
        <w:snapToGrid w:val="0"/>
        <w:spacing w:line="40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4.3 甲方有权要求乙方对缺陷部分予以修复，并按合同约定享有货物保修及其他合同约定的权利。</w:t>
      </w:r>
    </w:p>
    <w:p w14:paraId="3A67A035">
      <w:pPr>
        <w:snapToGrid w:val="0"/>
        <w:spacing w:line="400" w:lineRule="exact"/>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4.4 甲方应当按照合同约定及时对交付的货物进行验收，未在</w:t>
      </w:r>
      <w:r>
        <w:rPr>
          <w:rFonts w:hint="eastAsia" w:ascii="宋体" w:hAnsi="宋体" w:eastAsia="宋体" w:cs="宋体"/>
          <w:b/>
          <w:bCs/>
          <w:sz w:val="24"/>
          <w:szCs w:val="24"/>
          <w:highlight w:val="none"/>
        </w:rPr>
        <w:t>【政府采购合同专用条款】</w:t>
      </w:r>
      <w:r>
        <w:rPr>
          <w:rFonts w:hint="eastAsia" w:ascii="宋体" w:hAnsi="宋体" w:eastAsia="宋体" w:cs="宋体"/>
          <w:sz w:val="24"/>
          <w:szCs w:val="24"/>
          <w:highlight w:val="none"/>
        </w:rPr>
        <w:t>约定的期限内对乙方履约提出任何异议或者向乙方作出任何说明的，视为验收通过。</w:t>
      </w:r>
    </w:p>
    <w:p w14:paraId="3479EFBD">
      <w:pPr>
        <w:autoSpaceDE w:val="0"/>
        <w:autoSpaceDN w:val="0"/>
        <w:adjustRightInd w:val="0"/>
        <w:snapToGrid w:val="0"/>
        <w:spacing w:line="40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4.5 甲方应当根据合同约定及时向乙方支付合同价款，不得以内部人员变更、履行内部付款流程等为由，拒绝或迟延支付。</w:t>
      </w:r>
    </w:p>
    <w:p w14:paraId="44EF015F">
      <w:pPr>
        <w:autoSpaceDE w:val="0"/>
        <w:autoSpaceDN w:val="0"/>
        <w:adjustRightInd w:val="0"/>
        <w:snapToGrid w:val="0"/>
        <w:spacing w:line="40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4.6 国家法律法规规定及</w:t>
      </w:r>
      <w:r>
        <w:rPr>
          <w:rFonts w:hint="eastAsia" w:ascii="宋体" w:hAnsi="宋体" w:eastAsia="宋体" w:cs="宋体"/>
          <w:b/>
          <w:bCs/>
          <w:sz w:val="24"/>
          <w:szCs w:val="24"/>
          <w:highlight w:val="none"/>
        </w:rPr>
        <w:t>【政府采购合同专用条款】</w:t>
      </w:r>
      <w:r>
        <w:rPr>
          <w:rFonts w:hint="eastAsia" w:ascii="宋体" w:hAnsi="宋体" w:eastAsia="宋体" w:cs="宋体"/>
          <w:sz w:val="24"/>
          <w:szCs w:val="24"/>
          <w:highlight w:val="none"/>
        </w:rPr>
        <w:t>约定应由甲方承担的其他义务和责任。</w:t>
      </w:r>
    </w:p>
    <w:p w14:paraId="20147FF1">
      <w:pPr>
        <w:autoSpaceDE w:val="0"/>
        <w:autoSpaceDN w:val="0"/>
        <w:adjustRightInd w:val="0"/>
        <w:snapToGrid w:val="0"/>
        <w:spacing w:line="400" w:lineRule="exact"/>
        <w:jc w:val="left"/>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5. 乙方的权利和义务</w:t>
      </w:r>
    </w:p>
    <w:p w14:paraId="4D7CFFA4">
      <w:pPr>
        <w:autoSpaceDE w:val="0"/>
        <w:autoSpaceDN w:val="0"/>
        <w:adjustRightInd w:val="0"/>
        <w:snapToGrid w:val="0"/>
        <w:spacing w:line="40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5.1 签署合同后，乙方应确定项目负责人（或项目联系人），负责与本合同有关的事务。</w:t>
      </w:r>
    </w:p>
    <w:p w14:paraId="4F680E2B">
      <w:pPr>
        <w:autoSpaceDE w:val="0"/>
        <w:autoSpaceDN w:val="0"/>
        <w:adjustRightInd w:val="0"/>
        <w:snapToGrid w:val="0"/>
        <w:spacing w:line="40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5.2 乙方应按照合同要求履约，充分合理安排，确保提供的货物及相关服务符合合同有关要求。接受项目行业管理部门及政府有关部门的指导，配合甲方的履约检查及验收，并负责项目实施过程中的所有协调工作。</w:t>
      </w:r>
    </w:p>
    <w:p w14:paraId="65F46E6C">
      <w:pPr>
        <w:pStyle w:val="9"/>
        <w:spacing w:line="400" w:lineRule="exact"/>
        <w:ind w:firstLine="422" w:firstLineChars="176"/>
        <w:rPr>
          <w:rFonts w:hint="eastAsia" w:ascii="宋体" w:hAnsi="宋体" w:eastAsia="宋体" w:cs="宋体"/>
          <w:sz w:val="24"/>
          <w:szCs w:val="24"/>
          <w:highlight w:val="none"/>
        </w:rPr>
      </w:pPr>
      <w:r>
        <w:rPr>
          <w:rFonts w:hint="eastAsia" w:ascii="宋体" w:hAnsi="宋体" w:eastAsia="宋体" w:cs="宋体"/>
          <w:sz w:val="24"/>
          <w:szCs w:val="24"/>
          <w:highlight w:val="none"/>
        </w:rPr>
        <w:t>5.3乙方有权根据合同约定向甲方收取合同价款。</w:t>
      </w:r>
    </w:p>
    <w:p w14:paraId="6D3D072A">
      <w:pPr>
        <w:pStyle w:val="9"/>
        <w:spacing w:line="400" w:lineRule="exact"/>
        <w:ind w:firstLine="422" w:firstLineChars="176"/>
        <w:rPr>
          <w:rFonts w:hint="eastAsia" w:ascii="宋体" w:hAnsi="宋体" w:eastAsia="宋体" w:cs="宋体"/>
          <w:sz w:val="24"/>
          <w:szCs w:val="24"/>
          <w:highlight w:val="none"/>
        </w:rPr>
      </w:pPr>
      <w:r>
        <w:rPr>
          <w:rFonts w:hint="eastAsia" w:ascii="宋体" w:hAnsi="宋体" w:eastAsia="宋体" w:cs="宋体"/>
          <w:sz w:val="24"/>
          <w:szCs w:val="24"/>
          <w:highlight w:val="none"/>
        </w:rPr>
        <w:t>5.4国家法律法规规定及</w:t>
      </w:r>
      <w:r>
        <w:rPr>
          <w:rFonts w:hint="eastAsia" w:ascii="宋体" w:hAnsi="宋体" w:eastAsia="宋体" w:cs="宋体"/>
          <w:b/>
          <w:bCs/>
          <w:sz w:val="24"/>
          <w:szCs w:val="24"/>
          <w:highlight w:val="none"/>
        </w:rPr>
        <w:t>【政府采购合同专用条款】</w:t>
      </w:r>
      <w:r>
        <w:rPr>
          <w:rFonts w:hint="eastAsia" w:ascii="宋体" w:hAnsi="宋体" w:eastAsia="宋体" w:cs="宋体"/>
          <w:sz w:val="24"/>
          <w:szCs w:val="24"/>
          <w:highlight w:val="none"/>
        </w:rPr>
        <w:t>约定应由乙方承担的其他义务和责任。</w:t>
      </w:r>
    </w:p>
    <w:p w14:paraId="5948BF9B">
      <w:pPr>
        <w:numPr>
          <w:ilvl w:val="0"/>
          <w:numId w:val="5"/>
        </w:numPr>
        <w:autoSpaceDE w:val="0"/>
        <w:autoSpaceDN w:val="0"/>
        <w:adjustRightInd w:val="0"/>
        <w:snapToGrid w:val="0"/>
        <w:spacing w:line="400" w:lineRule="exact"/>
        <w:jc w:val="left"/>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合同履行</w:t>
      </w:r>
    </w:p>
    <w:p w14:paraId="56EB8622">
      <w:pPr>
        <w:autoSpaceDE w:val="0"/>
        <w:autoSpaceDN w:val="0"/>
        <w:adjustRightInd w:val="0"/>
        <w:snapToGrid w:val="0"/>
        <w:spacing w:line="40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6.1 甲乙双方应当按照</w:t>
      </w:r>
      <w:r>
        <w:rPr>
          <w:rFonts w:hint="eastAsia" w:ascii="宋体" w:hAnsi="宋体" w:eastAsia="宋体" w:cs="宋体"/>
          <w:b/>
          <w:bCs/>
          <w:sz w:val="24"/>
          <w:szCs w:val="24"/>
          <w:highlight w:val="none"/>
        </w:rPr>
        <w:t>【政府采购合同专用条款】</w:t>
      </w:r>
      <w:r>
        <w:rPr>
          <w:rFonts w:hint="eastAsia" w:ascii="宋体" w:hAnsi="宋体" w:eastAsia="宋体" w:cs="宋体"/>
          <w:sz w:val="24"/>
          <w:szCs w:val="24"/>
          <w:highlight w:val="none"/>
        </w:rPr>
        <w:t>约定顺序履行合同义务；如果没有先后顺序的，应当同时履行。</w:t>
      </w:r>
    </w:p>
    <w:p w14:paraId="2485A49D">
      <w:pPr>
        <w:autoSpaceDE w:val="0"/>
        <w:autoSpaceDN w:val="0"/>
        <w:adjustRightInd w:val="0"/>
        <w:snapToGrid w:val="0"/>
        <w:spacing w:line="40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6.2 甲乙双方按照合同约定顺序履行合同义务时，应当先履行一方未履行的，后履行一方有权拒绝其履行请求。先履行一方履行不符合约定的，后履行一方有权拒绝其相应的履行请求。</w:t>
      </w:r>
    </w:p>
    <w:p w14:paraId="3608E1D8">
      <w:pPr>
        <w:adjustRightInd w:val="0"/>
        <w:snapToGrid w:val="0"/>
        <w:spacing w:line="400" w:lineRule="exact"/>
        <w:jc w:val="left"/>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7. 货物包装、运输、保险和交付要求</w:t>
      </w:r>
    </w:p>
    <w:p w14:paraId="0DCCE7E6">
      <w:pPr>
        <w:autoSpaceDE w:val="0"/>
        <w:autoSpaceDN w:val="0"/>
        <w:adjustRightInd w:val="0"/>
        <w:snapToGrid w:val="0"/>
        <w:spacing w:line="40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7.1 本合同</w:t>
      </w:r>
      <w:r>
        <w:rPr>
          <w:rFonts w:hint="eastAsia" w:ascii="宋体" w:hAnsi="宋体" w:eastAsia="宋体" w:cs="宋体"/>
          <w:bCs/>
          <w:sz w:val="24"/>
          <w:szCs w:val="24"/>
          <w:highlight w:val="none"/>
        </w:rPr>
        <w:t>涉及商品包装、快递包装的，</w:t>
      </w:r>
      <w:r>
        <w:rPr>
          <w:rFonts w:hint="eastAsia" w:ascii="宋体" w:hAnsi="宋体" w:eastAsia="宋体" w:cs="宋体"/>
          <w:sz w:val="24"/>
          <w:szCs w:val="24"/>
          <w:highlight w:val="none"/>
        </w:rPr>
        <w:t>除</w:t>
      </w:r>
      <w:r>
        <w:rPr>
          <w:rFonts w:hint="eastAsia" w:ascii="宋体" w:hAnsi="宋体" w:eastAsia="宋体" w:cs="宋体"/>
          <w:b/>
          <w:sz w:val="24"/>
          <w:szCs w:val="24"/>
          <w:highlight w:val="none"/>
        </w:rPr>
        <w:t>【政府采购合同专用条款】</w:t>
      </w:r>
      <w:r>
        <w:rPr>
          <w:rFonts w:hint="eastAsia" w:ascii="宋体" w:hAnsi="宋体" w:eastAsia="宋体" w:cs="宋体"/>
          <w:bCs/>
          <w:sz w:val="24"/>
          <w:szCs w:val="24"/>
          <w:highlight w:val="none"/>
        </w:rPr>
        <w:t>另有约定外，</w:t>
      </w:r>
      <w:r>
        <w:rPr>
          <w:rFonts w:hint="eastAsia" w:ascii="宋体" w:hAnsi="宋体" w:eastAsia="宋体" w:cs="宋体"/>
          <w:sz w:val="24"/>
          <w:szCs w:val="24"/>
          <w:highlight w:val="none"/>
        </w:rPr>
        <w:t>包装应适应远距离运输、防潮、防震、防锈和防野蛮装卸等要求，确保货物安全无损地运抵</w:t>
      </w:r>
      <w:r>
        <w:rPr>
          <w:rFonts w:hint="eastAsia" w:ascii="宋体" w:hAnsi="宋体" w:eastAsia="宋体" w:cs="宋体"/>
          <w:b/>
          <w:sz w:val="24"/>
          <w:szCs w:val="24"/>
          <w:highlight w:val="none"/>
        </w:rPr>
        <w:t>【政府采购合同专用条款】</w:t>
      </w:r>
      <w:r>
        <w:rPr>
          <w:rFonts w:hint="eastAsia" w:ascii="宋体" w:hAnsi="宋体" w:eastAsia="宋体" w:cs="宋体"/>
          <w:bCs/>
          <w:sz w:val="24"/>
          <w:szCs w:val="24"/>
          <w:highlight w:val="none"/>
        </w:rPr>
        <w:t>约定的</w:t>
      </w:r>
      <w:r>
        <w:rPr>
          <w:rFonts w:hint="eastAsia" w:ascii="宋体" w:hAnsi="宋体" w:eastAsia="宋体" w:cs="宋体"/>
          <w:sz w:val="24"/>
          <w:szCs w:val="24"/>
          <w:highlight w:val="none"/>
        </w:rPr>
        <w:t>指定现场。</w:t>
      </w:r>
    </w:p>
    <w:p w14:paraId="08E92086">
      <w:pPr>
        <w:adjustRightInd w:val="0"/>
        <w:snapToGrid w:val="0"/>
        <w:spacing w:line="40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7.2 除</w:t>
      </w:r>
      <w:r>
        <w:rPr>
          <w:rFonts w:hint="eastAsia" w:ascii="宋体" w:hAnsi="宋体" w:eastAsia="宋体" w:cs="宋体"/>
          <w:b/>
          <w:sz w:val="24"/>
          <w:szCs w:val="24"/>
          <w:highlight w:val="none"/>
        </w:rPr>
        <w:t>【政府采购合同专用条款】</w:t>
      </w:r>
      <w:r>
        <w:rPr>
          <w:rFonts w:hint="eastAsia" w:ascii="宋体" w:hAnsi="宋体" w:eastAsia="宋体" w:cs="宋体"/>
          <w:bCs/>
          <w:sz w:val="24"/>
          <w:szCs w:val="24"/>
          <w:highlight w:val="none"/>
        </w:rPr>
        <w:t>另有约定外，</w:t>
      </w:r>
      <w:r>
        <w:rPr>
          <w:rFonts w:hint="eastAsia" w:ascii="宋体" w:hAnsi="宋体" w:eastAsia="宋体" w:cs="宋体"/>
          <w:sz w:val="24"/>
          <w:szCs w:val="24"/>
          <w:highlight w:val="none"/>
        </w:rPr>
        <w:t>乙方负责办理将货物运抵本合同规定的交货地点，并装卸、交付至甲方的一切运输事项，相关费用应包含在合同价款中。</w:t>
      </w:r>
    </w:p>
    <w:p w14:paraId="72917078">
      <w:pPr>
        <w:adjustRightInd w:val="0"/>
        <w:snapToGrid w:val="0"/>
        <w:spacing w:line="40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7.3 货物保险要求按</w:t>
      </w:r>
      <w:r>
        <w:rPr>
          <w:rFonts w:hint="eastAsia" w:ascii="宋体" w:hAnsi="宋体" w:eastAsia="宋体" w:cs="宋体"/>
          <w:b/>
          <w:sz w:val="24"/>
          <w:szCs w:val="24"/>
          <w:highlight w:val="none"/>
        </w:rPr>
        <w:t>【政府采购合同专用条款】</w:t>
      </w:r>
      <w:r>
        <w:rPr>
          <w:rFonts w:hint="eastAsia" w:ascii="宋体" w:hAnsi="宋体" w:eastAsia="宋体" w:cs="宋体"/>
          <w:bCs/>
          <w:sz w:val="24"/>
          <w:szCs w:val="24"/>
          <w:highlight w:val="none"/>
        </w:rPr>
        <w:t>规定执行</w:t>
      </w:r>
      <w:r>
        <w:rPr>
          <w:rFonts w:hint="eastAsia" w:ascii="宋体" w:hAnsi="宋体" w:eastAsia="宋体" w:cs="宋体"/>
          <w:sz w:val="24"/>
          <w:szCs w:val="24"/>
          <w:highlight w:val="none"/>
        </w:rPr>
        <w:t>。</w:t>
      </w:r>
    </w:p>
    <w:p w14:paraId="5094A9D9">
      <w:pPr>
        <w:autoSpaceDE w:val="0"/>
        <w:autoSpaceDN w:val="0"/>
        <w:adjustRightInd w:val="0"/>
        <w:snapToGrid w:val="0"/>
        <w:spacing w:line="40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7.4 除采购活动对商品包装、快递包装达成具体约定外，乙方提供产品及相关快递服务涉及到具体包装要求的，应不低于《商品包装政府采购需求标准（试行）》《快递包装政府采购需求标准（试行）》标准，并作为履约验收的内容，必要时甲方可以要求乙方在履约验收环节出具检测报告。</w:t>
      </w:r>
    </w:p>
    <w:p w14:paraId="7244C637">
      <w:pPr>
        <w:autoSpaceDE w:val="0"/>
        <w:autoSpaceDN w:val="0"/>
        <w:adjustRightInd w:val="0"/>
        <w:snapToGrid w:val="0"/>
        <w:spacing w:line="40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7.5 乙方在运输到达之前应提前通知甲方，并提示货物运输装卸的注意事项，甲方配合乙方做好货物的接收工作。</w:t>
      </w:r>
    </w:p>
    <w:p w14:paraId="53752AC2">
      <w:pPr>
        <w:pStyle w:val="63"/>
        <w:ind w:firstLine="480"/>
        <w:rPr>
          <w:rFonts w:hint="eastAsia" w:ascii="宋体" w:hAnsi="宋体" w:eastAsia="宋体" w:cs="宋体"/>
          <w:sz w:val="24"/>
          <w:szCs w:val="24"/>
          <w:highlight w:val="none"/>
        </w:rPr>
      </w:pPr>
      <w:r>
        <w:rPr>
          <w:rFonts w:hint="eastAsia" w:ascii="宋体" w:hAnsi="宋体" w:eastAsia="宋体" w:cs="宋体"/>
          <w:kern w:val="2"/>
          <w:sz w:val="24"/>
          <w:szCs w:val="24"/>
          <w:highlight w:val="none"/>
        </w:rPr>
        <w:t>7.6 如因包装、运输问题导致货物损毁、丢失或者品质下降，甲方有权要求降价、换货、拒收部分或整批货物，由此产生的费用和损失，均由乙方承担。</w:t>
      </w:r>
    </w:p>
    <w:p w14:paraId="50F63B34">
      <w:pPr>
        <w:adjustRightInd w:val="0"/>
        <w:snapToGrid w:val="0"/>
        <w:spacing w:line="400" w:lineRule="exact"/>
        <w:jc w:val="left"/>
        <w:rPr>
          <w:rFonts w:hint="eastAsia" w:ascii="宋体" w:hAnsi="宋体" w:eastAsia="宋体" w:cs="宋体"/>
          <w:b/>
          <w:sz w:val="24"/>
          <w:szCs w:val="24"/>
          <w:highlight w:val="none"/>
        </w:rPr>
      </w:pPr>
      <w:r>
        <w:rPr>
          <w:rFonts w:hint="eastAsia" w:ascii="宋体" w:hAnsi="宋体" w:eastAsia="宋体" w:cs="宋体"/>
          <w:b/>
          <w:sz w:val="24"/>
          <w:szCs w:val="24"/>
          <w:highlight w:val="none"/>
        </w:rPr>
        <w:t>8. 质量标准和保证</w:t>
      </w:r>
    </w:p>
    <w:p w14:paraId="114A14DB">
      <w:pPr>
        <w:pStyle w:val="3"/>
        <w:adjustRightInd w:val="0"/>
        <w:snapToGrid w:val="0"/>
        <w:spacing w:line="400" w:lineRule="exact"/>
        <w:ind w:firstLine="480" w:firstLineChars="200"/>
        <w:jc w:val="left"/>
        <w:rPr>
          <w:rFonts w:hint="eastAsia" w:hAnsi="宋体" w:eastAsia="宋体" w:cs="宋体"/>
          <w:b/>
          <w:sz w:val="24"/>
          <w:szCs w:val="24"/>
          <w:highlight w:val="none"/>
        </w:rPr>
      </w:pPr>
      <w:r>
        <w:rPr>
          <w:rFonts w:hint="eastAsia" w:hAnsi="宋体" w:eastAsia="宋体" w:cs="宋体"/>
          <w:sz w:val="24"/>
          <w:szCs w:val="24"/>
          <w:highlight w:val="none"/>
        </w:rPr>
        <w:t>8.1 质量标准</w:t>
      </w:r>
    </w:p>
    <w:p w14:paraId="620EDCAA">
      <w:pPr>
        <w:autoSpaceDE w:val="0"/>
        <w:autoSpaceDN w:val="0"/>
        <w:adjustRightInd w:val="0"/>
        <w:snapToGrid w:val="0"/>
        <w:spacing w:line="40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1）本合同下提供的货物应符合合同约定的品牌、规格型号、技术性能、配置、质量、数量等要求。质量要求不明确的，按照强制性国家标准履行；没有强制性国家标准的，按照推荐性国家标准履行；没有推荐性国家标准的，按照行业标准履行；没有国家标准、行业标准的，按照通常标准或者符合合同目的的特定标准履行。</w:t>
      </w:r>
    </w:p>
    <w:p w14:paraId="6F344E0E">
      <w:pPr>
        <w:pStyle w:val="3"/>
        <w:adjustRightInd w:val="0"/>
        <w:snapToGrid w:val="0"/>
        <w:spacing w:line="400" w:lineRule="exact"/>
        <w:ind w:firstLine="480" w:firstLineChars="200"/>
        <w:jc w:val="left"/>
        <w:rPr>
          <w:rFonts w:hint="eastAsia" w:hAnsi="宋体" w:eastAsia="宋体" w:cs="宋体"/>
          <w:sz w:val="24"/>
          <w:szCs w:val="24"/>
          <w:highlight w:val="none"/>
        </w:rPr>
      </w:pPr>
      <w:r>
        <w:rPr>
          <w:rFonts w:hint="eastAsia" w:hAnsi="宋体" w:eastAsia="宋体" w:cs="宋体"/>
          <w:sz w:val="24"/>
          <w:szCs w:val="24"/>
          <w:highlight w:val="none"/>
        </w:rPr>
        <w:t>（2）采用中华人民共和国法定计量单位。</w:t>
      </w:r>
    </w:p>
    <w:p w14:paraId="44A3694B">
      <w:pPr>
        <w:autoSpaceDE w:val="0"/>
        <w:autoSpaceDN w:val="0"/>
        <w:adjustRightInd w:val="0"/>
        <w:snapToGrid w:val="0"/>
        <w:spacing w:line="40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（3）乙方所提供的货物应符合国家有关安全、环保、卫生的规定。</w:t>
      </w:r>
    </w:p>
    <w:p w14:paraId="4C0B45FA">
      <w:pPr>
        <w:autoSpaceDE w:val="0"/>
        <w:autoSpaceDN w:val="0"/>
        <w:adjustRightInd w:val="0"/>
        <w:snapToGrid w:val="0"/>
        <w:spacing w:line="40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（4）乙方应向甲方提交所提供货物的技术文件，包括相应的中文技术文件，如：产品目录、图纸、操作手册、使用说明、维护手册或服务指南等。上述文件应包装好随货物一同发运。</w:t>
      </w:r>
    </w:p>
    <w:p w14:paraId="67885897">
      <w:pPr>
        <w:autoSpaceDE w:val="0"/>
        <w:autoSpaceDN w:val="0"/>
        <w:adjustRightInd w:val="0"/>
        <w:snapToGrid w:val="0"/>
        <w:spacing w:line="40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8.2 保证</w:t>
      </w:r>
    </w:p>
    <w:p w14:paraId="74BB91B6">
      <w:pPr>
        <w:autoSpaceDE w:val="0"/>
        <w:autoSpaceDN w:val="0"/>
        <w:adjustRightInd w:val="0"/>
        <w:snapToGrid w:val="0"/>
        <w:spacing w:line="40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1）乙方应保证提供的货物完全符合合同规定的质量、规格和性能要求。乙方应保证货物在正确安装、正常使用和保养条件下，在其使用寿命期内具备合同约定的性能。存在质量保证期的，货物最终交付验收合格后在</w:t>
      </w:r>
      <w:r>
        <w:rPr>
          <w:rFonts w:hint="eastAsia" w:ascii="宋体" w:hAnsi="宋体" w:eastAsia="宋体" w:cs="宋体"/>
          <w:b/>
          <w:sz w:val="24"/>
          <w:szCs w:val="24"/>
          <w:highlight w:val="none"/>
        </w:rPr>
        <w:t>【政府采购合同专用条款】</w:t>
      </w:r>
      <w:r>
        <w:rPr>
          <w:rFonts w:hint="eastAsia" w:ascii="宋体" w:hAnsi="宋体" w:eastAsia="宋体" w:cs="宋体"/>
          <w:sz w:val="24"/>
          <w:szCs w:val="24"/>
          <w:highlight w:val="none"/>
        </w:rPr>
        <w:t>规定或乙方书面承诺（两者以较长的为准）的质量保证期内，本保证保持有效。</w:t>
      </w:r>
    </w:p>
    <w:p w14:paraId="5AD1F2CB">
      <w:pPr>
        <w:autoSpaceDE w:val="0"/>
        <w:autoSpaceDN w:val="0"/>
        <w:adjustRightInd w:val="0"/>
        <w:snapToGrid w:val="0"/>
        <w:spacing w:line="40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（2）在质量保证期内所发现的缺陷，甲方应尽快以书面形式通知乙方。</w:t>
      </w:r>
    </w:p>
    <w:p w14:paraId="435C435E">
      <w:pPr>
        <w:autoSpaceDE w:val="0"/>
        <w:autoSpaceDN w:val="0"/>
        <w:adjustRightInd w:val="0"/>
        <w:snapToGrid w:val="0"/>
        <w:spacing w:line="40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（3）乙方收到通知后，应在</w:t>
      </w:r>
      <w:r>
        <w:rPr>
          <w:rFonts w:hint="eastAsia" w:ascii="宋体" w:hAnsi="宋体" w:eastAsia="宋体" w:cs="宋体"/>
          <w:b/>
          <w:sz w:val="24"/>
          <w:szCs w:val="24"/>
          <w:highlight w:val="none"/>
        </w:rPr>
        <w:t>【政府采购合同专用条款】</w:t>
      </w:r>
      <w:r>
        <w:rPr>
          <w:rFonts w:hint="eastAsia" w:ascii="宋体" w:hAnsi="宋体" w:eastAsia="宋体" w:cs="宋体"/>
          <w:sz w:val="24"/>
          <w:szCs w:val="24"/>
          <w:highlight w:val="none"/>
        </w:rPr>
        <w:t>规定的响应时间内以合理的速度免费维修或更换有缺陷的货物或部件。</w:t>
      </w:r>
    </w:p>
    <w:p w14:paraId="45913D06">
      <w:pPr>
        <w:autoSpaceDE w:val="0"/>
        <w:autoSpaceDN w:val="0"/>
        <w:adjustRightInd w:val="0"/>
        <w:snapToGrid w:val="0"/>
        <w:spacing w:line="40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（4）在质量保证期内，如果货物的质量或规格与合同不符，或证实货物是有缺陷的，包括潜在的缺陷或使用不符合要求的材料等，甲方可以根据本合同第15.1条规定以书面形式追究乙方的违约责任。</w:t>
      </w:r>
    </w:p>
    <w:p w14:paraId="6FDEDAC8">
      <w:pPr>
        <w:adjustRightInd w:val="0"/>
        <w:snapToGrid w:val="0"/>
        <w:spacing w:line="40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（5）乙方在约定的时间内未能弥补缺陷，甲方可采取必要的补救措施，但其风险和费用将由乙方承担，甲方根据合同约定对乙方行使的其他权利不受影响。</w:t>
      </w:r>
    </w:p>
    <w:p w14:paraId="537C0F0F">
      <w:pPr>
        <w:adjustRightInd w:val="0"/>
        <w:snapToGrid w:val="0"/>
        <w:spacing w:line="400" w:lineRule="exact"/>
        <w:jc w:val="left"/>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9. 权利瑕疵担保</w:t>
      </w:r>
    </w:p>
    <w:p w14:paraId="595A9B93">
      <w:pPr>
        <w:autoSpaceDE w:val="0"/>
        <w:autoSpaceDN w:val="0"/>
        <w:adjustRightInd w:val="0"/>
        <w:snapToGrid w:val="0"/>
        <w:spacing w:line="40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9.1 乙方保证对其出售的货物享有合法的权利。</w:t>
      </w:r>
    </w:p>
    <w:p w14:paraId="040F2A2D">
      <w:pPr>
        <w:autoSpaceDE w:val="0"/>
        <w:autoSpaceDN w:val="0"/>
        <w:adjustRightInd w:val="0"/>
        <w:snapToGrid w:val="0"/>
        <w:spacing w:line="40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9.2 乙方保证在交付的货物上不存在抵押权等担保物权。</w:t>
      </w:r>
    </w:p>
    <w:p w14:paraId="54D1B6AB">
      <w:pPr>
        <w:autoSpaceDE w:val="0"/>
        <w:autoSpaceDN w:val="0"/>
        <w:adjustRightInd w:val="0"/>
        <w:snapToGrid w:val="0"/>
        <w:spacing w:line="40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9.3 如甲方使用上述货物构成对第三人侵权的，则由乙方承担全部责任。</w:t>
      </w:r>
    </w:p>
    <w:p w14:paraId="0C59B26A">
      <w:pPr>
        <w:autoSpaceDE w:val="0"/>
        <w:autoSpaceDN w:val="0"/>
        <w:adjustRightInd w:val="0"/>
        <w:snapToGrid w:val="0"/>
        <w:spacing w:line="400" w:lineRule="exact"/>
        <w:jc w:val="left"/>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10. 知识产权保护</w:t>
      </w:r>
    </w:p>
    <w:p w14:paraId="681E3C63">
      <w:pPr>
        <w:autoSpaceDE w:val="0"/>
        <w:autoSpaceDN w:val="0"/>
        <w:adjustRightInd w:val="0"/>
        <w:snapToGrid w:val="0"/>
        <w:spacing w:line="40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10.1 乙方对其所销售的货物应当享有知识产权或经权利人合法授权，保证没有侵犯任何第三人的知识产权等权利。</w:t>
      </w:r>
      <w:bookmarkStart w:id="225" w:name="_Hlk163047038"/>
      <w:r>
        <w:rPr>
          <w:rFonts w:hint="eastAsia" w:ascii="宋体" w:hAnsi="宋体" w:eastAsia="宋体" w:cs="宋体"/>
          <w:sz w:val="24"/>
          <w:szCs w:val="24"/>
          <w:highlight w:val="none"/>
        </w:rPr>
        <w:t>因违反前述约定对第三人构成侵权的，应当由乙方向第三人承担法律责任；甲方依法向第三人赔偿后，有权向乙方追偿。甲方有其他损失的，乙方应当赔偿</w:t>
      </w:r>
      <w:bookmarkEnd w:id="225"/>
      <w:r>
        <w:rPr>
          <w:rFonts w:hint="eastAsia" w:ascii="宋体" w:hAnsi="宋体" w:eastAsia="宋体" w:cs="宋体"/>
          <w:sz w:val="24"/>
          <w:szCs w:val="24"/>
          <w:highlight w:val="none"/>
        </w:rPr>
        <w:t>。</w:t>
      </w:r>
    </w:p>
    <w:p w14:paraId="6AFF7E6D">
      <w:pPr>
        <w:autoSpaceDE w:val="0"/>
        <w:autoSpaceDN w:val="0"/>
        <w:adjustRightInd w:val="0"/>
        <w:snapToGrid w:val="0"/>
        <w:spacing w:line="400" w:lineRule="exact"/>
        <w:jc w:val="left"/>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11. 保密义务</w:t>
      </w:r>
    </w:p>
    <w:p w14:paraId="66A1FAFB">
      <w:pPr>
        <w:autoSpaceDE w:val="0"/>
        <w:autoSpaceDN w:val="0"/>
        <w:adjustRightInd w:val="0"/>
        <w:snapToGrid w:val="0"/>
        <w:spacing w:line="40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11.1 甲、乙双方对采购和合同履行过程中所获悉的国家秘密、工作秘密、商业秘密或者其他应当保密的信息，均有保密义务且不受合同有效期所限，直至该信息成为公开信息。泄露、不正当地使用国家秘密、工作秘密、商业秘密或者其他应当保密的信息，应当承担相应责任。其他应当保密的信息由双方在</w:t>
      </w:r>
      <w:r>
        <w:rPr>
          <w:rFonts w:hint="eastAsia" w:ascii="宋体" w:hAnsi="宋体" w:eastAsia="宋体" w:cs="宋体"/>
          <w:b/>
          <w:bCs/>
          <w:sz w:val="24"/>
          <w:szCs w:val="24"/>
          <w:highlight w:val="none"/>
        </w:rPr>
        <w:t>【政府采购合同专用条款】</w:t>
      </w:r>
      <w:r>
        <w:rPr>
          <w:rFonts w:hint="eastAsia" w:ascii="宋体" w:hAnsi="宋体" w:eastAsia="宋体" w:cs="宋体"/>
          <w:sz w:val="24"/>
          <w:szCs w:val="24"/>
          <w:highlight w:val="none"/>
        </w:rPr>
        <w:t>中约定。</w:t>
      </w:r>
    </w:p>
    <w:p w14:paraId="6F2651DD">
      <w:pPr>
        <w:autoSpaceDE w:val="0"/>
        <w:autoSpaceDN w:val="0"/>
        <w:adjustRightInd w:val="0"/>
        <w:snapToGrid w:val="0"/>
        <w:spacing w:line="400" w:lineRule="exact"/>
        <w:jc w:val="left"/>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12. 合同价款支付</w:t>
      </w:r>
    </w:p>
    <w:p w14:paraId="2C1F6D98">
      <w:pPr>
        <w:adjustRightInd w:val="0"/>
        <w:snapToGrid w:val="0"/>
        <w:spacing w:line="40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12.1 合同价款支付按照国库集中支付制度及财政管理相关规定执行。</w:t>
      </w:r>
    </w:p>
    <w:p w14:paraId="4CBC1FAF">
      <w:pPr>
        <w:pStyle w:val="6"/>
        <w:spacing w:line="400" w:lineRule="exact"/>
        <w:ind w:firstLine="480" w:firstLineChars="200"/>
        <w:rPr>
          <w:rFonts w:hint="eastAsia" w:ascii="宋体" w:hAnsi="宋体" w:eastAsia="宋体" w:cs="宋体"/>
          <w:sz w:val="24"/>
          <w:szCs w:val="24"/>
          <w:highlight w:val="none"/>
        </w:rPr>
      </w:pPr>
      <w:bookmarkStart w:id="226" w:name="_Toc15679"/>
      <w:r>
        <w:rPr>
          <w:rFonts w:hint="eastAsia" w:ascii="宋体" w:hAnsi="宋体" w:eastAsia="宋体" w:cs="宋体"/>
          <w:b w:val="0"/>
          <w:bCs w:val="0"/>
          <w:sz w:val="24"/>
          <w:szCs w:val="24"/>
          <w:highlight w:val="none"/>
        </w:rPr>
        <w:t>12.2 对于满足合同约定支付条件的，甲方原则上应当自收到发票后10个工作日内将资金支付到合同约定的乙方账户，不得以机构变动、人员更替、政策调整等为由迟延付款，不得将采购文件和合同中未规定的义务作为向乙方付款的条件。具体合同价款支付时间在【</w:t>
      </w:r>
      <w:r>
        <w:rPr>
          <w:rFonts w:hint="eastAsia" w:ascii="宋体" w:hAnsi="宋体" w:eastAsia="宋体" w:cs="宋体"/>
          <w:sz w:val="24"/>
          <w:szCs w:val="24"/>
          <w:highlight w:val="none"/>
        </w:rPr>
        <w:t>政府采购合同专用条款</w:t>
      </w:r>
      <w:r>
        <w:rPr>
          <w:rFonts w:hint="eastAsia" w:ascii="宋体" w:hAnsi="宋体" w:eastAsia="宋体" w:cs="宋体"/>
          <w:b w:val="0"/>
          <w:bCs w:val="0"/>
          <w:sz w:val="24"/>
          <w:szCs w:val="24"/>
          <w:highlight w:val="none"/>
        </w:rPr>
        <w:t>】中约定。</w:t>
      </w:r>
      <w:bookmarkEnd w:id="226"/>
    </w:p>
    <w:p w14:paraId="681850A4">
      <w:pPr>
        <w:pStyle w:val="9"/>
        <w:spacing w:line="400" w:lineRule="exact"/>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13. 履约保证金</w:t>
      </w:r>
    </w:p>
    <w:p w14:paraId="07DA9C24">
      <w:pPr>
        <w:adjustRightInd w:val="0"/>
        <w:snapToGrid w:val="0"/>
        <w:spacing w:line="40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13.1 乙方应当以支票、汇票、本票或者金融机构、担保机构出具的保函等非现金形式提交。</w:t>
      </w:r>
    </w:p>
    <w:p w14:paraId="68A4CE84">
      <w:pPr>
        <w:adjustRightInd w:val="0"/>
        <w:snapToGrid w:val="0"/>
        <w:spacing w:line="40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13.2 如果乙方出现</w:t>
      </w:r>
      <w:r>
        <w:rPr>
          <w:rFonts w:hint="eastAsia" w:ascii="宋体" w:hAnsi="宋体" w:eastAsia="宋体" w:cs="宋体"/>
          <w:b/>
          <w:bCs/>
          <w:sz w:val="24"/>
          <w:szCs w:val="24"/>
          <w:highlight w:val="none"/>
        </w:rPr>
        <w:t>【政府采购合同专用条款】</w:t>
      </w:r>
      <w:r>
        <w:rPr>
          <w:rFonts w:hint="eastAsia" w:ascii="宋体" w:hAnsi="宋体" w:eastAsia="宋体" w:cs="宋体"/>
          <w:sz w:val="24"/>
          <w:szCs w:val="24"/>
          <w:highlight w:val="none"/>
        </w:rPr>
        <w:t>约定情形的，履约保证金不予退还；如果乙方未能按合同约定全面履行义务，甲方有权从履约保证金中取得补偿或赔偿，且不影响甲方要求乙方承担合同约定的超过履约保证金的违约责任的权利。</w:t>
      </w:r>
    </w:p>
    <w:p w14:paraId="15939C0F">
      <w:pPr>
        <w:spacing w:line="400" w:lineRule="exact"/>
        <w:ind w:firstLine="420"/>
        <w:rPr>
          <w:rFonts w:hint="eastAsia" w:ascii="宋体" w:hAnsi="宋体" w:eastAsia="宋体" w:cs="宋体"/>
          <w:sz w:val="24"/>
          <w:szCs w:val="24"/>
          <w:highlight w:val="none"/>
        </w:rPr>
      </w:pPr>
      <w:r>
        <w:rPr>
          <w:rFonts w:hint="eastAsia" w:ascii="宋体" w:hAnsi="宋体" w:eastAsia="宋体" w:cs="宋体"/>
          <w:sz w:val="24"/>
          <w:szCs w:val="24"/>
          <w:highlight w:val="none"/>
        </w:rPr>
        <w:t>13.3 甲方在项目通过验收后按照</w:t>
      </w:r>
      <w:r>
        <w:rPr>
          <w:rFonts w:hint="eastAsia" w:ascii="宋体" w:hAnsi="宋体" w:eastAsia="宋体" w:cs="宋体"/>
          <w:b/>
          <w:sz w:val="24"/>
          <w:szCs w:val="24"/>
          <w:highlight w:val="none"/>
        </w:rPr>
        <w:t>【政府采购合同专用条款】</w:t>
      </w:r>
      <w:r>
        <w:rPr>
          <w:rFonts w:hint="eastAsia" w:ascii="宋体" w:hAnsi="宋体" w:eastAsia="宋体" w:cs="宋体"/>
          <w:sz w:val="24"/>
          <w:szCs w:val="24"/>
          <w:highlight w:val="none"/>
        </w:rPr>
        <w:t>规定的时间内将履约保证金退还乙方；逾期退还的，乙方可要求甲方支付违约金，违约金按照</w:t>
      </w:r>
      <w:r>
        <w:rPr>
          <w:rFonts w:hint="eastAsia" w:ascii="宋体" w:hAnsi="宋体" w:eastAsia="宋体" w:cs="宋体"/>
          <w:b/>
          <w:sz w:val="24"/>
          <w:szCs w:val="24"/>
          <w:highlight w:val="none"/>
        </w:rPr>
        <w:t>【政府采购合同专用条款】</w:t>
      </w:r>
      <w:r>
        <w:rPr>
          <w:rFonts w:hint="eastAsia" w:ascii="宋体" w:hAnsi="宋体" w:eastAsia="宋体" w:cs="宋体"/>
          <w:sz w:val="24"/>
          <w:szCs w:val="24"/>
          <w:highlight w:val="none"/>
        </w:rPr>
        <w:t>规定支付。</w:t>
      </w:r>
    </w:p>
    <w:p w14:paraId="5AD6B9D3">
      <w:pPr>
        <w:autoSpaceDE w:val="0"/>
        <w:autoSpaceDN w:val="0"/>
        <w:adjustRightInd w:val="0"/>
        <w:snapToGrid w:val="0"/>
        <w:spacing w:line="400" w:lineRule="exact"/>
        <w:jc w:val="left"/>
        <w:rPr>
          <w:rFonts w:hint="eastAsia" w:ascii="宋体" w:hAnsi="宋体" w:eastAsia="宋体" w:cs="宋体"/>
          <w:b/>
          <w:sz w:val="24"/>
          <w:szCs w:val="24"/>
          <w:highlight w:val="none"/>
        </w:rPr>
      </w:pPr>
      <w:r>
        <w:rPr>
          <w:rFonts w:hint="eastAsia" w:ascii="宋体" w:hAnsi="宋体" w:eastAsia="宋体" w:cs="宋体"/>
          <w:b/>
          <w:bCs/>
          <w:sz w:val="24"/>
          <w:szCs w:val="24"/>
          <w:highlight w:val="none"/>
        </w:rPr>
        <w:t xml:space="preserve">14. </w:t>
      </w:r>
      <w:r>
        <w:rPr>
          <w:rFonts w:hint="eastAsia" w:ascii="宋体" w:hAnsi="宋体" w:eastAsia="宋体" w:cs="宋体"/>
          <w:b/>
          <w:sz w:val="24"/>
          <w:szCs w:val="24"/>
          <w:highlight w:val="none"/>
        </w:rPr>
        <w:t>售后服务</w:t>
      </w:r>
    </w:p>
    <w:p w14:paraId="7AA3AD57">
      <w:pPr>
        <w:autoSpaceDE w:val="0"/>
        <w:autoSpaceDN w:val="0"/>
        <w:adjustRightInd w:val="0"/>
        <w:snapToGrid w:val="0"/>
        <w:spacing w:line="40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14.1 除项目不涉及或采购活动中明确约定无须承担外，乙方还应提供下列服务：</w:t>
      </w:r>
    </w:p>
    <w:p w14:paraId="743DCCB3">
      <w:pPr>
        <w:autoSpaceDE w:val="0"/>
        <w:autoSpaceDN w:val="0"/>
        <w:adjustRightInd w:val="0"/>
        <w:snapToGrid w:val="0"/>
        <w:spacing w:line="40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（1）货物的现场移动、安装、调试、启动监督及技术支持；</w:t>
      </w:r>
    </w:p>
    <w:p w14:paraId="01E2F707">
      <w:pPr>
        <w:autoSpaceDE w:val="0"/>
        <w:autoSpaceDN w:val="0"/>
        <w:adjustRightInd w:val="0"/>
        <w:snapToGrid w:val="0"/>
        <w:spacing w:line="40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（2）提供货物组装和维修所需的专用工具和辅助材料；</w:t>
      </w:r>
    </w:p>
    <w:p w14:paraId="7B2B6EBA">
      <w:pPr>
        <w:autoSpaceDE w:val="0"/>
        <w:autoSpaceDN w:val="0"/>
        <w:adjustRightInd w:val="0"/>
        <w:snapToGrid w:val="0"/>
        <w:spacing w:line="40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（3）在</w:t>
      </w:r>
      <w:r>
        <w:rPr>
          <w:rFonts w:hint="eastAsia" w:ascii="宋体" w:hAnsi="宋体" w:eastAsia="宋体" w:cs="宋体"/>
          <w:b/>
          <w:bCs/>
          <w:sz w:val="24"/>
          <w:szCs w:val="24"/>
          <w:highlight w:val="none"/>
        </w:rPr>
        <w:t>【政府采购合同专用条款】</w:t>
      </w:r>
      <w:r>
        <w:rPr>
          <w:rFonts w:hint="eastAsia" w:ascii="宋体" w:hAnsi="宋体" w:eastAsia="宋体" w:cs="宋体"/>
          <w:sz w:val="24"/>
          <w:szCs w:val="24"/>
          <w:highlight w:val="none"/>
        </w:rPr>
        <w:t>约定的期限内对所有的货物实施运行监督、维修，但前提条件是该服务并不能免除乙方在质量保证期内所承担的义务；</w:t>
      </w:r>
    </w:p>
    <w:p w14:paraId="4C43D5B3">
      <w:pPr>
        <w:autoSpaceDE w:val="0"/>
        <w:autoSpaceDN w:val="0"/>
        <w:adjustRightInd w:val="0"/>
        <w:snapToGrid w:val="0"/>
        <w:spacing w:line="40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（4）在制造商所在地或指定现场就货物的安装、启动、运营、维护、废弃处置等对甲方操作人员进行培训；</w:t>
      </w:r>
    </w:p>
    <w:p w14:paraId="616A15CF">
      <w:pPr>
        <w:pStyle w:val="63"/>
        <w:ind w:firstLine="480"/>
        <w:rPr>
          <w:rFonts w:hint="eastAsia" w:ascii="宋体" w:hAnsi="宋体" w:eastAsia="宋体" w:cs="宋体"/>
          <w:sz w:val="24"/>
          <w:szCs w:val="24"/>
          <w:highlight w:val="none"/>
        </w:rPr>
      </w:pPr>
      <w:r>
        <w:rPr>
          <w:rFonts w:hint="eastAsia" w:ascii="宋体" w:hAnsi="宋体" w:eastAsia="宋体" w:cs="宋体"/>
          <w:sz w:val="24"/>
          <w:szCs w:val="24"/>
          <w:highlight w:val="none"/>
        </w:rPr>
        <w:t>（5）依照法律、行政法规的规定或者按照</w:t>
      </w:r>
      <w:r>
        <w:rPr>
          <w:rFonts w:hint="eastAsia" w:ascii="宋体" w:hAnsi="宋体" w:eastAsia="宋体" w:cs="宋体"/>
          <w:b/>
          <w:bCs/>
          <w:sz w:val="24"/>
          <w:szCs w:val="24"/>
          <w:highlight w:val="none"/>
        </w:rPr>
        <w:t>【政府采购合同专用条款】</w:t>
      </w:r>
      <w:r>
        <w:rPr>
          <w:rFonts w:hint="eastAsia" w:ascii="宋体" w:hAnsi="宋体" w:eastAsia="宋体" w:cs="宋体"/>
          <w:sz w:val="24"/>
          <w:szCs w:val="24"/>
          <w:highlight w:val="none"/>
        </w:rPr>
        <w:t>约定，货物在有效使用年限届满后应予回收的，乙方负有自行或者委托第三人对货物予以回收的义务；</w:t>
      </w:r>
    </w:p>
    <w:p w14:paraId="3DD3819D">
      <w:pPr>
        <w:autoSpaceDE w:val="0"/>
        <w:autoSpaceDN w:val="0"/>
        <w:adjustRightInd w:val="0"/>
        <w:snapToGrid w:val="0"/>
        <w:spacing w:line="40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（6）</w:t>
      </w:r>
      <w:r>
        <w:rPr>
          <w:rFonts w:hint="eastAsia" w:ascii="宋体" w:hAnsi="宋体" w:eastAsia="宋体" w:cs="宋体"/>
          <w:b/>
          <w:sz w:val="24"/>
          <w:szCs w:val="24"/>
          <w:highlight w:val="none"/>
        </w:rPr>
        <w:t>【政府采购合同专用条款】</w:t>
      </w:r>
      <w:r>
        <w:rPr>
          <w:rFonts w:hint="eastAsia" w:ascii="宋体" w:hAnsi="宋体" w:eastAsia="宋体" w:cs="宋体"/>
          <w:sz w:val="24"/>
          <w:szCs w:val="24"/>
          <w:highlight w:val="none"/>
        </w:rPr>
        <w:t>规定由乙方提供的其他服务。</w:t>
      </w:r>
    </w:p>
    <w:p w14:paraId="76202E96">
      <w:pPr>
        <w:autoSpaceDE w:val="0"/>
        <w:autoSpaceDN w:val="0"/>
        <w:adjustRightInd w:val="0"/>
        <w:snapToGrid w:val="0"/>
        <w:spacing w:line="40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14.2 乙方提供的售后服务的费用已包含在合同价款中，甲方不再另行支付。</w:t>
      </w:r>
    </w:p>
    <w:p w14:paraId="4BA8266E">
      <w:pPr>
        <w:adjustRightInd w:val="0"/>
        <w:snapToGrid w:val="0"/>
        <w:spacing w:line="400" w:lineRule="exact"/>
        <w:jc w:val="left"/>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15. 违约责任</w:t>
      </w:r>
    </w:p>
    <w:p w14:paraId="0CD72035">
      <w:pPr>
        <w:adjustRightInd w:val="0"/>
        <w:snapToGrid w:val="0"/>
        <w:spacing w:line="400" w:lineRule="exact"/>
        <w:ind w:firstLine="480" w:firstLineChars="200"/>
        <w:jc w:val="left"/>
        <w:rPr>
          <w:rFonts w:hint="eastAsia" w:ascii="宋体" w:hAnsi="宋体" w:eastAsia="宋体" w:cs="宋体"/>
          <w:bCs/>
          <w:sz w:val="24"/>
          <w:szCs w:val="24"/>
          <w:highlight w:val="none"/>
        </w:rPr>
      </w:pPr>
      <w:r>
        <w:rPr>
          <w:rFonts w:hint="eastAsia" w:ascii="宋体" w:hAnsi="宋体" w:eastAsia="宋体" w:cs="宋体"/>
          <w:bCs/>
          <w:sz w:val="24"/>
          <w:szCs w:val="24"/>
          <w:highlight w:val="none"/>
        </w:rPr>
        <w:t>15.1质量瑕疵的违约责任</w:t>
      </w:r>
    </w:p>
    <w:p w14:paraId="33FB475A">
      <w:pPr>
        <w:autoSpaceDE w:val="0"/>
        <w:autoSpaceDN w:val="0"/>
        <w:adjustRightInd w:val="0"/>
        <w:snapToGrid w:val="0"/>
        <w:spacing w:line="40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乙方提供的产品不符合合同约定的质量标准或存在产品质量缺陷，甲方有权要求乙方根据</w:t>
      </w:r>
      <w:r>
        <w:rPr>
          <w:rFonts w:hint="eastAsia" w:ascii="宋体" w:hAnsi="宋体" w:eastAsia="宋体" w:cs="宋体"/>
          <w:b/>
          <w:sz w:val="24"/>
          <w:szCs w:val="24"/>
          <w:highlight w:val="none"/>
        </w:rPr>
        <w:t>【政府采购合同专用条款】</w:t>
      </w:r>
      <w:r>
        <w:rPr>
          <w:rFonts w:hint="eastAsia" w:ascii="宋体" w:hAnsi="宋体" w:eastAsia="宋体" w:cs="宋体"/>
          <w:bCs/>
          <w:sz w:val="24"/>
          <w:szCs w:val="24"/>
          <w:highlight w:val="none"/>
        </w:rPr>
        <w:t>要求</w:t>
      </w:r>
      <w:r>
        <w:rPr>
          <w:rFonts w:hint="eastAsia" w:ascii="宋体" w:hAnsi="宋体" w:eastAsia="宋体" w:cs="宋体"/>
          <w:sz w:val="24"/>
          <w:szCs w:val="24"/>
          <w:highlight w:val="none"/>
        </w:rPr>
        <w:t>及时修理、重作、更换，并承担由此给甲方造成的损失。</w:t>
      </w:r>
    </w:p>
    <w:p w14:paraId="49ED2714">
      <w:pPr>
        <w:autoSpaceDE w:val="0"/>
        <w:autoSpaceDN w:val="0"/>
        <w:adjustRightInd w:val="0"/>
        <w:snapToGrid w:val="0"/>
        <w:spacing w:line="400" w:lineRule="exact"/>
        <w:ind w:firstLine="480" w:firstLineChars="200"/>
        <w:jc w:val="left"/>
        <w:rPr>
          <w:rFonts w:hint="eastAsia" w:ascii="宋体" w:hAnsi="宋体" w:eastAsia="宋体" w:cs="宋体"/>
          <w:bCs/>
          <w:sz w:val="24"/>
          <w:szCs w:val="24"/>
          <w:highlight w:val="none"/>
        </w:rPr>
      </w:pPr>
      <w:r>
        <w:rPr>
          <w:rFonts w:hint="eastAsia" w:ascii="宋体" w:hAnsi="宋体" w:eastAsia="宋体" w:cs="宋体"/>
          <w:bCs/>
          <w:sz w:val="24"/>
          <w:szCs w:val="24"/>
          <w:highlight w:val="none"/>
        </w:rPr>
        <w:t>15.2 迟延交货的违约责任</w:t>
      </w:r>
    </w:p>
    <w:p w14:paraId="2A010CDF">
      <w:pPr>
        <w:autoSpaceDE w:val="0"/>
        <w:autoSpaceDN w:val="0"/>
        <w:adjustRightInd w:val="0"/>
        <w:snapToGrid w:val="0"/>
        <w:spacing w:line="40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1）乙方应按照本合同规定的时间、地点交货和提供相关服务。在履行合同过程中，如果乙方遇到可能影响按时交货和提供服务的情形时，应及时以书面形式将迟延的事实、可能迟延的期限和理由通知甲方。甲方在收到乙方通知后，应尽快对情况进行评价，并确定是否同意延长交货时间或延期提供服务。</w:t>
      </w:r>
    </w:p>
    <w:p w14:paraId="0557A25A">
      <w:pPr>
        <w:autoSpaceDE w:val="0"/>
        <w:autoSpaceDN w:val="0"/>
        <w:adjustRightInd w:val="0"/>
        <w:snapToGrid w:val="0"/>
        <w:spacing w:line="40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（2）如果乙方没有按照合同规定的时间交货和提供相关服务，甲方有权从货款中扣除误期赔偿费而不影响合同项下的其他补救方法，赔偿费按</w:t>
      </w:r>
      <w:r>
        <w:rPr>
          <w:rFonts w:hint="eastAsia" w:ascii="宋体" w:hAnsi="宋体" w:eastAsia="宋体" w:cs="宋体"/>
          <w:b/>
          <w:sz w:val="24"/>
          <w:szCs w:val="24"/>
          <w:highlight w:val="none"/>
        </w:rPr>
        <w:t>【政府采购合同专用条款】</w:t>
      </w:r>
      <w:r>
        <w:rPr>
          <w:rFonts w:hint="eastAsia" w:ascii="宋体" w:hAnsi="宋体" w:eastAsia="宋体" w:cs="宋体"/>
          <w:sz w:val="24"/>
          <w:szCs w:val="24"/>
          <w:highlight w:val="none"/>
        </w:rPr>
        <w:t>规定执行。如果涉及公共利益，且赔偿金额无法弥补公共利益损失，甲方可要求继续履行或者采取其他补救措施。</w:t>
      </w:r>
    </w:p>
    <w:p w14:paraId="0DFC1A49">
      <w:pPr>
        <w:autoSpaceDE w:val="0"/>
        <w:autoSpaceDN w:val="0"/>
        <w:adjustRightInd w:val="0"/>
        <w:snapToGrid w:val="0"/>
        <w:spacing w:line="40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15.3 迟延支付的违约责任</w:t>
      </w:r>
    </w:p>
    <w:p w14:paraId="1B890FDB">
      <w:pPr>
        <w:autoSpaceDE w:val="0"/>
        <w:autoSpaceDN w:val="0"/>
        <w:adjustRightInd w:val="0"/>
        <w:snapToGrid w:val="0"/>
        <w:spacing w:line="40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甲方存在迟延支付乙方合同款项的，应当承担</w:t>
      </w:r>
      <w:r>
        <w:rPr>
          <w:rFonts w:hint="eastAsia" w:ascii="宋体" w:hAnsi="宋体" w:eastAsia="宋体" w:cs="宋体"/>
          <w:b/>
          <w:bCs/>
          <w:sz w:val="24"/>
          <w:szCs w:val="24"/>
          <w:highlight w:val="none"/>
        </w:rPr>
        <w:t>【政府采购合同专用条款】</w:t>
      </w:r>
      <w:r>
        <w:rPr>
          <w:rFonts w:hint="eastAsia" w:ascii="宋体" w:hAnsi="宋体" w:eastAsia="宋体" w:cs="宋体"/>
          <w:sz w:val="24"/>
          <w:szCs w:val="24"/>
          <w:highlight w:val="none"/>
        </w:rPr>
        <w:t>规定的逾期付款利息。</w:t>
      </w:r>
    </w:p>
    <w:p w14:paraId="7431F3E9">
      <w:pPr>
        <w:adjustRightInd w:val="0"/>
        <w:snapToGrid w:val="0"/>
        <w:spacing w:line="40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bCs/>
          <w:sz w:val="24"/>
          <w:szCs w:val="24"/>
          <w:highlight w:val="none"/>
        </w:rPr>
        <w:t>15.4其他违约责任根据项目实际需要按</w:t>
      </w:r>
      <w:r>
        <w:rPr>
          <w:rFonts w:hint="eastAsia" w:ascii="宋体" w:hAnsi="宋体" w:eastAsia="宋体" w:cs="宋体"/>
          <w:b/>
          <w:bCs/>
          <w:sz w:val="24"/>
          <w:szCs w:val="24"/>
          <w:highlight w:val="none"/>
        </w:rPr>
        <w:t>【政府采购合同专用条款】</w:t>
      </w:r>
      <w:r>
        <w:rPr>
          <w:rFonts w:hint="eastAsia" w:ascii="宋体" w:hAnsi="宋体" w:eastAsia="宋体" w:cs="宋体"/>
          <w:sz w:val="24"/>
          <w:szCs w:val="24"/>
          <w:highlight w:val="none"/>
        </w:rPr>
        <w:t>规定执行。</w:t>
      </w:r>
    </w:p>
    <w:p w14:paraId="3B672A0E">
      <w:pPr>
        <w:numPr>
          <w:ilvl w:val="0"/>
          <w:numId w:val="6"/>
        </w:numPr>
        <w:autoSpaceDE w:val="0"/>
        <w:autoSpaceDN w:val="0"/>
        <w:adjustRightInd w:val="0"/>
        <w:snapToGrid w:val="0"/>
        <w:spacing w:line="400" w:lineRule="exact"/>
        <w:jc w:val="left"/>
        <w:rPr>
          <w:rFonts w:hint="eastAsia" w:ascii="宋体" w:hAnsi="宋体" w:eastAsia="宋体" w:cs="宋体"/>
          <w:b/>
          <w:sz w:val="24"/>
          <w:szCs w:val="24"/>
          <w:highlight w:val="none"/>
        </w:rPr>
      </w:pPr>
      <w:r>
        <w:rPr>
          <w:rFonts w:hint="eastAsia" w:ascii="宋体" w:hAnsi="宋体" w:eastAsia="宋体" w:cs="宋体"/>
          <w:b/>
          <w:sz w:val="24"/>
          <w:szCs w:val="24"/>
          <w:highlight w:val="none"/>
        </w:rPr>
        <w:t>合同变更、中止与终止</w:t>
      </w:r>
    </w:p>
    <w:p w14:paraId="7FC53106">
      <w:pPr>
        <w:adjustRightInd w:val="0"/>
        <w:snapToGrid w:val="0"/>
        <w:spacing w:line="400" w:lineRule="exact"/>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16.1合同的变更</w:t>
      </w:r>
    </w:p>
    <w:p w14:paraId="4AF6C07E">
      <w:pPr>
        <w:autoSpaceDE w:val="0"/>
        <w:autoSpaceDN w:val="0"/>
        <w:adjustRightInd w:val="0"/>
        <w:snapToGrid w:val="0"/>
        <w:spacing w:line="40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政府采购合同履行中，在不改变合同其他条款的前提下，甲方可以在合同价款10%的范围内追加与合同标的相同的货物，并就此与乙方协商一致后签订补充协议。</w:t>
      </w:r>
    </w:p>
    <w:p w14:paraId="774391CA">
      <w:pPr>
        <w:adjustRightInd w:val="0"/>
        <w:snapToGrid w:val="0"/>
        <w:spacing w:line="40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16.2合同的中止</w:t>
      </w:r>
    </w:p>
    <w:p w14:paraId="763CE16C">
      <w:pPr>
        <w:autoSpaceDE w:val="0"/>
        <w:autoSpaceDN w:val="0"/>
        <w:adjustRightInd w:val="0"/>
        <w:snapToGrid w:val="0"/>
        <w:spacing w:line="40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（1）合同履行过程中因供应商就采购文件、采购过程或结果提起投诉的，甲方认为有必要的，可以中止合同的履行。</w:t>
      </w:r>
    </w:p>
    <w:p w14:paraId="18A0F3EF">
      <w:pPr>
        <w:autoSpaceDE w:val="0"/>
        <w:autoSpaceDN w:val="0"/>
        <w:adjustRightInd w:val="0"/>
        <w:snapToGrid w:val="0"/>
        <w:spacing w:line="40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2）合同履行过程中，如果乙方出现以下情形之一的：1．经营状况严重恶化；2．转移财产、抽逃资金，以逃避债务；3．丧失商业信誉；4．有丧失或者可能丧失履约能力的其他情形，乙方有义务及时告知甲方。甲方有权以书面形式通知乙方中止合同并要求乙方在合理期限内消除相关情形或者提供适当担保。乙方提供适当担保的，合同继续履行；乙方在合理期限内未恢复履约能力且未提供适当担保的，视为拒绝继续履约，甲方有权解除合同并要求乙方承担由此给甲方造成的损失。</w:t>
      </w:r>
    </w:p>
    <w:p w14:paraId="71BAC980">
      <w:pPr>
        <w:pStyle w:val="63"/>
        <w:ind w:firstLine="480"/>
        <w:jc w:val="both"/>
        <w:rPr>
          <w:rFonts w:hint="eastAsia" w:ascii="宋体" w:hAnsi="宋体" w:eastAsia="宋体" w:cs="宋体"/>
          <w:sz w:val="24"/>
          <w:szCs w:val="24"/>
          <w:highlight w:val="none"/>
        </w:rPr>
      </w:pPr>
      <w:r>
        <w:rPr>
          <w:rFonts w:hint="eastAsia" w:ascii="宋体" w:hAnsi="宋体" w:eastAsia="宋体" w:cs="宋体"/>
          <w:sz w:val="24"/>
          <w:szCs w:val="24"/>
          <w:highlight w:val="none"/>
        </w:rPr>
        <w:t>（3）乙方分立、合并或者变更住所的，应当及时以书面形式告知甲方。乙方没有及时告知甲方，致使合同履行发生困难的，甲方可以中止合同履行并要求乙方承担由此给甲方造成的损失。</w:t>
      </w:r>
    </w:p>
    <w:p w14:paraId="25D11DC0">
      <w:pPr>
        <w:snapToGrid w:val="0"/>
        <w:spacing w:line="40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（4）甲方不得以行政区划调整、政府换届、机构或者职能调整以及相关责任人更替为由中止合同。</w:t>
      </w:r>
    </w:p>
    <w:p w14:paraId="626F181A">
      <w:pPr>
        <w:adjustRightInd w:val="0"/>
        <w:snapToGrid w:val="0"/>
        <w:spacing w:line="40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16.3合同的终止</w:t>
      </w:r>
    </w:p>
    <w:p w14:paraId="5AFC96FA">
      <w:pPr>
        <w:autoSpaceDE w:val="0"/>
        <w:autoSpaceDN w:val="0"/>
        <w:adjustRightInd w:val="0"/>
        <w:snapToGrid w:val="0"/>
        <w:spacing w:line="40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（1）合同因有效期限届满而终止；</w:t>
      </w:r>
    </w:p>
    <w:p w14:paraId="2738E67D">
      <w:pPr>
        <w:snapToGrid w:val="0"/>
        <w:spacing w:line="400" w:lineRule="exact"/>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（2）乙方未按合同约定履行，构成根本性违约的，甲方有权终止合同，并追究乙方的违约责任。</w:t>
      </w:r>
    </w:p>
    <w:p w14:paraId="4CEF11F1">
      <w:pPr>
        <w:pStyle w:val="63"/>
        <w:ind w:firstLine="480"/>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16.4 </w:t>
      </w:r>
      <w:r>
        <w:rPr>
          <w:rFonts w:hint="eastAsia" w:ascii="宋体" w:hAnsi="宋体" w:eastAsia="宋体" w:cs="宋体"/>
          <w:kern w:val="2"/>
          <w:sz w:val="24"/>
          <w:szCs w:val="24"/>
          <w:highlight w:val="none"/>
        </w:rPr>
        <w:t>涉及国家利益、社会公共利益的情形</w:t>
      </w:r>
    </w:p>
    <w:p w14:paraId="0A901DCD">
      <w:pPr>
        <w:pStyle w:val="63"/>
        <w:ind w:firstLine="480"/>
        <w:jc w:val="both"/>
        <w:rPr>
          <w:rFonts w:hint="eastAsia" w:ascii="宋体" w:hAnsi="宋体" w:eastAsia="宋体" w:cs="宋体"/>
          <w:sz w:val="24"/>
          <w:szCs w:val="24"/>
          <w:highlight w:val="none"/>
        </w:rPr>
      </w:pPr>
      <w:r>
        <w:rPr>
          <w:rFonts w:hint="eastAsia" w:ascii="宋体" w:hAnsi="宋体" w:eastAsia="宋体" w:cs="宋体"/>
          <w:sz w:val="24"/>
          <w:szCs w:val="24"/>
          <w:highlight w:val="none"/>
        </w:rPr>
        <w:t>政府采购合同继续履行将损害国家利益和社会公共利益的，双方当事人应当变更、中止或者终止合同。有过错的一方应当承担赔偿责任，双方都有过错的，各自承担相应的责任。</w:t>
      </w:r>
    </w:p>
    <w:p w14:paraId="55D3ED61">
      <w:pPr>
        <w:autoSpaceDE w:val="0"/>
        <w:autoSpaceDN w:val="0"/>
        <w:adjustRightInd w:val="0"/>
        <w:snapToGrid w:val="0"/>
        <w:spacing w:line="400" w:lineRule="exact"/>
        <w:jc w:val="left"/>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17. 合同分包</w:t>
      </w:r>
    </w:p>
    <w:p w14:paraId="3E468D03">
      <w:pPr>
        <w:autoSpaceDE w:val="0"/>
        <w:autoSpaceDN w:val="0"/>
        <w:adjustRightInd w:val="0"/>
        <w:snapToGrid w:val="0"/>
        <w:spacing w:line="40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17.1 乙方不得将合同转包给其他供应商。涉及合同分包的，乙方应根据采购文件和投标（响应）文件规定进行合同分包。</w:t>
      </w:r>
    </w:p>
    <w:p w14:paraId="339C7FB6">
      <w:pPr>
        <w:autoSpaceDE w:val="0"/>
        <w:autoSpaceDN w:val="0"/>
        <w:adjustRightInd w:val="0"/>
        <w:snapToGrid w:val="0"/>
        <w:spacing w:line="40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17.2 乙方执行政府采购政策向中小企业依法分包的，乙方应当按采购文件和投标（响应）文件签订分包意向协议，分包意向协议属于本合同组成部分。</w:t>
      </w:r>
    </w:p>
    <w:p w14:paraId="15DC37DF">
      <w:pPr>
        <w:autoSpaceDE w:val="0"/>
        <w:autoSpaceDN w:val="0"/>
        <w:adjustRightInd w:val="0"/>
        <w:snapToGrid w:val="0"/>
        <w:spacing w:line="400" w:lineRule="exact"/>
        <w:jc w:val="left"/>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18. 不可抗力</w:t>
      </w:r>
    </w:p>
    <w:p w14:paraId="3C5815D1">
      <w:pPr>
        <w:autoSpaceDE w:val="0"/>
        <w:autoSpaceDN w:val="0"/>
        <w:adjustRightInd w:val="0"/>
        <w:snapToGrid w:val="0"/>
        <w:spacing w:line="40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18.1 不可抗力是指合同双方不能预见、不能避免且不能克服的客观情况。</w:t>
      </w:r>
    </w:p>
    <w:p w14:paraId="1A49C86C">
      <w:pPr>
        <w:autoSpaceDE w:val="0"/>
        <w:autoSpaceDN w:val="0"/>
        <w:adjustRightInd w:val="0"/>
        <w:snapToGrid w:val="0"/>
        <w:spacing w:line="40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18.2 任何一方对由于不可抗力造成的部分或全部不能履行合同不承担违约责任。但迟延履行后发生不可抗力的，不能免除责任。</w:t>
      </w:r>
    </w:p>
    <w:p w14:paraId="1B9A9461">
      <w:pPr>
        <w:autoSpaceDE w:val="0"/>
        <w:autoSpaceDN w:val="0"/>
        <w:adjustRightInd w:val="0"/>
        <w:snapToGrid w:val="0"/>
        <w:spacing w:line="40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18.3 遇有不可抗力的一方，应及时将事件情况以书面形式告知另一方，并在事件发生后及时向另一方提交合同不能履行或部分不能履行或需要延期履行的详细报告，以及证明不可抗力发生及其持续时间的证据。</w:t>
      </w:r>
    </w:p>
    <w:p w14:paraId="143B091C">
      <w:pPr>
        <w:autoSpaceDE w:val="0"/>
        <w:autoSpaceDN w:val="0"/>
        <w:adjustRightInd w:val="0"/>
        <w:snapToGrid w:val="0"/>
        <w:spacing w:line="400" w:lineRule="exact"/>
        <w:jc w:val="left"/>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19. 解决争议的方法</w:t>
      </w:r>
    </w:p>
    <w:p w14:paraId="37D92FAB">
      <w:pPr>
        <w:pStyle w:val="63"/>
        <w:ind w:firstLine="480"/>
        <w:jc w:val="both"/>
        <w:rPr>
          <w:rFonts w:hint="eastAsia" w:ascii="宋体" w:hAnsi="宋体" w:eastAsia="宋体" w:cs="宋体"/>
          <w:sz w:val="24"/>
          <w:szCs w:val="24"/>
          <w:highlight w:val="none"/>
        </w:rPr>
      </w:pPr>
      <w:r>
        <w:rPr>
          <w:rFonts w:hint="eastAsia" w:ascii="宋体" w:hAnsi="宋体" w:eastAsia="宋体" w:cs="宋体"/>
          <w:sz w:val="24"/>
          <w:szCs w:val="24"/>
          <w:highlight w:val="none"/>
        </w:rPr>
        <w:t>19.1 因本合同及合同有关事项发生的争议，由甲乙双方友好协商解决。协商不成时，可以向有关组织申请调解。合同一方或双方不愿调解或调解不成的，可以通过仲裁或诉讼的方式解决争议。</w:t>
      </w:r>
    </w:p>
    <w:p w14:paraId="22068B50">
      <w:pPr>
        <w:pStyle w:val="63"/>
        <w:ind w:firstLine="480"/>
        <w:jc w:val="both"/>
        <w:rPr>
          <w:rFonts w:hint="eastAsia" w:ascii="宋体" w:hAnsi="宋体" w:eastAsia="宋体" w:cs="宋体"/>
          <w:sz w:val="24"/>
          <w:szCs w:val="24"/>
          <w:highlight w:val="none"/>
        </w:rPr>
      </w:pPr>
      <w:r>
        <w:rPr>
          <w:rFonts w:hint="eastAsia" w:ascii="宋体" w:hAnsi="宋体" w:eastAsia="宋体" w:cs="宋体"/>
          <w:sz w:val="24"/>
          <w:szCs w:val="24"/>
          <w:highlight w:val="none"/>
        </w:rPr>
        <w:t>19.2 选择仲裁的，应在</w:t>
      </w:r>
      <w:r>
        <w:rPr>
          <w:rFonts w:hint="eastAsia" w:ascii="宋体" w:hAnsi="宋体" w:eastAsia="宋体" w:cs="宋体"/>
          <w:b/>
          <w:bCs/>
          <w:sz w:val="24"/>
          <w:szCs w:val="24"/>
          <w:highlight w:val="none"/>
        </w:rPr>
        <w:t>【政府采购合同专用条款】</w:t>
      </w:r>
      <w:r>
        <w:rPr>
          <w:rFonts w:hint="eastAsia" w:ascii="宋体" w:hAnsi="宋体" w:eastAsia="宋体" w:cs="宋体"/>
          <w:sz w:val="24"/>
          <w:szCs w:val="24"/>
          <w:highlight w:val="none"/>
        </w:rPr>
        <w:t>中明确仲裁机构及仲裁地；通过诉讼方式解决的，可以在</w:t>
      </w:r>
      <w:r>
        <w:rPr>
          <w:rFonts w:hint="eastAsia" w:ascii="宋体" w:hAnsi="宋体" w:eastAsia="宋体" w:cs="宋体"/>
          <w:b/>
          <w:bCs/>
          <w:sz w:val="24"/>
          <w:szCs w:val="24"/>
          <w:highlight w:val="none"/>
        </w:rPr>
        <w:t>【政府采购合同专用条款】</w:t>
      </w:r>
      <w:r>
        <w:rPr>
          <w:rFonts w:hint="eastAsia" w:ascii="宋体" w:hAnsi="宋体" w:eastAsia="宋体" w:cs="宋体"/>
          <w:sz w:val="24"/>
          <w:szCs w:val="24"/>
          <w:highlight w:val="none"/>
        </w:rPr>
        <w:t>中进一步约定选择与争议有实际联系的地点的人民法院管辖，但管辖法院的约定不得违反级别管辖和专属管辖的规定。</w:t>
      </w:r>
    </w:p>
    <w:p w14:paraId="701B4DE2">
      <w:pPr>
        <w:pStyle w:val="63"/>
        <w:ind w:firstLine="480"/>
        <w:jc w:val="both"/>
        <w:rPr>
          <w:rFonts w:hint="eastAsia" w:ascii="宋体" w:hAnsi="宋体" w:eastAsia="宋体" w:cs="宋体"/>
          <w:sz w:val="24"/>
          <w:szCs w:val="24"/>
          <w:highlight w:val="none"/>
        </w:rPr>
      </w:pPr>
      <w:r>
        <w:rPr>
          <w:rFonts w:hint="eastAsia" w:ascii="宋体" w:hAnsi="宋体" w:eastAsia="宋体" w:cs="宋体"/>
          <w:sz w:val="24"/>
          <w:szCs w:val="24"/>
          <w:highlight w:val="none"/>
        </w:rPr>
        <w:t>19.3 如甲乙双方有争议的事项不影响合同其他部分的履行，在争议解决期间，合同其他部分应当继续履行。</w:t>
      </w:r>
    </w:p>
    <w:p w14:paraId="6287BE6D">
      <w:pPr>
        <w:autoSpaceDE w:val="0"/>
        <w:autoSpaceDN w:val="0"/>
        <w:adjustRightInd w:val="0"/>
        <w:snapToGrid w:val="0"/>
        <w:spacing w:line="400" w:lineRule="exact"/>
        <w:jc w:val="left"/>
        <w:rPr>
          <w:rFonts w:hint="eastAsia" w:ascii="宋体" w:hAnsi="宋体" w:eastAsia="宋体" w:cs="宋体"/>
          <w:sz w:val="24"/>
          <w:szCs w:val="24"/>
          <w:highlight w:val="none"/>
        </w:rPr>
      </w:pPr>
      <w:r>
        <w:rPr>
          <w:rFonts w:hint="eastAsia" w:ascii="宋体" w:hAnsi="宋体" w:eastAsia="宋体" w:cs="宋体"/>
          <w:b/>
          <w:sz w:val="24"/>
          <w:szCs w:val="24"/>
          <w:highlight w:val="none"/>
        </w:rPr>
        <w:t>20. 政府采购政策</w:t>
      </w:r>
    </w:p>
    <w:p w14:paraId="0CA14806">
      <w:pPr>
        <w:autoSpaceDE w:val="0"/>
        <w:autoSpaceDN w:val="0"/>
        <w:adjustRightInd w:val="0"/>
        <w:snapToGrid w:val="0"/>
        <w:spacing w:line="40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20.1 </w:t>
      </w:r>
      <w:r>
        <w:rPr>
          <w:rFonts w:hint="eastAsia" w:ascii="宋体" w:hAnsi="宋体" w:eastAsia="宋体" w:cs="宋体"/>
          <w:sz w:val="24"/>
          <w:szCs w:val="24"/>
          <w:highlight w:val="none"/>
          <w:lang w:val="en-GB"/>
        </w:rPr>
        <w:t>本合同应当按照规定执行政府采购政策。</w:t>
      </w:r>
    </w:p>
    <w:p w14:paraId="2254BB4A">
      <w:pPr>
        <w:autoSpaceDE w:val="0"/>
        <w:autoSpaceDN w:val="0"/>
        <w:adjustRightInd w:val="0"/>
        <w:snapToGrid w:val="0"/>
        <w:spacing w:line="40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20.2 本合同依法执行政府采购政策的方式和内容，属于合同履约验收的范围。甲乙双方</w:t>
      </w:r>
      <w:r>
        <w:rPr>
          <w:rFonts w:hint="eastAsia" w:ascii="宋体" w:hAnsi="宋体" w:eastAsia="宋体" w:cs="宋体"/>
          <w:sz w:val="24"/>
          <w:szCs w:val="24"/>
          <w:highlight w:val="none"/>
          <w:lang w:val="en-GB"/>
        </w:rPr>
        <w:t>未按规定要求执行政府采购政策造成损失的</w:t>
      </w:r>
      <w:r>
        <w:rPr>
          <w:rFonts w:hint="eastAsia" w:ascii="宋体" w:hAnsi="宋体" w:eastAsia="宋体" w:cs="宋体"/>
          <w:sz w:val="24"/>
          <w:szCs w:val="24"/>
          <w:highlight w:val="none"/>
        </w:rPr>
        <w:t>，有过错的一方应当承担赔偿责任，双方都有过错的，各自承担相应的责任。</w:t>
      </w:r>
    </w:p>
    <w:p w14:paraId="27A1C6B3">
      <w:pPr>
        <w:pStyle w:val="9"/>
        <w:spacing w:line="400" w:lineRule="exact"/>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20.3 对于为落实中小企业支持政策，通过采购项目整体预留、设置采购包专门预留、要求以联合体形式参加或者合同分包等措施签订的采购合同，应当明确标注本合同为中小企业预留合同。其中，要求以联合体形式参加采购活动或者合同分包的，须将联合协议或者分包意向协议作为采购合同的组成部分。</w:t>
      </w:r>
    </w:p>
    <w:p w14:paraId="04507914">
      <w:pPr>
        <w:autoSpaceDE w:val="0"/>
        <w:autoSpaceDN w:val="0"/>
        <w:adjustRightInd w:val="0"/>
        <w:snapToGrid w:val="0"/>
        <w:spacing w:line="400" w:lineRule="exact"/>
        <w:jc w:val="left"/>
        <w:rPr>
          <w:rFonts w:hint="eastAsia" w:ascii="宋体" w:hAnsi="宋体" w:eastAsia="宋体" w:cs="宋体"/>
          <w:b/>
          <w:sz w:val="24"/>
          <w:szCs w:val="24"/>
          <w:highlight w:val="none"/>
        </w:rPr>
      </w:pPr>
      <w:r>
        <w:rPr>
          <w:rFonts w:hint="eastAsia" w:ascii="宋体" w:hAnsi="宋体" w:eastAsia="宋体" w:cs="宋体"/>
          <w:b/>
          <w:sz w:val="24"/>
          <w:szCs w:val="24"/>
          <w:highlight w:val="none"/>
        </w:rPr>
        <w:t>21. 法律适用</w:t>
      </w:r>
    </w:p>
    <w:p w14:paraId="1E41A2A6">
      <w:pPr>
        <w:pStyle w:val="63"/>
        <w:ind w:firstLine="480"/>
        <w:jc w:val="both"/>
        <w:rPr>
          <w:rFonts w:hint="eastAsia" w:ascii="宋体" w:hAnsi="宋体" w:eastAsia="宋体" w:cs="宋体"/>
          <w:sz w:val="24"/>
          <w:szCs w:val="24"/>
          <w:highlight w:val="none"/>
        </w:rPr>
      </w:pPr>
      <w:r>
        <w:rPr>
          <w:rFonts w:hint="eastAsia" w:ascii="宋体" w:hAnsi="宋体" w:eastAsia="宋体" w:cs="宋体"/>
          <w:sz w:val="24"/>
          <w:szCs w:val="24"/>
          <w:highlight w:val="none"/>
        </w:rPr>
        <w:t>21.1 本合同的订立、生效、解释、履行及与本合同有关的争议解决，均适用法律、行政法规。</w:t>
      </w:r>
    </w:p>
    <w:p w14:paraId="57097E7D">
      <w:pPr>
        <w:pStyle w:val="63"/>
        <w:ind w:firstLine="480"/>
        <w:jc w:val="both"/>
        <w:rPr>
          <w:rFonts w:hint="eastAsia" w:ascii="宋体" w:hAnsi="宋体" w:eastAsia="宋体" w:cs="宋体"/>
          <w:sz w:val="24"/>
          <w:szCs w:val="24"/>
          <w:highlight w:val="none"/>
        </w:rPr>
      </w:pPr>
      <w:r>
        <w:rPr>
          <w:rFonts w:hint="eastAsia" w:ascii="宋体" w:hAnsi="宋体" w:eastAsia="宋体" w:cs="宋体"/>
          <w:sz w:val="24"/>
          <w:szCs w:val="24"/>
          <w:highlight w:val="none"/>
        </w:rPr>
        <w:t>21.2 本合同条款与法律、行政法规的强制性规定不一致的，双方当事人应按照法律、行政法规的强制性规定修改本合同的相关条款。</w:t>
      </w:r>
    </w:p>
    <w:p w14:paraId="2246667E">
      <w:pPr>
        <w:numPr>
          <w:ilvl w:val="255"/>
          <w:numId w:val="0"/>
        </w:numPr>
        <w:autoSpaceDE w:val="0"/>
        <w:autoSpaceDN w:val="0"/>
        <w:adjustRightInd w:val="0"/>
        <w:snapToGrid w:val="0"/>
        <w:spacing w:line="400" w:lineRule="exact"/>
        <w:jc w:val="left"/>
        <w:rPr>
          <w:rFonts w:hint="eastAsia" w:ascii="宋体" w:hAnsi="宋体" w:eastAsia="宋体" w:cs="宋体"/>
          <w:b/>
          <w:sz w:val="24"/>
          <w:szCs w:val="24"/>
          <w:highlight w:val="none"/>
        </w:rPr>
      </w:pPr>
      <w:r>
        <w:rPr>
          <w:rFonts w:hint="eastAsia" w:ascii="宋体" w:hAnsi="宋体" w:eastAsia="宋体" w:cs="宋体"/>
          <w:b/>
          <w:sz w:val="24"/>
          <w:szCs w:val="24"/>
          <w:highlight w:val="none"/>
        </w:rPr>
        <w:t>22. 通知</w:t>
      </w:r>
    </w:p>
    <w:p w14:paraId="01D6A487">
      <w:pPr>
        <w:pStyle w:val="63"/>
        <w:ind w:firstLine="480"/>
        <w:jc w:val="both"/>
        <w:rPr>
          <w:rFonts w:hint="eastAsia" w:ascii="宋体" w:hAnsi="宋体" w:eastAsia="宋体" w:cs="宋体"/>
          <w:sz w:val="24"/>
          <w:szCs w:val="24"/>
          <w:highlight w:val="none"/>
        </w:rPr>
      </w:pPr>
      <w:r>
        <w:rPr>
          <w:rFonts w:hint="eastAsia" w:ascii="宋体" w:hAnsi="宋体" w:eastAsia="宋体" w:cs="宋体"/>
          <w:sz w:val="24"/>
          <w:szCs w:val="24"/>
          <w:highlight w:val="none"/>
        </w:rPr>
        <w:t>22.1 本合同任何一方向对方发出的通知、信件、数据电文等，应当发送至本合同第一部分《政府采购合同协议书》所约定的通讯地址、联系人、联系电话或电子邮箱。</w:t>
      </w:r>
    </w:p>
    <w:p w14:paraId="22727DBA">
      <w:pPr>
        <w:pStyle w:val="63"/>
        <w:ind w:firstLine="0" w:firstLineChars="0"/>
        <w:jc w:val="both"/>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22.2 一方当事人变更名称、住所、联系人、联系电话或电子邮箱等信息的，应当在变更后3日内及时书面通知对方，对方实际收到变更通知前的送达仍为有效送达。</w:t>
      </w:r>
    </w:p>
    <w:p w14:paraId="1D4E0245">
      <w:pPr>
        <w:adjustRightInd w:val="0"/>
        <w:snapToGrid w:val="0"/>
        <w:spacing w:line="40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22.3本合同一方给另一方的通知均应采用书面形式，传真或快递送到本合同中规定的对方的地址和办理签收手续。</w:t>
      </w:r>
    </w:p>
    <w:p w14:paraId="54B9D64D">
      <w:pPr>
        <w:adjustRightInd w:val="0"/>
        <w:snapToGrid w:val="0"/>
        <w:spacing w:line="40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22.4通知以送达之日或通知书中规定的生效之日起生效，两者中以较迟之日为准。</w:t>
      </w:r>
    </w:p>
    <w:p w14:paraId="785F1B84">
      <w:pPr>
        <w:numPr>
          <w:ilvl w:val="0"/>
          <w:numId w:val="7"/>
        </w:numPr>
        <w:adjustRightInd w:val="0"/>
        <w:snapToGrid w:val="0"/>
        <w:spacing w:line="400" w:lineRule="exact"/>
        <w:jc w:val="left"/>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合同未尽事项</w:t>
      </w:r>
    </w:p>
    <w:p w14:paraId="73AF8518">
      <w:pPr>
        <w:adjustRightInd w:val="0"/>
        <w:snapToGrid w:val="0"/>
        <w:spacing w:line="400" w:lineRule="exact"/>
        <w:ind w:firstLine="480" w:firstLineChars="200"/>
        <w:jc w:val="left"/>
        <w:rPr>
          <w:rFonts w:hint="eastAsia" w:ascii="宋体" w:hAnsi="宋体" w:eastAsia="宋体" w:cs="宋体"/>
          <w:bCs/>
          <w:sz w:val="24"/>
          <w:szCs w:val="24"/>
          <w:highlight w:val="none"/>
        </w:rPr>
      </w:pPr>
      <w:r>
        <w:rPr>
          <w:rFonts w:hint="eastAsia" w:ascii="宋体" w:hAnsi="宋体" w:eastAsia="宋体" w:cs="宋体"/>
          <w:bCs/>
          <w:sz w:val="24"/>
          <w:szCs w:val="24"/>
          <w:highlight w:val="none"/>
        </w:rPr>
        <w:t>23.1合同未尽事项见</w:t>
      </w:r>
      <w:r>
        <w:rPr>
          <w:rFonts w:hint="eastAsia" w:ascii="宋体" w:hAnsi="宋体" w:eastAsia="宋体" w:cs="宋体"/>
          <w:b/>
          <w:sz w:val="24"/>
          <w:szCs w:val="24"/>
          <w:highlight w:val="none"/>
        </w:rPr>
        <w:t>【政府采购合同专用条款】</w:t>
      </w:r>
      <w:r>
        <w:rPr>
          <w:rFonts w:hint="eastAsia" w:ascii="宋体" w:hAnsi="宋体" w:eastAsia="宋体" w:cs="宋体"/>
          <w:bCs/>
          <w:sz w:val="24"/>
          <w:szCs w:val="24"/>
          <w:highlight w:val="none"/>
        </w:rPr>
        <w:t>。</w:t>
      </w:r>
    </w:p>
    <w:p w14:paraId="2F91EA86">
      <w:pPr>
        <w:adjustRightInd w:val="0"/>
        <w:snapToGrid w:val="0"/>
        <w:spacing w:line="400" w:lineRule="exact"/>
        <w:jc w:val="left"/>
        <w:rPr>
          <w:rFonts w:hint="eastAsia" w:ascii="宋体" w:hAnsi="宋体" w:eastAsia="宋体" w:cs="宋体"/>
          <w:bCs/>
          <w:sz w:val="24"/>
          <w:szCs w:val="24"/>
          <w:highlight w:val="none"/>
        </w:rPr>
        <w:sectPr>
          <w:footerReference r:id="rId11" w:type="first"/>
          <w:footerReference r:id="rId10" w:type="default"/>
          <w:pgSz w:w="11906" w:h="16838"/>
          <w:pgMar w:top="1440" w:right="1083" w:bottom="1440" w:left="1083" w:header="851" w:footer="850" w:gutter="0"/>
          <w:cols w:space="0" w:num="1"/>
          <w:titlePg/>
          <w:docGrid w:linePitch="312" w:charSpace="0"/>
        </w:sectPr>
      </w:pPr>
      <w:r>
        <w:rPr>
          <w:rFonts w:hint="eastAsia" w:ascii="宋体" w:hAnsi="宋体" w:eastAsia="宋体" w:cs="宋体"/>
          <w:bCs/>
          <w:sz w:val="24"/>
          <w:szCs w:val="24"/>
          <w:highlight w:val="none"/>
        </w:rPr>
        <w:t xml:space="preserve">    23.2 合同附件与合同正文具有同等的法律效力。</w:t>
      </w:r>
    </w:p>
    <w:p w14:paraId="3014F626">
      <w:pPr>
        <w:pStyle w:val="7"/>
        <w:numPr>
          <w:ilvl w:val="0"/>
          <w:numId w:val="0"/>
        </w:numPr>
        <w:ind w:left="420" w:leftChars="0" w:firstLine="0" w:firstLineChars="0"/>
        <w:jc w:val="center"/>
        <w:rPr>
          <w:rFonts w:hint="eastAsia"/>
          <w:highlight w:val="none"/>
        </w:rPr>
      </w:pPr>
      <w:bookmarkStart w:id="227" w:name="_Toc28413"/>
      <w:bookmarkStart w:id="228" w:name="_Toc29042"/>
      <w:bookmarkStart w:id="229" w:name="_Toc21666"/>
      <w:r>
        <w:rPr>
          <w:rFonts w:hint="eastAsia" w:asciiTheme="minorHAnsi" w:hAnsiTheme="minorHAnsi" w:eastAsiaTheme="minorEastAsia" w:cstheme="minorBidi"/>
          <w:b/>
          <w:bCs/>
          <w:kern w:val="2"/>
          <w:sz w:val="28"/>
          <w:szCs w:val="32"/>
          <w:highlight w:val="none"/>
          <w:lang w:val="en-US" w:eastAsia="zh-CN" w:bidi="ar-SA"/>
        </w:rPr>
        <w:t>第五章</w:t>
      </w:r>
      <w:r>
        <w:rPr>
          <w:rFonts w:hint="eastAsia" w:cstheme="minorBidi"/>
          <w:b/>
          <w:bCs/>
          <w:kern w:val="2"/>
          <w:sz w:val="28"/>
          <w:szCs w:val="32"/>
          <w:highlight w:val="none"/>
          <w:lang w:val="en-US" w:eastAsia="zh-CN" w:bidi="ar-SA"/>
        </w:rPr>
        <w:t xml:space="preserve">  </w:t>
      </w:r>
      <w:r>
        <w:rPr>
          <w:rFonts w:hint="eastAsia"/>
          <w:highlight w:val="none"/>
        </w:rPr>
        <w:t>技术参数</w:t>
      </w:r>
      <w:bookmarkEnd w:id="7"/>
      <w:bookmarkEnd w:id="8"/>
      <w:bookmarkEnd w:id="9"/>
      <w:bookmarkEnd w:id="10"/>
      <w:bookmarkEnd w:id="11"/>
      <w:bookmarkEnd w:id="12"/>
      <w:bookmarkEnd w:id="13"/>
      <w:bookmarkEnd w:id="227"/>
      <w:bookmarkEnd w:id="228"/>
      <w:bookmarkEnd w:id="229"/>
      <w:bookmarkStart w:id="230" w:name="_Toc24845_WPSOffice_Level1"/>
      <w:bookmarkStart w:id="231" w:name="_Toc708_WPSOffice_Level1"/>
      <w:bookmarkStart w:id="232" w:name="_Toc1755_WPSOffice_Level1"/>
      <w:bookmarkStart w:id="233" w:name="_Toc15342_WPSOffice_Level1"/>
      <w:bookmarkStart w:id="234" w:name="_Toc25497"/>
      <w:bookmarkStart w:id="235" w:name="_Toc6078"/>
      <w:bookmarkStart w:id="236" w:name="_Toc5137"/>
    </w:p>
    <w:p w14:paraId="33AD3D09">
      <w:pPr>
        <w:rPr>
          <w:rFonts w:hint="eastAsia"/>
          <w:highlight w:val="none"/>
        </w:rPr>
      </w:pPr>
    </w:p>
    <w:tbl>
      <w:tblPr>
        <w:tblStyle w:val="25"/>
        <w:tblpPr w:leftFromText="180" w:rightFromText="180" w:vertAnchor="page" w:horzAnchor="page" w:tblpX="1678" w:tblpY="2685"/>
        <w:tblOverlap w:val="never"/>
        <w:tblW w:w="849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97"/>
        <w:gridCol w:w="2983"/>
        <w:gridCol w:w="833"/>
        <w:gridCol w:w="1228"/>
        <w:gridCol w:w="1096"/>
        <w:gridCol w:w="761"/>
      </w:tblGrid>
      <w:tr w14:paraId="471DFE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2" w:hRule="atLeast"/>
        </w:trPr>
        <w:tc>
          <w:tcPr>
            <w:tcW w:w="1597" w:type="dxa"/>
            <w:noWrap w:val="0"/>
            <w:vAlign w:val="top"/>
          </w:tcPr>
          <w:p w14:paraId="6FB964EB">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000000"/>
                <w:sz w:val="24"/>
                <w:szCs w:val="24"/>
                <w:highlight w:val="none"/>
                <w:vertAlign w:val="baseline"/>
                <w:lang w:val="en-US" w:eastAsia="zh-CN"/>
              </w:rPr>
            </w:pPr>
            <w:r>
              <w:rPr>
                <w:rFonts w:hint="eastAsia" w:ascii="宋体" w:hAnsi="宋体" w:eastAsia="宋体" w:cs="宋体"/>
                <w:b w:val="0"/>
                <w:bCs w:val="0"/>
                <w:color w:val="000000"/>
                <w:sz w:val="24"/>
                <w:szCs w:val="24"/>
                <w:highlight w:val="none"/>
                <w:vertAlign w:val="baseline"/>
                <w:lang w:val="en-US" w:eastAsia="zh-CN"/>
              </w:rPr>
              <w:t>名称</w:t>
            </w:r>
          </w:p>
        </w:tc>
        <w:tc>
          <w:tcPr>
            <w:tcW w:w="2983" w:type="dxa"/>
            <w:noWrap w:val="0"/>
            <w:vAlign w:val="top"/>
          </w:tcPr>
          <w:p w14:paraId="43F3F57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000000"/>
                <w:sz w:val="24"/>
                <w:szCs w:val="24"/>
                <w:highlight w:val="none"/>
                <w:vertAlign w:val="baseline"/>
                <w:lang w:val="en-US" w:eastAsia="zh-CN"/>
              </w:rPr>
            </w:pPr>
            <w:r>
              <w:rPr>
                <w:rFonts w:hint="eastAsia" w:ascii="宋体" w:hAnsi="宋体" w:eastAsia="宋体" w:cs="宋体"/>
                <w:b w:val="0"/>
                <w:bCs w:val="0"/>
                <w:color w:val="000000"/>
                <w:sz w:val="24"/>
                <w:szCs w:val="24"/>
                <w:highlight w:val="none"/>
                <w:vertAlign w:val="baseline"/>
                <w:lang w:val="en-US" w:eastAsia="zh-CN"/>
              </w:rPr>
              <w:t>有效成分及含量</w:t>
            </w:r>
          </w:p>
        </w:tc>
        <w:tc>
          <w:tcPr>
            <w:tcW w:w="833" w:type="dxa"/>
            <w:noWrap w:val="0"/>
            <w:vAlign w:val="top"/>
          </w:tcPr>
          <w:p w14:paraId="417098C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000000"/>
                <w:sz w:val="24"/>
                <w:szCs w:val="24"/>
                <w:highlight w:val="none"/>
                <w:vertAlign w:val="baseline"/>
                <w:lang w:val="en-US" w:eastAsia="zh-CN"/>
              </w:rPr>
            </w:pPr>
            <w:r>
              <w:rPr>
                <w:rFonts w:hint="eastAsia" w:ascii="宋体" w:hAnsi="宋体" w:eastAsia="宋体" w:cs="宋体"/>
                <w:b w:val="0"/>
                <w:bCs w:val="0"/>
                <w:color w:val="000000"/>
                <w:sz w:val="24"/>
                <w:szCs w:val="24"/>
                <w:highlight w:val="none"/>
                <w:vertAlign w:val="baseline"/>
                <w:lang w:val="en-US" w:eastAsia="zh-CN"/>
              </w:rPr>
              <w:t>剂型</w:t>
            </w:r>
          </w:p>
        </w:tc>
        <w:tc>
          <w:tcPr>
            <w:tcW w:w="1228" w:type="dxa"/>
            <w:noWrap w:val="0"/>
            <w:vAlign w:val="top"/>
          </w:tcPr>
          <w:p w14:paraId="6B96A76B">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000000"/>
                <w:sz w:val="24"/>
                <w:szCs w:val="24"/>
                <w:highlight w:val="none"/>
                <w:vertAlign w:val="baseline"/>
                <w:lang w:val="en-US" w:eastAsia="zh-CN"/>
              </w:rPr>
            </w:pPr>
            <w:r>
              <w:rPr>
                <w:rFonts w:hint="eastAsia" w:ascii="宋体" w:hAnsi="宋体" w:eastAsia="宋体" w:cs="宋体"/>
                <w:b w:val="0"/>
                <w:bCs w:val="0"/>
                <w:color w:val="000000"/>
                <w:sz w:val="24"/>
                <w:szCs w:val="24"/>
                <w:highlight w:val="none"/>
                <w:vertAlign w:val="baseline"/>
                <w:lang w:val="en-US" w:eastAsia="zh-CN"/>
              </w:rPr>
              <w:t>亩用量</w:t>
            </w:r>
          </w:p>
        </w:tc>
        <w:tc>
          <w:tcPr>
            <w:tcW w:w="1096" w:type="dxa"/>
            <w:noWrap w:val="0"/>
            <w:vAlign w:val="top"/>
          </w:tcPr>
          <w:p w14:paraId="56458AB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000000"/>
                <w:sz w:val="24"/>
                <w:szCs w:val="24"/>
                <w:highlight w:val="none"/>
                <w:vertAlign w:val="baseline"/>
                <w:lang w:val="en-US" w:eastAsia="zh-CN"/>
              </w:rPr>
            </w:pPr>
            <w:r>
              <w:rPr>
                <w:rFonts w:hint="eastAsia" w:ascii="宋体" w:hAnsi="宋体" w:eastAsia="宋体" w:cs="宋体"/>
                <w:b w:val="0"/>
                <w:bCs w:val="0"/>
                <w:color w:val="000000"/>
                <w:sz w:val="24"/>
                <w:szCs w:val="24"/>
                <w:highlight w:val="none"/>
                <w:vertAlign w:val="baseline"/>
                <w:lang w:val="en-US" w:eastAsia="zh-CN"/>
              </w:rPr>
              <w:t>总量（公斤）</w:t>
            </w:r>
          </w:p>
        </w:tc>
        <w:tc>
          <w:tcPr>
            <w:tcW w:w="761" w:type="dxa"/>
            <w:noWrap w:val="0"/>
            <w:vAlign w:val="top"/>
          </w:tcPr>
          <w:p w14:paraId="5E3BC1A2">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宋体"/>
                <w:b w:val="0"/>
                <w:bCs w:val="0"/>
                <w:color w:val="000000"/>
                <w:sz w:val="24"/>
                <w:szCs w:val="24"/>
                <w:highlight w:val="none"/>
                <w:vertAlign w:val="baseline"/>
                <w:lang w:val="en-US" w:eastAsia="zh-CN"/>
              </w:rPr>
            </w:pPr>
            <w:r>
              <w:rPr>
                <w:rFonts w:hint="eastAsia" w:ascii="宋体" w:hAnsi="宋体" w:eastAsia="宋体" w:cs="宋体"/>
                <w:b w:val="0"/>
                <w:bCs w:val="0"/>
                <w:color w:val="000000"/>
                <w:sz w:val="24"/>
                <w:szCs w:val="24"/>
                <w:highlight w:val="none"/>
                <w:vertAlign w:val="baseline"/>
                <w:lang w:val="en-US" w:eastAsia="zh-CN"/>
              </w:rPr>
              <w:t>备注</w:t>
            </w:r>
          </w:p>
        </w:tc>
      </w:tr>
      <w:tr w14:paraId="5600BA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8" w:hRule="atLeast"/>
        </w:trPr>
        <w:tc>
          <w:tcPr>
            <w:tcW w:w="1597" w:type="dxa"/>
            <w:noWrap w:val="0"/>
            <w:vAlign w:val="center"/>
          </w:tcPr>
          <w:p w14:paraId="2178F7E1">
            <w:pPr>
              <w:keepNext w:val="0"/>
              <w:keepLines w:val="0"/>
              <w:widowControl/>
              <w:suppressLineNumbers w:val="0"/>
              <w:jc w:val="center"/>
              <w:textAlignment w:val="center"/>
              <w:rPr>
                <w:rFonts w:hint="eastAsia" w:ascii="宋体" w:hAnsi="宋体" w:eastAsia="宋体" w:cs="宋体"/>
                <w:b w:val="0"/>
                <w:bCs w:val="0"/>
                <w:color w:val="000000"/>
                <w:kern w:val="2"/>
                <w:sz w:val="24"/>
                <w:szCs w:val="24"/>
                <w:highlight w:val="none"/>
                <w:vertAlign w:val="baseline"/>
                <w:lang w:val="en-US" w:eastAsia="zh-CN" w:bidi="ar-SA"/>
              </w:rPr>
            </w:pPr>
            <w:r>
              <w:rPr>
                <w:rFonts w:hint="eastAsia" w:ascii="宋体" w:hAnsi="宋体" w:eastAsia="宋体" w:cs="宋体"/>
                <w:b w:val="0"/>
                <w:bCs w:val="0"/>
                <w:i w:val="0"/>
                <w:color w:val="000000"/>
                <w:kern w:val="0"/>
                <w:sz w:val="24"/>
                <w:szCs w:val="24"/>
                <w:highlight w:val="none"/>
                <w:u w:val="none"/>
                <w:lang w:val="en-US" w:eastAsia="zh-CN" w:bidi="ar"/>
              </w:rPr>
              <w:t>吡唑醚菌酯</w:t>
            </w:r>
          </w:p>
        </w:tc>
        <w:tc>
          <w:tcPr>
            <w:tcW w:w="2983" w:type="dxa"/>
            <w:noWrap w:val="0"/>
            <w:vAlign w:val="center"/>
          </w:tcPr>
          <w:p w14:paraId="4BE335B5">
            <w:pPr>
              <w:keepNext w:val="0"/>
              <w:keepLines w:val="0"/>
              <w:widowControl/>
              <w:suppressLineNumbers w:val="0"/>
              <w:jc w:val="center"/>
              <w:textAlignment w:val="center"/>
              <w:rPr>
                <w:rFonts w:hint="eastAsia" w:ascii="宋体" w:hAnsi="宋体" w:eastAsia="宋体" w:cs="宋体"/>
                <w:b w:val="0"/>
                <w:bCs w:val="0"/>
                <w:sz w:val="24"/>
                <w:szCs w:val="24"/>
                <w:highlight w:val="none"/>
              </w:rPr>
            </w:pPr>
            <w:r>
              <w:rPr>
                <w:rFonts w:hint="eastAsia" w:ascii="宋体" w:hAnsi="宋体" w:eastAsia="宋体" w:cs="宋体"/>
                <w:b w:val="0"/>
                <w:bCs w:val="0"/>
                <w:i w:val="0"/>
                <w:color w:val="000000"/>
                <w:kern w:val="0"/>
                <w:sz w:val="24"/>
                <w:szCs w:val="24"/>
                <w:highlight w:val="none"/>
                <w:u w:val="none"/>
                <w:lang w:val="en-US" w:eastAsia="zh-CN" w:bidi="ar"/>
              </w:rPr>
              <w:t>25%</w:t>
            </w:r>
          </w:p>
        </w:tc>
        <w:tc>
          <w:tcPr>
            <w:tcW w:w="833" w:type="dxa"/>
            <w:noWrap w:val="0"/>
            <w:vAlign w:val="center"/>
          </w:tcPr>
          <w:p w14:paraId="223C04FF">
            <w:pPr>
              <w:keepNext w:val="0"/>
              <w:keepLines w:val="0"/>
              <w:widowControl/>
              <w:suppressLineNumbers w:val="0"/>
              <w:jc w:val="center"/>
              <w:textAlignment w:val="center"/>
              <w:rPr>
                <w:rFonts w:hint="eastAsia" w:ascii="宋体" w:hAnsi="宋体" w:eastAsia="宋体" w:cs="宋体"/>
                <w:b w:val="0"/>
                <w:bCs w:val="0"/>
                <w:color w:val="000000"/>
                <w:sz w:val="24"/>
                <w:szCs w:val="24"/>
                <w:highlight w:val="none"/>
                <w:vertAlign w:val="baseline"/>
                <w:lang w:val="en-US" w:eastAsia="zh-CN"/>
              </w:rPr>
            </w:pPr>
            <w:r>
              <w:rPr>
                <w:rFonts w:hint="eastAsia" w:ascii="宋体" w:hAnsi="宋体" w:eastAsia="宋体" w:cs="宋体"/>
                <w:b w:val="0"/>
                <w:bCs w:val="0"/>
                <w:i w:val="0"/>
                <w:color w:val="000000"/>
                <w:kern w:val="0"/>
                <w:sz w:val="24"/>
                <w:szCs w:val="24"/>
                <w:highlight w:val="none"/>
                <w:u w:val="none"/>
                <w:lang w:val="en-US" w:eastAsia="zh-CN" w:bidi="ar"/>
              </w:rPr>
              <w:t>悬浮剂</w:t>
            </w:r>
          </w:p>
        </w:tc>
        <w:tc>
          <w:tcPr>
            <w:tcW w:w="1228" w:type="dxa"/>
            <w:noWrap w:val="0"/>
            <w:vAlign w:val="center"/>
          </w:tcPr>
          <w:p w14:paraId="3F305FC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000000"/>
                <w:sz w:val="24"/>
                <w:szCs w:val="24"/>
                <w:highlight w:val="none"/>
                <w:vertAlign w:val="baseline"/>
                <w:lang w:val="en-US" w:eastAsia="zh-CN"/>
              </w:rPr>
            </w:pPr>
            <w:r>
              <w:rPr>
                <w:rFonts w:hint="eastAsia" w:ascii="宋体" w:hAnsi="宋体" w:eastAsia="宋体" w:cs="宋体"/>
                <w:b w:val="0"/>
                <w:bCs w:val="0"/>
                <w:color w:val="000000"/>
                <w:sz w:val="24"/>
                <w:szCs w:val="24"/>
                <w:highlight w:val="none"/>
                <w:vertAlign w:val="baseline"/>
                <w:lang w:val="en-US" w:eastAsia="zh-CN"/>
              </w:rPr>
              <w:t>15ml</w:t>
            </w:r>
          </w:p>
        </w:tc>
        <w:tc>
          <w:tcPr>
            <w:tcW w:w="1096" w:type="dxa"/>
            <w:noWrap w:val="0"/>
            <w:vAlign w:val="top"/>
          </w:tcPr>
          <w:p w14:paraId="1DC1943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000000"/>
                <w:sz w:val="24"/>
                <w:szCs w:val="24"/>
                <w:highlight w:val="none"/>
                <w:vertAlign w:val="baseline"/>
                <w:lang w:val="en-US" w:eastAsia="zh-CN"/>
              </w:rPr>
            </w:pPr>
            <w:r>
              <w:rPr>
                <w:rFonts w:hint="eastAsia" w:ascii="宋体" w:hAnsi="宋体" w:eastAsia="宋体" w:cs="宋体"/>
                <w:b w:val="0"/>
                <w:bCs w:val="0"/>
                <w:color w:val="000000"/>
                <w:sz w:val="24"/>
                <w:szCs w:val="24"/>
                <w:highlight w:val="none"/>
                <w:vertAlign w:val="baseline"/>
                <w:lang w:val="en-US" w:eastAsia="zh-CN"/>
              </w:rPr>
              <w:t>795</w:t>
            </w:r>
          </w:p>
        </w:tc>
        <w:tc>
          <w:tcPr>
            <w:tcW w:w="761" w:type="dxa"/>
            <w:noWrap w:val="0"/>
            <w:vAlign w:val="top"/>
          </w:tcPr>
          <w:p w14:paraId="497C85D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000000"/>
                <w:sz w:val="24"/>
                <w:szCs w:val="24"/>
                <w:highlight w:val="none"/>
                <w:vertAlign w:val="baseline"/>
                <w:lang w:val="en-US" w:eastAsia="zh-CN"/>
              </w:rPr>
            </w:pPr>
          </w:p>
        </w:tc>
      </w:tr>
      <w:tr w14:paraId="32927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8" w:hRule="atLeast"/>
        </w:trPr>
        <w:tc>
          <w:tcPr>
            <w:tcW w:w="1597" w:type="dxa"/>
            <w:vMerge w:val="restart"/>
            <w:noWrap w:val="0"/>
            <w:vAlign w:val="center"/>
          </w:tcPr>
          <w:p w14:paraId="1E054513">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000000"/>
                <w:kern w:val="2"/>
                <w:sz w:val="24"/>
                <w:szCs w:val="24"/>
                <w:highlight w:val="none"/>
                <w:vertAlign w:val="baseline"/>
                <w:lang w:val="en-US" w:eastAsia="zh-CN" w:bidi="ar-SA"/>
              </w:rPr>
            </w:pPr>
            <w:r>
              <w:rPr>
                <w:rFonts w:hint="eastAsia" w:ascii="宋体" w:hAnsi="宋体" w:eastAsia="宋体" w:cs="宋体"/>
                <w:b w:val="0"/>
                <w:bCs w:val="0"/>
                <w:color w:val="000000"/>
                <w:sz w:val="24"/>
                <w:szCs w:val="24"/>
                <w:highlight w:val="none"/>
                <w:vertAlign w:val="baseline"/>
                <w:lang w:val="en-US" w:eastAsia="zh-CN"/>
              </w:rPr>
              <w:t>磷酸二氢钾(膨化型)</w:t>
            </w:r>
          </w:p>
        </w:tc>
        <w:tc>
          <w:tcPr>
            <w:tcW w:w="2983" w:type="dxa"/>
            <w:noWrap w:val="0"/>
            <w:vAlign w:val="top"/>
          </w:tcPr>
          <w:p w14:paraId="0692033B">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000000"/>
                <w:kern w:val="2"/>
                <w:sz w:val="24"/>
                <w:szCs w:val="24"/>
                <w:highlight w:val="none"/>
                <w:vertAlign w:val="baseline"/>
                <w:lang w:val="en-US" w:eastAsia="zh-CN" w:bidi="ar-SA"/>
              </w:rPr>
            </w:pPr>
            <w:r>
              <w:rPr>
                <w:rFonts w:hint="eastAsia" w:ascii="宋体" w:hAnsi="宋体" w:eastAsia="宋体" w:cs="宋体"/>
                <w:b w:val="0"/>
                <w:bCs w:val="0"/>
                <w:sz w:val="24"/>
                <w:szCs w:val="24"/>
                <w:highlight w:val="none"/>
              </w:rPr>
              <w:t>磷酸二氢钾（KH</w:t>
            </w:r>
            <w:r>
              <w:rPr>
                <w:rFonts w:hint="eastAsia" w:ascii="宋体" w:hAnsi="宋体" w:eastAsia="宋体" w:cs="宋体"/>
                <w:b w:val="0"/>
                <w:bCs w:val="0"/>
                <w:sz w:val="24"/>
                <w:szCs w:val="24"/>
                <w:highlight w:val="none"/>
                <w:vertAlign w:val="subscript"/>
              </w:rPr>
              <w:t>2</w:t>
            </w:r>
            <w:r>
              <w:rPr>
                <w:rFonts w:hint="eastAsia" w:ascii="宋体" w:hAnsi="宋体" w:eastAsia="宋体" w:cs="宋体"/>
                <w:b w:val="0"/>
                <w:bCs w:val="0"/>
                <w:sz w:val="24"/>
                <w:szCs w:val="24"/>
                <w:highlight w:val="none"/>
              </w:rPr>
              <w:t>PO</w:t>
            </w:r>
            <w:r>
              <w:rPr>
                <w:rFonts w:hint="eastAsia" w:ascii="宋体" w:hAnsi="宋体" w:eastAsia="宋体" w:cs="宋体"/>
                <w:b w:val="0"/>
                <w:bCs w:val="0"/>
                <w:sz w:val="24"/>
                <w:szCs w:val="24"/>
                <w:highlight w:val="none"/>
                <w:vertAlign w:val="subscript"/>
              </w:rPr>
              <w:t>4</w:t>
            </w:r>
            <w:r>
              <w:rPr>
                <w:rFonts w:hint="eastAsia" w:ascii="宋体" w:hAnsi="宋体" w:eastAsia="宋体" w:cs="宋体"/>
                <w:b w:val="0"/>
                <w:bCs w:val="0"/>
                <w:sz w:val="24"/>
                <w:szCs w:val="24"/>
                <w:highlight w:val="none"/>
              </w:rPr>
              <w:t>）≥</w:t>
            </w:r>
            <w:r>
              <w:rPr>
                <w:rFonts w:hint="eastAsia" w:ascii="宋体" w:hAnsi="宋体" w:eastAsia="宋体" w:cs="宋体"/>
                <w:b w:val="0"/>
                <w:bCs w:val="0"/>
                <w:sz w:val="24"/>
                <w:szCs w:val="24"/>
                <w:highlight w:val="none"/>
                <w:lang w:val="en-US" w:eastAsia="zh-CN"/>
              </w:rPr>
              <w:t>98</w:t>
            </w:r>
            <w:r>
              <w:rPr>
                <w:rFonts w:hint="eastAsia" w:ascii="宋体" w:hAnsi="宋体" w:eastAsia="宋体" w:cs="宋体"/>
                <w:b w:val="0"/>
                <w:bCs w:val="0"/>
                <w:sz w:val="24"/>
                <w:szCs w:val="24"/>
                <w:highlight w:val="none"/>
              </w:rPr>
              <w:t>.0%</w:t>
            </w:r>
          </w:p>
        </w:tc>
        <w:tc>
          <w:tcPr>
            <w:tcW w:w="833" w:type="dxa"/>
            <w:vMerge w:val="restart"/>
            <w:noWrap w:val="0"/>
            <w:vAlign w:val="center"/>
          </w:tcPr>
          <w:p w14:paraId="33E4996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000000"/>
                <w:kern w:val="2"/>
                <w:sz w:val="24"/>
                <w:szCs w:val="24"/>
                <w:highlight w:val="none"/>
                <w:vertAlign w:val="baseline"/>
                <w:lang w:val="en-US" w:eastAsia="zh-CN" w:bidi="ar-SA"/>
              </w:rPr>
            </w:pPr>
            <w:r>
              <w:rPr>
                <w:rFonts w:hint="eastAsia" w:ascii="宋体" w:hAnsi="宋体" w:eastAsia="宋体" w:cs="宋体"/>
                <w:b w:val="0"/>
                <w:bCs w:val="0"/>
                <w:color w:val="000000"/>
                <w:sz w:val="24"/>
                <w:szCs w:val="24"/>
                <w:highlight w:val="none"/>
                <w:vertAlign w:val="baseline"/>
                <w:lang w:val="en-US" w:eastAsia="zh-CN"/>
              </w:rPr>
              <w:t>粉剂</w:t>
            </w:r>
          </w:p>
        </w:tc>
        <w:tc>
          <w:tcPr>
            <w:tcW w:w="1228" w:type="dxa"/>
            <w:vMerge w:val="restart"/>
            <w:noWrap w:val="0"/>
            <w:vAlign w:val="center"/>
          </w:tcPr>
          <w:p w14:paraId="6F3D86B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000000"/>
                <w:kern w:val="2"/>
                <w:sz w:val="24"/>
                <w:szCs w:val="24"/>
                <w:highlight w:val="none"/>
                <w:vertAlign w:val="baseline"/>
                <w:lang w:val="en-US" w:eastAsia="zh-CN" w:bidi="ar-SA"/>
              </w:rPr>
            </w:pPr>
            <w:r>
              <w:rPr>
                <w:rFonts w:hint="eastAsia" w:ascii="宋体" w:hAnsi="宋体" w:eastAsia="宋体" w:cs="宋体"/>
                <w:b w:val="0"/>
                <w:bCs w:val="0"/>
                <w:color w:val="000000"/>
                <w:sz w:val="24"/>
                <w:szCs w:val="24"/>
                <w:highlight w:val="none"/>
                <w:vertAlign w:val="baseline"/>
                <w:lang w:val="en-US" w:eastAsia="zh-CN"/>
              </w:rPr>
              <w:t>100g</w:t>
            </w:r>
          </w:p>
        </w:tc>
        <w:tc>
          <w:tcPr>
            <w:tcW w:w="1096" w:type="dxa"/>
            <w:vMerge w:val="restart"/>
            <w:noWrap w:val="0"/>
            <w:vAlign w:val="center"/>
          </w:tcPr>
          <w:p w14:paraId="3C282ED8">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000000"/>
                <w:sz w:val="24"/>
                <w:szCs w:val="24"/>
                <w:highlight w:val="none"/>
                <w:vertAlign w:val="baseline"/>
                <w:lang w:val="en-US" w:eastAsia="zh-CN"/>
              </w:rPr>
            </w:pPr>
            <w:r>
              <w:rPr>
                <w:rFonts w:hint="eastAsia" w:ascii="宋体" w:hAnsi="宋体" w:eastAsia="宋体" w:cs="宋体"/>
                <w:b w:val="0"/>
                <w:bCs w:val="0"/>
                <w:color w:val="000000"/>
                <w:sz w:val="24"/>
                <w:szCs w:val="24"/>
                <w:highlight w:val="none"/>
                <w:vertAlign w:val="baseline"/>
                <w:lang w:val="en-US" w:eastAsia="zh-CN"/>
              </w:rPr>
              <w:t>9023.4375</w:t>
            </w:r>
          </w:p>
        </w:tc>
        <w:tc>
          <w:tcPr>
            <w:tcW w:w="761" w:type="dxa"/>
            <w:vMerge w:val="restart"/>
            <w:noWrap w:val="0"/>
            <w:vAlign w:val="center"/>
          </w:tcPr>
          <w:p w14:paraId="432A7B28">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000000"/>
                <w:sz w:val="24"/>
                <w:szCs w:val="24"/>
                <w:highlight w:val="none"/>
                <w:vertAlign w:val="baseline"/>
                <w:lang w:val="en-US" w:eastAsia="zh-CN"/>
              </w:rPr>
            </w:pPr>
            <w:r>
              <w:rPr>
                <w:rFonts w:hint="eastAsia" w:ascii="宋体" w:hAnsi="宋体" w:eastAsia="宋体" w:cs="宋体"/>
                <w:b w:val="0"/>
                <w:bCs w:val="0"/>
                <w:color w:val="000000"/>
                <w:sz w:val="24"/>
                <w:szCs w:val="24"/>
                <w:highlight w:val="none"/>
                <w:vertAlign w:val="baseline"/>
                <w:lang w:val="en-US" w:eastAsia="zh-CN"/>
              </w:rPr>
              <w:t>适合</w:t>
            </w:r>
          </w:p>
          <w:p w14:paraId="4825332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000000"/>
                <w:sz w:val="24"/>
                <w:szCs w:val="24"/>
                <w:highlight w:val="none"/>
                <w:vertAlign w:val="baseline"/>
                <w:lang w:val="en-US" w:eastAsia="zh-CN"/>
              </w:rPr>
            </w:pPr>
            <w:r>
              <w:rPr>
                <w:rFonts w:hint="eastAsia" w:ascii="宋体" w:hAnsi="宋体" w:eastAsia="宋体" w:cs="宋体"/>
                <w:b w:val="0"/>
                <w:bCs w:val="0"/>
                <w:color w:val="000000"/>
                <w:sz w:val="24"/>
                <w:szCs w:val="24"/>
                <w:highlight w:val="none"/>
                <w:vertAlign w:val="baseline"/>
                <w:lang w:val="en-US" w:eastAsia="zh-CN"/>
              </w:rPr>
              <w:t>飞喷</w:t>
            </w:r>
          </w:p>
        </w:tc>
      </w:tr>
      <w:tr w14:paraId="3D912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2" w:hRule="atLeast"/>
        </w:trPr>
        <w:tc>
          <w:tcPr>
            <w:tcW w:w="1597" w:type="dxa"/>
            <w:vMerge w:val="continue"/>
            <w:noWrap w:val="0"/>
            <w:vAlign w:val="top"/>
          </w:tcPr>
          <w:p w14:paraId="4167EAF1">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000000"/>
                <w:kern w:val="2"/>
                <w:sz w:val="24"/>
                <w:szCs w:val="24"/>
                <w:highlight w:val="none"/>
                <w:vertAlign w:val="baseline"/>
                <w:lang w:val="en-US" w:eastAsia="zh-CN" w:bidi="ar-SA"/>
              </w:rPr>
            </w:pPr>
          </w:p>
        </w:tc>
        <w:tc>
          <w:tcPr>
            <w:tcW w:w="2983" w:type="dxa"/>
            <w:noWrap w:val="0"/>
            <w:vAlign w:val="top"/>
          </w:tcPr>
          <w:p w14:paraId="28B6FD7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kern w:val="2"/>
                <w:sz w:val="24"/>
                <w:szCs w:val="24"/>
                <w:highlight w:val="none"/>
                <w:lang w:val="en-US" w:eastAsia="zh-CN" w:bidi="ar-SA"/>
              </w:rPr>
            </w:pPr>
            <w:r>
              <w:rPr>
                <w:rFonts w:hint="eastAsia" w:ascii="宋体" w:hAnsi="宋体" w:eastAsia="宋体" w:cs="宋体"/>
                <w:b w:val="0"/>
                <w:bCs w:val="0"/>
                <w:sz w:val="24"/>
                <w:szCs w:val="24"/>
                <w:highlight w:val="none"/>
              </w:rPr>
              <w:t>水溶性五氧化二磷（P</w:t>
            </w:r>
            <w:r>
              <w:rPr>
                <w:rFonts w:hint="eastAsia" w:ascii="宋体" w:hAnsi="宋体" w:eastAsia="宋体" w:cs="宋体"/>
                <w:b w:val="0"/>
                <w:bCs w:val="0"/>
                <w:sz w:val="24"/>
                <w:szCs w:val="24"/>
                <w:highlight w:val="none"/>
                <w:vertAlign w:val="subscript"/>
              </w:rPr>
              <w:t>2</w:t>
            </w:r>
            <w:r>
              <w:rPr>
                <w:rFonts w:hint="eastAsia" w:ascii="宋体" w:hAnsi="宋体" w:eastAsia="宋体" w:cs="宋体"/>
                <w:b w:val="0"/>
                <w:bCs w:val="0"/>
                <w:sz w:val="24"/>
                <w:szCs w:val="24"/>
                <w:highlight w:val="none"/>
              </w:rPr>
              <w:t>O</w:t>
            </w:r>
            <w:r>
              <w:rPr>
                <w:rFonts w:hint="eastAsia" w:ascii="宋体" w:hAnsi="宋体" w:eastAsia="宋体" w:cs="宋体"/>
                <w:b w:val="0"/>
                <w:bCs w:val="0"/>
                <w:sz w:val="24"/>
                <w:szCs w:val="24"/>
                <w:highlight w:val="none"/>
                <w:vertAlign w:val="subscript"/>
              </w:rPr>
              <w:t>5</w:t>
            </w:r>
            <w:r>
              <w:rPr>
                <w:rFonts w:hint="eastAsia" w:ascii="宋体" w:hAnsi="宋体" w:eastAsia="宋体" w:cs="宋体"/>
                <w:b w:val="0"/>
                <w:bCs w:val="0"/>
                <w:sz w:val="24"/>
                <w:szCs w:val="24"/>
                <w:highlight w:val="none"/>
              </w:rPr>
              <w:t>）≥5</w:t>
            </w:r>
            <w:r>
              <w:rPr>
                <w:rFonts w:hint="eastAsia" w:ascii="宋体" w:hAnsi="宋体" w:eastAsia="宋体" w:cs="宋体"/>
                <w:b w:val="0"/>
                <w:bCs w:val="0"/>
                <w:sz w:val="24"/>
                <w:szCs w:val="24"/>
                <w:highlight w:val="none"/>
                <w:lang w:val="en-US" w:eastAsia="zh-CN"/>
              </w:rPr>
              <w:t>1</w:t>
            </w:r>
            <w:r>
              <w:rPr>
                <w:rFonts w:hint="eastAsia" w:ascii="宋体" w:hAnsi="宋体" w:eastAsia="宋体" w:cs="宋体"/>
                <w:b w:val="0"/>
                <w:bCs w:val="0"/>
                <w:sz w:val="24"/>
                <w:szCs w:val="24"/>
                <w:highlight w:val="none"/>
              </w:rPr>
              <w:t>.0%</w:t>
            </w:r>
          </w:p>
        </w:tc>
        <w:tc>
          <w:tcPr>
            <w:tcW w:w="833" w:type="dxa"/>
            <w:vMerge w:val="continue"/>
            <w:noWrap w:val="0"/>
            <w:vAlign w:val="top"/>
          </w:tcPr>
          <w:p w14:paraId="0AD9FD03">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000000"/>
                <w:kern w:val="2"/>
                <w:sz w:val="24"/>
                <w:szCs w:val="24"/>
                <w:highlight w:val="none"/>
                <w:vertAlign w:val="baseline"/>
                <w:lang w:val="en-US" w:eastAsia="zh-CN" w:bidi="ar-SA"/>
              </w:rPr>
            </w:pPr>
          </w:p>
        </w:tc>
        <w:tc>
          <w:tcPr>
            <w:tcW w:w="1228" w:type="dxa"/>
            <w:vMerge w:val="continue"/>
            <w:noWrap w:val="0"/>
            <w:vAlign w:val="top"/>
          </w:tcPr>
          <w:p w14:paraId="779C171B">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000000"/>
                <w:kern w:val="2"/>
                <w:sz w:val="24"/>
                <w:szCs w:val="24"/>
                <w:highlight w:val="none"/>
                <w:vertAlign w:val="baseline"/>
                <w:lang w:val="en-US" w:eastAsia="zh-CN" w:bidi="ar-SA"/>
              </w:rPr>
            </w:pPr>
          </w:p>
        </w:tc>
        <w:tc>
          <w:tcPr>
            <w:tcW w:w="1096" w:type="dxa"/>
            <w:vMerge w:val="continue"/>
            <w:noWrap w:val="0"/>
            <w:vAlign w:val="top"/>
          </w:tcPr>
          <w:p w14:paraId="257BE23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000000"/>
                <w:sz w:val="24"/>
                <w:szCs w:val="24"/>
                <w:highlight w:val="none"/>
                <w:vertAlign w:val="baseline"/>
                <w:lang w:val="en-US" w:eastAsia="zh-CN"/>
              </w:rPr>
            </w:pPr>
          </w:p>
        </w:tc>
        <w:tc>
          <w:tcPr>
            <w:tcW w:w="761" w:type="dxa"/>
            <w:vMerge w:val="continue"/>
            <w:noWrap w:val="0"/>
            <w:vAlign w:val="top"/>
          </w:tcPr>
          <w:p w14:paraId="3873A6CC">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000000"/>
                <w:sz w:val="24"/>
                <w:szCs w:val="24"/>
                <w:highlight w:val="none"/>
                <w:vertAlign w:val="baseline"/>
                <w:lang w:val="en-US" w:eastAsia="zh-CN"/>
              </w:rPr>
            </w:pPr>
          </w:p>
        </w:tc>
      </w:tr>
      <w:tr w14:paraId="5C6872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9" w:hRule="atLeast"/>
        </w:trPr>
        <w:tc>
          <w:tcPr>
            <w:tcW w:w="1597" w:type="dxa"/>
            <w:vMerge w:val="continue"/>
            <w:noWrap w:val="0"/>
            <w:vAlign w:val="top"/>
          </w:tcPr>
          <w:p w14:paraId="05F58A5F">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000000"/>
                <w:kern w:val="2"/>
                <w:sz w:val="24"/>
                <w:szCs w:val="24"/>
                <w:highlight w:val="none"/>
                <w:vertAlign w:val="baseline"/>
                <w:lang w:val="en-US" w:eastAsia="zh-CN" w:bidi="ar-SA"/>
              </w:rPr>
            </w:pPr>
          </w:p>
        </w:tc>
        <w:tc>
          <w:tcPr>
            <w:tcW w:w="2983" w:type="dxa"/>
            <w:noWrap w:val="0"/>
            <w:vAlign w:val="top"/>
          </w:tcPr>
          <w:p w14:paraId="78DCCFCD">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kern w:val="2"/>
                <w:sz w:val="24"/>
                <w:szCs w:val="24"/>
                <w:highlight w:val="none"/>
                <w:lang w:val="en-US" w:eastAsia="zh-CN" w:bidi="ar-SA"/>
              </w:rPr>
            </w:pPr>
            <w:r>
              <w:rPr>
                <w:rFonts w:hint="eastAsia" w:ascii="宋体" w:hAnsi="宋体" w:eastAsia="宋体" w:cs="宋体"/>
                <w:b w:val="0"/>
                <w:bCs w:val="0"/>
                <w:sz w:val="24"/>
                <w:szCs w:val="24"/>
                <w:highlight w:val="none"/>
              </w:rPr>
              <w:t>氧化钾（K</w:t>
            </w:r>
            <w:r>
              <w:rPr>
                <w:rFonts w:hint="eastAsia" w:ascii="宋体" w:hAnsi="宋体" w:eastAsia="宋体" w:cs="宋体"/>
                <w:b w:val="0"/>
                <w:bCs w:val="0"/>
                <w:sz w:val="24"/>
                <w:szCs w:val="24"/>
                <w:highlight w:val="none"/>
                <w:vertAlign w:val="subscript"/>
              </w:rPr>
              <w:t>2</w:t>
            </w:r>
            <w:r>
              <w:rPr>
                <w:rFonts w:hint="eastAsia" w:ascii="宋体" w:hAnsi="宋体" w:eastAsia="宋体" w:cs="宋体"/>
                <w:b w:val="0"/>
                <w:bCs w:val="0"/>
                <w:sz w:val="24"/>
                <w:szCs w:val="24"/>
                <w:highlight w:val="none"/>
              </w:rPr>
              <w:t>O）≥</w:t>
            </w:r>
            <w:r>
              <w:rPr>
                <w:rFonts w:hint="eastAsia" w:ascii="宋体" w:hAnsi="宋体" w:eastAsia="宋体" w:cs="宋体"/>
                <w:b w:val="0"/>
                <w:bCs w:val="0"/>
                <w:sz w:val="24"/>
                <w:szCs w:val="24"/>
                <w:highlight w:val="none"/>
                <w:lang w:val="en-US" w:eastAsia="zh-CN"/>
              </w:rPr>
              <w:t>33</w:t>
            </w:r>
            <w:r>
              <w:rPr>
                <w:rFonts w:hint="eastAsia" w:ascii="宋体" w:hAnsi="宋体" w:eastAsia="宋体" w:cs="宋体"/>
                <w:b w:val="0"/>
                <w:bCs w:val="0"/>
                <w:sz w:val="24"/>
                <w:szCs w:val="24"/>
                <w:highlight w:val="none"/>
              </w:rPr>
              <w:t>.</w:t>
            </w:r>
            <w:r>
              <w:rPr>
                <w:rFonts w:hint="eastAsia" w:ascii="宋体" w:hAnsi="宋体" w:eastAsia="宋体" w:cs="宋体"/>
                <w:b w:val="0"/>
                <w:bCs w:val="0"/>
                <w:sz w:val="24"/>
                <w:szCs w:val="24"/>
                <w:highlight w:val="none"/>
                <w:lang w:val="en-US" w:eastAsia="zh-CN"/>
              </w:rPr>
              <w:t>8</w:t>
            </w:r>
            <w:r>
              <w:rPr>
                <w:rFonts w:hint="eastAsia" w:ascii="宋体" w:hAnsi="宋体" w:eastAsia="宋体" w:cs="宋体"/>
                <w:b w:val="0"/>
                <w:bCs w:val="0"/>
                <w:sz w:val="24"/>
                <w:szCs w:val="24"/>
                <w:highlight w:val="none"/>
              </w:rPr>
              <w:t>%</w:t>
            </w:r>
          </w:p>
        </w:tc>
        <w:tc>
          <w:tcPr>
            <w:tcW w:w="833" w:type="dxa"/>
            <w:vMerge w:val="continue"/>
            <w:noWrap w:val="0"/>
            <w:vAlign w:val="top"/>
          </w:tcPr>
          <w:p w14:paraId="237E3D46">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000000"/>
                <w:kern w:val="2"/>
                <w:sz w:val="24"/>
                <w:szCs w:val="24"/>
                <w:highlight w:val="none"/>
                <w:vertAlign w:val="baseline"/>
                <w:lang w:val="en-US" w:eastAsia="zh-CN" w:bidi="ar-SA"/>
              </w:rPr>
            </w:pPr>
          </w:p>
        </w:tc>
        <w:tc>
          <w:tcPr>
            <w:tcW w:w="1228" w:type="dxa"/>
            <w:vMerge w:val="continue"/>
            <w:noWrap w:val="0"/>
            <w:vAlign w:val="top"/>
          </w:tcPr>
          <w:p w14:paraId="4351F68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000000"/>
                <w:kern w:val="2"/>
                <w:sz w:val="24"/>
                <w:szCs w:val="24"/>
                <w:highlight w:val="none"/>
                <w:vertAlign w:val="baseline"/>
                <w:lang w:val="en-US" w:eastAsia="zh-CN" w:bidi="ar-SA"/>
              </w:rPr>
            </w:pPr>
          </w:p>
        </w:tc>
        <w:tc>
          <w:tcPr>
            <w:tcW w:w="1096" w:type="dxa"/>
            <w:vMerge w:val="continue"/>
            <w:noWrap w:val="0"/>
            <w:vAlign w:val="top"/>
          </w:tcPr>
          <w:p w14:paraId="1D2C6E32">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000000"/>
                <w:sz w:val="24"/>
                <w:szCs w:val="24"/>
                <w:highlight w:val="none"/>
                <w:vertAlign w:val="baseline"/>
                <w:lang w:val="en-US" w:eastAsia="zh-CN"/>
              </w:rPr>
            </w:pPr>
          </w:p>
        </w:tc>
        <w:tc>
          <w:tcPr>
            <w:tcW w:w="761" w:type="dxa"/>
            <w:vMerge w:val="continue"/>
            <w:noWrap w:val="0"/>
            <w:vAlign w:val="top"/>
          </w:tcPr>
          <w:p w14:paraId="6945B106">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000000"/>
                <w:sz w:val="24"/>
                <w:szCs w:val="24"/>
                <w:highlight w:val="none"/>
                <w:vertAlign w:val="baseline"/>
                <w:lang w:val="en-US" w:eastAsia="zh-CN"/>
              </w:rPr>
            </w:pPr>
          </w:p>
        </w:tc>
      </w:tr>
      <w:tr w14:paraId="1B3B13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9" w:hRule="atLeast"/>
        </w:trPr>
        <w:tc>
          <w:tcPr>
            <w:tcW w:w="1597" w:type="dxa"/>
            <w:vMerge w:val="continue"/>
            <w:noWrap w:val="0"/>
            <w:vAlign w:val="top"/>
          </w:tcPr>
          <w:p w14:paraId="56A5D8F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000000"/>
                <w:kern w:val="2"/>
                <w:sz w:val="24"/>
                <w:szCs w:val="24"/>
                <w:highlight w:val="none"/>
                <w:vertAlign w:val="baseline"/>
                <w:lang w:val="en-US" w:eastAsia="zh-CN" w:bidi="ar-SA"/>
              </w:rPr>
            </w:pPr>
          </w:p>
        </w:tc>
        <w:tc>
          <w:tcPr>
            <w:tcW w:w="2983" w:type="dxa"/>
            <w:noWrap w:val="0"/>
            <w:vAlign w:val="top"/>
          </w:tcPr>
          <w:p w14:paraId="007796C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kern w:val="2"/>
                <w:sz w:val="24"/>
                <w:szCs w:val="24"/>
                <w:highlight w:val="none"/>
                <w:lang w:val="en-US" w:eastAsia="zh-CN" w:bidi="ar-SA"/>
              </w:rPr>
            </w:pPr>
            <w:r>
              <w:rPr>
                <w:rFonts w:hint="eastAsia" w:ascii="宋体" w:hAnsi="宋体" w:eastAsia="宋体" w:cs="宋体"/>
                <w:b w:val="0"/>
                <w:bCs w:val="0"/>
                <w:sz w:val="24"/>
                <w:szCs w:val="24"/>
                <w:highlight w:val="none"/>
              </w:rPr>
              <w:t>水分≤0.5%</w:t>
            </w:r>
          </w:p>
        </w:tc>
        <w:tc>
          <w:tcPr>
            <w:tcW w:w="833" w:type="dxa"/>
            <w:vMerge w:val="continue"/>
            <w:noWrap w:val="0"/>
            <w:vAlign w:val="top"/>
          </w:tcPr>
          <w:p w14:paraId="2B6649B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000000"/>
                <w:kern w:val="2"/>
                <w:sz w:val="24"/>
                <w:szCs w:val="24"/>
                <w:highlight w:val="none"/>
                <w:vertAlign w:val="baseline"/>
                <w:lang w:val="en-US" w:eastAsia="zh-CN" w:bidi="ar-SA"/>
              </w:rPr>
            </w:pPr>
          </w:p>
        </w:tc>
        <w:tc>
          <w:tcPr>
            <w:tcW w:w="1228" w:type="dxa"/>
            <w:vMerge w:val="continue"/>
            <w:noWrap w:val="0"/>
            <w:vAlign w:val="top"/>
          </w:tcPr>
          <w:p w14:paraId="35CBA18D">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000000"/>
                <w:kern w:val="2"/>
                <w:sz w:val="24"/>
                <w:szCs w:val="24"/>
                <w:highlight w:val="none"/>
                <w:vertAlign w:val="baseline"/>
                <w:lang w:val="en-US" w:eastAsia="zh-CN" w:bidi="ar-SA"/>
              </w:rPr>
            </w:pPr>
          </w:p>
        </w:tc>
        <w:tc>
          <w:tcPr>
            <w:tcW w:w="1096" w:type="dxa"/>
            <w:vMerge w:val="continue"/>
            <w:noWrap w:val="0"/>
            <w:vAlign w:val="top"/>
          </w:tcPr>
          <w:p w14:paraId="7F6C7D8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000000"/>
                <w:sz w:val="24"/>
                <w:szCs w:val="24"/>
                <w:highlight w:val="none"/>
                <w:vertAlign w:val="baseline"/>
                <w:lang w:val="en-US" w:eastAsia="zh-CN"/>
              </w:rPr>
            </w:pPr>
          </w:p>
        </w:tc>
        <w:tc>
          <w:tcPr>
            <w:tcW w:w="761" w:type="dxa"/>
            <w:vMerge w:val="continue"/>
            <w:noWrap w:val="0"/>
            <w:vAlign w:val="top"/>
          </w:tcPr>
          <w:p w14:paraId="19A7E7F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000000"/>
                <w:sz w:val="24"/>
                <w:szCs w:val="24"/>
                <w:highlight w:val="none"/>
                <w:vertAlign w:val="baseline"/>
                <w:lang w:val="en-US" w:eastAsia="zh-CN"/>
              </w:rPr>
            </w:pPr>
          </w:p>
        </w:tc>
      </w:tr>
      <w:tr w14:paraId="471875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9" w:hRule="atLeast"/>
        </w:trPr>
        <w:tc>
          <w:tcPr>
            <w:tcW w:w="1597" w:type="dxa"/>
            <w:vMerge w:val="continue"/>
            <w:noWrap w:val="0"/>
            <w:vAlign w:val="top"/>
          </w:tcPr>
          <w:p w14:paraId="52F7E82D">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000000"/>
                <w:kern w:val="2"/>
                <w:sz w:val="24"/>
                <w:szCs w:val="24"/>
                <w:highlight w:val="none"/>
                <w:vertAlign w:val="baseline"/>
                <w:lang w:val="en-US" w:eastAsia="zh-CN" w:bidi="ar-SA"/>
              </w:rPr>
            </w:pPr>
          </w:p>
        </w:tc>
        <w:tc>
          <w:tcPr>
            <w:tcW w:w="2983" w:type="dxa"/>
            <w:noWrap w:val="0"/>
            <w:vAlign w:val="top"/>
          </w:tcPr>
          <w:p w14:paraId="1E2B1D13">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kern w:val="2"/>
                <w:sz w:val="24"/>
                <w:szCs w:val="24"/>
                <w:highlight w:val="none"/>
                <w:lang w:val="en-US" w:eastAsia="zh-CN" w:bidi="ar-SA"/>
              </w:rPr>
            </w:pPr>
            <w:r>
              <w:rPr>
                <w:rFonts w:hint="eastAsia" w:ascii="宋体" w:hAnsi="宋体" w:eastAsia="宋体" w:cs="宋体"/>
                <w:b w:val="0"/>
                <w:bCs w:val="0"/>
                <w:sz w:val="24"/>
                <w:szCs w:val="24"/>
                <w:highlight w:val="none"/>
              </w:rPr>
              <w:t>氯化物（Cl）≤1.0%</w:t>
            </w:r>
          </w:p>
        </w:tc>
        <w:tc>
          <w:tcPr>
            <w:tcW w:w="833" w:type="dxa"/>
            <w:vMerge w:val="continue"/>
            <w:noWrap w:val="0"/>
            <w:vAlign w:val="top"/>
          </w:tcPr>
          <w:p w14:paraId="4923C8C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000000"/>
                <w:kern w:val="2"/>
                <w:sz w:val="24"/>
                <w:szCs w:val="24"/>
                <w:highlight w:val="none"/>
                <w:vertAlign w:val="baseline"/>
                <w:lang w:val="en-US" w:eastAsia="zh-CN" w:bidi="ar-SA"/>
              </w:rPr>
            </w:pPr>
          </w:p>
        </w:tc>
        <w:tc>
          <w:tcPr>
            <w:tcW w:w="1228" w:type="dxa"/>
            <w:vMerge w:val="continue"/>
            <w:noWrap w:val="0"/>
            <w:vAlign w:val="top"/>
          </w:tcPr>
          <w:p w14:paraId="73C06E3C">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000000"/>
                <w:kern w:val="2"/>
                <w:sz w:val="24"/>
                <w:szCs w:val="24"/>
                <w:highlight w:val="none"/>
                <w:vertAlign w:val="baseline"/>
                <w:lang w:val="en-US" w:eastAsia="zh-CN" w:bidi="ar-SA"/>
              </w:rPr>
            </w:pPr>
          </w:p>
        </w:tc>
        <w:tc>
          <w:tcPr>
            <w:tcW w:w="1096" w:type="dxa"/>
            <w:vMerge w:val="continue"/>
            <w:noWrap w:val="0"/>
            <w:vAlign w:val="top"/>
          </w:tcPr>
          <w:p w14:paraId="1F9A8E13">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000000"/>
                <w:sz w:val="24"/>
                <w:szCs w:val="24"/>
                <w:highlight w:val="none"/>
                <w:vertAlign w:val="baseline"/>
                <w:lang w:val="en-US" w:eastAsia="zh-CN"/>
              </w:rPr>
            </w:pPr>
          </w:p>
        </w:tc>
        <w:tc>
          <w:tcPr>
            <w:tcW w:w="761" w:type="dxa"/>
            <w:vMerge w:val="continue"/>
            <w:noWrap w:val="0"/>
            <w:vAlign w:val="top"/>
          </w:tcPr>
          <w:p w14:paraId="7172601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000000"/>
                <w:sz w:val="24"/>
                <w:szCs w:val="24"/>
                <w:highlight w:val="none"/>
                <w:vertAlign w:val="baseline"/>
                <w:lang w:val="en-US" w:eastAsia="zh-CN"/>
              </w:rPr>
            </w:pPr>
          </w:p>
        </w:tc>
      </w:tr>
      <w:tr w14:paraId="52A27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9" w:hRule="atLeast"/>
        </w:trPr>
        <w:tc>
          <w:tcPr>
            <w:tcW w:w="1597" w:type="dxa"/>
            <w:vMerge w:val="continue"/>
            <w:noWrap w:val="0"/>
            <w:vAlign w:val="top"/>
          </w:tcPr>
          <w:p w14:paraId="10CC4508">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000000"/>
                <w:kern w:val="2"/>
                <w:sz w:val="24"/>
                <w:szCs w:val="24"/>
                <w:highlight w:val="none"/>
                <w:vertAlign w:val="baseline"/>
                <w:lang w:val="en-US" w:eastAsia="zh-CN" w:bidi="ar-SA"/>
              </w:rPr>
            </w:pPr>
          </w:p>
        </w:tc>
        <w:tc>
          <w:tcPr>
            <w:tcW w:w="2983" w:type="dxa"/>
            <w:noWrap w:val="0"/>
            <w:vAlign w:val="top"/>
          </w:tcPr>
          <w:p w14:paraId="22D57626">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kern w:val="2"/>
                <w:sz w:val="24"/>
                <w:szCs w:val="24"/>
                <w:highlight w:val="none"/>
                <w:lang w:val="en-US" w:eastAsia="zh-CN" w:bidi="ar-SA"/>
              </w:rPr>
            </w:pPr>
            <w:r>
              <w:rPr>
                <w:rFonts w:hint="eastAsia" w:ascii="宋体" w:hAnsi="宋体" w:eastAsia="宋体" w:cs="宋体"/>
                <w:b w:val="0"/>
                <w:bCs w:val="0"/>
                <w:sz w:val="24"/>
                <w:szCs w:val="24"/>
                <w:highlight w:val="none"/>
              </w:rPr>
              <w:t>水不溶物≤0.3%</w:t>
            </w:r>
          </w:p>
        </w:tc>
        <w:tc>
          <w:tcPr>
            <w:tcW w:w="833" w:type="dxa"/>
            <w:vMerge w:val="continue"/>
            <w:noWrap w:val="0"/>
            <w:vAlign w:val="top"/>
          </w:tcPr>
          <w:p w14:paraId="291EBEF3">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000000"/>
                <w:kern w:val="2"/>
                <w:sz w:val="24"/>
                <w:szCs w:val="24"/>
                <w:highlight w:val="none"/>
                <w:vertAlign w:val="baseline"/>
                <w:lang w:val="en-US" w:eastAsia="zh-CN" w:bidi="ar-SA"/>
              </w:rPr>
            </w:pPr>
          </w:p>
        </w:tc>
        <w:tc>
          <w:tcPr>
            <w:tcW w:w="1228" w:type="dxa"/>
            <w:vMerge w:val="continue"/>
            <w:noWrap w:val="0"/>
            <w:vAlign w:val="top"/>
          </w:tcPr>
          <w:p w14:paraId="125B1F21">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000000"/>
                <w:kern w:val="2"/>
                <w:sz w:val="24"/>
                <w:szCs w:val="24"/>
                <w:highlight w:val="none"/>
                <w:vertAlign w:val="baseline"/>
                <w:lang w:val="en-US" w:eastAsia="zh-CN" w:bidi="ar-SA"/>
              </w:rPr>
            </w:pPr>
          </w:p>
        </w:tc>
        <w:tc>
          <w:tcPr>
            <w:tcW w:w="1096" w:type="dxa"/>
            <w:vMerge w:val="continue"/>
            <w:noWrap w:val="0"/>
            <w:vAlign w:val="top"/>
          </w:tcPr>
          <w:p w14:paraId="2746CBB3">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000000"/>
                <w:sz w:val="24"/>
                <w:szCs w:val="24"/>
                <w:highlight w:val="none"/>
                <w:vertAlign w:val="baseline"/>
                <w:lang w:val="en-US" w:eastAsia="zh-CN"/>
              </w:rPr>
            </w:pPr>
          </w:p>
        </w:tc>
        <w:tc>
          <w:tcPr>
            <w:tcW w:w="761" w:type="dxa"/>
            <w:vMerge w:val="continue"/>
            <w:noWrap w:val="0"/>
            <w:vAlign w:val="top"/>
          </w:tcPr>
          <w:p w14:paraId="163E7BAD">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000000"/>
                <w:sz w:val="24"/>
                <w:szCs w:val="24"/>
                <w:highlight w:val="none"/>
                <w:vertAlign w:val="baseline"/>
                <w:lang w:val="en-US" w:eastAsia="zh-CN"/>
              </w:rPr>
            </w:pPr>
          </w:p>
        </w:tc>
      </w:tr>
      <w:tr w14:paraId="5A5EAB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9" w:hRule="atLeast"/>
        </w:trPr>
        <w:tc>
          <w:tcPr>
            <w:tcW w:w="1597" w:type="dxa"/>
            <w:vMerge w:val="continue"/>
            <w:noWrap w:val="0"/>
            <w:vAlign w:val="top"/>
          </w:tcPr>
          <w:p w14:paraId="31536F0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000000"/>
                <w:kern w:val="2"/>
                <w:sz w:val="24"/>
                <w:szCs w:val="24"/>
                <w:highlight w:val="none"/>
                <w:vertAlign w:val="baseline"/>
                <w:lang w:val="en-US" w:eastAsia="zh-CN" w:bidi="ar-SA"/>
              </w:rPr>
            </w:pPr>
          </w:p>
        </w:tc>
        <w:tc>
          <w:tcPr>
            <w:tcW w:w="2983" w:type="dxa"/>
            <w:noWrap w:val="0"/>
            <w:vAlign w:val="top"/>
          </w:tcPr>
          <w:p w14:paraId="1308954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kern w:val="2"/>
                <w:sz w:val="24"/>
                <w:szCs w:val="24"/>
                <w:highlight w:val="none"/>
                <w:lang w:val="en-US" w:eastAsia="zh-CN" w:bidi="ar-SA"/>
              </w:rPr>
            </w:pPr>
            <w:r>
              <w:rPr>
                <w:rFonts w:hint="eastAsia" w:ascii="宋体" w:hAnsi="宋体" w:eastAsia="宋体" w:cs="宋体"/>
                <w:b w:val="0"/>
                <w:bCs w:val="0"/>
                <w:sz w:val="24"/>
                <w:szCs w:val="24"/>
                <w:highlight w:val="none"/>
              </w:rPr>
              <w:t>pH值4.3~4.9</w:t>
            </w:r>
          </w:p>
        </w:tc>
        <w:tc>
          <w:tcPr>
            <w:tcW w:w="833" w:type="dxa"/>
            <w:vMerge w:val="continue"/>
            <w:noWrap w:val="0"/>
            <w:vAlign w:val="top"/>
          </w:tcPr>
          <w:p w14:paraId="777C1CBB">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000000"/>
                <w:kern w:val="2"/>
                <w:sz w:val="24"/>
                <w:szCs w:val="24"/>
                <w:highlight w:val="none"/>
                <w:vertAlign w:val="baseline"/>
                <w:lang w:val="en-US" w:eastAsia="zh-CN" w:bidi="ar-SA"/>
              </w:rPr>
            </w:pPr>
          </w:p>
        </w:tc>
        <w:tc>
          <w:tcPr>
            <w:tcW w:w="1228" w:type="dxa"/>
            <w:vMerge w:val="continue"/>
            <w:noWrap w:val="0"/>
            <w:vAlign w:val="top"/>
          </w:tcPr>
          <w:p w14:paraId="55A5BB6B">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000000"/>
                <w:kern w:val="2"/>
                <w:sz w:val="24"/>
                <w:szCs w:val="24"/>
                <w:highlight w:val="none"/>
                <w:vertAlign w:val="baseline"/>
                <w:lang w:val="en-US" w:eastAsia="zh-CN" w:bidi="ar-SA"/>
              </w:rPr>
            </w:pPr>
          </w:p>
        </w:tc>
        <w:tc>
          <w:tcPr>
            <w:tcW w:w="1096" w:type="dxa"/>
            <w:vMerge w:val="continue"/>
            <w:noWrap w:val="0"/>
            <w:vAlign w:val="top"/>
          </w:tcPr>
          <w:p w14:paraId="07A52C33">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000000"/>
                <w:sz w:val="24"/>
                <w:szCs w:val="24"/>
                <w:highlight w:val="none"/>
                <w:vertAlign w:val="baseline"/>
                <w:lang w:val="en-US" w:eastAsia="zh-CN"/>
              </w:rPr>
            </w:pPr>
          </w:p>
        </w:tc>
        <w:tc>
          <w:tcPr>
            <w:tcW w:w="761" w:type="dxa"/>
            <w:vMerge w:val="continue"/>
            <w:noWrap w:val="0"/>
            <w:vAlign w:val="top"/>
          </w:tcPr>
          <w:p w14:paraId="56EA265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000000"/>
                <w:sz w:val="24"/>
                <w:szCs w:val="24"/>
                <w:highlight w:val="none"/>
                <w:vertAlign w:val="baseline"/>
                <w:lang w:val="en-US" w:eastAsia="zh-CN"/>
              </w:rPr>
            </w:pPr>
          </w:p>
        </w:tc>
      </w:tr>
      <w:tr w14:paraId="2B0FA0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6" w:hRule="atLeast"/>
        </w:trPr>
        <w:tc>
          <w:tcPr>
            <w:tcW w:w="1597" w:type="dxa"/>
            <w:noWrap w:val="0"/>
            <w:vAlign w:val="center"/>
          </w:tcPr>
          <w:p w14:paraId="7172EA33">
            <w:pPr>
              <w:keepNext w:val="0"/>
              <w:keepLines w:val="0"/>
              <w:widowControl/>
              <w:suppressLineNumbers w:val="0"/>
              <w:jc w:val="center"/>
              <w:textAlignment w:val="center"/>
              <w:rPr>
                <w:rFonts w:hint="eastAsia" w:ascii="宋体" w:hAnsi="宋体" w:eastAsia="宋体" w:cs="宋体"/>
                <w:b w:val="0"/>
                <w:bCs w:val="0"/>
                <w:i w:val="0"/>
                <w:color w:val="000000"/>
                <w:kern w:val="0"/>
                <w:sz w:val="24"/>
                <w:szCs w:val="24"/>
                <w:highlight w:val="none"/>
                <w:u w:val="none"/>
                <w:lang w:val="en-US" w:eastAsia="zh-CN" w:bidi="ar"/>
              </w:rPr>
            </w:pPr>
            <w:r>
              <w:rPr>
                <w:rFonts w:hint="eastAsia" w:ascii="宋体" w:hAnsi="宋体" w:eastAsia="宋体" w:cs="宋体"/>
                <w:b w:val="0"/>
                <w:bCs w:val="0"/>
                <w:i w:val="0"/>
                <w:color w:val="000000"/>
                <w:kern w:val="0"/>
                <w:sz w:val="24"/>
                <w:szCs w:val="24"/>
                <w:highlight w:val="none"/>
                <w:u w:val="none"/>
                <w:lang w:val="en-US" w:eastAsia="zh-CN" w:bidi="ar"/>
              </w:rPr>
              <w:t>24-表芸苔素内酯</w:t>
            </w:r>
          </w:p>
        </w:tc>
        <w:tc>
          <w:tcPr>
            <w:tcW w:w="2983" w:type="dxa"/>
            <w:noWrap w:val="0"/>
            <w:vAlign w:val="center"/>
          </w:tcPr>
          <w:p w14:paraId="2ACCBC3E">
            <w:pPr>
              <w:keepNext w:val="0"/>
              <w:keepLines w:val="0"/>
              <w:widowControl/>
              <w:suppressLineNumbers w:val="0"/>
              <w:jc w:val="center"/>
              <w:textAlignment w:val="center"/>
              <w:rPr>
                <w:rFonts w:hint="eastAsia" w:ascii="宋体" w:hAnsi="宋体" w:eastAsia="宋体" w:cs="宋体"/>
                <w:b w:val="0"/>
                <w:bCs w:val="0"/>
                <w:i w:val="0"/>
                <w:color w:val="000000"/>
                <w:kern w:val="0"/>
                <w:sz w:val="24"/>
                <w:szCs w:val="24"/>
                <w:highlight w:val="none"/>
                <w:u w:val="none"/>
                <w:lang w:val="en-US" w:eastAsia="zh-CN" w:bidi="ar"/>
              </w:rPr>
            </w:pPr>
            <w:r>
              <w:rPr>
                <w:rFonts w:hint="eastAsia" w:ascii="宋体" w:hAnsi="宋体" w:eastAsia="宋体" w:cs="宋体"/>
                <w:b w:val="0"/>
                <w:bCs w:val="0"/>
                <w:i w:val="0"/>
                <w:iCs w:val="0"/>
                <w:caps w:val="0"/>
                <w:color w:val="333333"/>
                <w:spacing w:val="0"/>
                <w:sz w:val="24"/>
                <w:szCs w:val="24"/>
                <w:highlight w:val="none"/>
                <w:shd w:val="clear" w:color="auto" w:fill="FFFFFF"/>
              </w:rPr>
              <w:t>0.01%</w:t>
            </w:r>
          </w:p>
        </w:tc>
        <w:tc>
          <w:tcPr>
            <w:tcW w:w="833" w:type="dxa"/>
            <w:noWrap w:val="0"/>
            <w:vAlign w:val="center"/>
          </w:tcPr>
          <w:p w14:paraId="1C594257">
            <w:pPr>
              <w:keepNext w:val="0"/>
              <w:keepLines w:val="0"/>
              <w:widowControl/>
              <w:suppressLineNumbers w:val="0"/>
              <w:jc w:val="center"/>
              <w:textAlignment w:val="center"/>
              <w:rPr>
                <w:rFonts w:hint="eastAsia" w:ascii="宋体" w:hAnsi="宋体" w:eastAsia="宋体" w:cs="宋体"/>
                <w:b w:val="0"/>
                <w:bCs w:val="0"/>
                <w:i w:val="0"/>
                <w:color w:val="000000"/>
                <w:kern w:val="0"/>
                <w:sz w:val="24"/>
                <w:szCs w:val="24"/>
                <w:highlight w:val="none"/>
                <w:u w:val="none"/>
                <w:lang w:val="en-US" w:eastAsia="zh-CN" w:bidi="ar"/>
              </w:rPr>
            </w:pPr>
            <w:r>
              <w:rPr>
                <w:rFonts w:hint="eastAsia" w:ascii="宋体" w:hAnsi="宋体" w:eastAsia="宋体" w:cs="宋体"/>
                <w:b w:val="0"/>
                <w:bCs w:val="0"/>
                <w:i w:val="0"/>
                <w:iCs w:val="0"/>
                <w:caps w:val="0"/>
                <w:color w:val="333333"/>
                <w:spacing w:val="0"/>
                <w:sz w:val="24"/>
                <w:szCs w:val="24"/>
                <w:highlight w:val="none"/>
                <w:shd w:val="clear" w:color="auto" w:fill="FFFFFF"/>
              </w:rPr>
              <w:t>可溶液剂</w:t>
            </w:r>
          </w:p>
        </w:tc>
        <w:tc>
          <w:tcPr>
            <w:tcW w:w="1228" w:type="dxa"/>
            <w:noWrap w:val="0"/>
            <w:vAlign w:val="center"/>
          </w:tcPr>
          <w:p w14:paraId="46691374">
            <w:pPr>
              <w:keepNext w:val="0"/>
              <w:keepLines w:val="0"/>
              <w:widowControl/>
              <w:suppressLineNumbers w:val="0"/>
              <w:jc w:val="center"/>
              <w:textAlignment w:val="center"/>
              <w:rPr>
                <w:rFonts w:hint="eastAsia" w:ascii="宋体" w:hAnsi="宋体" w:eastAsia="宋体" w:cs="宋体"/>
                <w:b w:val="0"/>
                <w:bCs w:val="0"/>
                <w:i w:val="0"/>
                <w:color w:val="000000"/>
                <w:kern w:val="0"/>
                <w:sz w:val="24"/>
                <w:szCs w:val="24"/>
                <w:highlight w:val="none"/>
                <w:u w:val="none"/>
                <w:lang w:val="en-US" w:eastAsia="zh-CN" w:bidi="ar"/>
              </w:rPr>
            </w:pPr>
            <w:r>
              <w:rPr>
                <w:rFonts w:hint="eastAsia" w:ascii="宋体" w:hAnsi="宋体" w:eastAsia="宋体" w:cs="宋体"/>
                <w:b w:val="0"/>
                <w:bCs w:val="0"/>
                <w:i w:val="0"/>
                <w:color w:val="000000"/>
                <w:kern w:val="0"/>
                <w:sz w:val="24"/>
                <w:szCs w:val="24"/>
                <w:highlight w:val="none"/>
                <w:u w:val="none"/>
                <w:lang w:val="en-US" w:eastAsia="zh-CN" w:bidi="ar"/>
              </w:rPr>
              <w:t>15ml</w:t>
            </w:r>
          </w:p>
        </w:tc>
        <w:tc>
          <w:tcPr>
            <w:tcW w:w="1096" w:type="dxa"/>
            <w:noWrap w:val="0"/>
            <w:vAlign w:val="top"/>
          </w:tcPr>
          <w:p w14:paraId="0A8D15D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000000"/>
                <w:sz w:val="24"/>
                <w:szCs w:val="24"/>
                <w:highlight w:val="none"/>
                <w:vertAlign w:val="baseline"/>
                <w:lang w:val="en-US" w:eastAsia="zh-CN"/>
              </w:rPr>
            </w:pPr>
            <w:r>
              <w:rPr>
                <w:rFonts w:hint="eastAsia" w:ascii="宋体" w:hAnsi="宋体" w:eastAsia="宋体" w:cs="宋体"/>
                <w:b w:val="0"/>
                <w:bCs w:val="0"/>
                <w:color w:val="000000"/>
                <w:sz w:val="24"/>
                <w:szCs w:val="24"/>
                <w:highlight w:val="none"/>
                <w:vertAlign w:val="baseline"/>
                <w:lang w:val="en-US" w:eastAsia="zh-CN"/>
              </w:rPr>
              <w:t>795</w:t>
            </w:r>
          </w:p>
        </w:tc>
        <w:tc>
          <w:tcPr>
            <w:tcW w:w="761" w:type="dxa"/>
            <w:noWrap w:val="0"/>
            <w:vAlign w:val="top"/>
          </w:tcPr>
          <w:p w14:paraId="66436D1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000000"/>
                <w:sz w:val="24"/>
                <w:szCs w:val="24"/>
                <w:highlight w:val="none"/>
                <w:vertAlign w:val="baseline"/>
                <w:lang w:val="en-US" w:eastAsia="zh-CN"/>
              </w:rPr>
            </w:pPr>
          </w:p>
        </w:tc>
      </w:tr>
      <w:tr w14:paraId="147D79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3" w:hRule="atLeast"/>
        </w:trPr>
        <w:tc>
          <w:tcPr>
            <w:tcW w:w="1597" w:type="dxa"/>
            <w:noWrap w:val="0"/>
            <w:vAlign w:val="top"/>
          </w:tcPr>
          <w:p w14:paraId="6594132C">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000000"/>
                <w:kern w:val="2"/>
                <w:sz w:val="24"/>
                <w:szCs w:val="24"/>
                <w:highlight w:val="none"/>
                <w:vertAlign w:val="baseline"/>
                <w:lang w:val="en-US" w:eastAsia="zh-CN" w:bidi="ar-SA"/>
              </w:rPr>
            </w:pPr>
            <w:r>
              <w:rPr>
                <w:rFonts w:hint="eastAsia" w:ascii="宋体" w:hAnsi="宋体" w:eastAsia="宋体" w:cs="宋体"/>
                <w:b w:val="0"/>
                <w:bCs w:val="0"/>
                <w:i w:val="0"/>
                <w:color w:val="000000"/>
                <w:kern w:val="0"/>
                <w:sz w:val="24"/>
                <w:szCs w:val="24"/>
                <w:highlight w:val="none"/>
                <w:u w:val="none"/>
                <w:lang w:val="en-US" w:eastAsia="zh-CN" w:bidi="ar"/>
              </w:rPr>
              <w:t>氯虫苯甲酰胺</w:t>
            </w:r>
          </w:p>
        </w:tc>
        <w:tc>
          <w:tcPr>
            <w:tcW w:w="2983" w:type="dxa"/>
            <w:noWrap w:val="0"/>
            <w:vAlign w:val="center"/>
          </w:tcPr>
          <w:p w14:paraId="7E079F72">
            <w:pPr>
              <w:spacing w:line="340" w:lineRule="exact"/>
              <w:jc w:val="center"/>
              <w:rPr>
                <w:rFonts w:hint="eastAsia" w:ascii="宋体" w:hAnsi="宋体" w:eastAsia="宋体" w:cs="宋体"/>
                <w:b w:val="0"/>
                <w:bCs w:val="0"/>
                <w:sz w:val="24"/>
                <w:szCs w:val="24"/>
                <w:highlight w:val="none"/>
              </w:rPr>
            </w:pPr>
            <w:r>
              <w:rPr>
                <w:rFonts w:hint="eastAsia" w:ascii="宋体" w:hAnsi="宋体" w:eastAsia="宋体" w:cs="宋体"/>
                <w:b w:val="0"/>
                <w:bCs w:val="0"/>
                <w:i w:val="0"/>
                <w:color w:val="000000"/>
                <w:kern w:val="0"/>
                <w:sz w:val="24"/>
                <w:szCs w:val="24"/>
                <w:highlight w:val="none"/>
                <w:u w:val="none"/>
                <w:lang w:val="en-US" w:eastAsia="zh-CN" w:bidi="ar"/>
              </w:rPr>
              <w:t>20%</w:t>
            </w:r>
          </w:p>
        </w:tc>
        <w:tc>
          <w:tcPr>
            <w:tcW w:w="833" w:type="dxa"/>
            <w:noWrap w:val="0"/>
            <w:vAlign w:val="top"/>
          </w:tcPr>
          <w:p w14:paraId="2EA1F24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000000"/>
                <w:sz w:val="24"/>
                <w:szCs w:val="24"/>
                <w:highlight w:val="none"/>
                <w:vertAlign w:val="baseline"/>
                <w:lang w:val="en-US" w:eastAsia="zh-CN"/>
              </w:rPr>
            </w:pPr>
            <w:r>
              <w:rPr>
                <w:rFonts w:hint="eastAsia" w:ascii="宋体" w:hAnsi="宋体" w:eastAsia="宋体" w:cs="宋体"/>
                <w:b w:val="0"/>
                <w:bCs w:val="0"/>
                <w:color w:val="000000"/>
                <w:sz w:val="24"/>
                <w:szCs w:val="24"/>
                <w:highlight w:val="none"/>
                <w:vertAlign w:val="baseline"/>
                <w:lang w:val="en-US" w:eastAsia="zh-CN"/>
              </w:rPr>
              <w:t>悬浮剂</w:t>
            </w:r>
          </w:p>
        </w:tc>
        <w:tc>
          <w:tcPr>
            <w:tcW w:w="1228" w:type="dxa"/>
            <w:noWrap w:val="0"/>
            <w:vAlign w:val="top"/>
          </w:tcPr>
          <w:p w14:paraId="444B704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000000"/>
                <w:sz w:val="24"/>
                <w:szCs w:val="24"/>
                <w:highlight w:val="none"/>
                <w:vertAlign w:val="baseline"/>
                <w:lang w:val="en-US" w:eastAsia="zh-CN"/>
              </w:rPr>
            </w:pPr>
            <w:r>
              <w:rPr>
                <w:rFonts w:hint="eastAsia" w:ascii="宋体" w:hAnsi="宋体" w:eastAsia="宋体" w:cs="宋体"/>
                <w:b w:val="0"/>
                <w:bCs w:val="0"/>
                <w:color w:val="000000"/>
                <w:sz w:val="24"/>
                <w:szCs w:val="24"/>
                <w:highlight w:val="none"/>
                <w:vertAlign w:val="baseline"/>
                <w:lang w:val="en-US" w:eastAsia="zh-CN"/>
              </w:rPr>
              <w:t>10ml</w:t>
            </w:r>
          </w:p>
        </w:tc>
        <w:tc>
          <w:tcPr>
            <w:tcW w:w="1096" w:type="dxa"/>
            <w:noWrap w:val="0"/>
            <w:vAlign w:val="top"/>
          </w:tcPr>
          <w:p w14:paraId="1B4E7A9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000000"/>
                <w:sz w:val="24"/>
                <w:szCs w:val="24"/>
                <w:highlight w:val="none"/>
                <w:vertAlign w:val="baseline"/>
                <w:lang w:val="en-US" w:eastAsia="zh-CN"/>
              </w:rPr>
            </w:pPr>
            <w:r>
              <w:rPr>
                <w:rFonts w:hint="eastAsia" w:ascii="宋体" w:hAnsi="宋体" w:eastAsia="宋体" w:cs="宋体"/>
                <w:b w:val="0"/>
                <w:bCs w:val="0"/>
                <w:color w:val="000000"/>
                <w:sz w:val="24"/>
                <w:szCs w:val="24"/>
                <w:highlight w:val="none"/>
                <w:vertAlign w:val="baseline"/>
                <w:lang w:val="en-US" w:eastAsia="zh-CN"/>
              </w:rPr>
              <w:t>530</w:t>
            </w:r>
          </w:p>
        </w:tc>
        <w:tc>
          <w:tcPr>
            <w:tcW w:w="761" w:type="dxa"/>
            <w:noWrap w:val="0"/>
            <w:vAlign w:val="top"/>
          </w:tcPr>
          <w:p w14:paraId="1FD1E1E3">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000000"/>
                <w:sz w:val="24"/>
                <w:szCs w:val="24"/>
                <w:highlight w:val="none"/>
                <w:vertAlign w:val="baseline"/>
                <w:lang w:val="en-US" w:eastAsia="zh-CN"/>
              </w:rPr>
            </w:pPr>
          </w:p>
        </w:tc>
      </w:tr>
    </w:tbl>
    <w:p w14:paraId="0B5F7032">
      <w:pPr>
        <w:rPr>
          <w:rFonts w:hint="eastAsia"/>
          <w:highlight w:val="none"/>
        </w:rPr>
        <w:sectPr>
          <w:pgSz w:w="11906" w:h="16838"/>
          <w:pgMar w:top="1440" w:right="1083" w:bottom="1440" w:left="1083" w:header="851" w:footer="850" w:gutter="0"/>
          <w:cols w:space="0" w:num="1"/>
          <w:titlePg/>
          <w:rtlGutter w:val="0"/>
          <w:docGrid w:linePitch="312" w:charSpace="0"/>
        </w:sectPr>
      </w:pPr>
    </w:p>
    <w:p w14:paraId="1C261BF6">
      <w:pPr>
        <w:rPr>
          <w:rFonts w:hint="eastAsia"/>
          <w:highlight w:val="none"/>
        </w:rPr>
      </w:pPr>
    </w:p>
    <w:p w14:paraId="2A1D679F">
      <w:pPr>
        <w:rPr>
          <w:rFonts w:hint="eastAsia"/>
          <w:highlight w:val="none"/>
        </w:rPr>
      </w:pPr>
    </w:p>
    <w:p w14:paraId="391EE852">
      <w:pPr>
        <w:rPr>
          <w:highlight w:val="none"/>
        </w:rPr>
      </w:pPr>
    </w:p>
    <w:p w14:paraId="47905ABF">
      <w:pPr>
        <w:pStyle w:val="7"/>
        <w:jc w:val="center"/>
        <w:rPr>
          <w:highlight w:val="none"/>
        </w:rPr>
      </w:pPr>
      <w:bookmarkStart w:id="237" w:name="_Toc9749"/>
      <w:r>
        <w:rPr>
          <w:rFonts w:hint="eastAsia"/>
          <w:highlight w:val="none"/>
        </w:rPr>
        <w:t>第六章  响应性文件格式</w:t>
      </w:r>
      <w:bookmarkEnd w:id="230"/>
      <w:bookmarkEnd w:id="231"/>
      <w:bookmarkEnd w:id="232"/>
      <w:bookmarkEnd w:id="233"/>
      <w:bookmarkEnd w:id="234"/>
      <w:bookmarkEnd w:id="235"/>
      <w:bookmarkEnd w:id="236"/>
      <w:bookmarkEnd w:id="237"/>
    </w:p>
    <w:p w14:paraId="07F63A84">
      <w:pPr>
        <w:widowControl/>
        <w:ind w:firstLine="360"/>
        <w:jc w:val="center"/>
        <w:rPr>
          <w:rFonts w:hint="eastAsia" w:ascii="宋体" w:hAnsi="宋体" w:eastAsia="宋体" w:cs="宋体"/>
          <w:b/>
          <w:kern w:val="0"/>
          <w:sz w:val="24"/>
          <w:highlight w:val="none"/>
        </w:rPr>
      </w:pPr>
      <w:bookmarkStart w:id="238" w:name="_Toc27687"/>
      <w:bookmarkEnd w:id="238"/>
      <w:bookmarkStart w:id="239" w:name="_Toc394651921"/>
      <w:bookmarkEnd w:id="239"/>
      <w:bookmarkStart w:id="240" w:name="_Toc528078066"/>
      <w:bookmarkEnd w:id="240"/>
      <w:bookmarkStart w:id="241" w:name="_Toc19996"/>
    </w:p>
    <w:p w14:paraId="0C2F875D">
      <w:pPr>
        <w:widowControl/>
        <w:ind w:firstLine="360"/>
        <w:jc w:val="center"/>
        <w:rPr>
          <w:rFonts w:hint="eastAsia" w:ascii="宋体" w:hAnsi="宋体" w:eastAsia="宋体" w:cs="宋体"/>
          <w:b/>
          <w:kern w:val="0"/>
          <w:sz w:val="24"/>
          <w:highlight w:val="none"/>
        </w:rPr>
      </w:pPr>
    </w:p>
    <w:p w14:paraId="1668B11C">
      <w:pPr>
        <w:widowControl/>
        <w:ind w:firstLine="360"/>
        <w:jc w:val="center"/>
        <w:rPr>
          <w:rFonts w:hint="eastAsia" w:ascii="宋体" w:hAnsi="宋体" w:eastAsia="宋体" w:cs="宋体"/>
          <w:b/>
          <w:kern w:val="0"/>
          <w:sz w:val="24"/>
          <w:highlight w:val="none"/>
        </w:rPr>
      </w:pPr>
    </w:p>
    <w:p w14:paraId="495F4D19">
      <w:pPr>
        <w:widowControl/>
        <w:ind w:firstLine="360"/>
        <w:jc w:val="center"/>
        <w:rPr>
          <w:rFonts w:hint="eastAsia" w:ascii="宋体" w:hAnsi="宋体" w:eastAsia="宋体" w:cs="宋体"/>
          <w:b/>
          <w:kern w:val="0"/>
          <w:sz w:val="24"/>
          <w:highlight w:val="none"/>
          <w:u w:val="single"/>
        </w:rPr>
      </w:pPr>
    </w:p>
    <w:p w14:paraId="681D8E53">
      <w:pPr>
        <w:widowControl/>
        <w:ind w:firstLine="360"/>
        <w:jc w:val="center"/>
        <w:rPr>
          <w:rFonts w:hint="eastAsia" w:ascii="宋体" w:hAnsi="宋体" w:eastAsia="宋体" w:cs="宋体"/>
          <w:b/>
          <w:kern w:val="0"/>
          <w:sz w:val="24"/>
          <w:highlight w:val="none"/>
        </w:rPr>
      </w:pPr>
      <w:r>
        <w:rPr>
          <w:rFonts w:hint="eastAsia" w:ascii="宋体" w:hAnsi="宋体" w:eastAsia="宋体" w:cs="宋体"/>
          <w:b/>
          <w:kern w:val="0"/>
          <w:sz w:val="24"/>
          <w:highlight w:val="none"/>
          <w:u w:val="single"/>
        </w:rPr>
        <w:t xml:space="preserve">                     </w:t>
      </w:r>
      <w:r>
        <w:rPr>
          <w:rFonts w:hint="eastAsia" w:ascii="宋体" w:hAnsi="宋体" w:eastAsia="宋体" w:cs="宋体"/>
          <w:b/>
          <w:kern w:val="0"/>
          <w:sz w:val="24"/>
          <w:highlight w:val="none"/>
        </w:rPr>
        <w:t>（项目名称）</w:t>
      </w:r>
    </w:p>
    <w:p w14:paraId="50E9E29D">
      <w:pPr>
        <w:widowControl/>
        <w:ind w:firstLine="360"/>
        <w:jc w:val="center"/>
        <w:rPr>
          <w:rFonts w:hint="eastAsia" w:ascii="宋体" w:hAnsi="宋体" w:eastAsia="宋体" w:cs="宋体"/>
          <w:b/>
          <w:kern w:val="0"/>
          <w:sz w:val="24"/>
          <w:highlight w:val="none"/>
        </w:rPr>
      </w:pPr>
    </w:p>
    <w:p w14:paraId="37A7806B">
      <w:pPr>
        <w:widowControl/>
        <w:ind w:firstLine="3132" w:firstLineChars="1300"/>
        <w:jc w:val="left"/>
        <w:rPr>
          <w:rFonts w:hint="eastAsia" w:ascii="宋体" w:hAnsi="宋体" w:eastAsia="宋体" w:cs="宋体"/>
          <w:b/>
          <w:kern w:val="0"/>
          <w:sz w:val="24"/>
          <w:highlight w:val="none"/>
        </w:rPr>
      </w:pPr>
      <w:r>
        <w:rPr>
          <w:rFonts w:hint="eastAsia" w:ascii="宋体" w:hAnsi="宋体" w:eastAsia="宋体" w:cs="宋体"/>
          <w:b/>
          <w:kern w:val="0"/>
          <w:sz w:val="24"/>
          <w:highlight w:val="none"/>
        </w:rPr>
        <w:t>项目编号：</w:t>
      </w:r>
    </w:p>
    <w:p w14:paraId="2FF66B7A">
      <w:pPr>
        <w:widowControl/>
        <w:ind w:firstLine="360"/>
        <w:jc w:val="center"/>
        <w:rPr>
          <w:rFonts w:hint="eastAsia" w:ascii="宋体" w:hAnsi="宋体" w:eastAsia="宋体" w:cs="宋体"/>
          <w:b/>
          <w:kern w:val="0"/>
          <w:sz w:val="24"/>
          <w:highlight w:val="none"/>
        </w:rPr>
      </w:pPr>
    </w:p>
    <w:p w14:paraId="1B8602A9">
      <w:pPr>
        <w:widowControl/>
        <w:ind w:firstLine="360"/>
        <w:jc w:val="center"/>
        <w:rPr>
          <w:rFonts w:hint="eastAsia" w:ascii="宋体" w:hAnsi="宋体" w:eastAsia="宋体" w:cs="宋体"/>
          <w:b/>
          <w:kern w:val="0"/>
          <w:sz w:val="24"/>
          <w:highlight w:val="none"/>
        </w:rPr>
      </w:pPr>
    </w:p>
    <w:p w14:paraId="7F20D0FA">
      <w:pPr>
        <w:widowControl/>
        <w:ind w:firstLine="360"/>
        <w:jc w:val="center"/>
        <w:rPr>
          <w:rFonts w:hint="eastAsia" w:ascii="宋体" w:hAnsi="宋体" w:eastAsia="宋体" w:cs="宋体"/>
          <w:b/>
          <w:kern w:val="0"/>
          <w:sz w:val="24"/>
          <w:highlight w:val="none"/>
        </w:rPr>
      </w:pPr>
    </w:p>
    <w:p w14:paraId="28FE00E1">
      <w:pPr>
        <w:widowControl/>
        <w:ind w:firstLine="360"/>
        <w:jc w:val="center"/>
        <w:rPr>
          <w:rFonts w:hint="eastAsia" w:ascii="宋体" w:hAnsi="宋体" w:eastAsia="宋体" w:cs="宋体"/>
          <w:b/>
          <w:kern w:val="0"/>
          <w:sz w:val="24"/>
          <w:highlight w:val="none"/>
        </w:rPr>
      </w:pPr>
    </w:p>
    <w:p w14:paraId="33748D88">
      <w:pPr>
        <w:widowControl/>
        <w:ind w:firstLine="360"/>
        <w:jc w:val="center"/>
        <w:rPr>
          <w:rFonts w:hint="eastAsia" w:ascii="宋体" w:hAnsi="宋体" w:eastAsia="宋体" w:cs="宋体"/>
          <w:b/>
          <w:kern w:val="0"/>
          <w:sz w:val="24"/>
          <w:highlight w:val="none"/>
        </w:rPr>
      </w:pPr>
    </w:p>
    <w:p w14:paraId="1966736C">
      <w:pPr>
        <w:widowControl/>
        <w:ind w:firstLine="360"/>
        <w:jc w:val="center"/>
        <w:rPr>
          <w:rFonts w:hint="eastAsia" w:ascii="宋体" w:hAnsi="宋体" w:eastAsia="宋体" w:cs="宋体"/>
          <w:b/>
          <w:kern w:val="0"/>
          <w:sz w:val="28"/>
          <w:szCs w:val="24"/>
          <w:highlight w:val="none"/>
        </w:rPr>
      </w:pPr>
    </w:p>
    <w:p w14:paraId="0A66C7FC">
      <w:pPr>
        <w:widowControl/>
        <w:ind w:firstLine="360"/>
        <w:jc w:val="center"/>
        <w:rPr>
          <w:rFonts w:hint="eastAsia" w:ascii="宋体" w:hAnsi="宋体" w:eastAsia="宋体" w:cs="宋体"/>
          <w:b/>
          <w:kern w:val="0"/>
          <w:sz w:val="32"/>
          <w:szCs w:val="28"/>
          <w:highlight w:val="none"/>
        </w:rPr>
      </w:pPr>
      <w:r>
        <w:rPr>
          <w:rFonts w:hint="eastAsia" w:ascii="宋体" w:hAnsi="宋体" w:eastAsia="宋体" w:cs="宋体"/>
          <w:b/>
          <w:kern w:val="0"/>
          <w:sz w:val="32"/>
          <w:szCs w:val="28"/>
          <w:highlight w:val="none"/>
        </w:rPr>
        <w:t>响</w:t>
      </w:r>
    </w:p>
    <w:p w14:paraId="2412C88B">
      <w:pPr>
        <w:widowControl/>
        <w:ind w:firstLine="360"/>
        <w:jc w:val="center"/>
        <w:rPr>
          <w:rFonts w:hint="eastAsia" w:ascii="宋体" w:hAnsi="宋体" w:eastAsia="宋体" w:cs="宋体"/>
          <w:b/>
          <w:kern w:val="0"/>
          <w:sz w:val="32"/>
          <w:szCs w:val="28"/>
          <w:highlight w:val="none"/>
        </w:rPr>
      </w:pPr>
    </w:p>
    <w:p w14:paraId="7FA44699">
      <w:pPr>
        <w:widowControl/>
        <w:ind w:firstLine="360"/>
        <w:jc w:val="center"/>
        <w:rPr>
          <w:rFonts w:hint="eastAsia" w:ascii="宋体" w:hAnsi="宋体" w:eastAsia="宋体" w:cs="宋体"/>
          <w:b/>
          <w:kern w:val="0"/>
          <w:sz w:val="32"/>
          <w:szCs w:val="28"/>
          <w:highlight w:val="none"/>
        </w:rPr>
      </w:pPr>
      <w:r>
        <w:rPr>
          <w:rFonts w:hint="eastAsia" w:ascii="宋体" w:hAnsi="宋体" w:eastAsia="宋体" w:cs="宋体"/>
          <w:b/>
          <w:kern w:val="0"/>
          <w:sz w:val="32"/>
          <w:szCs w:val="28"/>
          <w:highlight w:val="none"/>
        </w:rPr>
        <w:t>应</w:t>
      </w:r>
    </w:p>
    <w:p w14:paraId="5C354E12">
      <w:pPr>
        <w:widowControl/>
        <w:ind w:firstLine="360"/>
        <w:jc w:val="center"/>
        <w:rPr>
          <w:rFonts w:hint="eastAsia" w:ascii="宋体" w:hAnsi="宋体" w:eastAsia="宋体" w:cs="宋体"/>
          <w:b/>
          <w:kern w:val="0"/>
          <w:sz w:val="32"/>
          <w:szCs w:val="28"/>
          <w:highlight w:val="none"/>
        </w:rPr>
      </w:pPr>
    </w:p>
    <w:p w14:paraId="0400F75D">
      <w:pPr>
        <w:widowControl/>
        <w:ind w:firstLine="360"/>
        <w:jc w:val="center"/>
        <w:rPr>
          <w:rFonts w:hint="eastAsia" w:ascii="宋体" w:hAnsi="宋体" w:eastAsia="宋体" w:cs="宋体"/>
          <w:b/>
          <w:kern w:val="0"/>
          <w:sz w:val="32"/>
          <w:szCs w:val="28"/>
          <w:highlight w:val="none"/>
        </w:rPr>
      </w:pPr>
      <w:r>
        <w:rPr>
          <w:rFonts w:hint="eastAsia" w:ascii="宋体" w:hAnsi="宋体" w:eastAsia="宋体" w:cs="宋体"/>
          <w:b/>
          <w:kern w:val="0"/>
          <w:sz w:val="32"/>
          <w:szCs w:val="28"/>
          <w:highlight w:val="none"/>
        </w:rPr>
        <w:t xml:space="preserve">性 </w:t>
      </w:r>
    </w:p>
    <w:p w14:paraId="341E50B3">
      <w:pPr>
        <w:widowControl/>
        <w:ind w:firstLine="360"/>
        <w:jc w:val="center"/>
        <w:rPr>
          <w:rFonts w:hint="eastAsia" w:ascii="宋体" w:hAnsi="宋体" w:eastAsia="宋体" w:cs="宋体"/>
          <w:b/>
          <w:kern w:val="0"/>
          <w:sz w:val="32"/>
          <w:szCs w:val="28"/>
          <w:highlight w:val="none"/>
        </w:rPr>
      </w:pPr>
      <w:r>
        <w:rPr>
          <w:rFonts w:ascii="宋体" w:hAnsi="宋体" w:eastAsia="宋体" w:cs="宋体"/>
          <w:b/>
          <w:kern w:val="0"/>
          <w:sz w:val="32"/>
          <w:szCs w:val="28"/>
          <w:highlight w:val="none"/>
        </w:rPr>
        <w:t xml:space="preserve"> </w:t>
      </w:r>
    </w:p>
    <w:p w14:paraId="0A0AB96C">
      <w:pPr>
        <w:widowControl/>
        <w:ind w:firstLine="360"/>
        <w:jc w:val="center"/>
        <w:rPr>
          <w:rFonts w:hint="eastAsia" w:ascii="宋体" w:hAnsi="宋体" w:eastAsia="宋体" w:cs="宋体"/>
          <w:b/>
          <w:kern w:val="0"/>
          <w:sz w:val="32"/>
          <w:szCs w:val="28"/>
          <w:highlight w:val="none"/>
        </w:rPr>
      </w:pPr>
      <w:r>
        <w:rPr>
          <w:rFonts w:hint="eastAsia" w:ascii="宋体" w:hAnsi="宋体" w:eastAsia="宋体" w:cs="宋体"/>
          <w:b/>
          <w:kern w:val="0"/>
          <w:sz w:val="32"/>
          <w:szCs w:val="28"/>
          <w:highlight w:val="none"/>
        </w:rPr>
        <w:t xml:space="preserve">文 </w:t>
      </w:r>
    </w:p>
    <w:p w14:paraId="58782845">
      <w:pPr>
        <w:widowControl/>
        <w:ind w:firstLine="360"/>
        <w:jc w:val="center"/>
        <w:rPr>
          <w:rFonts w:hint="eastAsia" w:ascii="宋体" w:hAnsi="宋体" w:eastAsia="宋体" w:cs="宋体"/>
          <w:b/>
          <w:kern w:val="0"/>
          <w:sz w:val="32"/>
          <w:szCs w:val="28"/>
          <w:highlight w:val="none"/>
        </w:rPr>
      </w:pPr>
      <w:r>
        <w:rPr>
          <w:rFonts w:ascii="宋体" w:hAnsi="宋体" w:eastAsia="宋体" w:cs="宋体"/>
          <w:b/>
          <w:kern w:val="0"/>
          <w:sz w:val="32"/>
          <w:szCs w:val="28"/>
          <w:highlight w:val="none"/>
        </w:rPr>
        <w:t xml:space="preserve"> </w:t>
      </w:r>
    </w:p>
    <w:p w14:paraId="14ADB636">
      <w:pPr>
        <w:widowControl/>
        <w:ind w:firstLine="360"/>
        <w:jc w:val="center"/>
        <w:rPr>
          <w:rFonts w:hint="eastAsia" w:ascii="宋体" w:hAnsi="宋体" w:eastAsia="宋体" w:cs="宋体"/>
          <w:b/>
          <w:kern w:val="0"/>
          <w:sz w:val="32"/>
          <w:szCs w:val="28"/>
          <w:highlight w:val="none"/>
        </w:rPr>
      </w:pPr>
      <w:r>
        <w:rPr>
          <w:rFonts w:hint="eastAsia" w:ascii="宋体" w:hAnsi="宋体" w:eastAsia="宋体" w:cs="宋体"/>
          <w:b/>
          <w:kern w:val="0"/>
          <w:sz w:val="32"/>
          <w:szCs w:val="28"/>
          <w:highlight w:val="none"/>
        </w:rPr>
        <w:t>件</w:t>
      </w:r>
    </w:p>
    <w:p w14:paraId="6733F29B">
      <w:pPr>
        <w:widowControl/>
        <w:ind w:firstLine="360"/>
        <w:jc w:val="center"/>
        <w:rPr>
          <w:rFonts w:hint="eastAsia" w:ascii="宋体" w:hAnsi="宋体" w:eastAsia="宋体" w:cs="宋体"/>
          <w:b/>
          <w:kern w:val="0"/>
          <w:sz w:val="24"/>
          <w:highlight w:val="none"/>
        </w:rPr>
      </w:pPr>
    </w:p>
    <w:p w14:paraId="4EEF1EF7">
      <w:pPr>
        <w:widowControl/>
        <w:spacing w:line="360" w:lineRule="auto"/>
        <w:ind w:firstLine="840" w:firstLineChars="350"/>
        <w:jc w:val="left"/>
        <w:rPr>
          <w:rFonts w:ascii="Calibri" w:hAnsi="Calibri" w:eastAsia="宋体" w:cs="Times New Roman"/>
          <w:kern w:val="0"/>
          <w:sz w:val="24"/>
          <w:highlight w:val="none"/>
        </w:rPr>
      </w:pPr>
    </w:p>
    <w:p w14:paraId="4683D0D5">
      <w:pPr>
        <w:widowControl/>
        <w:spacing w:line="360" w:lineRule="auto"/>
        <w:ind w:firstLine="840" w:firstLineChars="350"/>
        <w:jc w:val="left"/>
        <w:rPr>
          <w:rFonts w:ascii="Calibri" w:hAnsi="Calibri" w:eastAsia="宋体" w:cs="Times New Roman"/>
          <w:kern w:val="0"/>
          <w:sz w:val="24"/>
          <w:highlight w:val="none"/>
        </w:rPr>
      </w:pPr>
    </w:p>
    <w:p w14:paraId="49EF52D2">
      <w:pPr>
        <w:widowControl/>
        <w:spacing w:line="360" w:lineRule="auto"/>
        <w:ind w:firstLine="840" w:firstLineChars="350"/>
        <w:jc w:val="left"/>
        <w:rPr>
          <w:rFonts w:ascii="Calibri" w:hAnsi="Calibri" w:eastAsia="宋体" w:cs="Times New Roman"/>
          <w:kern w:val="0"/>
          <w:sz w:val="24"/>
          <w:highlight w:val="none"/>
        </w:rPr>
      </w:pPr>
    </w:p>
    <w:p w14:paraId="7D491B27">
      <w:pPr>
        <w:widowControl/>
        <w:spacing w:line="360" w:lineRule="auto"/>
        <w:ind w:firstLine="840" w:firstLineChars="350"/>
        <w:jc w:val="left"/>
        <w:rPr>
          <w:rFonts w:ascii="Calibri" w:hAnsi="Calibri" w:eastAsia="宋体" w:cs="Times New Roman"/>
          <w:kern w:val="0"/>
          <w:sz w:val="24"/>
          <w:highlight w:val="none"/>
        </w:rPr>
      </w:pPr>
    </w:p>
    <w:p w14:paraId="78A39157">
      <w:pPr>
        <w:widowControl/>
        <w:spacing w:line="360" w:lineRule="auto"/>
        <w:ind w:firstLine="840" w:firstLineChars="350"/>
        <w:jc w:val="left"/>
        <w:rPr>
          <w:rFonts w:ascii="Calibri" w:hAnsi="Calibri" w:eastAsia="宋体" w:cs="Times New Roman"/>
          <w:kern w:val="0"/>
          <w:sz w:val="24"/>
          <w:highlight w:val="none"/>
        </w:rPr>
      </w:pPr>
    </w:p>
    <w:p w14:paraId="360B9F48">
      <w:pPr>
        <w:widowControl/>
        <w:spacing w:line="360" w:lineRule="auto"/>
        <w:ind w:firstLine="1446" w:firstLineChars="600"/>
        <w:jc w:val="left"/>
        <w:rPr>
          <w:rFonts w:ascii="Calibri" w:hAnsi="Calibri" w:eastAsia="宋体" w:cs="Times New Roman"/>
          <w:b/>
          <w:kern w:val="0"/>
          <w:sz w:val="24"/>
          <w:highlight w:val="none"/>
        </w:rPr>
      </w:pPr>
      <w:r>
        <w:rPr>
          <w:rFonts w:hint="eastAsia" w:ascii="Calibri" w:hAnsi="Calibri" w:eastAsia="宋体" w:cs="Times New Roman"/>
          <w:b/>
          <w:kern w:val="0"/>
          <w:sz w:val="24"/>
          <w:highlight w:val="none"/>
        </w:rPr>
        <w:t>供应商：</w:t>
      </w:r>
      <w:r>
        <w:rPr>
          <w:rFonts w:hint="eastAsia" w:ascii="Calibri" w:hAnsi="Calibri" w:eastAsia="宋体" w:cs="Times New Roman"/>
          <w:b/>
          <w:kern w:val="0"/>
          <w:sz w:val="24"/>
          <w:highlight w:val="none"/>
          <w:u w:val="single"/>
        </w:rPr>
        <w:t xml:space="preserve">                                  </w:t>
      </w:r>
      <w:r>
        <w:rPr>
          <w:rFonts w:hint="eastAsia" w:ascii="Calibri" w:hAnsi="Calibri" w:eastAsia="宋体" w:cs="Times New Roman"/>
          <w:b/>
          <w:kern w:val="0"/>
          <w:sz w:val="24"/>
          <w:highlight w:val="none"/>
        </w:rPr>
        <w:t>（盖单位章）</w:t>
      </w:r>
    </w:p>
    <w:p w14:paraId="76EA5D8D">
      <w:pPr>
        <w:widowControl/>
        <w:spacing w:line="360" w:lineRule="auto"/>
        <w:ind w:firstLine="1446" w:firstLineChars="600"/>
        <w:jc w:val="left"/>
        <w:rPr>
          <w:rFonts w:ascii="Calibri" w:hAnsi="Calibri" w:eastAsia="宋体" w:cs="Times New Roman"/>
          <w:b/>
          <w:kern w:val="0"/>
          <w:sz w:val="24"/>
          <w:highlight w:val="none"/>
        </w:rPr>
      </w:pPr>
      <w:r>
        <w:rPr>
          <w:rFonts w:hint="eastAsia" w:ascii="Calibri" w:hAnsi="Calibri" w:eastAsia="宋体" w:cs="Times New Roman"/>
          <w:b/>
          <w:kern w:val="0"/>
          <w:sz w:val="24"/>
          <w:highlight w:val="none"/>
        </w:rPr>
        <w:t>法定代表人：</w:t>
      </w:r>
      <w:r>
        <w:rPr>
          <w:rFonts w:hint="eastAsia" w:ascii="Calibri" w:hAnsi="Calibri" w:eastAsia="宋体" w:cs="Times New Roman"/>
          <w:b/>
          <w:kern w:val="0"/>
          <w:sz w:val="24"/>
          <w:highlight w:val="none"/>
          <w:u w:val="single"/>
        </w:rPr>
        <w:t xml:space="preserve">                </w:t>
      </w:r>
      <w:r>
        <w:rPr>
          <w:rFonts w:hint="eastAsia" w:ascii="Calibri" w:hAnsi="Calibri" w:eastAsia="宋体" w:cs="Times New Roman"/>
          <w:b/>
          <w:kern w:val="0"/>
          <w:sz w:val="24"/>
          <w:highlight w:val="none"/>
        </w:rPr>
        <w:t>（电子签章）</w:t>
      </w:r>
    </w:p>
    <w:p w14:paraId="1813E69B">
      <w:pPr>
        <w:widowControl/>
        <w:spacing w:line="360" w:lineRule="auto"/>
        <w:ind w:firstLine="843" w:firstLineChars="350"/>
        <w:jc w:val="left"/>
        <w:rPr>
          <w:rFonts w:ascii="Calibri" w:hAnsi="Calibri" w:eastAsia="宋体" w:cs="Times New Roman"/>
          <w:b/>
          <w:kern w:val="0"/>
          <w:sz w:val="24"/>
          <w:highlight w:val="none"/>
        </w:rPr>
      </w:pPr>
      <w:r>
        <w:rPr>
          <w:rFonts w:hint="eastAsia" w:ascii="Calibri" w:hAnsi="Calibri" w:eastAsia="宋体" w:cs="Times New Roman"/>
          <w:b/>
          <w:kern w:val="0"/>
          <w:sz w:val="24"/>
          <w:highlight w:val="none"/>
        </w:rPr>
        <w:t xml:space="preserve">        </w:t>
      </w:r>
      <w:r>
        <w:rPr>
          <w:rFonts w:hint="eastAsia" w:ascii="Calibri" w:hAnsi="Calibri" w:eastAsia="宋体" w:cs="Times New Roman"/>
          <w:b/>
          <w:kern w:val="0"/>
          <w:sz w:val="24"/>
          <w:highlight w:val="none"/>
          <w:u w:val="single"/>
        </w:rPr>
        <w:t xml:space="preserve">            </w:t>
      </w:r>
      <w:r>
        <w:rPr>
          <w:rFonts w:hint="eastAsia" w:ascii="Calibri" w:hAnsi="Calibri" w:eastAsia="宋体" w:cs="Times New Roman"/>
          <w:b/>
          <w:kern w:val="0"/>
          <w:sz w:val="24"/>
          <w:highlight w:val="none"/>
        </w:rPr>
        <w:t xml:space="preserve"> 年</w:t>
      </w:r>
      <w:r>
        <w:rPr>
          <w:rFonts w:hint="eastAsia" w:ascii="Calibri" w:hAnsi="Calibri" w:eastAsia="宋体" w:cs="Times New Roman"/>
          <w:b/>
          <w:kern w:val="0"/>
          <w:sz w:val="24"/>
          <w:highlight w:val="none"/>
          <w:u w:val="single"/>
        </w:rPr>
        <w:t xml:space="preserve">        </w:t>
      </w:r>
      <w:r>
        <w:rPr>
          <w:rFonts w:hint="eastAsia" w:ascii="Calibri" w:hAnsi="Calibri" w:eastAsia="宋体" w:cs="Times New Roman"/>
          <w:b/>
          <w:kern w:val="0"/>
          <w:sz w:val="24"/>
          <w:highlight w:val="none"/>
        </w:rPr>
        <w:t xml:space="preserve">月 </w:t>
      </w:r>
      <w:r>
        <w:rPr>
          <w:rFonts w:hint="eastAsia" w:ascii="Calibri" w:hAnsi="Calibri" w:eastAsia="宋体" w:cs="Times New Roman"/>
          <w:b/>
          <w:kern w:val="0"/>
          <w:sz w:val="24"/>
          <w:highlight w:val="none"/>
          <w:u w:val="single"/>
        </w:rPr>
        <w:t xml:space="preserve">       </w:t>
      </w:r>
      <w:r>
        <w:rPr>
          <w:rFonts w:hint="eastAsia" w:ascii="Calibri" w:hAnsi="Calibri" w:eastAsia="宋体" w:cs="Times New Roman"/>
          <w:b/>
          <w:kern w:val="0"/>
          <w:sz w:val="24"/>
          <w:highlight w:val="none"/>
        </w:rPr>
        <w:t>日</w:t>
      </w:r>
    </w:p>
    <w:p w14:paraId="4E828FDD">
      <w:pPr>
        <w:widowControl/>
        <w:jc w:val="left"/>
        <w:rPr>
          <w:rFonts w:hint="eastAsia" w:asciiTheme="minorEastAsia" w:hAnsiTheme="minorEastAsia" w:cstheme="minorEastAsia"/>
          <w:b/>
          <w:sz w:val="28"/>
          <w:szCs w:val="28"/>
          <w:highlight w:val="none"/>
        </w:rPr>
      </w:pPr>
      <w:r>
        <w:rPr>
          <w:rFonts w:asciiTheme="minorEastAsia" w:hAnsiTheme="minorEastAsia" w:cstheme="minorEastAsia"/>
          <w:b/>
          <w:sz w:val="28"/>
          <w:szCs w:val="28"/>
          <w:highlight w:val="none"/>
        </w:rPr>
        <w:br w:type="page"/>
      </w:r>
    </w:p>
    <w:p w14:paraId="01D5FD09">
      <w:pPr>
        <w:spacing w:line="560" w:lineRule="exact"/>
        <w:jc w:val="center"/>
        <w:rPr>
          <w:rFonts w:hint="eastAsia" w:asciiTheme="minorEastAsia" w:hAnsiTheme="minorEastAsia" w:cstheme="minorEastAsia"/>
          <w:b/>
          <w:sz w:val="28"/>
          <w:szCs w:val="28"/>
          <w:highlight w:val="none"/>
        </w:rPr>
      </w:pPr>
      <w:r>
        <w:rPr>
          <w:rFonts w:hint="eastAsia" w:asciiTheme="minorEastAsia" w:hAnsiTheme="minorEastAsia" w:cstheme="minorEastAsia"/>
          <w:b/>
          <w:sz w:val="28"/>
          <w:szCs w:val="28"/>
          <w:highlight w:val="none"/>
        </w:rPr>
        <w:t>目  录</w:t>
      </w:r>
    </w:p>
    <w:p w14:paraId="0958FD64">
      <w:pPr>
        <w:spacing w:line="560" w:lineRule="exact"/>
        <w:jc w:val="center"/>
        <w:rPr>
          <w:rFonts w:hint="eastAsia" w:asciiTheme="minorEastAsia" w:hAnsiTheme="minorEastAsia" w:cstheme="minorEastAsia"/>
          <w:sz w:val="28"/>
          <w:szCs w:val="28"/>
          <w:highlight w:val="none"/>
        </w:rPr>
      </w:pPr>
      <w:r>
        <w:rPr>
          <w:rFonts w:hint="eastAsia" w:asciiTheme="minorEastAsia" w:hAnsiTheme="minorEastAsia" w:cstheme="minorEastAsia"/>
          <w:sz w:val="28"/>
          <w:szCs w:val="28"/>
          <w:highlight w:val="none"/>
        </w:rPr>
        <w:t>（自拟）</w:t>
      </w:r>
    </w:p>
    <w:p w14:paraId="35FDA4DF">
      <w:pPr>
        <w:spacing w:line="560" w:lineRule="exact"/>
        <w:rPr>
          <w:rFonts w:hint="eastAsia" w:asciiTheme="minorEastAsia" w:hAnsiTheme="minorEastAsia" w:cstheme="minorEastAsia"/>
          <w:b/>
          <w:sz w:val="28"/>
          <w:szCs w:val="28"/>
          <w:highlight w:val="none"/>
        </w:rPr>
      </w:pPr>
    </w:p>
    <w:p w14:paraId="5EAACAAE">
      <w:pPr>
        <w:widowControl/>
        <w:spacing w:line="560" w:lineRule="exact"/>
        <w:jc w:val="left"/>
        <w:rPr>
          <w:rFonts w:hint="eastAsia" w:asciiTheme="minorEastAsia" w:hAnsiTheme="minorEastAsia" w:cstheme="minorEastAsia"/>
          <w:b/>
          <w:sz w:val="28"/>
          <w:szCs w:val="28"/>
          <w:highlight w:val="none"/>
        </w:rPr>
      </w:pPr>
      <w:r>
        <w:rPr>
          <w:rFonts w:hint="eastAsia" w:asciiTheme="minorEastAsia" w:hAnsiTheme="minorEastAsia" w:cstheme="minorEastAsia"/>
          <w:bCs/>
          <w:sz w:val="28"/>
          <w:szCs w:val="28"/>
          <w:highlight w:val="none"/>
        </w:rPr>
        <w:br w:type="page"/>
      </w:r>
    </w:p>
    <w:bookmarkEnd w:id="241"/>
    <w:p w14:paraId="592E514C">
      <w:pPr>
        <w:pStyle w:val="7"/>
        <w:jc w:val="center"/>
        <w:rPr>
          <w:highlight w:val="none"/>
        </w:rPr>
      </w:pPr>
      <w:bookmarkStart w:id="242" w:name="_Toc9537"/>
      <w:r>
        <w:rPr>
          <w:rFonts w:hint="eastAsia"/>
          <w:highlight w:val="none"/>
        </w:rPr>
        <w:t>一、投标函</w:t>
      </w:r>
      <w:bookmarkStart w:id="243" w:name="_Toc19389"/>
      <w:bookmarkEnd w:id="243"/>
      <w:bookmarkStart w:id="244" w:name="_Toc152042578"/>
      <w:bookmarkEnd w:id="244"/>
      <w:bookmarkStart w:id="245" w:name="_Toc179632809"/>
      <w:bookmarkEnd w:id="245"/>
      <w:bookmarkStart w:id="246" w:name="_Toc246996357"/>
      <w:bookmarkEnd w:id="246"/>
      <w:bookmarkStart w:id="247" w:name="_Toc247085875"/>
      <w:bookmarkEnd w:id="247"/>
      <w:bookmarkStart w:id="248" w:name="_Toc144974858"/>
      <w:bookmarkEnd w:id="248"/>
      <w:bookmarkStart w:id="249" w:name="_Toc246997100"/>
      <w:bookmarkEnd w:id="249"/>
      <w:bookmarkStart w:id="250" w:name="_Toc152045789"/>
      <w:bookmarkEnd w:id="250"/>
      <w:bookmarkStart w:id="251" w:name="_Toc394651922"/>
      <w:bookmarkEnd w:id="251"/>
      <w:r>
        <w:rPr>
          <w:rFonts w:hint="eastAsia"/>
          <w:highlight w:val="none"/>
        </w:rPr>
        <w:t>及投标函附录</w:t>
      </w:r>
      <w:bookmarkEnd w:id="242"/>
    </w:p>
    <w:p w14:paraId="60F1B383">
      <w:pPr>
        <w:spacing w:line="560" w:lineRule="exact"/>
        <w:ind w:left="420"/>
        <w:jc w:val="center"/>
        <w:rPr>
          <w:rFonts w:hint="eastAsia" w:asciiTheme="minorEastAsia" w:hAnsiTheme="minorEastAsia" w:cstheme="minorEastAsia"/>
          <w:b/>
          <w:sz w:val="28"/>
          <w:szCs w:val="28"/>
          <w:highlight w:val="none"/>
        </w:rPr>
      </w:pPr>
      <w:r>
        <w:rPr>
          <w:rFonts w:hint="eastAsia" w:asciiTheme="minorEastAsia" w:hAnsiTheme="minorEastAsia" w:cstheme="minorEastAsia"/>
          <w:b/>
          <w:sz w:val="28"/>
          <w:szCs w:val="28"/>
          <w:highlight w:val="none"/>
        </w:rPr>
        <w:t>（1）投标函</w:t>
      </w:r>
    </w:p>
    <w:p w14:paraId="33809FCD">
      <w:pPr>
        <w:rPr>
          <w:highlight w:val="none"/>
        </w:rPr>
      </w:pPr>
    </w:p>
    <w:p w14:paraId="687F54EF">
      <w:pPr>
        <w:spacing w:line="480" w:lineRule="exact"/>
        <w:rPr>
          <w:rFonts w:hint="eastAsia" w:ascii="宋体" w:hAnsi="宋体" w:cs="宋体"/>
          <w:sz w:val="24"/>
          <w:szCs w:val="24"/>
          <w:highlight w:val="none"/>
        </w:rPr>
      </w:pPr>
      <w:r>
        <w:rPr>
          <w:rFonts w:hint="eastAsia" w:ascii="宋体" w:hAnsi="宋体" w:cs="宋体"/>
          <w:sz w:val="24"/>
          <w:szCs w:val="24"/>
          <w:highlight w:val="none"/>
          <w:u w:val="single"/>
        </w:rPr>
        <w:t xml:space="preserve">                   </w:t>
      </w:r>
      <w:r>
        <w:rPr>
          <w:rFonts w:hint="eastAsia" w:ascii="宋体" w:hAnsi="宋体" w:cs="宋体"/>
          <w:sz w:val="24"/>
          <w:szCs w:val="24"/>
          <w:highlight w:val="none"/>
        </w:rPr>
        <w:t xml:space="preserve">（采购人名称） ： </w:t>
      </w:r>
    </w:p>
    <w:p w14:paraId="77EA5061">
      <w:pPr>
        <w:spacing w:line="48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1．我方已仔细研究了</w:t>
      </w:r>
      <w:r>
        <w:rPr>
          <w:rFonts w:hint="eastAsia" w:ascii="宋体" w:hAnsi="宋体" w:cs="宋体"/>
          <w:sz w:val="24"/>
          <w:szCs w:val="24"/>
          <w:highlight w:val="none"/>
          <w:u w:val="single"/>
        </w:rPr>
        <w:t xml:space="preserve">                            </w:t>
      </w:r>
      <w:r>
        <w:rPr>
          <w:rFonts w:hint="eastAsia" w:ascii="宋体" w:hAnsi="宋体" w:cs="宋体"/>
          <w:sz w:val="24"/>
          <w:szCs w:val="24"/>
          <w:highlight w:val="none"/>
        </w:rPr>
        <w:t>（项目名称 ）</w:t>
      </w:r>
      <w:r>
        <w:rPr>
          <w:rFonts w:hint="eastAsia" w:ascii="宋体" w:hAnsi="宋体" w:cs="宋体"/>
          <w:spacing w:val="-2"/>
          <w:sz w:val="24"/>
          <w:szCs w:val="24"/>
          <w:highlight w:val="none"/>
        </w:rPr>
        <w:t>竞争性磋商文件</w:t>
      </w:r>
      <w:r>
        <w:rPr>
          <w:rFonts w:hint="eastAsia" w:ascii="宋体" w:hAnsi="宋体" w:cs="宋体"/>
          <w:sz w:val="24"/>
          <w:szCs w:val="24"/>
          <w:highlight w:val="none"/>
        </w:rPr>
        <w:t>的全部内容</w:t>
      </w:r>
      <w:r>
        <w:rPr>
          <w:rFonts w:hint="eastAsia" w:ascii="宋体" w:hAnsi="宋体" w:cs="宋体"/>
          <w:spacing w:val="-2"/>
          <w:sz w:val="24"/>
          <w:szCs w:val="24"/>
          <w:highlight w:val="none"/>
        </w:rPr>
        <w:t>，按照竞争性磋商文件要求交付本次采购项目设备的投标报价为：(大写)</w:t>
      </w:r>
      <w:r>
        <w:rPr>
          <w:rFonts w:hint="eastAsia" w:ascii="宋体" w:hAnsi="宋体" w:cs="宋体"/>
          <w:spacing w:val="-2"/>
          <w:sz w:val="24"/>
          <w:szCs w:val="24"/>
          <w:highlight w:val="none"/>
          <w:u w:val="single"/>
        </w:rPr>
        <w:t xml:space="preserve">      元 ；   小写：      </w:t>
      </w:r>
      <w:r>
        <w:rPr>
          <w:rFonts w:hint="eastAsia" w:ascii="宋体" w:hAnsi="宋体" w:cs="宋体"/>
          <w:spacing w:val="-2"/>
          <w:sz w:val="24"/>
          <w:szCs w:val="24"/>
          <w:highlight w:val="none"/>
        </w:rPr>
        <w:t>元，</w:t>
      </w:r>
      <w:r>
        <w:rPr>
          <w:rFonts w:hint="eastAsia" w:ascii="宋体" w:hAnsi="宋体" w:cs="宋体"/>
          <w:sz w:val="24"/>
          <w:szCs w:val="24"/>
          <w:highlight w:val="none"/>
        </w:rPr>
        <w:t>供货期</w:t>
      </w:r>
      <w:r>
        <w:rPr>
          <w:rFonts w:hint="eastAsia" w:ascii="宋体" w:hAnsi="宋体" w:cs="宋体"/>
          <w:sz w:val="24"/>
          <w:szCs w:val="24"/>
          <w:highlight w:val="none"/>
          <w:lang w:eastAsia="zh-CN"/>
        </w:rPr>
        <w:t>：</w:t>
      </w:r>
      <w:r>
        <w:rPr>
          <w:rFonts w:hint="eastAsia" w:ascii="宋体" w:hAnsi="宋体" w:cs="宋体"/>
          <w:sz w:val="24"/>
          <w:szCs w:val="24"/>
          <w:highlight w:val="none"/>
          <w:u w:val="single"/>
        </w:rPr>
        <w:t xml:space="preserve">      </w:t>
      </w:r>
      <w:r>
        <w:rPr>
          <w:rFonts w:hint="eastAsia" w:ascii="宋体" w:hAnsi="宋体" w:cs="宋体"/>
          <w:sz w:val="24"/>
          <w:szCs w:val="24"/>
          <w:highlight w:val="none"/>
        </w:rPr>
        <w:t>，质保期</w:t>
      </w:r>
      <w:r>
        <w:rPr>
          <w:rFonts w:hint="eastAsia" w:ascii="宋体" w:hAnsi="宋体" w:cs="宋体"/>
          <w:sz w:val="24"/>
          <w:szCs w:val="24"/>
          <w:highlight w:val="none"/>
          <w:lang w:eastAsia="zh-CN"/>
        </w:rPr>
        <w:t>：</w:t>
      </w:r>
      <w:r>
        <w:rPr>
          <w:rFonts w:hint="eastAsia" w:ascii="宋体" w:hAnsi="宋体" w:cs="宋体"/>
          <w:sz w:val="24"/>
          <w:szCs w:val="24"/>
          <w:highlight w:val="none"/>
          <w:u w:val="single"/>
        </w:rPr>
        <w:t xml:space="preserve">       </w:t>
      </w:r>
      <w:r>
        <w:rPr>
          <w:rFonts w:hint="eastAsia" w:ascii="宋体" w:hAnsi="宋体" w:cs="宋体"/>
          <w:sz w:val="24"/>
          <w:szCs w:val="24"/>
          <w:highlight w:val="none"/>
        </w:rPr>
        <w:t>。</w:t>
      </w:r>
    </w:p>
    <w:p w14:paraId="731A873B">
      <w:pPr>
        <w:spacing w:line="480" w:lineRule="exact"/>
        <w:ind w:firstLine="480" w:firstLineChars="200"/>
        <w:rPr>
          <w:rFonts w:cs="宋体"/>
          <w:sz w:val="24"/>
          <w:szCs w:val="24"/>
          <w:highlight w:val="none"/>
        </w:rPr>
      </w:pPr>
      <w:r>
        <w:rPr>
          <w:rFonts w:hint="eastAsia" w:cs="宋体"/>
          <w:sz w:val="24"/>
          <w:szCs w:val="24"/>
          <w:highlight w:val="none"/>
        </w:rPr>
        <w:t>2．我方承诺在竞争性磋商文件规定的投标有效期内不修改、撤销响应文件。</w:t>
      </w:r>
    </w:p>
    <w:p w14:paraId="5BC2D526">
      <w:pPr>
        <w:spacing w:line="480" w:lineRule="exact"/>
        <w:ind w:firstLine="480" w:firstLineChars="200"/>
        <w:outlineLvl w:val="2"/>
        <w:rPr>
          <w:rFonts w:cs="宋体"/>
          <w:sz w:val="24"/>
          <w:szCs w:val="24"/>
          <w:highlight w:val="none"/>
        </w:rPr>
      </w:pPr>
      <w:bookmarkStart w:id="252" w:name="_Toc24078"/>
      <w:r>
        <w:rPr>
          <w:rFonts w:hint="eastAsia" w:cs="宋体"/>
          <w:sz w:val="24"/>
          <w:szCs w:val="24"/>
          <w:highlight w:val="none"/>
        </w:rPr>
        <w:t>3．如我方中标：</w:t>
      </w:r>
      <w:bookmarkEnd w:id="252"/>
    </w:p>
    <w:p w14:paraId="5C77F03D">
      <w:pPr>
        <w:spacing w:line="480" w:lineRule="exact"/>
        <w:ind w:firstLine="818" w:firstLineChars="341"/>
        <w:rPr>
          <w:rFonts w:cs="宋体"/>
          <w:sz w:val="24"/>
          <w:szCs w:val="24"/>
          <w:highlight w:val="none"/>
        </w:rPr>
      </w:pPr>
      <w:r>
        <w:rPr>
          <w:rFonts w:hint="eastAsia" w:cs="宋体"/>
          <w:sz w:val="24"/>
          <w:szCs w:val="24"/>
          <w:highlight w:val="none"/>
        </w:rPr>
        <w:t>（1）我方承诺在收到中标通知书后，在中标通知书规定的期限内与你方签订合同。</w:t>
      </w:r>
    </w:p>
    <w:p w14:paraId="00484169">
      <w:pPr>
        <w:spacing w:line="480" w:lineRule="exact"/>
        <w:ind w:firstLine="818" w:firstLineChars="341"/>
        <w:rPr>
          <w:rFonts w:cs="宋体"/>
          <w:sz w:val="24"/>
          <w:szCs w:val="24"/>
          <w:highlight w:val="none"/>
        </w:rPr>
      </w:pPr>
      <w:r>
        <w:rPr>
          <w:rFonts w:hint="eastAsia" w:cs="宋体"/>
          <w:sz w:val="24"/>
          <w:szCs w:val="24"/>
          <w:highlight w:val="none"/>
        </w:rPr>
        <w:t>（2）随同本投标函递交的投标函附录属于合同文件的组成部分。</w:t>
      </w:r>
    </w:p>
    <w:p w14:paraId="6F02062D">
      <w:pPr>
        <w:spacing w:line="480" w:lineRule="exact"/>
        <w:ind w:firstLine="818" w:firstLineChars="341"/>
        <w:rPr>
          <w:rFonts w:cs="宋体"/>
          <w:sz w:val="24"/>
          <w:szCs w:val="24"/>
          <w:highlight w:val="none"/>
        </w:rPr>
      </w:pPr>
      <w:r>
        <w:rPr>
          <w:rFonts w:hint="eastAsia" w:cs="宋体"/>
          <w:sz w:val="24"/>
          <w:szCs w:val="24"/>
          <w:highlight w:val="none"/>
        </w:rPr>
        <w:t>（3）我方承诺按照竞争性磋商文件规定向你方递交履约担保。</w:t>
      </w:r>
    </w:p>
    <w:p w14:paraId="3BB3CC8F">
      <w:pPr>
        <w:spacing w:line="480" w:lineRule="exact"/>
        <w:ind w:firstLine="818" w:firstLineChars="341"/>
        <w:rPr>
          <w:rFonts w:cs="宋体"/>
          <w:sz w:val="24"/>
          <w:szCs w:val="24"/>
          <w:highlight w:val="none"/>
        </w:rPr>
      </w:pPr>
      <w:r>
        <w:rPr>
          <w:rFonts w:hint="eastAsia" w:cs="宋体"/>
          <w:sz w:val="24"/>
          <w:szCs w:val="24"/>
          <w:highlight w:val="none"/>
        </w:rPr>
        <w:t>（4）我方承诺在合同约定的期限内完成并移交全部合同工程。</w:t>
      </w:r>
    </w:p>
    <w:p w14:paraId="7BBB5480">
      <w:pPr>
        <w:spacing w:line="480" w:lineRule="exact"/>
        <w:rPr>
          <w:rFonts w:cs="宋体"/>
          <w:sz w:val="24"/>
          <w:szCs w:val="24"/>
          <w:highlight w:val="none"/>
        </w:rPr>
      </w:pPr>
      <w:r>
        <w:rPr>
          <w:rFonts w:hint="eastAsia" w:cs="宋体"/>
          <w:sz w:val="24"/>
          <w:szCs w:val="24"/>
          <w:highlight w:val="none"/>
        </w:rPr>
        <w:t xml:space="preserve">    4．我方在此声明，所递交的响应文件及有关资料内容完整、真实和准确。</w:t>
      </w:r>
    </w:p>
    <w:p w14:paraId="5CA5A870">
      <w:pPr>
        <w:spacing w:line="480" w:lineRule="exact"/>
        <w:ind w:firstLine="480" w:firstLineChars="200"/>
        <w:rPr>
          <w:rFonts w:cs="宋体"/>
          <w:sz w:val="24"/>
          <w:szCs w:val="24"/>
          <w:highlight w:val="none"/>
        </w:rPr>
      </w:pPr>
      <w:r>
        <w:rPr>
          <w:rFonts w:hint="eastAsia" w:cs="宋体"/>
          <w:sz w:val="24"/>
          <w:szCs w:val="24"/>
          <w:highlight w:val="none"/>
        </w:rPr>
        <w:t>5．（其他补充说明）。</w:t>
      </w:r>
    </w:p>
    <w:p w14:paraId="5A3BA6EE">
      <w:pPr>
        <w:spacing w:line="480" w:lineRule="exact"/>
        <w:ind w:firstLine="4200" w:firstLineChars="1750"/>
        <w:rPr>
          <w:rFonts w:hint="eastAsia" w:ascii="宋体" w:hAnsi="宋体" w:cs="宋体"/>
          <w:sz w:val="24"/>
          <w:highlight w:val="none"/>
        </w:rPr>
      </w:pPr>
    </w:p>
    <w:p w14:paraId="3D7FD4EC">
      <w:pPr>
        <w:spacing w:line="480" w:lineRule="exact"/>
        <w:ind w:firstLine="4200" w:firstLineChars="1750"/>
        <w:rPr>
          <w:rFonts w:hint="eastAsia" w:ascii="宋体" w:hAnsi="宋体" w:cs="宋体"/>
          <w:sz w:val="24"/>
          <w:highlight w:val="none"/>
        </w:rPr>
      </w:pPr>
    </w:p>
    <w:p w14:paraId="6C18411E">
      <w:pPr>
        <w:spacing w:line="540" w:lineRule="exact"/>
        <w:jc w:val="right"/>
        <w:rPr>
          <w:rFonts w:ascii="Calibri" w:hAnsi="Calibri" w:eastAsia="宋体" w:cs="Times New Roman"/>
          <w:kern w:val="0"/>
          <w:sz w:val="24"/>
          <w:highlight w:val="none"/>
          <w:u w:val="single"/>
        </w:rPr>
      </w:pPr>
      <w:r>
        <w:rPr>
          <w:rFonts w:hint="eastAsia" w:asciiTheme="minorEastAsia" w:hAnsiTheme="minorEastAsia" w:cstheme="minorEastAsia"/>
          <w:sz w:val="28"/>
          <w:szCs w:val="28"/>
          <w:highlight w:val="none"/>
        </w:rPr>
        <w:t xml:space="preserve">                       </w:t>
      </w:r>
      <w:r>
        <w:rPr>
          <w:rFonts w:hint="eastAsia" w:ascii="Calibri" w:hAnsi="Calibri" w:eastAsia="宋体" w:cs="Times New Roman"/>
          <w:kern w:val="0"/>
          <w:sz w:val="24"/>
          <w:highlight w:val="none"/>
        </w:rPr>
        <w:t>供应商</w:t>
      </w:r>
      <w:r>
        <w:rPr>
          <w:rFonts w:ascii="Calibri" w:hAnsi="Calibri" w:eastAsia="宋体" w:cs="Times New Roman"/>
          <w:kern w:val="0"/>
          <w:sz w:val="24"/>
          <w:highlight w:val="none"/>
        </w:rPr>
        <w:t>：</w:t>
      </w:r>
      <w:r>
        <w:rPr>
          <w:rFonts w:ascii="Calibri" w:hAnsi="Calibri" w:eastAsia="宋体" w:cs="Times New Roman"/>
          <w:kern w:val="0"/>
          <w:sz w:val="24"/>
          <w:highlight w:val="none"/>
          <w:u w:val="single"/>
        </w:rPr>
        <w:t xml:space="preserve">                      （</w:t>
      </w:r>
      <w:r>
        <w:rPr>
          <w:rFonts w:hint="eastAsia" w:ascii="Calibri" w:hAnsi="Calibri" w:eastAsia="宋体" w:cs="Times New Roman"/>
          <w:kern w:val="0"/>
          <w:sz w:val="24"/>
          <w:highlight w:val="none"/>
          <w:u w:val="single"/>
        </w:rPr>
        <w:t>盖单位公章</w:t>
      </w:r>
      <w:r>
        <w:rPr>
          <w:rFonts w:ascii="Calibri" w:hAnsi="Calibri" w:eastAsia="宋体" w:cs="Times New Roman"/>
          <w:kern w:val="0"/>
          <w:sz w:val="24"/>
          <w:highlight w:val="none"/>
          <w:u w:val="single"/>
        </w:rPr>
        <w:t>）</w:t>
      </w:r>
    </w:p>
    <w:p w14:paraId="7986FE80">
      <w:pPr>
        <w:widowControl/>
        <w:spacing w:line="540" w:lineRule="exact"/>
        <w:ind w:firstLine="360"/>
        <w:jc w:val="right"/>
        <w:rPr>
          <w:rFonts w:ascii="Calibri" w:hAnsi="Calibri" w:eastAsia="宋体" w:cs="Times New Roman"/>
          <w:kern w:val="0"/>
          <w:sz w:val="24"/>
          <w:highlight w:val="none"/>
          <w:u w:val="single"/>
        </w:rPr>
      </w:pPr>
      <w:r>
        <w:rPr>
          <w:rFonts w:ascii="Calibri" w:hAnsi="Calibri" w:eastAsia="宋体" w:cs="Times New Roman"/>
          <w:kern w:val="0"/>
          <w:sz w:val="24"/>
          <w:highlight w:val="none"/>
        </w:rPr>
        <w:t xml:space="preserve">法定代表人： </w:t>
      </w:r>
      <w:r>
        <w:rPr>
          <w:rFonts w:ascii="Calibri" w:hAnsi="Calibri" w:eastAsia="宋体" w:cs="Times New Roman"/>
          <w:kern w:val="0"/>
          <w:sz w:val="24"/>
          <w:highlight w:val="none"/>
          <w:u w:val="single"/>
        </w:rPr>
        <w:t xml:space="preserve">             （</w:t>
      </w:r>
      <w:r>
        <w:rPr>
          <w:rFonts w:hint="eastAsia" w:ascii="Calibri" w:hAnsi="Calibri" w:eastAsia="宋体" w:cs="Times New Roman"/>
          <w:kern w:val="0"/>
          <w:sz w:val="24"/>
          <w:highlight w:val="none"/>
          <w:u w:val="single"/>
        </w:rPr>
        <w:t>电子签章</w:t>
      </w:r>
      <w:r>
        <w:rPr>
          <w:rFonts w:ascii="Calibri" w:hAnsi="Calibri" w:eastAsia="宋体" w:cs="Times New Roman"/>
          <w:kern w:val="0"/>
          <w:sz w:val="24"/>
          <w:highlight w:val="none"/>
          <w:u w:val="single"/>
        </w:rPr>
        <w:t>）</w:t>
      </w:r>
    </w:p>
    <w:p w14:paraId="4ADE7633">
      <w:pPr>
        <w:widowControl/>
        <w:spacing w:line="540" w:lineRule="exact"/>
        <w:ind w:firstLine="360"/>
        <w:jc w:val="right"/>
        <w:rPr>
          <w:rFonts w:ascii="Calibri" w:hAnsi="Calibri" w:eastAsia="宋体" w:cs="Times New Roman"/>
          <w:kern w:val="0"/>
          <w:sz w:val="24"/>
          <w:highlight w:val="none"/>
        </w:rPr>
      </w:pPr>
      <w:r>
        <w:rPr>
          <w:rFonts w:ascii="Calibri" w:hAnsi="Calibri" w:eastAsia="宋体" w:cs="Times New Roman"/>
          <w:kern w:val="0"/>
          <w:sz w:val="24"/>
          <w:highlight w:val="none"/>
        </w:rPr>
        <w:t>日期：</w:t>
      </w:r>
      <w:r>
        <w:rPr>
          <w:rFonts w:ascii="Calibri" w:hAnsi="Calibri" w:eastAsia="宋体" w:cs="Times New Roman"/>
          <w:kern w:val="0"/>
          <w:sz w:val="24"/>
          <w:highlight w:val="none"/>
          <w:u w:val="single"/>
        </w:rPr>
        <w:t xml:space="preserve">        </w:t>
      </w:r>
      <w:r>
        <w:rPr>
          <w:rFonts w:ascii="Calibri" w:hAnsi="Calibri" w:eastAsia="宋体" w:cs="Times New Roman"/>
          <w:kern w:val="0"/>
          <w:sz w:val="24"/>
          <w:highlight w:val="none"/>
        </w:rPr>
        <w:t>年</w:t>
      </w:r>
      <w:r>
        <w:rPr>
          <w:rFonts w:ascii="Calibri" w:hAnsi="Calibri" w:eastAsia="宋体" w:cs="Times New Roman"/>
          <w:kern w:val="0"/>
          <w:sz w:val="24"/>
          <w:highlight w:val="none"/>
          <w:u w:val="single"/>
        </w:rPr>
        <w:t xml:space="preserve">      </w:t>
      </w:r>
      <w:r>
        <w:rPr>
          <w:rFonts w:ascii="Calibri" w:hAnsi="Calibri" w:eastAsia="宋体" w:cs="Times New Roman"/>
          <w:kern w:val="0"/>
          <w:sz w:val="24"/>
          <w:highlight w:val="none"/>
        </w:rPr>
        <w:t>月</w:t>
      </w:r>
      <w:r>
        <w:rPr>
          <w:rFonts w:ascii="Calibri" w:hAnsi="Calibri" w:eastAsia="宋体" w:cs="Times New Roman"/>
          <w:kern w:val="0"/>
          <w:sz w:val="24"/>
          <w:highlight w:val="none"/>
          <w:u w:val="single"/>
        </w:rPr>
        <w:t xml:space="preserve">      </w:t>
      </w:r>
      <w:r>
        <w:rPr>
          <w:rFonts w:ascii="Calibri" w:hAnsi="Calibri" w:eastAsia="宋体" w:cs="Times New Roman"/>
          <w:kern w:val="0"/>
          <w:sz w:val="24"/>
          <w:highlight w:val="none"/>
        </w:rPr>
        <w:t>日</w:t>
      </w:r>
    </w:p>
    <w:p w14:paraId="53696C8D">
      <w:pPr>
        <w:jc w:val="center"/>
        <w:rPr>
          <w:rFonts w:hint="eastAsia" w:ascii="宋体" w:hAnsi="宋体" w:cs="宋体"/>
          <w:b/>
          <w:bCs/>
          <w:sz w:val="24"/>
          <w:highlight w:val="none"/>
        </w:rPr>
      </w:pPr>
      <w:r>
        <w:rPr>
          <w:rFonts w:hint="eastAsia" w:ascii="宋体" w:hAnsi="宋体" w:cs="宋体"/>
          <w:b/>
          <w:bCs/>
          <w:sz w:val="24"/>
          <w:highlight w:val="none"/>
        </w:rPr>
        <w:br w:type="page"/>
      </w:r>
      <w:bookmarkStart w:id="253" w:name="_Toc528078068"/>
      <w:bookmarkEnd w:id="253"/>
      <w:r>
        <w:rPr>
          <w:rFonts w:hint="eastAsia" w:ascii="宋体" w:hAnsi="宋体" w:cs="宋体"/>
          <w:b/>
          <w:bCs/>
          <w:sz w:val="24"/>
          <w:highlight w:val="none"/>
        </w:rPr>
        <w:t>（2）投标函附录</w:t>
      </w:r>
    </w:p>
    <w:tbl>
      <w:tblPr>
        <w:tblStyle w:val="24"/>
        <w:tblW w:w="0" w:type="auto"/>
        <w:tblInd w:w="0" w:type="dxa"/>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Layout w:type="fixed"/>
        <w:tblCellMar>
          <w:top w:w="0" w:type="dxa"/>
          <w:left w:w="108" w:type="dxa"/>
          <w:bottom w:w="0" w:type="dxa"/>
          <w:right w:w="108" w:type="dxa"/>
        </w:tblCellMar>
      </w:tblPr>
      <w:tblGrid>
        <w:gridCol w:w="1768"/>
        <w:gridCol w:w="6733"/>
      </w:tblGrid>
      <w:tr w14:paraId="1943253C">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959" w:hRule="atLeast"/>
        </w:trPr>
        <w:tc>
          <w:tcPr>
            <w:tcW w:w="1768" w:type="dxa"/>
            <w:tcBorders>
              <w:top w:val="single" w:color="auto" w:sz="4" w:space="0"/>
              <w:left w:val="single" w:color="auto" w:sz="4" w:space="0"/>
              <w:bottom w:val="single" w:color="auto" w:sz="4" w:space="0"/>
              <w:right w:val="single" w:color="auto" w:sz="4" w:space="0"/>
            </w:tcBorders>
            <w:vAlign w:val="center"/>
          </w:tcPr>
          <w:p w14:paraId="0E7637E4">
            <w:pPr>
              <w:spacing w:line="480" w:lineRule="exact"/>
              <w:jc w:val="center"/>
              <w:rPr>
                <w:rFonts w:cs="宋体"/>
                <w:sz w:val="24"/>
                <w:szCs w:val="24"/>
                <w:highlight w:val="none"/>
              </w:rPr>
            </w:pPr>
            <w:r>
              <w:rPr>
                <w:rFonts w:hint="eastAsia" w:cs="宋体"/>
                <w:sz w:val="24"/>
                <w:szCs w:val="24"/>
                <w:highlight w:val="none"/>
              </w:rPr>
              <w:t>项目名称</w:t>
            </w:r>
          </w:p>
        </w:tc>
        <w:tc>
          <w:tcPr>
            <w:tcW w:w="6733" w:type="dxa"/>
            <w:tcBorders>
              <w:top w:val="single" w:color="auto" w:sz="4" w:space="0"/>
              <w:left w:val="nil"/>
              <w:bottom w:val="single" w:color="auto" w:sz="4" w:space="0"/>
              <w:right w:val="single" w:color="auto" w:sz="4" w:space="0"/>
            </w:tcBorders>
            <w:vAlign w:val="center"/>
          </w:tcPr>
          <w:p w14:paraId="684AD10F">
            <w:pPr>
              <w:spacing w:line="480" w:lineRule="exact"/>
              <w:ind w:firstLine="818" w:firstLineChars="341"/>
              <w:rPr>
                <w:rFonts w:cs="宋体"/>
                <w:sz w:val="24"/>
                <w:szCs w:val="24"/>
                <w:highlight w:val="none"/>
              </w:rPr>
            </w:pPr>
          </w:p>
        </w:tc>
      </w:tr>
      <w:tr w14:paraId="2A818ECA">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959" w:hRule="atLeast"/>
        </w:trPr>
        <w:tc>
          <w:tcPr>
            <w:tcW w:w="1768" w:type="dxa"/>
            <w:tcBorders>
              <w:top w:val="single" w:color="auto" w:sz="4" w:space="0"/>
              <w:left w:val="single" w:color="auto" w:sz="4" w:space="0"/>
              <w:bottom w:val="single" w:color="auto" w:sz="4" w:space="0"/>
              <w:right w:val="single" w:color="auto" w:sz="4" w:space="0"/>
            </w:tcBorders>
            <w:vAlign w:val="center"/>
          </w:tcPr>
          <w:p w14:paraId="3FF84125">
            <w:pPr>
              <w:spacing w:line="480" w:lineRule="exact"/>
              <w:jc w:val="center"/>
              <w:rPr>
                <w:rFonts w:cs="宋体"/>
                <w:sz w:val="24"/>
                <w:szCs w:val="24"/>
                <w:highlight w:val="none"/>
              </w:rPr>
            </w:pPr>
            <w:r>
              <w:rPr>
                <w:rFonts w:hint="eastAsia" w:cs="宋体"/>
                <w:sz w:val="24"/>
                <w:szCs w:val="24"/>
                <w:highlight w:val="none"/>
              </w:rPr>
              <w:t>供应商名称</w:t>
            </w:r>
          </w:p>
        </w:tc>
        <w:tc>
          <w:tcPr>
            <w:tcW w:w="6733" w:type="dxa"/>
            <w:tcBorders>
              <w:top w:val="single" w:color="auto" w:sz="4" w:space="0"/>
              <w:left w:val="nil"/>
              <w:bottom w:val="single" w:color="auto" w:sz="4" w:space="0"/>
              <w:right w:val="single" w:color="auto" w:sz="4" w:space="0"/>
            </w:tcBorders>
            <w:vAlign w:val="center"/>
          </w:tcPr>
          <w:p w14:paraId="31E7F3D2">
            <w:pPr>
              <w:spacing w:line="480" w:lineRule="exact"/>
              <w:ind w:firstLine="818" w:firstLineChars="341"/>
              <w:rPr>
                <w:rFonts w:cs="宋体"/>
                <w:sz w:val="24"/>
                <w:szCs w:val="24"/>
                <w:highlight w:val="none"/>
              </w:rPr>
            </w:pPr>
          </w:p>
        </w:tc>
      </w:tr>
      <w:tr w14:paraId="6566C543">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959" w:hRule="atLeast"/>
        </w:trPr>
        <w:tc>
          <w:tcPr>
            <w:tcW w:w="1768" w:type="dxa"/>
            <w:tcBorders>
              <w:top w:val="single" w:color="auto" w:sz="4" w:space="0"/>
              <w:left w:val="single" w:color="auto" w:sz="4" w:space="0"/>
              <w:bottom w:val="single" w:color="auto" w:sz="4" w:space="0"/>
              <w:right w:val="single" w:color="auto" w:sz="4" w:space="0"/>
            </w:tcBorders>
            <w:vAlign w:val="center"/>
          </w:tcPr>
          <w:p w14:paraId="474FAA82">
            <w:pPr>
              <w:spacing w:line="480" w:lineRule="exact"/>
              <w:jc w:val="center"/>
              <w:rPr>
                <w:rFonts w:cs="宋体"/>
                <w:sz w:val="24"/>
                <w:szCs w:val="24"/>
                <w:highlight w:val="none"/>
              </w:rPr>
            </w:pPr>
            <w:r>
              <w:rPr>
                <w:rFonts w:hint="eastAsia" w:cs="宋体"/>
                <w:sz w:val="24"/>
                <w:szCs w:val="24"/>
                <w:highlight w:val="none"/>
              </w:rPr>
              <w:t>供应商地址</w:t>
            </w:r>
          </w:p>
        </w:tc>
        <w:tc>
          <w:tcPr>
            <w:tcW w:w="6733" w:type="dxa"/>
            <w:tcBorders>
              <w:top w:val="single" w:color="auto" w:sz="4" w:space="0"/>
              <w:left w:val="nil"/>
              <w:bottom w:val="single" w:color="auto" w:sz="4" w:space="0"/>
              <w:right w:val="single" w:color="auto" w:sz="4" w:space="0"/>
            </w:tcBorders>
            <w:vAlign w:val="center"/>
          </w:tcPr>
          <w:p w14:paraId="564D0FDF">
            <w:pPr>
              <w:spacing w:line="480" w:lineRule="exact"/>
              <w:ind w:firstLine="818" w:firstLineChars="341"/>
              <w:rPr>
                <w:rFonts w:cs="宋体"/>
                <w:sz w:val="24"/>
                <w:szCs w:val="24"/>
                <w:highlight w:val="none"/>
              </w:rPr>
            </w:pPr>
          </w:p>
        </w:tc>
      </w:tr>
      <w:tr w14:paraId="1FDB3728">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959" w:hRule="atLeast"/>
        </w:trPr>
        <w:tc>
          <w:tcPr>
            <w:tcW w:w="1768" w:type="dxa"/>
            <w:tcBorders>
              <w:top w:val="single" w:color="auto" w:sz="4" w:space="0"/>
              <w:left w:val="single" w:color="auto" w:sz="4" w:space="0"/>
              <w:bottom w:val="single" w:color="auto" w:sz="4" w:space="0"/>
              <w:right w:val="single" w:color="auto" w:sz="4" w:space="0"/>
            </w:tcBorders>
            <w:vAlign w:val="center"/>
          </w:tcPr>
          <w:p w14:paraId="32AA80B8">
            <w:pPr>
              <w:spacing w:line="480" w:lineRule="exact"/>
              <w:jc w:val="center"/>
              <w:rPr>
                <w:rFonts w:cs="宋体"/>
                <w:sz w:val="24"/>
                <w:szCs w:val="24"/>
                <w:highlight w:val="none"/>
              </w:rPr>
            </w:pPr>
            <w:r>
              <w:rPr>
                <w:rFonts w:hint="eastAsia" w:cs="宋体"/>
                <w:sz w:val="24"/>
                <w:szCs w:val="24"/>
                <w:highlight w:val="none"/>
              </w:rPr>
              <w:t>供应商统一社会信用代码</w:t>
            </w:r>
          </w:p>
        </w:tc>
        <w:tc>
          <w:tcPr>
            <w:tcW w:w="6733" w:type="dxa"/>
            <w:tcBorders>
              <w:top w:val="single" w:color="auto" w:sz="4" w:space="0"/>
              <w:left w:val="nil"/>
              <w:bottom w:val="single" w:color="auto" w:sz="4" w:space="0"/>
              <w:right w:val="single" w:color="auto" w:sz="4" w:space="0"/>
            </w:tcBorders>
            <w:vAlign w:val="center"/>
          </w:tcPr>
          <w:p w14:paraId="5218E377">
            <w:pPr>
              <w:spacing w:line="480" w:lineRule="exact"/>
              <w:ind w:firstLine="818" w:firstLineChars="341"/>
              <w:rPr>
                <w:rFonts w:cs="宋体"/>
                <w:sz w:val="24"/>
                <w:szCs w:val="24"/>
                <w:highlight w:val="none"/>
              </w:rPr>
            </w:pPr>
          </w:p>
        </w:tc>
      </w:tr>
      <w:tr w14:paraId="5400782E">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860" w:hRule="atLeast"/>
        </w:trPr>
        <w:tc>
          <w:tcPr>
            <w:tcW w:w="1768" w:type="dxa"/>
            <w:tcBorders>
              <w:top w:val="single" w:color="auto" w:sz="4" w:space="0"/>
              <w:left w:val="single" w:color="auto" w:sz="4" w:space="0"/>
              <w:bottom w:val="nil"/>
              <w:right w:val="single" w:color="auto" w:sz="4" w:space="0"/>
            </w:tcBorders>
            <w:vAlign w:val="center"/>
          </w:tcPr>
          <w:p w14:paraId="37DFB4BA">
            <w:pPr>
              <w:spacing w:line="480" w:lineRule="exact"/>
              <w:jc w:val="center"/>
              <w:rPr>
                <w:rFonts w:cs="宋体"/>
                <w:sz w:val="24"/>
                <w:szCs w:val="24"/>
                <w:highlight w:val="none"/>
              </w:rPr>
            </w:pPr>
            <w:r>
              <w:rPr>
                <w:rFonts w:hint="eastAsia" w:cs="宋体"/>
                <w:sz w:val="24"/>
                <w:szCs w:val="24"/>
                <w:highlight w:val="none"/>
              </w:rPr>
              <w:t>投标报价</w:t>
            </w:r>
          </w:p>
        </w:tc>
        <w:tc>
          <w:tcPr>
            <w:tcW w:w="6733" w:type="dxa"/>
            <w:tcBorders>
              <w:top w:val="single" w:color="auto" w:sz="4" w:space="0"/>
              <w:left w:val="nil"/>
              <w:bottom w:val="single" w:color="auto" w:sz="4" w:space="0"/>
              <w:right w:val="single" w:color="auto" w:sz="4" w:space="0"/>
            </w:tcBorders>
            <w:vAlign w:val="center"/>
          </w:tcPr>
          <w:p w14:paraId="1C250A15">
            <w:pPr>
              <w:spacing w:line="480" w:lineRule="exact"/>
              <w:ind w:firstLine="818" w:firstLineChars="341"/>
              <w:rPr>
                <w:rFonts w:cs="宋体"/>
                <w:sz w:val="24"/>
                <w:szCs w:val="24"/>
                <w:highlight w:val="none"/>
              </w:rPr>
            </w:pPr>
            <w:r>
              <w:rPr>
                <w:rFonts w:hint="eastAsia" w:cs="宋体"/>
                <w:sz w:val="24"/>
                <w:szCs w:val="24"/>
                <w:highlight w:val="none"/>
              </w:rPr>
              <w:t>（大写）     ，    （小写）    元</w:t>
            </w:r>
          </w:p>
        </w:tc>
      </w:tr>
      <w:tr w14:paraId="14FD8339">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708" w:hRule="atLeast"/>
        </w:trPr>
        <w:tc>
          <w:tcPr>
            <w:tcW w:w="1768" w:type="dxa"/>
            <w:tcBorders>
              <w:top w:val="single" w:color="auto" w:sz="4" w:space="0"/>
              <w:left w:val="single" w:color="auto" w:sz="4" w:space="0"/>
              <w:bottom w:val="nil"/>
              <w:right w:val="single" w:color="auto" w:sz="4" w:space="0"/>
            </w:tcBorders>
            <w:vAlign w:val="center"/>
          </w:tcPr>
          <w:p w14:paraId="310F7186">
            <w:pPr>
              <w:spacing w:line="480" w:lineRule="exact"/>
              <w:jc w:val="center"/>
              <w:rPr>
                <w:rFonts w:cs="宋体"/>
                <w:sz w:val="24"/>
                <w:szCs w:val="24"/>
                <w:highlight w:val="none"/>
              </w:rPr>
            </w:pPr>
            <w:r>
              <w:rPr>
                <w:rFonts w:hint="eastAsia" w:cs="宋体"/>
                <w:sz w:val="24"/>
                <w:szCs w:val="24"/>
                <w:highlight w:val="none"/>
              </w:rPr>
              <w:t>供货期</w:t>
            </w:r>
          </w:p>
        </w:tc>
        <w:tc>
          <w:tcPr>
            <w:tcW w:w="6733" w:type="dxa"/>
            <w:tcBorders>
              <w:top w:val="single" w:color="auto" w:sz="4" w:space="0"/>
              <w:left w:val="nil"/>
              <w:bottom w:val="single" w:color="auto" w:sz="4" w:space="0"/>
              <w:right w:val="single" w:color="auto" w:sz="4" w:space="0"/>
            </w:tcBorders>
            <w:vAlign w:val="center"/>
          </w:tcPr>
          <w:p w14:paraId="38830257">
            <w:pPr>
              <w:spacing w:line="480" w:lineRule="exact"/>
              <w:rPr>
                <w:rFonts w:cs="宋体"/>
                <w:sz w:val="24"/>
                <w:szCs w:val="24"/>
                <w:highlight w:val="none"/>
              </w:rPr>
            </w:pPr>
          </w:p>
        </w:tc>
      </w:tr>
      <w:tr w14:paraId="7CC2B7DB">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cantSplit/>
          <w:trHeight w:val="923" w:hRule="atLeast"/>
        </w:trPr>
        <w:tc>
          <w:tcPr>
            <w:tcW w:w="1768" w:type="dxa"/>
            <w:tcBorders>
              <w:top w:val="single" w:color="auto" w:sz="4" w:space="0"/>
              <w:left w:val="single" w:color="auto" w:sz="4" w:space="0"/>
              <w:bottom w:val="single" w:color="auto" w:sz="4" w:space="0"/>
              <w:right w:val="single" w:color="auto" w:sz="4" w:space="0"/>
            </w:tcBorders>
            <w:vAlign w:val="center"/>
          </w:tcPr>
          <w:p w14:paraId="5C9FDD59">
            <w:pPr>
              <w:spacing w:line="480" w:lineRule="exact"/>
              <w:jc w:val="center"/>
              <w:rPr>
                <w:rFonts w:cs="宋体"/>
                <w:sz w:val="24"/>
                <w:szCs w:val="24"/>
                <w:highlight w:val="none"/>
              </w:rPr>
            </w:pPr>
            <w:r>
              <w:rPr>
                <w:rFonts w:hint="eastAsia" w:cs="宋体"/>
                <w:sz w:val="24"/>
                <w:szCs w:val="24"/>
                <w:highlight w:val="none"/>
              </w:rPr>
              <w:t>质保期</w:t>
            </w:r>
          </w:p>
        </w:tc>
        <w:tc>
          <w:tcPr>
            <w:tcW w:w="6733" w:type="dxa"/>
            <w:tcBorders>
              <w:top w:val="single" w:color="auto" w:sz="4" w:space="0"/>
              <w:left w:val="nil"/>
              <w:bottom w:val="single" w:color="auto" w:sz="4" w:space="0"/>
              <w:right w:val="single" w:color="auto" w:sz="4" w:space="0"/>
            </w:tcBorders>
            <w:vAlign w:val="center"/>
          </w:tcPr>
          <w:p w14:paraId="7BFB8FA5">
            <w:pPr>
              <w:spacing w:line="480" w:lineRule="exact"/>
              <w:ind w:firstLine="818" w:firstLineChars="341"/>
              <w:rPr>
                <w:rFonts w:cs="宋体"/>
                <w:sz w:val="24"/>
                <w:szCs w:val="24"/>
                <w:highlight w:val="none"/>
              </w:rPr>
            </w:pPr>
          </w:p>
        </w:tc>
      </w:tr>
      <w:tr w14:paraId="02EF05F9">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cantSplit/>
          <w:trHeight w:val="923" w:hRule="atLeast"/>
        </w:trPr>
        <w:tc>
          <w:tcPr>
            <w:tcW w:w="1768" w:type="dxa"/>
            <w:tcBorders>
              <w:top w:val="single" w:color="auto" w:sz="4" w:space="0"/>
              <w:left w:val="single" w:color="auto" w:sz="4" w:space="0"/>
              <w:bottom w:val="single" w:color="auto" w:sz="4" w:space="0"/>
              <w:right w:val="single" w:color="auto" w:sz="4" w:space="0"/>
            </w:tcBorders>
            <w:vAlign w:val="center"/>
          </w:tcPr>
          <w:p w14:paraId="551443C5">
            <w:pPr>
              <w:spacing w:line="480" w:lineRule="exact"/>
              <w:jc w:val="center"/>
              <w:rPr>
                <w:rFonts w:cs="宋体"/>
                <w:sz w:val="24"/>
                <w:szCs w:val="24"/>
                <w:highlight w:val="none"/>
              </w:rPr>
            </w:pPr>
            <w:r>
              <w:rPr>
                <w:rFonts w:hint="eastAsia" w:cs="宋体"/>
                <w:sz w:val="24"/>
                <w:szCs w:val="24"/>
                <w:highlight w:val="none"/>
              </w:rPr>
              <w:t>质量要求</w:t>
            </w:r>
          </w:p>
        </w:tc>
        <w:tc>
          <w:tcPr>
            <w:tcW w:w="6733" w:type="dxa"/>
            <w:tcBorders>
              <w:top w:val="single" w:color="auto" w:sz="4" w:space="0"/>
              <w:left w:val="nil"/>
              <w:bottom w:val="single" w:color="auto" w:sz="4" w:space="0"/>
              <w:right w:val="single" w:color="auto" w:sz="4" w:space="0"/>
            </w:tcBorders>
            <w:vAlign w:val="center"/>
          </w:tcPr>
          <w:p w14:paraId="0578B61C">
            <w:pPr>
              <w:spacing w:line="480" w:lineRule="exact"/>
              <w:ind w:firstLine="818" w:firstLineChars="341"/>
              <w:rPr>
                <w:rFonts w:cs="宋体"/>
                <w:sz w:val="24"/>
                <w:szCs w:val="24"/>
                <w:highlight w:val="none"/>
              </w:rPr>
            </w:pPr>
          </w:p>
        </w:tc>
      </w:tr>
      <w:tr w14:paraId="4FC1CB21">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cantSplit/>
          <w:trHeight w:val="923" w:hRule="atLeast"/>
        </w:trPr>
        <w:tc>
          <w:tcPr>
            <w:tcW w:w="1768" w:type="dxa"/>
            <w:tcBorders>
              <w:top w:val="single" w:color="auto" w:sz="4" w:space="0"/>
              <w:left w:val="single" w:color="auto" w:sz="4" w:space="0"/>
              <w:bottom w:val="single" w:color="auto" w:sz="4" w:space="0"/>
              <w:right w:val="single" w:color="auto" w:sz="4" w:space="0"/>
            </w:tcBorders>
            <w:vAlign w:val="center"/>
          </w:tcPr>
          <w:p w14:paraId="26C4E4F8">
            <w:pPr>
              <w:spacing w:line="480" w:lineRule="exact"/>
              <w:jc w:val="center"/>
              <w:rPr>
                <w:rFonts w:cs="宋体"/>
                <w:sz w:val="24"/>
                <w:szCs w:val="24"/>
                <w:highlight w:val="none"/>
              </w:rPr>
            </w:pPr>
            <w:r>
              <w:rPr>
                <w:rFonts w:hint="eastAsia" w:cs="宋体"/>
                <w:sz w:val="24"/>
                <w:szCs w:val="24"/>
                <w:highlight w:val="none"/>
              </w:rPr>
              <w:t>投标有效期</w:t>
            </w:r>
          </w:p>
        </w:tc>
        <w:tc>
          <w:tcPr>
            <w:tcW w:w="6733" w:type="dxa"/>
            <w:tcBorders>
              <w:top w:val="single" w:color="auto" w:sz="4" w:space="0"/>
              <w:left w:val="nil"/>
              <w:bottom w:val="single" w:color="auto" w:sz="4" w:space="0"/>
              <w:right w:val="single" w:color="auto" w:sz="4" w:space="0"/>
            </w:tcBorders>
            <w:vAlign w:val="center"/>
          </w:tcPr>
          <w:p w14:paraId="6A90CAD2">
            <w:pPr>
              <w:spacing w:line="480" w:lineRule="exact"/>
              <w:ind w:firstLine="818" w:firstLineChars="341"/>
              <w:rPr>
                <w:rFonts w:cs="宋体"/>
                <w:sz w:val="24"/>
                <w:szCs w:val="24"/>
                <w:highlight w:val="none"/>
              </w:rPr>
            </w:pPr>
          </w:p>
        </w:tc>
      </w:tr>
      <w:tr w14:paraId="3166B67F">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cantSplit/>
          <w:trHeight w:val="923" w:hRule="atLeast"/>
        </w:trPr>
        <w:tc>
          <w:tcPr>
            <w:tcW w:w="1768" w:type="dxa"/>
            <w:tcBorders>
              <w:top w:val="single" w:color="auto" w:sz="4" w:space="0"/>
              <w:left w:val="single" w:color="auto" w:sz="4" w:space="0"/>
              <w:bottom w:val="single" w:color="auto" w:sz="4" w:space="0"/>
              <w:right w:val="single" w:color="auto" w:sz="4" w:space="0"/>
            </w:tcBorders>
            <w:vAlign w:val="center"/>
          </w:tcPr>
          <w:p w14:paraId="589A9FF5">
            <w:pPr>
              <w:spacing w:line="480" w:lineRule="exact"/>
              <w:jc w:val="center"/>
              <w:rPr>
                <w:rFonts w:cs="宋体"/>
                <w:sz w:val="24"/>
                <w:szCs w:val="24"/>
                <w:highlight w:val="none"/>
              </w:rPr>
            </w:pPr>
            <w:r>
              <w:rPr>
                <w:rFonts w:hint="eastAsia" w:cs="宋体"/>
                <w:sz w:val="24"/>
                <w:szCs w:val="24"/>
                <w:highlight w:val="none"/>
              </w:rPr>
              <w:t>项目负责人及联系方式</w:t>
            </w:r>
          </w:p>
        </w:tc>
        <w:tc>
          <w:tcPr>
            <w:tcW w:w="6733" w:type="dxa"/>
            <w:tcBorders>
              <w:top w:val="single" w:color="auto" w:sz="4" w:space="0"/>
              <w:left w:val="nil"/>
              <w:bottom w:val="single" w:color="auto" w:sz="4" w:space="0"/>
              <w:right w:val="single" w:color="auto" w:sz="4" w:space="0"/>
            </w:tcBorders>
            <w:vAlign w:val="center"/>
          </w:tcPr>
          <w:p w14:paraId="3EF75438">
            <w:pPr>
              <w:spacing w:line="480" w:lineRule="exact"/>
              <w:ind w:firstLine="818" w:firstLineChars="341"/>
              <w:rPr>
                <w:rFonts w:cs="宋体"/>
                <w:sz w:val="24"/>
                <w:szCs w:val="24"/>
                <w:highlight w:val="none"/>
              </w:rPr>
            </w:pPr>
          </w:p>
        </w:tc>
      </w:tr>
      <w:tr w14:paraId="16082FD6">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913" w:hRule="atLeast"/>
        </w:trPr>
        <w:tc>
          <w:tcPr>
            <w:tcW w:w="8501" w:type="dxa"/>
            <w:gridSpan w:val="2"/>
            <w:tcBorders>
              <w:top w:val="single" w:color="auto" w:sz="4" w:space="0"/>
              <w:left w:val="single" w:color="auto" w:sz="4" w:space="0"/>
              <w:bottom w:val="single" w:color="auto" w:sz="4" w:space="0"/>
              <w:right w:val="single" w:color="auto" w:sz="4" w:space="0"/>
            </w:tcBorders>
          </w:tcPr>
          <w:p w14:paraId="4C73EAEC">
            <w:pPr>
              <w:spacing w:line="480" w:lineRule="exact"/>
              <w:ind w:firstLine="818" w:firstLineChars="341"/>
              <w:rPr>
                <w:rFonts w:cs="宋体"/>
                <w:sz w:val="24"/>
                <w:szCs w:val="24"/>
                <w:highlight w:val="none"/>
              </w:rPr>
            </w:pPr>
            <w:r>
              <w:rPr>
                <w:rFonts w:hint="eastAsia" w:cs="宋体"/>
                <w:sz w:val="24"/>
                <w:szCs w:val="24"/>
                <w:highlight w:val="none"/>
              </w:rPr>
              <w:t>补充（如有）</w:t>
            </w:r>
          </w:p>
        </w:tc>
      </w:tr>
    </w:tbl>
    <w:p w14:paraId="531FDEE3">
      <w:pPr>
        <w:spacing w:line="540" w:lineRule="exact"/>
        <w:jc w:val="right"/>
        <w:rPr>
          <w:rFonts w:ascii="Calibri" w:hAnsi="Calibri" w:eastAsia="宋体" w:cs="Times New Roman"/>
          <w:kern w:val="0"/>
          <w:sz w:val="24"/>
          <w:highlight w:val="none"/>
          <w:u w:val="single"/>
        </w:rPr>
      </w:pPr>
      <w:r>
        <w:rPr>
          <w:rFonts w:hint="eastAsia" w:asciiTheme="minorEastAsia" w:hAnsiTheme="minorEastAsia" w:cstheme="minorEastAsia"/>
          <w:sz w:val="28"/>
          <w:szCs w:val="28"/>
          <w:highlight w:val="none"/>
        </w:rPr>
        <w:t xml:space="preserve">                       </w:t>
      </w:r>
      <w:r>
        <w:rPr>
          <w:rFonts w:hint="eastAsia" w:ascii="Calibri" w:hAnsi="Calibri" w:eastAsia="宋体" w:cs="Times New Roman"/>
          <w:kern w:val="0"/>
          <w:sz w:val="24"/>
          <w:highlight w:val="none"/>
        </w:rPr>
        <w:t>供应商</w:t>
      </w:r>
      <w:r>
        <w:rPr>
          <w:rFonts w:ascii="Calibri" w:hAnsi="Calibri" w:eastAsia="宋体" w:cs="Times New Roman"/>
          <w:kern w:val="0"/>
          <w:sz w:val="24"/>
          <w:highlight w:val="none"/>
        </w:rPr>
        <w:t>：</w:t>
      </w:r>
      <w:r>
        <w:rPr>
          <w:rFonts w:ascii="Calibri" w:hAnsi="Calibri" w:eastAsia="宋体" w:cs="Times New Roman"/>
          <w:kern w:val="0"/>
          <w:sz w:val="24"/>
          <w:highlight w:val="none"/>
          <w:u w:val="single"/>
        </w:rPr>
        <w:t xml:space="preserve">                      （</w:t>
      </w:r>
      <w:r>
        <w:rPr>
          <w:rFonts w:hint="eastAsia" w:ascii="Calibri" w:hAnsi="Calibri" w:eastAsia="宋体" w:cs="Times New Roman"/>
          <w:kern w:val="0"/>
          <w:sz w:val="24"/>
          <w:highlight w:val="none"/>
          <w:u w:val="single"/>
        </w:rPr>
        <w:t>盖单位公章</w:t>
      </w:r>
      <w:r>
        <w:rPr>
          <w:rFonts w:ascii="Calibri" w:hAnsi="Calibri" w:eastAsia="宋体" w:cs="Times New Roman"/>
          <w:kern w:val="0"/>
          <w:sz w:val="24"/>
          <w:highlight w:val="none"/>
          <w:u w:val="single"/>
        </w:rPr>
        <w:t>）</w:t>
      </w:r>
    </w:p>
    <w:p w14:paraId="08B68282">
      <w:pPr>
        <w:widowControl/>
        <w:spacing w:line="540" w:lineRule="exact"/>
        <w:ind w:firstLine="360"/>
        <w:jc w:val="right"/>
        <w:rPr>
          <w:rFonts w:ascii="Calibri" w:hAnsi="Calibri" w:eastAsia="宋体" w:cs="Times New Roman"/>
          <w:kern w:val="0"/>
          <w:sz w:val="24"/>
          <w:highlight w:val="none"/>
          <w:u w:val="single"/>
        </w:rPr>
      </w:pPr>
      <w:r>
        <w:rPr>
          <w:rFonts w:ascii="Calibri" w:hAnsi="Calibri" w:eastAsia="宋体" w:cs="Times New Roman"/>
          <w:kern w:val="0"/>
          <w:sz w:val="24"/>
          <w:highlight w:val="none"/>
        </w:rPr>
        <w:t xml:space="preserve">法定代表人： </w:t>
      </w:r>
      <w:r>
        <w:rPr>
          <w:rFonts w:ascii="Calibri" w:hAnsi="Calibri" w:eastAsia="宋体" w:cs="Times New Roman"/>
          <w:kern w:val="0"/>
          <w:sz w:val="24"/>
          <w:highlight w:val="none"/>
          <w:u w:val="single"/>
        </w:rPr>
        <w:t xml:space="preserve">             （</w:t>
      </w:r>
      <w:r>
        <w:rPr>
          <w:rFonts w:hint="eastAsia" w:ascii="Calibri" w:hAnsi="Calibri" w:eastAsia="宋体" w:cs="Times New Roman"/>
          <w:kern w:val="0"/>
          <w:sz w:val="24"/>
          <w:highlight w:val="none"/>
          <w:u w:val="single"/>
        </w:rPr>
        <w:t>电子签章</w:t>
      </w:r>
      <w:r>
        <w:rPr>
          <w:rFonts w:ascii="Calibri" w:hAnsi="Calibri" w:eastAsia="宋体" w:cs="Times New Roman"/>
          <w:kern w:val="0"/>
          <w:sz w:val="24"/>
          <w:highlight w:val="none"/>
          <w:u w:val="single"/>
        </w:rPr>
        <w:t>）</w:t>
      </w:r>
    </w:p>
    <w:p w14:paraId="5CB9791C">
      <w:pPr>
        <w:widowControl/>
        <w:spacing w:line="540" w:lineRule="exact"/>
        <w:ind w:firstLine="360"/>
        <w:jc w:val="right"/>
        <w:rPr>
          <w:rFonts w:ascii="Calibri" w:hAnsi="Calibri" w:eastAsia="宋体" w:cs="Times New Roman"/>
          <w:kern w:val="0"/>
          <w:sz w:val="24"/>
          <w:highlight w:val="none"/>
        </w:rPr>
      </w:pPr>
      <w:r>
        <w:rPr>
          <w:rFonts w:ascii="Calibri" w:hAnsi="Calibri" w:eastAsia="宋体" w:cs="Times New Roman"/>
          <w:kern w:val="0"/>
          <w:sz w:val="24"/>
          <w:highlight w:val="none"/>
        </w:rPr>
        <w:t>日期：</w:t>
      </w:r>
      <w:r>
        <w:rPr>
          <w:rFonts w:ascii="Calibri" w:hAnsi="Calibri" w:eastAsia="宋体" w:cs="Times New Roman"/>
          <w:kern w:val="0"/>
          <w:sz w:val="24"/>
          <w:highlight w:val="none"/>
          <w:u w:val="single"/>
        </w:rPr>
        <w:t xml:space="preserve">        </w:t>
      </w:r>
      <w:r>
        <w:rPr>
          <w:rFonts w:ascii="Calibri" w:hAnsi="Calibri" w:eastAsia="宋体" w:cs="Times New Roman"/>
          <w:kern w:val="0"/>
          <w:sz w:val="24"/>
          <w:highlight w:val="none"/>
        </w:rPr>
        <w:t>年</w:t>
      </w:r>
      <w:r>
        <w:rPr>
          <w:rFonts w:ascii="Calibri" w:hAnsi="Calibri" w:eastAsia="宋体" w:cs="Times New Roman"/>
          <w:kern w:val="0"/>
          <w:sz w:val="24"/>
          <w:highlight w:val="none"/>
          <w:u w:val="single"/>
        </w:rPr>
        <w:t xml:space="preserve">      </w:t>
      </w:r>
      <w:r>
        <w:rPr>
          <w:rFonts w:ascii="Calibri" w:hAnsi="Calibri" w:eastAsia="宋体" w:cs="Times New Roman"/>
          <w:kern w:val="0"/>
          <w:sz w:val="24"/>
          <w:highlight w:val="none"/>
        </w:rPr>
        <w:t>月</w:t>
      </w:r>
      <w:r>
        <w:rPr>
          <w:rFonts w:ascii="Calibri" w:hAnsi="Calibri" w:eastAsia="宋体" w:cs="Times New Roman"/>
          <w:kern w:val="0"/>
          <w:sz w:val="24"/>
          <w:highlight w:val="none"/>
          <w:u w:val="single"/>
        </w:rPr>
        <w:t xml:space="preserve">      </w:t>
      </w:r>
      <w:r>
        <w:rPr>
          <w:rFonts w:ascii="Calibri" w:hAnsi="Calibri" w:eastAsia="宋体" w:cs="Times New Roman"/>
          <w:kern w:val="0"/>
          <w:sz w:val="24"/>
          <w:highlight w:val="none"/>
        </w:rPr>
        <w:t>日</w:t>
      </w:r>
    </w:p>
    <w:p w14:paraId="526816BD">
      <w:pPr>
        <w:pStyle w:val="7"/>
        <w:jc w:val="center"/>
        <w:rPr>
          <w:highlight w:val="none"/>
        </w:rPr>
      </w:pPr>
      <w:r>
        <w:rPr>
          <w:rFonts w:hint="eastAsia" w:ascii="宋体" w:hAnsi="宋体" w:cs="宋体"/>
          <w:szCs w:val="24"/>
          <w:highlight w:val="none"/>
        </w:rPr>
        <w:br w:type="page"/>
      </w:r>
      <w:bookmarkStart w:id="254" w:name="_Toc26862"/>
      <w:bookmarkEnd w:id="254"/>
      <w:bookmarkStart w:id="255" w:name="_Toc26023"/>
      <w:r>
        <w:rPr>
          <w:rFonts w:hint="eastAsia"/>
          <w:highlight w:val="none"/>
        </w:rPr>
        <w:t>二、法定代表人身份证明</w:t>
      </w:r>
      <w:bookmarkEnd w:id="255"/>
    </w:p>
    <w:p w14:paraId="7E3D3C41">
      <w:pPr>
        <w:spacing w:line="560" w:lineRule="exact"/>
        <w:ind w:right="420" w:rightChars="200" w:firstLine="480" w:firstLineChars="200"/>
        <w:rPr>
          <w:rFonts w:hint="eastAsia" w:asciiTheme="minorEastAsia" w:hAnsiTheme="minorEastAsia" w:cstheme="minorEastAsia"/>
          <w:sz w:val="24"/>
          <w:szCs w:val="28"/>
          <w:highlight w:val="none"/>
        </w:rPr>
      </w:pPr>
      <w:r>
        <w:rPr>
          <w:rFonts w:hint="eastAsia" w:asciiTheme="minorEastAsia" w:hAnsiTheme="minorEastAsia" w:cstheme="minorEastAsia"/>
          <w:sz w:val="24"/>
          <w:szCs w:val="28"/>
          <w:highlight w:val="none"/>
        </w:rPr>
        <w:t>供应商名称：</w:t>
      </w:r>
      <w:r>
        <w:rPr>
          <w:rFonts w:hint="eastAsia" w:asciiTheme="minorEastAsia" w:hAnsiTheme="minorEastAsia" w:cstheme="minorEastAsia"/>
          <w:sz w:val="24"/>
          <w:szCs w:val="28"/>
          <w:highlight w:val="none"/>
          <w:u w:val="single"/>
        </w:rPr>
        <w:t xml:space="preserve">                       </w:t>
      </w:r>
      <w:r>
        <w:rPr>
          <w:rFonts w:hint="eastAsia" w:asciiTheme="minorEastAsia" w:hAnsiTheme="minorEastAsia" w:cstheme="minorEastAsia"/>
          <w:sz w:val="24"/>
          <w:szCs w:val="28"/>
          <w:highlight w:val="none"/>
        </w:rPr>
        <w:t xml:space="preserve"> </w:t>
      </w:r>
    </w:p>
    <w:p w14:paraId="0E3D8386">
      <w:pPr>
        <w:spacing w:line="560" w:lineRule="exact"/>
        <w:ind w:right="420" w:rightChars="200" w:firstLine="480" w:firstLineChars="200"/>
        <w:rPr>
          <w:rFonts w:hint="eastAsia" w:asciiTheme="minorEastAsia" w:hAnsiTheme="minorEastAsia" w:cstheme="minorEastAsia"/>
          <w:sz w:val="24"/>
          <w:szCs w:val="28"/>
          <w:highlight w:val="none"/>
        </w:rPr>
      </w:pPr>
      <w:r>
        <w:rPr>
          <w:rFonts w:hint="eastAsia" w:asciiTheme="minorEastAsia" w:hAnsiTheme="minorEastAsia" w:cstheme="minorEastAsia"/>
          <w:sz w:val="24"/>
          <w:szCs w:val="28"/>
          <w:highlight w:val="none"/>
        </w:rPr>
        <w:t>单位性质：</w:t>
      </w:r>
      <w:r>
        <w:rPr>
          <w:rFonts w:hint="eastAsia" w:asciiTheme="minorEastAsia" w:hAnsiTheme="minorEastAsia" w:cstheme="minorEastAsia"/>
          <w:sz w:val="24"/>
          <w:szCs w:val="28"/>
          <w:highlight w:val="none"/>
          <w:u w:val="single"/>
        </w:rPr>
        <w:t xml:space="preserve">                        </w:t>
      </w:r>
    </w:p>
    <w:p w14:paraId="68EB7389">
      <w:pPr>
        <w:spacing w:line="560" w:lineRule="exact"/>
        <w:ind w:right="420" w:rightChars="200" w:firstLine="480" w:firstLineChars="200"/>
        <w:rPr>
          <w:rFonts w:hint="eastAsia" w:asciiTheme="minorEastAsia" w:hAnsiTheme="minorEastAsia" w:cstheme="minorEastAsia"/>
          <w:sz w:val="24"/>
          <w:szCs w:val="28"/>
          <w:highlight w:val="none"/>
        </w:rPr>
      </w:pPr>
      <w:r>
        <w:rPr>
          <w:rFonts w:hint="eastAsia" w:asciiTheme="minorEastAsia" w:hAnsiTheme="minorEastAsia" w:cstheme="minorEastAsia"/>
          <w:sz w:val="24"/>
          <w:szCs w:val="28"/>
          <w:highlight w:val="none"/>
        </w:rPr>
        <w:t>地址：</w:t>
      </w:r>
      <w:r>
        <w:rPr>
          <w:rFonts w:hint="eastAsia" w:asciiTheme="minorEastAsia" w:hAnsiTheme="minorEastAsia" w:cstheme="minorEastAsia"/>
          <w:sz w:val="24"/>
          <w:szCs w:val="28"/>
          <w:highlight w:val="none"/>
          <w:u w:val="single"/>
        </w:rPr>
        <w:t xml:space="preserve">                        </w:t>
      </w:r>
    </w:p>
    <w:p w14:paraId="2BBC3007">
      <w:pPr>
        <w:spacing w:line="560" w:lineRule="exact"/>
        <w:ind w:right="420" w:rightChars="200" w:firstLine="480" w:firstLineChars="200"/>
        <w:rPr>
          <w:rFonts w:hint="eastAsia" w:asciiTheme="minorEastAsia" w:hAnsiTheme="minorEastAsia" w:cstheme="minorEastAsia"/>
          <w:sz w:val="24"/>
          <w:szCs w:val="28"/>
          <w:highlight w:val="none"/>
        </w:rPr>
      </w:pPr>
      <w:r>
        <w:rPr>
          <w:rFonts w:hint="eastAsia" w:asciiTheme="minorEastAsia" w:hAnsiTheme="minorEastAsia" w:cstheme="minorEastAsia"/>
          <w:sz w:val="24"/>
          <w:szCs w:val="28"/>
          <w:highlight w:val="none"/>
        </w:rPr>
        <w:t>成立时间：</w:t>
      </w:r>
      <w:r>
        <w:rPr>
          <w:rFonts w:hint="eastAsia" w:asciiTheme="minorEastAsia" w:hAnsiTheme="minorEastAsia" w:cstheme="minorEastAsia"/>
          <w:sz w:val="24"/>
          <w:szCs w:val="28"/>
          <w:highlight w:val="none"/>
          <w:u w:val="single"/>
        </w:rPr>
        <w:t xml:space="preserve">     </w:t>
      </w:r>
      <w:r>
        <w:rPr>
          <w:rFonts w:hint="eastAsia" w:asciiTheme="minorEastAsia" w:hAnsiTheme="minorEastAsia" w:cstheme="minorEastAsia"/>
          <w:sz w:val="24"/>
          <w:szCs w:val="28"/>
          <w:highlight w:val="none"/>
        </w:rPr>
        <w:t>年</w:t>
      </w:r>
      <w:r>
        <w:rPr>
          <w:rFonts w:hint="eastAsia" w:asciiTheme="minorEastAsia" w:hAnsiTheme="minorEastAsia" w:cstheme="minorEastAsia"/>
          <w:sz w:val="24"/>
          <w:szCs w:val="28"/>
          <w:highlight w:val="none"/>
          <w:u w:val="single"/>
        </w:rPr>
        <w:t xml:space="preserve">       </w:t>
      </w:r>
      <w:r>
        <w:rPr>
          <w:rFonts w:hint="eastAsia" w:asciiTheme="minorEastAsia" w:hAnsiTheme="minorEastAsia" w:cstheme="minorEastAsia"/>
          <w:sz w:val="24"/>
          <w:szCs w:val="28"/>
          <w:highlight w:val="none"/>
        </w:rPr>
        <w:t>月</w:t>
      </w:r>
      <w:r>
        <w:rPr>
          <w:rFonts w:hint="eastAsia" w:asciiTheme="minorEastAsia" w:hAnsiTheme="minorEastAsia" w:cstheme="minorEastAsia"/>
          <w:sz w:val="24"/>
          <w:szCs w:val="28"/>
          <w:highlight w:val="none"/>
          <w:u w:val="single"/>
        </w:rPr>
        <w:t xml:space="preserve">      </w:t>
      </w:r>
      <w:r>
        <w:rPr>
          <w:rFonts w:hint="eastAsia" w:asciiTheme="minorEastAsia" w:hAnsiTheme="minorEastAsia" w:cstheme="minorEastAsia"/>
          <w:sz w:val="24"/>
          <w:szCs w:val="28"/>
          <w:highlight w:val="none"/>
        </w:rPr>
        <w:t>日</w:t>
      </w:r>
    </w:p>
    <w:p w14:paraId="6D8B4D8A">
      <w:pPr>
        <w:spacing w:line="560" w:lineRule="exact"/>
        <w:ind w:right="420" w:rightChars="200" w:firstLine="480" w:firstLineChars="200"/>
        <w:rPr>
          <w:rFonts w:hint="eastAsia" w:asciiTheme="minorEastAsia" w:hAnsiTheme="minorEastAsia" w:cstheme="minorEastAsia"/>
          <w:sz w:val="24"/>
          <w:szCs w:val="28"/>
          <w:highlight w:val="none"/>
        </w:rPr>
      </w:pPr>
      <w:r>
        <w:rPr>
          <w:rFonts w:hint="eastAsia" w:asciiTheme="minorEastAsia" w:hAnsiTheme="minorEastAsia" w:cstheme="minorEastAsia"/>
          <w:sz w:val="24"/>
          <w:szCs w:val="28"/>
          <w:highlight w:val="none"/>
        </w:rPr>
        <w:t>经营期限：</w:t>
      </w:r>
      <w:r>
        <w:rPr>
          <w:rFonts w:hint="eastAsia" w:asciiTheme="minorEastAsia" w:hAnsiTheme="minorEastAsia" w:cstheme="minorEastAsia"/>
          <w:sz w:val="24"/>
          <w:szCs w:val="28"/>
          <w:highlight w:val="none"/>
          <w:u w:val="single"/>
        </w:rPr>
        <w:t xml:space="preserve">                        </w:t>
      </w:r>
    </w:p>
    <w:p w14:paraId="142A8E89">
      <w:pPr>
        <w:spacing w:line="560" w:lineRule="exact"/>
        <w:ind w:right="420" w:rightChars="200" w:firstLine="480" w:firstLineChars="200"/>
        <w:rPr>
          <w:rFonts w:hint="eastAsia" w:asciiTheme="minorEastAsia" w:hAnsiTheme="minorEastAsia" w:cstheme="minorEastAsia"/>
          <w:sz w:val="24"/>
          <w:szCs w:val="28"/>
          <w:highlight w:val="none"/>
        </w:rPr>
      </w:pPr>
      <w:r>
        <w:rPr>
          <w:rFonts w:hint="eastAsia" w:asciiTheme="minorEastAsia" w:hAnsiTheme="minorEastAsia" w:cstheme="minorEastAsia"/>
          <w:sz w:val="24"/>
          <w:szCs w:val="28"/>
          <w:highlight w:val="none"/>
        </w:rPr>
        <w:t>姓名：</w:t>
      </w:r>
      <w:r>
        <w:rPr>
          <w:rFonts w:hint="eastAsia" w:asciiTheme="minorEastAsia" w:hAnsiTheme="minorEastAsia" w:cstheme="minorEastAsia"/>
          <w:sz w:val="24"/>
          <w:szCs w:val="28"/>
          <w:highlight w:val="none"/>
          <w:u w:val="single"/>
        </w:rPr>
        <w:t xml:space="preserve">                </w:t>
      </w:r>
      <w:r>
        <w:rPr>
          <w:rFonts w:hint="eastAsia" w:asciiTheme="minorEastAsia" w:hAnsiTheme="minorEastAsia" w:cstheme="minorEastAsia"/>
          <w:sz w:val="24"/>
          <w:szCs w:val="28"/>
          <w:highlight w:val="none"/>
        </w:rPr>
        <w:t>；性别：</w:t>
      </w:r>
      <w:r>
        <w:rPr>
          <w:rFonts w:hint="eastAsia" w:asciiTheme="minorEastAsia" w:hAnsiTheme="minorEastAsia" w:cstheme="minorEastAsia"/>
          <w:sz w:val="24"/>
          <w:szCs w:val="28"/>
          <w:highlight w:val="none"/>
          <w:u w:val="single"/>
        </w:rPr>
        <w:t xml:space="preserve">                </w:t>
      </w:r>
      <w:r>
        <w:rPr>
          <w:rFonts w:hint="eastAsia" w:asciiTheme="minorEastAsia" w:hAnsiTheme="minorEastAsia" w:cstheme="minorEastAsia"/>
          <w:sz w:val="24"/>
          <w:szCs w:val="28"/>
          <w:highlight w:val="none"/>
        </w:rPr>
        <w:t>；</w:t>
      </w:r>
    </w:p>
    <w:p w14:paraId="3FAAEAB9">
      <w:pPr>
        <w:spacing w:line="560" w:lineRule="exact"/>
        <w:ind w:right="420" w:rightChars="200" w:firstLine="480" w:firstLineChars="200"/>
        <w:rPr>
          <w:rFonts w:hint="eastAsia" w:asciiTheme="minorEastAsia" w:hAnsiTheme="minorEastAsia" w:cstheme="minorEastAsia"/>
          <w:sz w:val="24"/>
          <w:szCs w:val="28"/>
          <w:highlight w:val="none"/>
        </w:rPr>
      </w:pPr>
      <w:r>
        <w:rPr>
          <w:rFonts w:hint="eastAsia" w:asciiTheme="minorEastAsia" w:hAnsiTheme="minorEastAsia" w:cstheme="minorEastAsia"/>
          <w:sz w:val="24"/>
          <w:szCs w:val="28"/>
          <w:highlight w:val="none"/>
        </w:rPr>
        <w:t>年龄：</w:t>
      </w:r>
      <w:r>
        <w:rPr>
          <w:rFonts w:hint="eastAsia" w:asciiTheme="minorEastAsia" w:hAnsiTheme="minorEastAsia" w:cstheme="minorEastAsia"/>
          <w:sz w:val="24"/>
          <w:szCs w:val="28"/>
          <w:highlight w:val="none"/>
          <w:u w:val="single"/>
        </w:rPr>
        <w:t xml:space="preserve">                </w:t>
      </w:r>
      <w:r>
        <w:rPr>
          <w:rFonts w:hint="eastAsia" w:asciiTheme="minorEastAsia" w:hAnsiTheme="minorEastAsia" w:cstheme="minorEastAsia"/>
          <w:sz w:val="24"/>
          <w:szCs w:val="28"/>
          <w:highlight w:val="none"/>
        </w:rPr>
        <w:t>；职务：</w:t>
      </w:r>
      <w:r>
        <w:rPr>
          <w:rFonts w:hint="eastAsia" w:asciiTheme="minorEastAsia" w:hAnsiTheme="minorEastAsia" w:cstheme="minorEastAsia"/>
          <w:sz w:val="24"/>
          <w:szCs w:val="28"/>
          <w:highlight w:val="none"/>
          <w:u w:val="single"/>
        </w:rPr>
        <w:t xml:space="preserve">                </w:t>
      </w:r>
      <w:r>
        <w:rPr>
          <w:rFonts w:hint="eastAsia" w:asciiTheme="minorEastAsia" w:hAnsiTheme="minorEastAsia" w:cstheme="minorEastAsia"/>
          <w:sz w:val="24"/>
          <w:szCs w:val="28"/>
          <w:highlight w:val="none"/>
        </w:rPr>
        <w:t>；</w:t>
      </w:r>
    </w:p>
    <w:p w14:paraId="1AFB8397">
      <w:pPr>
        <w:spacing w:line="560" w:lineRule="exact"/>
        <w:ind w:right="420" w:rightChars="200" w:firstLine="480" w:firstLineChars="200"/>
        <w:rPr>
          <w:rFonts w:hint="eastAsia" w:asciiTheme="minorEastAsia" w:hAnsiTheme="minorEastAsia" w:cstheme="minorEastAsia"/>
          <w:sz w:val="24"/>
          <w:szCs w:val="28"/>
          <w:highlight w:val="none"/>
        </w:rPr>
      </w:pPr>
      <w:r>
        <w:rPr>
          <w:rFonts w:hint="eastAsia" w:asciiTheme="minorEastAsia" w:hAnsiTheme="minorEastAsia" w:cstheme="minorEastAsia"/>
          <w:sz w:val="24"/>
          <w:szCs w:val="28"/>
          <w:highlight w:val="none"/>
        </w:rPr>
        <w:t>身份证号码：</w:t>
      </w:r>
      <w:r>
        <w:rPr>
          <w:rFonts w:hint="eastAsia" w:asciiTheme="minorEastAsia" w:hAnsiTheme="minorEastAsia" w:cstheme="minorEastAsia"/>
          <w:sz w:val="24"/>
          <w:szCs w:val="28"/>
          <w:highlight w:val="none"/>
          <w:u w:val="single"/>
        </w:rPr>
        <w:t xml:space="preserve">                       </w:t>
      </w:r>
      <w:r>
        <w:rPr>
          <w:rFonts w:hint="eastAsia" w:asciiTheme="minorEastAsia" w:hAnsiTheme="minorEastAsia" w:cstheme="minorEastAsia"/>
          <w:sz w:val="24"/>
          <w:szCs w:val="28"/>
          <w:highlight w:val="none"/>
        </w:rPr>
        <w:t>，系</w:t>
      </w:r>
      <w:r>
        <w:rPr>
          <w:rFonts w:hint="eastAsia" w:asciiTheme="minorEastAsia" w:hAnsiTheme="minorEastAsia" w:cstheme="minorEastAsia"/>
          <w:sz w:val="24"/>
          <w:szCs w:val="28"/>
          <w:highlight w:val="none"/>
          <w:u w:val="single"/>
        </w:rPr>
        <w:t xml:space="preserve">                  </w:t>
      </w:r>
      <w:r>
        <w:rPr>
          <w:rFonts w:hint="eastAsia" w:asciiTheme="minorEastAsia" w:hAnsiTheme="minorEastAsia" w:cstheme="minorEastAsia"/>
          <w:sz w:val="24"/>
          <w:szCs w:val="28"/>
          <w:highlight w:val="none"/>
        </w:rPr>
        <w:t>（供应商名称）的法定代表人。</w:t>
      </w:r>
    </w:p>
    <w:p w14:paraId="3DF3FD2A">
      <w:pPr>
        <w:spacing w:line="560" w:lineRule="exact"/>
        <w:ind w:right="420" w:rightChars="200" w:firstLine="480" w:firstLineChars="200"/>
        <w:rPr>
          <w:rFonts w:hint="eastAsia" w:asciiTheme="minorEastAsia" w:hAnsiTheme="minorEastAsia" w:cstheme="minorEastAsia"/>
          <w:sz w:val="24"/>
          <w:szCs w:val="28"/>
          <w:highlight w:val="none"/>
        </w:rPr>
      </w:pPr>
      <w:r>
        <w:rPr>
          <w:rFonts w:hint="eastAsia" w:asciiTheme="minorEastAsia" w:hAnsiTheme="minorEastAsia" w:cstheme="minorEastAsia"/>
          <w:sz w:val="24"/>
          <w:szCs w:val="28"/>
          <w:highlight w:val="none"/>
        </w:rPr>
        <w:t>特此证明。</w:t>
      </w:r>
    </w:p>
    <w:p w14:paraId="54440EC5">
      <w:pPr>
        <w:spacing w:line="560" w:lineRule="exact"/>
        <w:ind w:right="420" w:rightChars="200" w:firstLine="480" w:firstLineChars="200"/>
        <w:rPr>
          <w:rFonts w:hint="eastAsia" w:asciiTheme="minorEastAsia" w:hAnsiTheme="minorEastAsia" w:cstheme="minorEastAsia"/>
          <w:sz w:val="24"/>
          <w:szCs w:val="28"/>
          <w:highlight w:val="none"/>
        </w:rPr>
      </w:pPr>
      <w:r>
        <w:rPr>
          <w:rFonts w:hint="eastAsia" w:asciiTheme="minorEastAsia" w:hAnsiTheme="minorEastAsia" w:cstheme="minorEastAsia"/>
          <w:sz w:val="24"/>
          <w:szCs w:val="28"/>
          <w:highlight w:val="none"/>
        </w:rPr>
        <w:t>附：法定代表人身份证扫描件，加盖公章。</w:t>
      </w:r>
    </w:p>
    <w:p w14:paraId="51F78597">
      <w:pPr>
        <w:spacing w:line="560" w:lineRule="exact"/>
        <w:ind w:left="170" w:firstLine="480" w:firstLineChars="200"/>
        <w:rPr>
          <w:rFonts w:hint="eastAsia" w:asciiTheme="minorEastAsia" w:hAnsiTheme="minorEastAsia" w:cstheme="minorEastAsia"/>
          <w:sz w:val="24"/>
          <w:szCs w:val="28"/>
          <w:highlight w:val="none"/>
        </w:rPr>
      </w:pPr>
    </w:p>
    <w:p w14:paraId="1FCCCC85">
      <w:pPr>
        <w:autoSpaceDE w:val="0"/>
        <w:autoSpaceDN w:val="0"/>
        <w:adjustRightInd w:val="0"/>
        <w:spacing w:line="560" w:lineRule="exact"/>
        <w:ind w:firstLine="3084" w:firstLineChars="1285"/>
        <w:jc w:val="right"/>
        <w:rPr>
          <w:rFonts w:hint="eastAsia" w:asciiTheme="minorEastAsia" w:hAnsiTheme="minorEastAsia" w:cstheme="minorEastAsia"/>
          <w:kern w:val="0"/>
          <w:sz w:val="24"/>
          <w:szCs w:val="28"/>
          <w:highlight w:val="none"/>
        </w:rPr>
      </w:pPr>
    </w:p>
    <w:p w14:paraId="0ECEDBEB">
      <w:pPr>
        <w:autoSpaceDE w:val="0"/>
        <w:autoSpaceDN w:val="0"/>
        <w:adjustRightInd w:val="0"/>
        <w:spacing w:line="560" w:lineRule="exact"/>
        <w:ind w:firstLine="3084" w:firstLineChars="1285"/>
        <w:jc w:val="center"/>
        <w:rPr>
          <w:rFonts w:hint="eastAsia" w:asciiTheme="minorEastAsia" w:hAnsiTheme="minorEastAsia" w:cstheme="minorEastAsia"/>
          <w:kern w:val="0"/>
          <w:sz w:val="24"/>
          <w:szCs w:val="28"/>
          <w:highlight w:val="none"/>
        </w:rPr>
      </w:pPr>
      <w:r>
        <w:rPr>
          <w:rFonts w:hint="eastAsia" w:asciiTheme="minorEastAsia" w:hAnsiTheme="minorEastAsia" w:cstheme="minorEastAsia"/>
          <w:kern w:val="0"/>
          <w:sz w:val="24"/>
          <w:szCs w:val="28"/>
          <w:highlight w:val="none"/>
        </w:rPr>
        <w:t>供应商：</w:t>
      </w:r>
      <w:r>
        <w:rPr>
          <w:rFonts w:hint="eastAsia" w:asciiTheme="minorEastAsia" w:hAnsiTheme="minorEastAsia" w:cstheme="minorEastAsia"/>
          <w:sz w:val="24"/>
          <w:szCs w:val="28"/>
          <w:highlight w:val="none"/>
          <w:u w:val="single"/>
        </w:rPr>
        <w:t xml:space="preserve">                  </w:t>
      </w:r>
      <w:r>
        <w:rPr>
          <w:rFonts w:hint="eastAsia" w:asciiTheme="minorEastAsia" w:hAnsiTheme="minorEastAsia" w:cstheme="minorEastAsia"/>
          <w:kern w:val="0"/>
          <w:sz w:val="24"/>
          <w:szCs w:val="28"/>
          <w:highlight w:val="none"/>
        </w:rPr>
        <w:t>（盖单位公章）</w:t>
      </w:r>
    </w:p>
    <w:p w14:paraId="30D7726E">
      <w:pPr>
        <w:autoSpaceDE w:val="0"/>
        <w:autoSpaceDN w:val="0"/>
        <w:adjustRightInd w:val="0"/>
        <w:spacing w:line="560" w:lineRule="exact"/>
        <w:ind w:right="420" w:firstLine="3760" w:firstLineChars="1567"/>
        <w:rPr>
          <w:rFonts w:hint="eastAsia" w:asciiTheme="minorEastAsia" w:hAnsiTheme="minorEastAsia" w:cstheme="minorEastAsia"/>
          <w:kern w:val="0"/>
          <w:sz w:val="24"/>
          <w:szCs w:val="28"/>
          <w:highlight w:val="none"/>
        </w:rPr>
      </w:pPr>
      <w:r>
        <w:rPr>
          <w:rFonts w:hint="eastAsia" w:asciiTheme="minorEastAsia" w:hAnsiTheme="minorEastAsia" w:cstheme="minorEastAsia"/>
          <w:kern w:val="0"/>
          <w:sz w:val="24"/>
          <w:szCs w:val="28"/>
          <w:highlight w:val="none"/>
        </w:rPr>
        <w:t>日期：</w:t>
      </w:r>
      <w:r>
        <w:rPr>
          <w:rFonts w:hint="eastAsia" w:asciiTheme="minorEastAsia" w:hAnsiTheme="minorEastAsia" w:cstheme="minorEastAsia"/>
          <w:kern w:val="0"/>
          <w:sz w:val="24"/>
          <w:szCs w:val="28"/>
          <w:highlight w:val="none"/>
          <w:u w:val="single"/>
        </w:rPr>
        <w:t xml:space="preserve">      年       月      日</w:t>
      </w:r>
    </w:p>
    <w:p w14:paraId="544DB84E">
      <w:pPr>
        <w:pStyle w:val="7"/>
        <w:jc w:val="center"/>
        <w:rPr>
          <w:highlight w:val="none"/>
        </w:rPr>
      </w:pPr>
      <w:r>
        <w:rPr>
          <w:rFonts w:hint="eastAsia" w:ascii="宋体" w:hAnsi="宋体" w:cs="宋体"/>
          <w:szCs w:val="24"/>
          <w:highlight w:val="none"/>
        </w:rPr>
        <w:br w:type="page"/>
      </w:r>
      <w:bookmarkStart w:id="256" w:name="_Toc528078069"/>
      <w:bookmarkEnd w:id="256"/>
      <w:bookmarkStart w:id="257" w:name="_Toc31248"/>
      <w:bookmarkStart w:id="258" w:name="_Toc23204"/>
      <w:r>
        <w:rPr>
          <w:rFonts w:hint="eastAsia"/>
          <w:highlight w:val="none"/>
        </w:rPr>
        <w:t>三、授权委托书</w:t>
      </w:r>
      <w:bookmarkEnd w:id="257"/>
      <w:bookmarkEnd w:id="258"/>
    </w:p>
    <w:p w14:paraId="44A47A14">
      <w:pPr>
        <w:spacing w:line="500" w:lineRule="exact"/>
        <w:ind w:firstLine="480" w:firstLineChars="200"/>
        <w:rPr>
          <w:rFonts w:hint="eastAsia" w:ascii="宋体" w:hAnsi="宋体" w:eastAsia="宋体" w:cs="Times New Roman"/>
          <w:sz w:val="24"/>
          <w:szCs w:val="24"/>
          <w:highlight w:val="none"/>
        </w:rPr>
      </w:pPr>
      <w:r>
        <w:rPr>
          <w:rFonts w:hint="eastAsia" w:ascii="宋体" w:hAnsi="宋体" w:eastAsia="宋体" w:cs="Times New Roman"/>
          <w:sz w:val="24"/>
          <w:szCs w:val="24"/>
          <w:highlight w:val="none"/>
        </w:rPr>
        <w:t>本人</w:t>
      </w:r>
      <w:r>
        <w:rPr>
          <w:rFonts w:hint="eastAsia" w:ascii="宋体" w:hAnsi="宋体" w:eastAsia="宋体" w:cs="Times New Roman"/>
          <w:sz w:val="24"/>
          <w:szCs w:val="24"/>
          <w:highlight w:val="none"/>
          <w:u w:val="single"/>
        </w:rPr>
        <w:t xml:space="preserve">             </w:t>
      </w:r>
      <w:r>
        <w:rPr>
          <w:rFonts w:hint="eastAsia" w:ascii="宋体" w:hAnsi="宋体" w:eastAsia="宋体" w:cs="Times New Roman"/>
          <w:sz w:val="24"/>
          <w:szCs w:val="24"/>
          <w:highlight w:val="none"/>
        </w:rPr>
        <w:t>（姓名）系</w:t>
      </w:r>
      <w:r>
        <w:rPr>
          <w:rFonts w:hint="eastAsia" w:ascii="宋体" w:hAnsi="宋体" w:eastAsia="宋体" w:cs="Times New Roman"/>
          <w:sz w:val="24"/>
          <w:szCs w:val="24"/>
          <w:highlight w:val="none"/>
          <w:u w:val="single"/>
        </w:rPr>
        <w:t xml:space="preserve">                   </w:t>
      </w:r>
      <w:r>
        <w:rPr>
          <w:rFonts w:hint="eastAsia" w:ascii="宋体" w:hAnsi="宋体" w:eastAsia="宋体" w:cs="Times New Roman"/>
          <w:sz w:val="24"/>
          <w:szCs w:val="24"/>
          <w:highlight w:val="none"/>
        </w:rPr>
        <w:t>（供应商名称）的法定代表人，现委托</w:t>
      </w:r>
      <w:r>
        <w:rPr>
          <w:rFonts w:hint="eastAsia" w:ascii="宋体" w:hAnsi="宋体" w:eastAsia="宋体" w:cs="Times New Roman"/>
          <w:sz w:val="24"/>
          <w:szCs w:val="24"/>
          <w:highlight w:val="none"/>
          <w:u w:val="single"/>
        </w:rPr>
        <w:t xml:space="preserve">           </w:t>
      </w:r>
      <w:r>
        <w:rPr>
          <w:rFonts w:hint="eastAsia" w:ascii="宋体" w:hAnsi="宋体" w:eastAsia="宋体" w:cs="Times New Roman"/>
          <w:sz w:val="24"/>
          <w:szCs w:val="24"/>
          <w:highlight w:val="none"/>
        </w:rPr>
        <w:t>（姓名）为我方代理人。代理人根据授权，以我方名义签署、澄清、说明、补正、递交、撤回、修改</w:t>
      </w:r>
      <w:r>
        <w:rPr>
          <w:rFonts w:hint="eastAsia" w:ascii="宋体" w:hAnsi="宋体" w:eastAsia="宋体" w:cs="Times New Roman"/>
          <w:sz w:val="24"/>
          <w:szCs w:val="24"/>
          <w:highlight w:val="none"/>
          <w:u w:val="single"/>
        </w:rPr>
        <w:t xml:space="preserve">                 </w:t>
      </w:r>
      <w:r>
        <w:rPr>
          <w:rFonts w:hint="eastAsia" w:ascii="宋体" w:hAnsi="宋体" w:eastAsia="宋体" w:cs="Times New Roman"/>
          <w:sz w:val="24"/>
          <w:szCs w:val="24"/>
          <w:highlight w:val="none"/>
        </w:rPr>
        <w:t>（项目名称）投标文件、签订合同和处理有关事宜，其法律后果由我方承担。</w:t>
      </w:r>
    </w:p>
    <w:p w14:paraId="74EC20C3">
      <w:pPr>
        <w:spacing w:line="500" w:lineRule="exact"/>
        <w:ind w:firstLine="480" w:firstLineChars="200"/>
        <w:rPr>
          <w:rFonts w:hint="eastAsia" w:ascii="宋体" w:hAnsi="宋体" w:eastAsia="宋体" w:cs="Times New Roman"/>
          <w:sz w:val="24"/>
          <w:szCs w:val="24"/>
          <w:highlight w:val="none"/>
          <w:u w:val="single"/>
        </w:rPr>
      </w:pPr>
      <w:r>
        <w:rPr>
          <w:rFonts w:hint="eastAsia" w:ascii="宋体" w:hAnsi="宋体" w:eastAsia="宋体" w:cs="Times New Roman"/>
          <w:sz w:val="24"/>
          <w:szCs w:val="24"/>
          <w:highlight w:val="none"/>
        </w:rPr>
        <w:t>委托期限：</w:t>
      </w:r>
      <w:r>
        <w:rPr>
          <w:rFonts w:hint="eastAsia" w:ascii="宋体" w:hAnsi="宋体" w:eastAsia="宋体" w:cs="Times New Roman"/>
          <w:sz w:val="24"/>
          <w:szCs w:val="24"/>
          <w:highlight w:val="none"/>
          <w:u w:val="single"/>
        </w:rPr>
        <w:t xml:space="preserve">                        </w:t>
      </w:r>
    </w:p>
    <w:p w14:paraId="21B1CE54">
      <w:pPr>
        <w:spacing w:line="500" w:lineRule="exact"/>
        <w:ind w:firstLine="480" w:firstLineChars="200"/>
        <w:rPr>
          <w:rFonts w:hint="eastAsia" w:ascii="宋体" w:hAnsi="宋体" w:eastAsia="宋体" w:cs="Times New Roman"/>
          <w:sz w:val="24"/>
          <w:szCs w:val="24"/>
          <w:highlight w:val="none"/>
        </w:rPr>
      </w:pPr>
      <w:r>
        <w:rPr>
          <w:rFonts w:hint="eastAsia" w:ascii="宋体" w:hAnsi="宋体" w:eastAsia="宋体" w:cs="Times New Roman"/>
          <w:sz w:val="24"/>
          <w:szCs w:val="24"/>
          <w:highlight w:val="none"/>
        </w:rPr>
        <w:t>代理人无转委托权。</w:t>
      </w:r>
    </w:p>
    <w:p w14:paraId="3D453F29">
      <w:pPr>
        <w:spacing w:line="500" w:lineRule="exact"/>
        <w:ind w:firstLine="480" w:firstLineChars="200"/>
        <w:rPr>
          <w:rFonts w:hint="eastAsia" w:ascii="宋体" w:hAnsi="宋体" w:eastAsia="宋体" w:cs="Times New Roman"/>
          <w:sz w:val="24"/>
          <w:szCs w:val="24"/>
          <w:highlight w:val="none"/>
        </w:rPr>
      </w:pPr>
      <w:r>
        <w:rPr>
          <w:rFonts w:hint="eastAsia" w:ascii="宋体" w:hAnsi="宋体" w:eastAsia="宋体" w:cs="Times New Roman"/>
          <w:sz w:val="24"/>
          <w:szCs w:val="24"/>
          <w:highlight w:val="none"/>
        </w:rPr>
        <w:t>附：法定代表人身份证复印件、被授权委托人身份证复印件</w:t>
      </w:r>
    </w:p>
    <w:p w14:paraId="2494EF26">
      <w:pPr>
        <w:spacing w:line="500" w:lineRule="exact"/>
        <w:rPr>
          <w:rFonts w:hint="eastAsia" w:ascii="宋体" w:hAnsi="宋体" w:eastAsia="宋体" w:cs="Times New Roman"/>
          <w:sz w:val="24"/>
          <w:szCs w:val="24"/>
          <w:highlight w:val="none"/>
        </w:rPr>
      </w:pPr>
      <w:r>
        <w:rPr>
          <w:rFonts w:hint="eastAsia" w:ascii="宋体" w:hAnsi="宋体" w:eastAsia="宋体" w:cs="Times New Roman"/>
          <w:sz w:val="24"/>
          <w:szCs w:val="24"/>
          <w:highlight w:val="none"/>
        </w:rPr>
        <w:t xml:space="preserve"> </w:t>
      </w:r>
    </w:p>
    <w:p w14:paraId="00A743D3">
      <w:pPr>
        <w:suppressAutoHyphens/>
        <w:spacing w:line="360" w:lineRule="auto"/>
        <w:ind w:firstLine="3120" w:firstLineChars="1300"/>
        <w:rPr>
          <w:rFonts w:hint="eastAsia" w:ascii="宋体" w:hAnsi="宋体" w:eastAsia="宋体" w:cs="Times New Roman"/>
          <w:kern w:val="1"/>
          <w:sz w:val="24"/>
          <w:szCs w:val="24"/>
          <w:highlight w:val="none"/>
        </w:rPr>
      </w:pPr>
    </w:p>
    <w:p w14:paraId="2BE19FEA">
      <w:pPr>
        <w:suppressAutoHyphens/>
        <w:spacing w:line="360" w:lineRule="auto"/>
        <w:ind w:firstLine="3120" w:firstLineChars="1300"/>
        <w:rPr>
          <w:rFonts w:hint="eastAsia" w:ascii="宋体" w:hAnsi="宋体" w:eastAsia="宋体" w:cs="Times New Roman"/>
          <w:kern w:val="1"/>
          <w:sz w:val="24"/>
          <w:szCs w:val="24"/>
          <w:highlight w:val="none"/>
        </w:rPr>
      </w:pPr>
    </w:p>
    <w:p w14:paraId="09C09892">
      <w:pPr>
        <w:suppressAutoHyphens/>
        <w:spacing w:line="480" w:lineRule="auto"/>
        <w:ind w:firstLine="3120" w:firstLineChars="1300"/>
        <w:rPr>
          <w:rFonts w:hint="eastAsia" w:ascii="宋体" w:hAnsi="宋体" w:eastAsia="宋体" w:cs="Times New Roman"/>
          <w:kern w:val="1"/>
          <w:sz w:val="24"/>
          <w:szCs w:val="24"/>
          <w:highlight w:val="none"/>
        </w:rPr>
      </w:pPr>
      <w:r>
        <w:rPr>
          <w:rFonts w:hint="eastAsia" w:ascii="宋体" w:hAnsi="宋体" w:eastAsia="宋体" w:cs="Times New Roman"/>
          <w:kern w:val="1"/>
          <w:sz w:val="24"/>
          <w:szCs w:val="24"/>
          <w:highlight w:val="none"/>
        </w:rPr>
        <w:t>供应商：</w:t>
      </w:r>
      <w:r>
        <w:rPr>
          <w:rFonts w:hint="eastAsia" w:ascii="宋体" w:hAnsi="宋体" w:eastAsia="宋体" w:cs="Times New Roman"/>
          <w:kern w:val="1"/>
          <w:sz w:val="24"/>
          <w:szCs w:val="24"/>
          <w:highlight w:val="none"/>
          <w:u w:val="single"/>
        </w:rPr>
        <w:t xml:space="preserve">                        </w:t>
      </w:r>
      <w:r>
        <w:rPr>
          <w:rFonts w:hint="eastAsia" w:ascii="宋体" w:hAnsi="宋体" w:eastAsia="宋体" w:cs="Times New Roman"/>
          <w:kern w:val="1"/>
          <w:sz w:val="24"/>
          <w:szCs w:val="24"/>
          <w:highlight w:val="none"/>
        </w:rPr>
        <w:t>（盖单位公章）</w:t>
      </w:r>
    </w:p>
    <w:p w14:paraId="3CA9DFBC">
      <w:pPr>
        <w:suppressAutoHyphens/>
        <w:spacing w:line="480" w:lineRule="auto"/>
        <w:ind w:firstLine="3120" w:firstLineChars="1300"/>
        <w:rPr>
          <w:rFonts w:hint="eastAsia" w:ascii="宋体" w:hAnsi="宋体" w:eastAsia="宋体" w:cs="Times New Roman"/>
          <w:kern w:val="1"/>
          <w:sz w:val="24"/>
          <w:szCs w:val="24"/>
          <w:highlight w:val="none"/>
        </w:rPr>
      </w:pPr>
      <w:r>
        <w:rPr>
          <w:rFonts w:hint="eastAsia" w:ascii="宋体" w:hAnsi="宋体" w:eastAsia="宋体" w:cs="Times New Roman"/>
          <w:kern w:val="1"/>
          <w:sz w:val="24"/>
          <w:szCs w:val="24"/>
          <w:highlight w:val="none"/>
        </w:rPr>
        <w:t>法定代表人：</w:t>
      </w:r>
      <w:r>
        <w:rPr>
          <w:rFonts w:hint="eastAsia" w:ascii="宋体" w:hAnsi="宋体" w:eastAsia="宋体" w:cs="Times New Roman"/>
          <w:kern w:val="1"/>
          <w:sz w:val="24"/>
          <w:szCs w:val="24"/>
          <w:highlight w:val="none"/>
          <w:u w:val="single"/>
        </w:rPr>
        <w:t xml:space="preserve">                   </w:t>
      </w:r>
      <w:r>
        <w:rPr>
          <w:rFonts w:hint="eastAsia" w:ascii="宋体" w:hAnsi="宋体" w:eastAsia="宋体" w:cs="Times New Roman"/>
          <w:kern w:val="1"/>
          <w:sz w:val="24"/>
          <w:szCs w:val="24"/>
          <w:highlight w:val="none"/>
        </w:rPr>
        <w:t>（</w:t>
      </w:r>
      <w:r>
        <w:rPr>
          <w:rFonts w:hint="eastAsia" w:ascii="宋体" w:hAnsi="宋体" w:eastAsia="宋体" w:cs="黑体"/>
          <w:bCs/>
          <w:kern w:val="0"/>
          <w:sz w:val="24"/>
          <w:szCs w:val="21"/>
          <w:highlight w:val="none"/>
        </w:rPr>
        <w:t>电子签章</w:t>
      </w:r>
      <w:r>
        <w:rPr>
          <w:rFonts w:hint="eastAsia" w:ascii="宋体" w:hAnsi="宋体" w:eastAsia="宋体" w:cs="Times New Roman"/>
          <w:kern w:val="1"/>
          <w:sz w:val="24"/>
          <w:szCs w:val="24"/>
          <w:highlight w:val="none"/>
        </w:rPr>
        <w:t>）</w:t>
      </w:r>
    </w:p>
    <w:p w14:paraId="5BF90474">
      <w:pPr>
        <w:suppressAutoHyphens/>
        <w:spacing w:line="480" w:lineRule="auto"/>
        <w:ind w:firstLine="3120" w:firstLineChars="1300"/>
        <w:rPr>
          <w:rFonts w:hint="eastAsia" w:ascii="宋体" w:hAnsi="宋体" w:eastAsia="宋体" w:cs="Times New Roman"/>
          <w:kern w:val="1"/>
          <w:sz w:val="24"/>
          <w:szCs w:val="24"/>
          <w:highlight w:val="none"/>
          <w:u w:val="single"/>
        </w:rPr>
      </w:pPr>
      <w:r>
        <w:rPr>
          <w:rFonts w:hint="eastAsia" w:ascii="宋体" w:hAnsi="宋体" w:eastAsia="宋体" w:cs="仿宋_GB2312"/>
          <w:kern w:val="0"/>
          <w:sz w:val="24"/>
          <w:szCs w:val="24"/>
          <w:highlight w:val="none"/>
        </w:rPr>
        <w:t>身份证号码：</w:t>
      </w:r>
      <w:r>
        <w:rPr>
          <w:rFonts w:hint="eastAsia" w:ascii="宋体" w:hAnsi="宋体" w:eastAsia="宋体" w:cs="仿宋_GB2312"/>
          <w:kern w:val="0"/>
          <w:sz w:val="24"/>
          <w:szCs w:val="24"/>
          <w:highlight w:val="none"/>
          <w:u w:val="single"/>
        </w:rPr>
        <w:t xml:space="preserve">                  </w:t>
      </w:r>
      <w:r>
        <w:rPr>
          <w:rFonts w:hint="eastAsia" w:ascii="宋体" w:hAnsi="宋体" w:eastAsia="宋体" w:cs="Times New Roman"/>
          <w:kern w:val="1"/>
          <w:sz w:val="24"/>
          <w:szCs w:val="24"/>
          <w:highlight w:val="none"/>
          <w:u w:val="single"/>
        </w:rPr>
        <w:t xml:space="preserve">   </w:t>
      </w:r>
    </w:p>
    <w:p w14:paraId="7B2CAD81">
      <w:pPr>
        <w:suppressAutoHyphens/>
        <w:spacing w:line="480" w:lineRule="auto"/>
        <w:ind w:firstLine="3120" w:firstLineChars="1300"/>
        <w:rPr>
          <w:rFonts w:hint="eastAsia" w:ascii="宋体" w:hAnsi="宋体" w:eastAsia="宋体" w:cs="Times New Roman"/>
          <w:kern w:val="1"/>
          <w:sz w:val="24"/>
          <w:szCs w:val="24"/>
          <w:highlight w:val="none"/>
          <w:u w:val="single"/>
        </w:rPr>
      </w:pPr>
      <w:r>
        <w:rPr>
          <w:rFonts w:hint="eastAsia" w:ascii="宋体" w:hAnsi="宋体" w:eastAsia="宋体" w:cs="Times New Roman"/>
          <w:kern w:val="1"/>
          <w:sz w:val="24"/>
          <w:szCs w:val="24"/>
          <w:highlight w:val="none"/>
        </w:rPr>
        <w:t>联系电话：</w:t>
      </w:r>
      <w:r>
        <w:rPr>
          <w:rFonts w:hint="eastAsia" w:ascii="宋体" w:hAnsi="宋体" w:eastAsia="宋体" w:cs="仿宋_GB2312"/>
          <w:kern w:val="0"/>
          <w:sz w:val="24"/>
          <w:szCs w:val="24"/>
          <w:highlight w:val="none"/>
          <w:u w:val="single"/>
        </w:rPr>
        <w:t xml:space="preserve">                  </w:t>
      </w:r>
      <w:r>
        <w:rPr>
          <w:rFonts w:hint="eastAsia" w:ascii="宋体" w:hAnsi="宋体" w:eastAsia="宋体" w:cs="Times New Roman"/>
          <w:kern w:val="1"/>
          <w:sz w:val="24"/>
          <w:szCs w:val="24"/>
          <w:highlight w:val="none"/>
          <w:u w:val="single"/>
        </w:rPr>
        <w:t xml:space="preserve">   </w:t>
      </w:r>
    </w:p>
    <w:p w14:paraId="7C09261F">
      <w:pPr>
        <w:suppressAutoHyphens/>
        <w:spacing w:line="480" w:lineRule="auto"/>
        <w:ind w:firstLine="3120" w:firstLineChars="1300"/>
        <w:rPr>
          <w:rFonts w:hint="eastAsia" w:ascii="宋体" w:hAnsi="宋体" w:eastAsia="宋体" w:cs="Times New Roman"/>
          <w:kern w:val="1"/>
          <w:sz w:val="24"/>
          <w:szCs w:val="24"/>
          <w:highlight w:val="none"/>
        </w:rPr>
      </w:pPr>
      <w:r>
        <w:rPr>
          <w:rFonts w:hint="eastAsia" w:ascii="宋体" w:hAnsi="宋体" w:eastAsia="宋体" w:cs="Times New Roman"/>
          <w:kern w:val="1"/>
          <w:sz w:val="24"/>
          <w:szCs w:val="24"/>
          <w:highlight w:val="none"/>
        </w:rPr>
        <w:t>委托代理人：</w:t>
      </w:r>
      <w:r>
        <w:rPr>
          <w:rFonts w:hint="eastAsia" w:ascii="宋体" w:hAnsi="宋体" w:eastAsia="宋体" w:cs="Times New Roman"/>
          <w:kern w:val="1"/>
          <w:sz w:val="24"/>
          <w:szCs w:val="24"/>
          <w:highlight w:val="none"/>
          <w:u w:val="single"/>
        </w:rPr>
        <w:t xml:space="preserve">                   </w:t>
      </w:r>
      <w:r>
        <w:rPr>
          <w:rFonts w:hint="eastAsia" w:ascii="宋体" w:hAnsi="宋体" w:eastAsia="宋体" w:cs="Times New Roman"/>
          <w:kern w:val="1"/>
          <w:sz w:val="24"/>
          <w:szCs w:val="24"/>
          <w:highlight w:val="none"/>
        </w:rPr>
        <w:t xml:space="preserve">（签字） </w:t>
      </w:r>
    </w:p>
    <w:p w14:paraId="060861A3">
      <w:pPr>
        <w:suppressAutoHyphens/>
        <w:spacing w:line="480" w:lineRule="auto"/>
        <w:ind w:firstLine="3120" w:firstLineChars="1300"/>
        <w:rPr>
          <w:rFonts w:hint="eastAsia" w:ascii="宋体" w:hAnsi="宋体" w:eastAsia="宋体" w:cs="Times New Roman"/>
          <w:kern w:val="1"/>
          <w:sz w:val="24"/>
          <w:szCs w:val="24"/>
          <w:highlight w:val="none"/>
          <w:u w:val="single"/>
        </w:rPr>
      </w:pPr>
      <w:r>
        <w:rPr>
          <w:rFonts w:hint="eastAsia" w:ascii="宋体" w:hAnsi="宋体" w:eastAsia="宋体" w:cs="Times New Roman"/>
          <w:kern w:val="1"/>
          <w:sz w:val="24"/>
          <w:szCs w:val="24"/>
          <w:highlight w:val="none"/>
        </w:rPr>
        <w:t>身份证号码：</w:t>
      </w:r>
      <w:r>
        <w:rPr>
          <w:rFonts w:hint="eastAsia" w:ascii="宋体" w:hAnsi="宋体" w:eastAsia="宋体" w:cs="Times New Roman"/>
          <w:kern w:val="1"/>
          <w:sz w:val="24"/>
          <w:szCs w:val="24"/>
          <w:highlight w:val="none"/>
          <w:u w:val="single"/>
        </w:rPr>
        <w:t xml:space="preserve">                      </w:t>
      </w:r>
    </w:p>
    <w:p w14:paraId="0A964CC3">
      <w:pPr>
        <w:suppressAutoHyphens/>
        <w:spacing w:line="480" w:lineRule="auto"/>
        <w:ind w:firstLine="3120" w:firstLineChars="1300"/>
        <w:rPr>
          <w:rFonts w:hint="eastAsia" w:ascii="宋体" w:hAnsi="宋体" w:eastAsia="宋体" w:cs="Times New Roman"/>
          <w:kern w:val="1"/>
          <w:sz w:val="24"/>
          <w:szCs w:val="24"/>
          <w:highlight w:val="none"/>
          <w:u w:val="single"/>
        </w:rPr>
      </w:pPr>
      <w:r>
        <w:rPr>
          <w:rFonts w:hint="eastAsia" w:ascii="宋体" w:hAnsi="宋体" w:eastAsia="宋体" w:cs="Times New Roman"/>
          <w:kern w:val="1"/>
          <w:sz w:val="24"/>
          <w:szCs w:val="24"/>
          <w:highlight w:val="none"/>
        </w:rPr>
        <w:t>联系电话：</w:t>
      </w:r>
      <w:r>
        <w:rPr>
          <w:rFonts w:hint="eastAsia" w:ascii="宋体" w:hAnsi="宋体" w:eastAsia="宋体" w:cs="仿宋_GB2312"/>
          <w:kern w:val="0"/>
          <w:sz w:val="24"/>
          <w:szCs w:val="24"/>
          <w:highlight w:val="none"/>
          <w:u w:val="single"/>
        </w:rPr>
        <w:t xml:space="preserve">                  </w:t>
      </w:r>
      <w:r>
        <w:rPr>
          <w:rFonts w:hint="eastAsia" w:ascii="宋体" w:hAnsi="宋体" w:eastAsia="宋体" w:cs="Times New Roman"/>
          <w:kern w:val="1"/>
          <w:sz w:val="24"/>
          <w:szCs w:val="24"/>
          <w:highlight w:val="none"/>
          <w:u w:val="single"/>
        </w:rPr>
        <w:t xml:space="preserve">      </w:t>
      </w:r>
    </w:p>
    <w:p w14:paraId="430B7E33">
      <w:pPr>
        <w:suppressAutoHyphens/>
        <w:spacing w:line="360" w:lineRule="auto"/>
        <w:ind w:firstLine="3120" w:firstLineChars="1300"/>
        <w:rPr>
          <w:rFonts w:hint="eastAsia" w:ascii="宋体" w:hAnsi="宋体" w:eastAsia="宋体" w:cs="Times New Roman"/>
          <w:kern w:val="1"/>
          <w:sz w:val="24"/>
          <w:szCs w:val="24"/>
          <w:highlight w:val="none"/>
        </w:rPr>
      </w:pPr>
    </w:p>
    <w:p w14:paraId="2AF54E8F">
      <w:pPr>
        <w:suppressAutoHyphens/>
        <w:spacing w:line="360" w:lineRule="auto"/>
        <w:ind w:firstLine="4920" w:firstLineChars="2050"/>
        <w:rPr>
          <w:rFonts w:hint="eastAsia" w:ascii="宋体" w:hAnsi="宋体" w:eastAsia="宋体" w:cs="Times New Roman"/>
          <w:kern w:val="1"/>
          <w:sz w:val="24"/>
          <w:szCs w:val="24"/>
          <w:highlight w:val="none"/>
        </w:rPr>
      </w:pPr>
      <w:r>
        <w:rPr>
          <w:rFonts w:hint="eastAsia" w:ascii="宋体" w:hAnsi="宋体" w:eastAsia="宋体" w:cs="Times New Roman"/>
          <w:kern w:val="1"/>
          <w:sz w:val="24"/>
          <w:szCs w:val="24"/>
          <w:highlight w:val="none"/>
          <w:u w:val="single"/>
        </w:rPr>
        <w:t xml:space="preserve">       </w:t>
      </w:r>
      <w:r>
        <w:rPr>
          <w:rFonts w:hint="eastAsia" w:ascii="宋体" w:hAnsi="宋体" w:eastAsia="宋体" w:cs="Times New Roman"/>
          <w:kern w:val="1"/>
          <w:sz w:val="24"/>
          <w:szCs w:val="24"/>
          <w:highlight w:val="none"/>
        </w:rPr>
        <w:t>年</w:t>
      </w:r>
      <w:r>
        <w:rPr>
          <w:rFonts w:hint="eastAsia" w:ascii="宋体" w:hAnsi="宋体" w:eastAsia="宋体" w:cs="Times New Roman"/>
          <w:kern w:val="1"/>
          <w:sz w:val="24"/>
          <w:szCs w:val="24"/>
          <w:highlight w:val="none"/>
          <w:u w:val="single"/>
        </w:rPr>
        <w:t xml:space="preserve">       </w:t>
      </w:r>
      <w:r>
        <w:rPr>
          <w:rFonts w:hint="eastAsia" w:ascii="宋体" w:hAnsi="宋体" w:eastAsia="宋体" w:cs="Times New Roman"/>
          <w:kern w:val="1"/>
          <w:sz w:val="24"/>
          <w:szCs w:val="24"/>
          <w:highlight w:val="none"/>
        </w:rPr>
        <w:t>月</w:t>
      </w:r>
      <w:r>
        <w:rPr>
          <w:rFonts w:hint="eastAsia" w:ascii="宋体" w:hAnsi="宋体" w:eastAsia="宋体" w:cs="Times New Roman"/>
          <w:kern w:val="1"/>
          <w:sz w:val="24"/>
          <w:szCs w:val="24"/>
          <w:highlight w:val="none"/>
          <w:u w:val="single"/>
        </w:rPr>
        <w:t xml:space="preserve">       </w:t>
      </w:r>
      <w:r>
        <w:rPr>
          <w:rFonts w:hint="eastAsia" w:ascii="宋体" w:hAnsi="宋体" w:eastAsia="宋体" w:cs="Times New Roman"/>
          <w:kern w:val="1"/>
          <w:sz w:val="24"/>
          <w:szCs w:val="24"/>
          <w:highlight w:val="none"/>
        </w:rPr>
        <w:t>日</w:t>
      </w:r>
    </w:p>
    <w:p w14:paraId="1FD38A3C">
      <w:pPr>
        <w:widowControl/>
        <w:jc w:val="left"/>
        <w:rPr>
          <w:rFonts w:hint="eastAsia" w:ascii="宋体" w:hAnsi="宋体" w:eastAsia="宋体" w:cs="Times New Roman"/>
          <w:kern w:val="0"/>
          <w:sz w:val="24"/>
          <w:szCs w:val="24"/>
          <w:highlight w:val="none"/>
        </w:rPr>
      </w:pPr>
      <w:r>
        <w:rPr>
          <w:rFonts w:hint="eastAsia" w:ascii="宋体" w:hAnsi="宋体" w:eastAsia="宋体" w:cs="Times New Roman"/>
          <w:kern w:val="0"/>
          <w:sz w:val="24"/>
          <w:szCs w:val="24"/>
          <w:highlight w:val="none"/>
        </w:rPr>
        <w:t xml:space="preserve"> </w:t>
      </w:r>
    </w:p>
    <w:p w14:paraId="116AE1D0">
      <w:pPr>
        <w:widowControl/>
        <w:jc w:val="left"/>
        <w:rPr>
          <w:rFonts w:hint="eastAsia" w:ascii="宋体" w:hAnsi="宋体" w:eastAsia="宋体" w:cs="Times New Roman"/>
          <w:kern w:val="0"/>
          <w:sz w:val="24"/>
          <w:szCs w:val="24"/>
          <w:highlight w:val="none"/>
        </w:rPr>
      </w:pPr>
      <w:r>
        <w:rPr>
          <w:rFonts w:hint="eastAsia" w:ascii="宋体" w:hAnsi="宋体" w:eastAsia="宋体" w:cs="Times New Roman"/>
          <w:kern w:val="0"/>
          <w:sz w:val="24"/>
          <w:szCs w:val="24"/>
          <w:highlight w:val="none"/>
        </w:rPr>
        <w:t xml:space="preserve"> </w:t>
      </w:r>
    </w:p>
    <w:p w14:paraId="4C659D03">
      <w:pPr>
        <w:widowControl/>
        <w:jc w:val="left"/>
        <w:rPr>
          <w:rFonts w:hint="eastAsia" w:ascii="宋体" w:hAnsi="宋体" w:eastAsia="宋体" w:cs="Times New Roman"/>
          <w:kern w:val="0"/>
          <w:sz w:val="24"/>
          <w:szCs w:val="24"/>
          <w:highlight w:val="none"/>
        </w:rPr>
      </w:pPr>
      <w:r>
        <w:rPr>
          <w:rFonts w:hint="eastAsia" w:ascii="宋体" w:hAnsi="宋体" w:eastAsia="宋体" w:cs="Times New Roman"/>
          <w:kern w:val="0"/>
          <w:sz w:val="24"/>
          <w:szCs w:val="24"/>
          <w:highlight w:val="none"/>
        </w:rPr>
        <w:t xml:space="preserve"> </w:t>
      </w:r>
    </w:p>
    <w:p w14:paraId="71455B9F">
      <w:pPr>
        <w:widowControl/>
        <w:ind w:firstLine="360"/>
        <w:jc w:val="left"/>
        <w:rPr>
          <w:rFonts w:hint="eastAsia" w:ascii="宋体" w:hAnsi="宋体" w:eastAsia="宋体" w:cs="宋体"/>
          <w:b/>
          <w:bCs/>
          <w:spacing w:val="10"/>
          <w:kern w:val="0"/>
          <w:sz w:val="24"/>
          <w:highlight w:val="none"/>
        </w:rPr>
      </w:pPr>
    </w:p>
    <w:p w14:paraId="0CD8D34F">
      <w:pPr>
        <w:spacing w:line="560" w:lineRule="exact"/>
        <w:rPr>
          <w:rFonts w:hint="eastAsia" w:asciiTheme="minorEastAsia" w:hAnsiTheme="minorEastAsia" w:cstheme="minorEastAsia"/>
          <w:b/>
          <w:bCs/>
          <w:kern w:val="0"/>
          <w:sz w:val="28"/>
          <w:szCs w:val="28"/>
          <w:highlight w:val="none"/>
        </w:rPr>
      </w:pPr>
    </w:p>
    <w:p w14:paraId="752F2A94">
      <w:pPr>
        <w:rPr>
          <w:rFonts w:hint="eastAsia" w:ascii="宋体" w:hAnsi="宋体" w:cs="宋体"/>
          <w:b/>
          <w:bCs/>
          <w:sz w:val="24"/>
          <w:highlight w:val="none"/>
        </w:rPr>
      </w:pPr>
      <w:r>
        <w:rPr>
          <w:rFonts w:hint="eastAsia" w:ascii="宋体" w:hAnsi="宋体" w:cs="宋体"/>
          <w:b/>
          <w:bCs/>
          <w:sz w:val="24"/>
          <w:highlight w:val="none"/>
        </w:rPr>
        <w:t xml:space="preserve"> </w:t>
      </w:r>
    </w:p>
    <w:p w14:paraId="2D816867">
      <w:pPr>
        <w:pStyle w:val="7"/>
        <w:jc w:val="center"/>
        <w:rPr>
          <w:highlight w:val="none"/>
        </w:rPr>
      </w:pPr>
      <w:bookmarkStart w:id="259" w:name="_Toc10352"/>
      <w:bookmarkEnd w:id="259"/>
      <w:r>
        <w:rPr>
          <w:rFonts w:hint="eastAsia" w:ascii="宋体" w:hAnsi="宋体" w:cs="宋体"/>
          <w:szCs w:val="24"/>
          <w:highlight w:val="none"/>
        </w:rPr>
        <w:br w:type="page"/>
      </w:r>
      <w:bookmarkStart w:id="260" w:name="_Toc14248"/>
      <w:r>
        <w:rPr>
          <w:rFonts w:hint="eastAsia"/>
          <w:highlight w:val="none"/>
        </w:rPr>
        <w:t>四、投标承诺函</w:t>
      </w:r>
      <w:bookmarkEnd w:id="260"/>
    </w:p>
    <w:p w14:paraId="588EFBFA">
      <w:pPr>
        <w:spacing w:line="360" w:lineRule="auto"/>
        <w:ind w:firstLine="480" w:firstLineChars="200"/>
        <w:rPr>
          <w:sz w:val="24"/>
          <w:szCs w:val="28"/>
          <w:highlight w:val="none"/>
        </w:rPr>
      </w:pPr>
      <w:r>
        <w:rPr>
          <w:rFonts w:hint="eastAsia"/>
          <w:sz w:val="24"/>
          <w:szCs w:val="28"/>
          <w:highlight w:val="none"/>
        </w:rPr>
        <w:t xml:space="preserve">致 （招标人）：                     </w:t>
      </w:r>
    </w:p>
    <w:p w14:paraId="00658762">
      <w:pPr>
        <w:spacing w:line="360" w:lineRule="auto"/>
        <w:ind w:firstLine="480" w:firstLineChars="200"/>
        <w:rPr>
          <w:sz w:val="24"/>
          <w:szCs w:val="28"/>
          <w:highlight w:val="none"/>
        </w:rPr>
      </w:pPr>
      <w:r>
        <w:rPr>
          <w:rFonts w:hint="eastAsia"/>
          <w:sz w:val="24"/>
          <w:szCs w:val="28"/>
          <w:highlight w:val="none"/>
        </w:rPr>
        <w:t>我公司作为本次采购项目的供应商，根据招标文件要求，现郑重承诺如下：</w:t>
      </w:r>
    </w:p>
    <w:p w14:paraId="52075ABF">
      <w:pPr>
        <w:spacing w:line="360" w:lineRule="auto"/>
        <w:ind w:firstLine="480" w:firstLineChars="200"/>
        <w:rPr>
          <w:sz w:val="24"/>
          <w:szCs w:val="28"/>
          <w:highlight w:val="none"/>
        </w:rPr>
      </w:pPr>
      <w:r>
        <w:rPr>
          <w:rFonts w:hint="eastAsia"/>
          <w:sz w:val="24"/>
          <w:szCs w:val="28"/>
          <w:highlight w:val="none"/>
        </w:rPr>
        <w:t>一、具备《中华人民共和国政府采购法》第二十二条第一款和本项目规定的条件：</w:t>
      </w:r>
    </w:p>
    <w:p w14:paraId="7F31284D">
      <w:pPr>
        <w:spacing w:line="360" w:lineRule="auto"/>
        <w:ind w:firstLine="480" w:firstLineChars="200"/>
        <w:rPr>
          <w:sz w:val="24"/>
          <w:szCs w:val="28"/>
          <w:highlight w:val="none"/>
        </w:rPr>
      </w:pPr>
      <w:r>
        <w:rPr>
          <w:rFonts w:hint="eastAsia"/>
          <w:sz w:val="24"/>
          <w:szCs w:val="28"/>
          <w:highlight w:val="none"/>
        </w:rPr>
        <w:t>（一）具有独立承担民事责任的能力；</w:t>
      </w:r>
    </w:p>
    <w:p w14:paraId="1BE4152D">
      <w:pPr>
        <w:spacing w:line="360" w:lineRule="auto"/>
        <w:ind w:firstLine="480" w:firstLineChars="200"/>
        <w:rPr>
          <w:sz w:val="24"/>
          <w:szCs w:val="28"/>
          <w:highlight w:val="none"/>
        </w:rPr>
      </w:pPr>
      <w:r>
        <w:rPr>
          <w:rFonts w:hint="eastAsia"/>
          <w:sz w:val="24"/>
          <w:szCs w:val="28"/>
          <w:highlight w:val="none"/>
        </w:rPr>
        <w:t>（二）具有良好的商业信誉和健全的财务会计制度；</w:t>
      </w:r>
    </w:p>
    <w:p w14:paraId="180D14ED">
      <w:pPr>
        <w:spacing w:line="360" w:lineRule="auto"/>
        <w:ind w:firstLine="480" w:firstLineChars="200"/>
        <w:rPr>
          <w:sz w:val="24"/>
          <w:szCs w:val="28"/>
          <w:highlight w:val="none"/>
        </w:rPr>
      </w:pPr>
      <w:r>
        <w:rPr>
          <w:rFonts w:hint="eastAsia"/>
          <w:sz w:val="24"/>
          <w:szCs w:val="28"/>
          <w:highlight w:val="none"/>
        </w:rPr>
        <w:t>（三）具有履行合同所必需的设备和专业技术能力；</w:t>
      </w:r>
    </w:p>
    <w:p w14:paraId="48E876B4">
      <w:pPr>
        <w:spacing w:line="360" w:lineRule="auto"/>
        <w:ind w:firstLine="480" w:firstLineChars="200"/>
        <w:rPr>
          <w:sz w:val="24"/>
          <w:szCs w:val="28"/>
          <w:highlight w:val="none"/>
        </w:rPr>
      </w:pPr>
      <w:r>
        <w:rPr>
          <w:rFonts w:hint="eastAsia"/>
          <w:sz w:val="24"/>
          <w:szCs w:val="28"/>
          <w:highlight w:val="none"/>
        </w:rPr>
        <w:t>（四）有依法缴纳税收的良好记录；</w:t>
      </w:r>
    </w:p>
    <w:p w14:paraId="191EB07C">
      <w:pPr>
        <w:spacing w:line="360" w:lineRule="auto"/>
        <w:ind w:firstLine="480" w:firstLineChars="200"/>
        <w:rPr>
          <w:sz w:val="24"/>
          <w:szCs w:val="28"/>
          <w:highlight w:val="none"/>
        </w:rPr>
      </w:pPr>
      <w:r>
        <w:rPr>
          <w:rFonts w:hint="eastAsia"/>
          <w:sz w:val="24"/>
          <w:szCs w:val="28"/>
          <w:highlight w:val="none"/>
        </w:rPr>
        <w:t>（五）参加政府采购活动前三年内，在经营活动中没有重大违法记录；</w:t>
      </w:r>
    </w:p>
    <w:p w14:paraId="49653766">
      <w:pPr>
        <w:spacing w:line="360" w:lineRule="auto"/>
        <w:ind w:firstLine="480" w:firstLineChars="200"/>
        <w:rPr>
          <w:sz w:val="24"/>
          <w:szCs w:val="28"/>
          <w:highlight w:val="none"/>
        </w:rPr>
      </w:pPr>
      <w:r>
        <w:rPr>
          <w:rFonts w:hint="eastAsia"/>
          <w:sz w:val="24"/>
          <w:szCs w:val="28"/>
          <w:highlight w:val="none"/>
        </w:rPr>
        <w:t>（六）法律、行政法规规定的其他条件；</w:t>
      </w:r>
    </w:p>
    <w:p w14:paraId="4B0B204B">
      <w:pPr>
        <w:spacing w:line="360" w:lineRule="auto"/>
        <w:ind w:firstLine="480" w:firstLineChars="200"/>
        <w:rPr>
          <w:sz w:val="24"/>
          <w:szCs w:val="28"/>
          <w:highlight w:val="none"/>
        </w:rPr>
      </w:pPr>
      <w:r>
        <w:rPr>
          <w:rFonts w:hint="eastAsia"/>
          <w:sz w:val="24"/>
          <w:szCs w:val="28"/>
          <w:highlight w:val="none"/>
        </w:rPr>
        <w:t>（七）根据采购项目提出的特殊条件。</w:t>
      </w:r>
    </w:p>
    <w:p w14:paraId="04E2A7BB">
      <w:pPr>
        <w:spacing w:line="360" w:lineRule="auto"/>
        <w:ind w:firstLine="480" w:firstLineChars="200"/>
        <w:rPr>
          <w:sz w:val="24"/>
          <w:szCs w:val="28"/>
          <w:highlight w:val="none"/>
        </w:rPr>
      </w:pPr>
      <w:r>
        <w:rPr>
          <w:rFonts w:hint="eastAsia"/>
          <w:sz w:val="24"/>
          <w:szCs w:val="28"/>
          <w:highlight w:val="none"/>
        </w:rPr>
        <w:t>二、完全接受和满足本项目招标文件中规定的实质性要求，如对竞招标文件有异议，已经在投标截止时间届满前依法进行维权救济，不存在对招标文件有异议的同时又参加投标以求侥幸中标或者为实现其他非法目的的行为。</w:t>
      </w:r>
    </w:p>
    <w:p w14:paraId="0649532E">
      <w:pPr>
        <w:spacing w:line="360" w:lineRule="auto"/>
        <w:ind w:firstLine="480" w:firstLineChars="200"/>
        <w:rPr>
          <w:sz w:val="24"/>
          <w:szCs w:val="28"/>
          <w:highlight w:val="none"/>
        </w:rPr>
      </w:pPr>
      <w:r>
        <w:rPr>
          <w:rFonts w:hint="eastAsia"/>
          <w:sz w:val="24"/>
          <w:szCs w:val="28"/>
          <w:highlight w:val="none"/>
        </w:rPr>
        <w:t>三、参加本次招标采购活动，不存在与单位负责人为同一人或者存在直接控股、管理关系的其他供应商参与同一合同项下的政府采购活动的行为。</w:t>
      </w:r>
    </w:p>
    <w:p w14:paraId="4608BF90">
      <w:pPr>
        <w:spacing w:line="360" w:lineRule="auto"/>
        <w:ind w:firstLine="480" w:firstLineChars="200"/>
        <w:rPr>
          <w:sz w:val="24"/>
          <w:szCs w:val="28"/>
          <w:highlight w:val="none"/>
        </w:rPr>
      </w:pPr>
      <w:r>
        <w:rPr>
          <w:rFonts w:hint="eastAsia"/>
          <w:sz w:val="24"/>
          <w:szCs w:val="28"/>
          <w:highlight w:val="none"/>
        </w:rPr>
        <w:t>四、参加本次招标采购活动，不存在为采购项目提供整体设计、规范编制或者项目管理、监理、检测等服务的行为。</w:t>
      </w:r>
    </w:p>
    <w:p w14:paraId="58A9C576">
      <w:pPr>
        <w:spacing w:line="360" w:lineRule="auto"/>
        <w:ind w:firstLine="480" w:firstLineChars="200"/>
        <w:rPr>
          <w:sz w:val="24"/>
          <w:szCs w:val="28"/>
          <w:highlight w:val="none"/>
        </w:rPr>
      </w:pPr>
      <w:r>
        <w:rPr>
          <w:rFonts w:hint="eastAsia"/>
          <w:sz w:val="24"/>
          <w:szCs w:val="28"/>
          <w:highlight w:val="none"/>
        </w:rPr>
        <w:t>五、参加本次招标采购活动，不存在和其他供应商在同一合同项下的采购项目中，同时委托同一个自然人、同一家庭的人员、同一单位的人员作为代理人的行为。</w:t>
      </w:r>
    </w:p>
    <w:p w14:paraId="04092B05">
      <w:pPr>
        <w:spacing w:line="360" w:lineRule="auto"/>
        <w:ind w:firstLine="480" w:firstLineChars="200"/>
        <w:rPr>
          <w:sz w:val="24"/>
          <w:szCs w:val="28"/>
          <w:highlight w:val="none"/>
        </w:rPr>
      </w:pPr>
      <w:r>
        <w:rPr>
          <w:rFonts w:hint="eastAsia"/>
          <w:sz w:val="24"/>
          <w:szCs w:val="28"/>
          <w:highlight w:val="none"/>
        </w:rPr>
        <w:t>六、供应商参加本次政府采购活动要求在近三年内供应商和其法定代表人没有行贿犯罪行为。</w:t>
      </w:r>
    </w:p>
    <w:p w14:paraId="6EC4088D">
      <w:pPr>
        <w:spacing w:line="360" w:lineRule="auto"/>
        <w:ind w:firstLine="480" w:firstLineChars="200"/>
        <w:rPr>
          <w:sz w:val="24"/>
          <w:szCs w:val="28"/>
          <w:highlight w:val="none"/>
        </w:rPr>
      </w:pPr>
      <w:r>
        <w:rPr>
          <w:rFonts w:hint="eastAsia"/>
          <w:sz w:val="24"/>
          <w:szCs w:val="28"/>
          <w:highlight w:val="none"/>
        </w:rPr>
        <w:t>七、参加本次招标采购活动，不存在联合体投标。</w:t>
      </w:r>
    </w:p>
    <w:p w14:paraId="7188E9BA">
      <w:pPr>
        <w:spacing w:line="360" w:lineRule="auto"/>
        <w:ind w:firstLine="480" w:firstLineChars="200"/>
        <w:rPr>
          <w:sz w:val="24"/>
          <w:szCs w:val="28"/>
          <w:highlight w:val="none"/>
        </w:rPr>
      </w:pPr>
      <w:r>
        <w:rPr>
          <w:rFonts w:hint="eastAsia"/>
          <w:sz w:val="24"/>
          <w:szCs w:val="28"/>
          <w:highlight w:val="none"/>
        </w:rPr>
        <w:t>八、投标文件中提供的能够给予我公司带来优惠、好处的任何材料资料和技术、服务、商务等响应承诺情况都是真实的、有效的、合法的。</w:t>
      </w:r>
    </w:p>
    <w:p w14:paraId="2C7B82FA">
      <w:pPr>
        <w:spacing w:line="360" w:lineRule="auto"/>
        <w:ind w:firstLine="480" w:firstLineChars="200"/>
        <w:rPr>
          <w:sz w:val="24"/>
          <w:szCs w:val="28"/>
          <w:highlight w:val="none"/>
        </w:rPr>
      </w:pPr>
      <w:r>
        <w:rPr>
          <w:rFonts w:hint="eastAsia"/>
          <w:sz w:val="24"/>
          <w:szCs w:val="28"/>
          <w:highlight w:val="none"/>
        </w:rPr>
        <w:t>九、如本项目评标过程中需要提供样品，则我公司提供的样品即为中标后将要提供的中标产品，我公司对提供样品的性能和质量负责，因样品存在缺陷或者不符合招标文件导致未能中标的，我公司愿意承担相应不利后果。（如提供样品）</w:t>
      </w:r>
    </w:p>
    <w:p w14:paraId="195C74C8">
      <w:pPr>
        <w:spacing w:line="360" w:lineRule="auto"/>
        <w:ind w:firstLine="480" w:firstLineChars="200"/>
        <w:rPr>
          <w:sz w:val="24"/>
          <w:szCs w:val="28"/>
          <w:highlight w:val="none"/>
        </w:rPr>
      </w:pPr>
      <w:r>
        <w:rPr>
          <w:rFonts w:hint="eastAsia"/>
          <w:sz w:val="24"/>
          <w:szCs w:val="28"/>
          <w:highlight w:val="none"/>
        </w:rPr>
        <w:t>十、存在以下行为之一的愿意接受相关部门的处理：</w:t>
      </w:r>
    </w:p>
    <w:p w14:paraId="0AF8ECD5">
      <w:pPr>
        <w:spacing w:line="360" w:lineRule="auto"/>
        <w:ind w:firstLine="480" w:firstLineChars="200"/>
        <w:rPr>
          <w:sz w:val="24"/>
          <w:szCs w:val="28"/>
          <w:highlight w:val="none"/>
        </w:rPr>
      </w:pPr>
      <w:r>
        <w:rPr>
          <w:rFonts w:hint="eastAsia"/>
          <w:sz w:val="24"/>
          <w:szCs w:val="28"/>
          <w:highlight w:val="none"/>
        </w:rPr>
        <w:t>（一）投标有效期内撤销投标文件的；</w:t>
      </w:r>
    </w:p>
    <w:p w14:paraId="0AA2687F">
      <w:pPr>
        <w:spacing w:line="360" w:lineRule="auto"/>
        <w:ind w:firstLine="480" w:firstLineChars="200"/>
        <w:rPr>
          <w:sz w:val="24"/>
          <w:szCs w:val="28"/>
          <w:highlight w:val="none"/>
        </w:rPr>
      </w:pPr>
      <w:r>
        <w:rPr>
          <w:rFonts w:hint="eastAsia"/>
          <w:sz w:val="24"/>
          <w:szCs w:val="28"/>
          <w:highlight w:val="none"/>
        </w:rPr>
        <w:t>（二）在招标人确定中标人以前放弃中标候选资格的；</w:t>
      </w:r>
    </w:p>
    <w:p w14:paraId="138F7DB2">
      <w:pPr>
        <w:spacing w:line="360" w:lineRule="auto"/>
        <w:ind w:firstLine="480" w:firstLineChars="200"/>
        <w:rPr>
          <w:sz w:val="24"/>
          <w:szCs w:val="28"/>
          <w:highlight w:val="none"/>
        </w:rPr>
      </w:pPr>
      <w:r>
        <w:rPr>
          <w:rFonts w:hint="eastAsia"/>
          <w:sz w:val="24"/>
          <w:szCs w:val="28"/>
          <w:highlight w:val="none"/>
        </w:rPr>
        <w:t>（三）由于中标人的原因未能按照招标文件的规定与招标人签订合同；</w:t>
      </w:r>
    </w:p>
    <w:p w14:paraId="02D5D9EE">
      <w:pPr>
        <w:spacing w:line="360" w:lineRule="auto"/>
        <w:ind w:firstLine="480" w:firstLineChars="200"/>
        <w:rPr>
          <w:sz w:val="24"/>
          <w:szCs w:val="28"/>
          <w:highlight w:val="none"/>
        </w:rPr>
      </w:pPr>
      <w:r>
        <w:rPr>
          <w:rFonts w:hint="eastAsia"/>
          <w:sz w:val="24"/>
          <w:szCs w:val="28"/>
          <w:highlight w:val="none"/>
        </w:rPr>
        <w:t>（四）在投标文件中提供虚假材料谋取中标；</w:t>
      </w:r>
    </w:p>
    <w:p w14:paraId="61161EC7">
      <w:pPr>
        <w:spacing w:line="360" w:lineRule="auto"/>
        <w:ind w:firstLine="480" w:firstLineChars="200"/>
        <w:rPr>
          <w:sz w:val="24"/>
          <w:szCs w:val="28"/>
          <w:highlight w:val="none"/>
        </w:rPr>
      </w:pPr>
      <w:r>
        <w:rPr>
          <w:rFonts w:hint="eastAsia"/>
          <w:sz w:val="24"/>
          <w:szCs w:val="28"/>
          <w:highlight w:val="none"/>
        </w:rPr>
        <w:t>（五）与招标人、其他供应商或者招标代理机构恶意串通的；</w:t>
      </w:r>
    </w:p>
    <w:p w14:paraId="28A7B5A7">
      <w:pPr>
        <w:spacing w:line="360" w:lineRule="auto"/>
        <w:ind w:firstLine="480" w:firstLineChars="200"/>
        <w:rPr>
          <w:sz w:val="24"/>
          <w:szCs w:val="28"/>
          <w:highlight w:val="none"/>
        </w:rPr>
      </w:pPr>
      <w:r>
        <w:rPr>
          <w:rFonts w:hint="eastAsia"/>
          <w:sz w:val="24"/>
          <w:szCs w:val="28"/>
          <w:highlight w:val="none"/>
        </w:rPr>
        <w:t>（六）投标有效期内，供应商在政府采购活动中有违法、违规、违纪行为。由此产生的一切法律后果和责任由我公司承担。我公司声明放弃对此提出任何异议和追索的权利。</w:t>
      </w:r>
    </w:p>
    <w:p w14:paraId="44F08DBA">
      <w:pPr>
        <w:spacing w:line="360" w:lineRule="auto"/>
        <w:ind w:firstLine="480" w:firstLineChars="200"/>
        <w:rPr>
          <w:sz w:val="24"/>
          <w:szCs w:val="28"/>
          <w:highlight w:val="none"/>
        </w:rPr>
      </w:pPr>
      <w:r>
        <w:rPr>
          <w:rFonts w:hint="eastAsia"/>
          <w:sz w:val="24"/>
          <w:szCs w:val="28"/>
          <w:highlight w:val="none"/>
        </w:rPr>
        <w:t>本公司对上述承诺的内容事项真实性负责。如经查实上述承诺的内容事项存在虚假，我公司愿意接受以提供虚假材料谋取中标追究法律责任。</w:t>
      </w:r>
    </w:p>
    <w:p w14:paraId="5B79EC0A">
      <w:pPr>
        <w:spacing w:line="360" w:lineRule="auto"/>
        <w:ind w:firstLine="480" w:firstLineChars="200"/>
        <w:rPr>
          <w:sz w:val="24"/>
          <w:szCs w:val="28"/>
          <w:highlight w:val="none"/>
        </w:rPr>
      </w:pPr>
    </w:p>
    <w:p w14:paraId="6F6122CE">
      <w:pPr>
        <w:spacing w:line="360" w:lineRule="auto"/>
        <w:ind w:firstLine="480" w:firstLineChars="200"/>
        <w:rPr>
          <w:sz w:val="24"/>
          <w:szCs w:val="28"/>
          <w:highlight w:val="none"/>
        </w:rPr>
      </w:pPr>
      <w:bookmarkStart w:id="261" w:name="五、磋商报价明细表"/>
      <w:bookmarkEnd w:id="261"/>
    </w:p>
    <w:p w14:paraId="7C813D9B">
      <w:pPr>
        <w:spacing w:line="360" w:lineRule="auto"/>
        <w:ind w:firstLine="480" w:firstLineChars="200"/>
        <w:rPr>
          <w:sz w:val="24"/>
          <w:szCs w:val="28"/>
          <w:highlight w:val="none"/>
        </w:rPr>
      </w:pPr>
      <w:r>
        <w:rPr>
          <w:rFonts w:hint="eastAsia"/>
          <w:sz w:val="24"/>
          <w:szCs w:val="28"/>
          <w:highlight w:val="none"/>
        </w:rPr>
        <w:t>供应商：                      （盖单位公章）</w:t>
      </w:r>
    </w:p>
    <w:p w14:paraId="05255E6B">
      <w:pPr>
        <w:spacing w:line="360" w:lineRule="auto"/>
        <w:ind w:firstLine="480" w:firstLineChars="200"/>
        <w:rPr>
          <w:sz w:val="24"/>
          <w:szCs w:val="28"/>
          <w:highlight w:val="none"/>
        </w:rPr>
      </w:pPr>
      <w:r>
        <w:rPr>
          <w:rFonts w:hint="eastAsia"/>
          <w:sz w:val="24"/>
          <w:szCs w:val="28"/>
          <w:highlight w:val="none"/>
        </w:rPr>
        <w:t>法定代表人：              （电子签章）</w:t>
      </w:r>
    </w:p>
    <w:p w14:paraId="05A3F322">
      <w:pPr>
        <w:spacing w:line="360" w:lineRule="auto"/>
        <w:ind w:firstLine="480" w:firstLineChars="200"/>
        <w:rPr>
          <w:sz w:val="24"/>
          <w:szCs w:val="28"/>
          <w:highlight w:val="none"/>
        </w:rPr>
      </w:pPr>
      <w:r>
        <w:rPr>
          <w:rFonts w:hint="eastAsia"/>
          <w:sz w:val="24"/>
          <w:szCs w:val="28"/>
          <w:highlight w:val="none"/>
        </w:rPr>
        <w:t>日期：        年      月      日</w:t>
      </w:r>
    </w:p>
    <w:p w14:paraId="7DB32508">
      <w:pPr>
        <w:pStyle w:val="7"/>
        <w:jc w:val="center"/>
        <w:rPr>
          <w:highlight w:val="none"/>
        </w:rPr>
      </w:pPr>
      <w:r>
        <w:rPr>
          <w:rFonts w:hint="eastAsia" w:ascii="宋体" w:hAnsi="宋体" w:cs="宋体"/>
          <w:szCs w:val="24"/>
          <w:highlight w:val="none"/>
        </w:rPr>
        <w:br w:type="page"/>
      </w:r>
      <w:bookmarkStart w:id="262" w:name="_Hlk3282331"/>
      <w:bookmarkEnd w:id="262"/>
      <w:bookmarkStart w:id="263" w:name="_Toc244934212"/>
      <w:bookmarkEnd w:id="263"/>
      <w:bookmarkStart w:id="264" w:name="_Toc528078071"/>
      <w:bookmarkEnd w:id="264"/>
      <w:bookmarkStart w:id="265" w:name="_Toc361989462"/>
      <w:bookmarkEnd w:id="265"/>
      <w:bookmarkStart w:id="266" w:name="_Toc23028"/>
      <w:bookmarkStart w:id="267" w:name="_Toc28663"/>
      <w:bookmarkStart w:id="268" w:name="_Toc6985"/>
      <w:bookmarkStart w:id="269" w:name="_Toc22807"/>
      <w:r>
        <w:rPr>
          <w:rFonts w:hint="eastAsia"/>
          <w:highlight w:val="none"/>
        </w:rPr>
        <w:t>五、报价明细表</w:t>
      </w:r>
      <w:bookmarkEnd w:id="266"/>
      <w:bookmarkEnd w:id="267"/>
      <w:bookmarkEnd w:id="268"/>
      <w:bookmarkEnd w:id="269"/>
    </w:p>
    <w:tbl>
      <w:tblPr>
        <w:tblStyle w:val="24"/>
        <w:tblW w:w="1056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5"/>
        <w:gridCol w:w="1356"/>
        <w:gridCol w:w="1458"/>
        <w:gridCol w:w="852"/>
        <w:gridCol w:w="945"/>
        <w:gridCol w:w="1320"/>
        <w:gridCol w:w="1342"/>
        <w:gridCol w:w="850"/>
        <w:gridCol w:w="850"/>
        <w:gridCol w:w="850"/>
      </w:tblGrid>
      <w:tr w14:paraId="1D29C4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jc w:val="center"/>
        </w:trPr>
        <w:tc>
          <w:tcPr>
            <w:tcW w:w="745" w:type="dxa"/>
            <w:tcBorders>
              <w:top w:val="single" w:color="auto" w:sz="4" w:space="0"/>
              <w:left w:val="single" w:color="auto" w:sz="4" w:space="0"/>
              <w:bottom w:val="single" w:color="auto" w:sz="4" w:space="0"/>
              <w:right w:val="single" w:color="auto" w:sz="4" w:space="0"/>
            </w:tcBorders>
            <w:vAlign w:val="center"/>
          </w:tcPr>
          <w:p w14:paraId="5CA0A143">
            <w:pPr>
              <w:jc w:val="center"/>
              <w:rPr>
                <w:rFonts w:hint="eastAsia" w:ascii="宋体" w:hAnsi="宋体" w:cs="宋体"/>
                <w:sz w:val="24"/>
                <w:highlight w:val="none"/>
              </w:rPr>
            </w:pPr>
            <w:r>
              <w:rPr>
                <w:rFonts w:hint="eastAsia" w:ascii="宋体" w:hAnsi="宋体" w:cs="宋体"/>
                <w:sz w:val="24"/>
                <w:highlight w:val="none"/>
              </w:rPr>
              <w:t>序号</w:t>
            </w:r>
          </w:p>
        </w:tc>
        <w:tc>
          <w:tcPr>
            <w:tcW w:w="1356" w:type="dxa"/>
            <w:tcBorders>
              <w:top w:val="single" w:color="auto" w:sz="4" w:space="0"/>
              <w:left w:val="nil"/>
              <w:bottom w:val="single" w:color="auto" w:sz="4" w:space="0"/>
              <w:right w:val="single" w:color="auto" w:sz="4" w:space="0"/>
            </w:tcBorders>
            <w:vAlign w:val="center"/>
          </w:tcPr>
          <w:p w14:paraId="19575CD6">
            <w:pPr>
              <w:rPr>
                <w:rFonts w:hint="eastAsia" w:ascii="宋体" w:hAnsi="宋体" w:cs="宋体"/>
                <w:sz w:val="24"/>
                <w:szCs w:val="24"/>
                <w:highlight w:val="none"/>
              </w:rPr>
            </w:pPr>
            <w:r>
              <w:rPr>
                <w:rFonts w:hint="eastAsia" w:ascii="宋体" w:hAnsi="宋体" w:eastAsia="宋体" w:cs="宋体"/>
                <w:sz w:val="24"/>
                <w:szCs w:val="24"/>
                <w:highlight w:val="none"/>
                <w:lang w:val="en-US" w:eastAsia="zh-CN"/>
              </w:rPr>
              <w:t>货物</w:t>
            </w:r>
            <w:r>
              <w:rPr>
                <w:rFonts w:hint="eastAsia" w:ascii="宋体" w:hAnsi="宋体" w:eastAsia="宋体" w:cs="宋体"/>
                <w:sz w:val="24"/>
                <w:szCs w:val="24"/>
                <w:highlight w:val="none"/>
              </w:rPr>
              <w:t>名称</w:t>
            </w:r>
          </w:p>
        </w:tc>
        <w:tc>
          <w:tcPr>
            <w:tcW w:w="1458" w:type="dxa"/>
            <w:tcBorders>
              <w:top w:val="single" w:color="auto" w:sz="4" w:space="0"/>
              <w:left w:val="nil"/>
              <w:bottom w:val="single" w:color="auto" w:sz="4" w:space="0"/>
              <w:right w:val="single" w:color="auto" w:sz="4" w:space="0"/>
            </w:tcBorders>
            <w:vAlign w:val="center"/>
          </w:tcPr>
          <w:p w14:paraId="47913AE2">
            <w:pPr>
              <w:jc w:val="center"/>
              <w:rPr>
                <w:rFonts w:hint="eastAsia" w:ascii="宋体" w:hAnsi="宋体" w:cs="宋体" w:eastAsiaTheme="minorEastAsia"/>
                <w:sz w:val="24"/>
                <w:szCs w:val="24"/>
                <w:highlight w:val="none"/>
                <w:lang w:eastAsia="zh-CN"/>
              </w:rPr>
            </w:pPr>
            <w:r>
              <w:rPr>
                <w:rFonts w:hint="eastAsia" w:ascii="宋体" w:hAnsi="宋体" w:cs="宋体"/>
                <w:sz w:val="24"/>
                <w:highlight w:val="none"/>
                <w:lang w:val="en-US" w:eastAsia="zh-CN"/>
              </w:rPr>
              <w:t>剂型</w:t>
            </w:r>
          </w:p>
        </w:tc>
        <w:tc>
          <w:tcPr>
            <w:tcW w:w="852" w:type="dxa"/>
            <w:tcBorders>
              <w:top w:val="single" w:color="auto" w:sz="4" w:space="0"/>
              <w:left w:val="nil"/>
              <w:bottom w:val="single" w:color="auto" w:sz="4" w:space="0"/>
              <w:right w:val="single" w:color="auto" w:sz="4" w:space="0"/>
            </w:tcBorders>
            <w:vAlign w:val="center"/>
          </w:tcPr>
          <w:p w14:paraId="298CD256">
            <w:pPr>
              <w:jc w:val="center"/>
              <w:rPr>
                <w:rFonts w:hint="default" w:ascii="宋体" w:hAnsi="宋体" w:cs="宋体" w:eastAsiaTheme="minorEastAsia"/>
                <w:sz w:val="24"/>
                <w:highlight w:val="none"/>
                <w:lang w:val="en-US" w:eastAsia="zh-CN"/>
              </w:rPr>
            </w:pPr>
            <w:r>
              <w:rPr>
                <w:rFonts w:hint="eastAsia" w:ascii="宋体" w:hAnsi="宋体" w:cs="宋体"/>
                <w:sz w:val="24"/>
                <w:highlight w:val="none"/>
                <w:lang w:val="en-US" w:eastAsia="zh-CN"/>
              </w:rPr>
              <w:t>亩用量</w:t>
            </w:r>
          </w:p>
        </w:tc>
        <w:tc>
          <w:tcPr>
            <w:tcW w:w="945" w:type="dxa"/>
            <w:tcBorders>
              <w:top w:val="single" w:color="auto" w:sz="4" w:space="0"/>
              <w:left w:val="nil"/>
              <w:bottom w:val="single" w:color="auto" w:sz="4" w:space="0"/>
              <w:right w:val="single" w:color="auto" w:sz="4" w:space="0"/>
            </w:tcBorders>
            <w:vAlign w:val="center"/>
          </w:tcPr>
          <w:p w14:paraId="1A6DE5BE">
            <w:pPr>
              <w:jc w:val="center"/>
              <w:rPr>
                <w:rFonts w:hint="default" w:ascii="宋体" w:hAnsi="宋体" w:cs="宋体" w:eastAsiaTheme="minorEastAsia"/>
                <w:sz w:val="24"/>
                <w:highlight w:val="none"/>
                <w:lang w:val="en-US" w:eastAsia="zh-CN"/>
              </w:rPr>
            </w:pPr>
            <w:r>
              <w:rPr>
                <w:rFonts w:hint="eastAsia" w:ascii="宋体" w:hAnsi="宋体" w:cs="宋体"/>
                <w:sz w:val="24"/>
                <w:highlight w:val="none"/>
                <w:lang w:val="en-US" w:eastAsia="zh-CN"/>
              </w:rPr>
              <w:t>生产厂家</w:t>
            </w:r>
          </w:p>
        </w:tc>
        <w:tc>
          <w:tcPr>
            <w:tcW w:w="1320" w:type="dxa"/>
            <w:tcBorders>
              <w:top w:val="single" w:color="auto" w:sz="4" w:space="0"/>
              <w:left w:val="nil"/>
              <w:bottom w:val="single" w:color="auto" w:sz="4" w:space="0"/>
              <w:right w:val="single" w:color="auto" w:sz="4" w:space="0"/>
            </w:tcBorders>
            <w:vAlign w:val="center"/>
          </w:tcPr>
          <w:p w14:paraId="05135BDB">
            <w:pPr>
              <w:jc w:val="center"/>
              <w:rPr>
                <w:rFonts w:hint="eastAsia" w:ascii="宋体" w:hAnsi="宋体" w:cs="宋体"/>
                <w:sz w:val="24"/>
                <w:highlight w:val="none"/>
              </w:rPr>
            </w:pPr>
            <w:r>
              <w:rPr>
                <w:rFonts w:hint="eastAsia" w:ascii="宋体" w:hAnsi="宋体" w:eastAsia="宋体" w:cs="宋体"/>
                <w:b w:val="0"/>
                <w:bCs w:val="0"/>
                <w:color w:val="000000"/>
                <w:sz w:val="21"/>
                <w:szCs w:val="21"/>
                <w:highlight w:val="none"/>
                <w:vertAlign w:val="baseline"/>
                <w:lang w:val="en-US" w:eastAsia="zh-CN"/>
              </w:rPr>
              <w:t>有效成分及含量</w:t>
            </w:r>
          </w:p>
        </w:tc>
        <w:tc>
          <w:tcPr>
            <w:tcW w:w="1342" w:type="dxa"/>
            <w:tcBorders>
              <w:top w:val="single" w:color="auto" w:sz="4" w:space="0"/>
              <w:left w:val="nil"/>
              <w:bottom w:val="single" w:color="auto" w:sz="4" w:space="0"/>
              <w:right w:val="single" w:color="auto" w:sz="4" w:space="0"/>
            </w:tcBorders>
            <w:vAlign w:val="center"/>
          </w:tcPr>
          <w:p w14:paraId="52B78C04">
            <w:pPr>
              <w:jc w:val="center"/>
              <w:rPr>
                <w:rFonts w:hint="default" w:ascii="宋体" w:hAnsi="宋体" w:cs="宋体" w:eastAsiaTheme="minorEastAsia"/>
                <w:sz w:val="24"/>
                <w:highlight w:val="none"/>
                <w:lang w:val="en-US" w:eastAsia="zh-CN"/>
              </w:rPr>
            </w:pPr>
            <w:r>
              <w:rPr>
                <w:rFonts w:hint="eastAsia" w:ascii="宋体" w:hAnsi="宋体" w:cs="宋体"/>
                <w:sz w:val="24"/>
                <w:highlight w:val="none"/>
              </w:rPr>
              <w:t>数量</w:t>
            </w:r>
            <w:r>
              <w:rPr>
                <w:rFonts w:hint="eastAsia" w:ascii="宋体" w:hAnsi="宋体" w:cs="宋体"/>
                <w:sz w:val="24"/>
                <w:highlight w:val="none"/>
                <w:lang w:eastAsia="zh-CN"/>
              </w:rPr>
              <w:t>（</w:t>
            </w:r>
            <w:r>
              <w:rPr>
                <w:rFonts w:hint="eastAsia" w:ascii="宋体" w:hAnsi="宋体" w:cs="宋体"/>
                <w:sz w:val="24"/>
                <w:highlight w:val="none"/>
                <w:lang w:val="en-US" w:eastAsia="zh-CN"/>
              </w:rPr>
              <w:t>公斤）</w:t>
            </w:r>
          </w:p>
        </w:tc>
        <w:tc>
          <w:tcPr>
            <w:tcW w:w="850" w:type="dxa"/>
            <w:tcBorders>
              <w:top w:val="single" w:color="auto" w:sz="4" w:space="0"/>
              <w:left w:val="nil"/>
              <w:bottom w:val="single" w:color="auto" w:sz="4" w:space="0"/>
              <w:right w:val="single" w:color="auto" w:sz="4" w:space="0"/>
            </w:tcBorders>
            <w:vAlign w:val="center"/>
          </w:tcPr>
          <w:p w14:paraId="66835CC7">
            <w:pPr>
              <w:jc w:val="center"/>
              <w:rPr>
                <w:rFonts w:hint="eastAsia" w:ascii="宋体" w:hAnsi="宋体" w:cs="宋体"/>
                <w:sz w:val="24"/>
                <w:highlight w:val="none"/>
              </w:rPr>
            </w:pPr>
            <w:r>
              <w:rPr>
                <w:rFonts w:hint="eastAsia" w:ascii="宋体" w:hAnsi="宋体" w:cs="宋体"/>
                <w:sz w:val="24"/>
                <w:highlight w:val="none"/>
              </w:rPr>
              <w:t>单价（元）</w:t>
            </w:r>
          </w:p>
        </w:tc>
        <w:tc>
          <w:tcPr>
            <w:tcW w:w="850" w:type="dxa"/>
            <w:tcBorders>
              <w:top w:val="single" w:color="auto" w:sz="4" w:space="0"/>
              <w:left w:val="nil"/>
              <w:bottom w:val="single" w:color="auto" w:sz="4" w:space="0"/>
              <w:right w:val="single" w:color="auto" w:sz="4" w:space="0"/>
            </w:tcBorders>
            <w:vAlign w:val="center"/>
          </w:tcPr>
          <w:p w14:paraId="588B2AA3">
            <w:pPr>
              <w:jc w:val="center"/>
              <w:rPr>
                <w:rFonts w:hint="eastAsia" w:ascii="宋体" w:hAnsi="宋体" w:cs="宋体"/>
                <w:sz w:val="24"/>
                <w:highlight w:val="none"/>
              </w:rPr>
            </w:pPr>
            <w:r>
              <w:rPr>
                <w:rFonts w:hint="eastAsia" w:ascii="宋体" w:hAnsi="宋体" w:cs="宋体"/>
                <w:sz w:val="24"/>
                <w:highlight w:val="none"/>
              </w:rPr>
              <w:t>合价（元）</w:t>
            </w:r>
          </w:p>
        </w:tc>
        <w:tc>
          <w:tcPr>
            <w:tcW w:w="850" w:type="dxa"/>
            <w:tcBorders>
              <w:top w:val="single" w:color="auto" w:sz="4" w:space="0"/>
              <w:left w:val="nil"/>
              <w:bottom w:val="single" w:color="auto" w:sz="4" w:space="0"/>
              <w:right w:val="single" w:color="auto" w:sz="4" w:space="0"/>
            </w:tcBorders>
            <w:vAlign w:val="center"/>
          </w:tcPr>
          <w:p w14:paraId="6DEFA214">
            <w:pPr>
              <w:jc w:val="center"/>
              <w:rPr>
                <w:rFonts w:hint="eastAsia" w:ascii="宋体" w:hAnsi="宋体" w:cs="宋体"/>
                <w:sz w:val="24"/>
                <w:highlight w:val="none"/>
              </w:rPr>
            </w:pPr>
            <w:r>
              <w:rPr>
                <w:rFonts w:hint="eastAsia" w:ascii="宋体" w:hAnsi="宋体" w:cs="宋体"/>
                <w:sz w:val="24"/>
                <w:highlight w:val="none"/>
              </w:rPr>
              <w:t>备注</w:t>
            </w:r>
          </w:p>
        </w:tc>
      </w:tr>
      <w:tr w14:paraId="149849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jc w:val="center"/>
        </w:trPr>
        <w:tc>
          <w:tcPr>
            <w:tcW w:w="745" w:type="dxa"/>
            <w:tcBorders>
              <w:top w:val="single" w:color="auto" w:sz="4" w:space="0"/>
              <w:left w:val="single" w:color="auto" w:sz="4" w:space="0"/>
              <w:bottom w:val="single" w:color="auto" w:sz="4" w:space="0"/>
              <w:right w:val="single" w:color="auto" w:sz="4" w:space="0"/>
            </w:tcBorders>
            <w:vAlign w:val="center"/>
          </w:tcPr>
          <w:p w14:paraId="6666A658">
            <w:pPr>
              <w:jc w:val="center"/>
              <w:rPr>
                <w:rFonts w:hint="eastAsia" w:ascii="宋体" w:hAnsi="宋体" w:cs="宋体"/>
                <w:sz w:val="24"/>
                <w:highlight w:val="none"/>
              </w:rPr>
            </w:pPr>
            <w:r>
              <w:rPr>
                <w:rFonts w:hint="eastAsia" w:ascii="宋体" w:hAnsi="宋体" w:cs="宋体"/>
                <w:sz w:val="24"/>
                <w:highlight w:val="none"/>
              </w:rPr>
              <w:t>1</w:t>
            </w:r>
          </w:p>
        </w:tc>
        <w:tc>
          <w:tcPr>
            <w:tcW w:w="1356" w:type="dxa"/>
            <w:tcBorders>
              <w:top w:val="single" w:color="auto" w:sz="4" w:space="0"/>
              <w:left w:val="nil"/>
              <w:bottom w:val="single" w:color="auto" w:sz="4" w:space="0"/>
              <w:right w:val="single" w:color="auto" w:sz="4" w:space="0"/>
            </w:tcBorders>
            <w:vAlign w:val="center"/>
          </w:tcPr>
          <w:p w14:paraId="0B087C9A">
            <w:pPr>
              <w:jc w:val="center"/>
              <w:rPr>
                <w:rFonts w:hint="eastAsia" w:ascii="宋体" w:hAnsi="宋体" w:cs="宋体"/>
                <w:sz w:val="24"/>
                <w:highlight w:val="none"/>
              </w:rPr>
            </w:pPr>
          </w:p>
        </w:tc>
        <w:tc>
          <w:tcPr>
            <w:tcW w:w="1458" w:type="dxa"/>
            <w:tcBorders>
              <w:top w:val="single" w:color="auto" w:sz="4" w:space="0"/>
              <w:left w:val="nil"/>
              <w:bottom w:val="single" w:color="auto" w:sz="4" w:space="0"/>
              <w:right w:val="single" w:color="auto" w:sz="4" w:space="0"/>
            </w:tcBorders>
            <w:vAlign w:val="center"/>
          </w:tcPr>
          <w:p w14:paraId="5FA0D25F">
            <w:pPr>
              <w:jc w:val="center"/>
              <w:rPr>
                <w:rFonts w:hint="eastAsia" w:ascii="宋体" w:hAnsi="宋体" w:cs="宋体"/>
                <w:sz w:val="24"/>
                <w:highlight w:val="none"/>
              </w:rPr>
            </w:pPr>
          </w:p>
        </w:tc>
        <w:tc>
          <w:tcPr>
            <w:tcW w:w="852" w:type="dxa"/>
            <w:tcBorders>
              <w:top w:val="single" w:color="auto" w:sz="4" w:space="0"/>
              <w:left w:val="nil"/>
              <w:bottom w:val="single" w:color="auto" w:sz="4" w:space="0"/>
              <w:right w:val="single" w:color="auto" w:sz="4" w:space="0"/>
            </w:tcBorders>
            <w:vAlign w:val="center"/>
          </w:tcPr>
          <w:p w14:paraId="37B369B8">
            <w:pPr>
              <w:jc w:val="center"/>
              <w:rPr>
                <w:rFonts w:hint="eastAsia" w:ascii="宋体" w:hAnsi="宋体" w:cs="宋体"/>
                <w:sz w:val="24"/>
                <w:highlight w:val="none"/>
              </w:rPr>
            </w:pPr>
          </w:p>
        </w:tc>
        <w:tc>
          <w:tcPr>
            <w:tcW w:w="945" w:type="dxa"/>
            <w:tcBorders>
              <w:top w:val="single" w:color="auto" w:sz="4" w:space="0"/>
              <w:left w:val="nil"/>
              <w:bottom w:val="single" w:color="auto" w:sz="4" w:space="0"/>
              <w:right w:val="single" w:color="auto" w:sz="4" w:space="0"/>
            </w:tcBorders>
            <w:vAlign w:val="center"/>
          </w:tcPr>
          <w:p w14:paraId="78EB7E33">
            <w:pPr>
              <w:jc w:val="center"/>
              <w:rPr>
                <w:rFonts w:hint="eastAsia" w:ascii="宋体" w:hAnsi="宋体" w:cs="宋体"/>
                <w:sz w:val="24"/>
                <w:highlight w:val="none"/>
              </w:rPr>
            </w:pPr>
          </w:p>
        </w:tc>
        <w:tc>
          <w:tcPr>
            <w:tcW w:w="1320" w:type="dxa"/>
            <w:tcBorders>
              <w:top w:val="single" w:color="auto" w:sz="4" w:space="0"/>
              <w:left w:val="nil"/>
              <w:bottom w:val="single" w:color="auto" w:sz="4" w:space="0"/>
              <w:right w:val="single" w:color="auto" w:sz="4" w:space="0"/>
            </w:tcBorders>
            <w:vAlign w:val="center"/>
          </w:tcPr>
          <w:p w14:paraId="7D5559DE">
            <w:pPr>
              <w:jc w:val="center"/>
              <w:rPr>
                <w:rFonts w:hint="eastAsia" w:ascii="宋体" w:hAnsi="宋体" w:cs="宋体"/>
                <w:sz w:val="24"/>
                <w:highlight w:val="none"/>
              </w:rPr>
            </w:pPr>
          </w:p>
        </w:tc>
        <w:tc>
          <w:tcPr>
            <w:tcW w:w="1342" w:type="dxa"/>
            <w:tcBorders>
              <w:top w:val="single" w:color="auto" w:sz="4" w:space="0"/>
              <w:left w:val="nil"/>
              <w:bottom w:val="single" w:color="auto" w:sz="4" w:space="0"/>
              <w:right w:val="single" w:color="auto" w:sz="4" w:space="0"/>
            </w:tcBorders>
            <w:vAlign w:val="center"/>
          </w:tcPr>
          <w:p w14:paraId="4E6596DA">
            <w:pPr>
              <w:jc w:val="center"/>
              <w:rPr>
                <w:rFonts w:hint="eastAsia" w:ascii="宋体" w:hAnsi="宋体" w:cs="宋体"/>
                <w:sz w:val="24"/>
                <w:highlight w:val="none"/>
              </w:rPr>
            </w:pPr>
          </w:p>
        </w:tc>
        <w:tc>
          <w:tcPr>
            <w:tcW w:w="850" w:type="dxa"/>
            <w:tcBorders>
              <w:top w:val="single" w:color="auto" w:sz="4" w:space="0"/>
              <w:left w:val="nil"/>
              <w:bottom w:val="single" w:color="auto" w:sz="4" w:space="0"/>
              <w:right w:val="single" w:color="auto" w:sz="4" w:space="0"/>
            </w:tcBorders>
            <w:vAlign w:val="center"/>
          </w:tcPr>
          <w:p w14:paraId="2A59171E">
            <w:pPr>
              <w:jc w:val="center"/>
              <w:rPr>
                <w:rFonts w:hint="eastAsia" w:ascii="宋体" w:hAnsi="宋体" w:cs="宋体"/>
                <w:sz w:val="24"/>
                <w:highlight w:val="none"/>
              </w:rPr>
            </w:pPr>
          </w:p>
        </w:tc>
        <w:tc>
          <w:tcPr>
            <w:tcW w:w="850" w:type="dxa"/>
            <w:tcBorders>
              <w:top w:val="single" w:color="auto" w:sz="4" w:space="0"/>
              <w:left w:val="nil"/>
              <w:bottom w:val="single" w:color="auto" w:sz="4" w:space="0"/>
              <w:right w:val="single" w:color="auto" w:sz="4" w:space="0"/>
            </w:tcBorders>
            <w:vAlign w:val="center"/>
          </w:tcPr>
          <w:p w14:paraId="36D89F48">
            <w:pPr>
              <w:jc w:val="center"/>
              <w:rPr>
                <w:rFonts w:hint="eastAsia" w:ascii="宋体" w:hAnsi="宋体" w:cs="宋体"/>
                <w:sz w:val="24"/>
                <w:highlight w:val="none"/>
              </w:rPr>
            </w:pPr>
          </w:p>
        </w:tc>
        <w:tc>
          <w:tcPr>
            <w:tcW w:w="850" w:type="dxa"/>
            <w:tcBorders>
              <w:top w:val="single" w:color="auto" w:sz="4" w:space="0"/>
              <w:left w:val="nil"/>
              <w:bottom w:val="single" w:color="auto" w:sz="4" w:space="0"/>
              <w:right w:val="single" w:color="auto" w:sz="4" w:space="0"/>
            </w:tcBorders>
            <w:vAlign w:val="center"/>
          </w:tcPr>
          <w:p w14:paraId="2F636EA4">
            <w:pPr>
              <w:jc w:val="center"/>
              <w:rPr>
                <w:rFonts w:hint="eastAsia" w:ascii="宋体" w:hAnsi="宋体" w:cs="宋体"/>
                <w:sz w:val="24"/>
                <w:highlight w:val="none"/>
              </w:rPr>
            </w:pPr>
          </w:p>
        </w:tc>
      </w:tr>
      <w:tr w14:paraId="314734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jc w:val="center"/>
        </w:trPr>
        <w:tc>
          <w:tcPr>
            <w:tcW w:w="745" w:type="dxa"/>
            <w:tcBorders>
              <w:top w:val="single" w:color="auto" w:sz="4" w:space="0"/>
              <w:left w:val="single" w:color="auto" w:sz="4" w:space="0"/>
              <w:bottom w:val="single" w:color="auto" w:sz="4" w:space="0"/>
              <w:right w:val="single" w:color="auto" w:sz="4" w:space="0"/>
            </w:tcBorders>
            <w:vAlign w:val="center"/>
          </w:tcPr>
          <w:p w14:paraId="3139DEF0">
            <w:pPr>
              <w:jc w:val="center"/>
              <w:rPr>
                <w:rFonts w:hint="eastAsia" w:ascii="宋体" w:hAnsi="宋体" w:cs="宋体"/>
                <w:sz w:val="24"/>
                <w:highlight w:val="none"/>
              </w:rPr>
            </w:pPr>
            <w:r>
              <w:rPr>
                <w:rFonts w:hint="eastAsia" w:ascii="宋体" w:hAnsi="宋体" w:cs="宋体"/>
                <w:sz w:val="24"/>
                <w:highlight w:val="none"/>
              </w:rPr>
              <w:t>2</w:t>
            </w:r>
          </w:p>
        </w:tc>
        <w:tc>
          <w:tcPr>
            <w:tcW w:w="1356" w:type="dxa"/>
            <w:tcBorders>
              <w:top w:val="single" w:color="auto" w:sz="4" w:space="0"/>
              <w:left w:val="nil"/>
              <w:bottom w:val="single" w:color="auto" w:sz="4" w:space="0"/>
              <w:right w:val="single" w:color="auto" w:sz="4" w:space="0"/>
            </w:tcBorders>
            <w:vAlign w:val="center"/>
          </w:tcPr>
          <w:p w14:paraId="142A6B44">
            <w:pPr>
              <w:jc w:val="center"/>
              <w:rPr>
                <w:rFonts w:hint="eastAsia" w:ascii="宋体" w:hAnsi="宋体" w:cs="宋体"/>
                <w:sz w:val="24"/>
                <w:highlight w:val="none"/>
              </w:rPr>
            </w:pPr>
          </w:p>
        </w:tc>
        <w:tc>
          <w:tcPr>
            <w:tcW w:w="1458" w:type="dxa"/>
            <w:tcBorders>
              <w:top w:val="single" w:color="auto" w:sz="4" w:space="0"/>
              <w:left w:val="nil"/>
              <w:bottom w:val="single" w:color="auto" w:sz="4" w:space="0"/>
              <w:right w:val="single" w:color="auto" w:sz="4" w:space="0"/>
            </w:tcBorders>
            <w:vAlign w:val="center"/>
          </w:tcPr>
          <w:p w14:paraId="3A61CD85">
            <w:pPr>
              <w:jc w:val="center"/>
              <w:rPr>
                <w:rFonts w:hint="eastAsia" w:ascii="宋体" w:hAnsi="宋体" w:cs="宋体"/>
                <w:sz w:val="24"/>
                <w:highlight w:val="none"/>
              </w:rPr>
            </w:pPr>
          </w:p>
        </w:tc>
        <w:tc>
          <w:tcPr>
            <w:tcW w:w="852" w:type="dxa"/>
            <w:tcBorders>
              <w:top w:val="single" w:color="auto" w:sz="4" w:space="0"/>
              <w:left w:val="nil"/>
              <w:bottom w:val="single" w:color="auto" w:sz="4" w:space="0"/>
              <w:right w:val="single" w:color="auto" w:sz="4" w:space="0"/>
            </w:tcBorders>
            <w:vAlign w:val="center"/>
          </w:tcPr>
          <w:p w14:paraId="55163B89">
            <w:pPr>
              <w:jc w:val="center"/>
              <w:rPr>
                <w:rFonts w:hint="eastAsia" w:ascii="宋体" w:hAnsi="宋体" w:cs="宋体"/>
                <w:sz w:val="24"/>
                <w:highlight w:val="none"/>
              </w:rPr>
            </w:pPr>
          </w:p>
        </w:tc>
        <w:tc>
          <w:tcPr>
            <w:tcW w:w="945" w:type="dxa"/>
            <w:tcBorders>
              <w:top w:val="single" w:color="auto" w:sz="4" w:space="0"/>
              <w:left w:val="nil"/>
              <w:bottom w:val="single" w:color="auto" w:sz="4" w:space="0"/>
              <w:right w:val="single" w:color="auto" w:sz="4" w:space="0"/>
            </w:tcBorders>
            <w:vAlign w:val="center"/>
          </w:tcPr>
          <w:p w14:paraId="50F6D6E7">
            <w:pPr>
              <w:jc w:val="center"/>
              <w:rPr>
                <w:rFonts w:hint="eastAsia" w:ascii="宋体" w:hAnsi="宋体" w:cs="宋体"/>
                <w:sz w:val="24"/>
                <w:highlight w:val="none"/>
              </w:rPr>
            </w:pPr>
          </w:p>
        </w:tc>
        <w:tc>
          <w:tcPr>
            <w:tcW w:w="1320" w:type="dxa"/>
            <w:tcBorders>
              <w:top w:val="single" w:color="auto" w:sz="4" w:space="0"/>
              <w:left w:val="nil"/>
              <w:bottom w:val="single" w:color="auto" w:sz="4" w:space="0"/>
              <w:right w:val="single" w:color="auto" w:sz="4" w:space="0"/>
            </w:tcBorders>
            <w:vAlign w:val="center"/>
          </w:tcPr>
          <w:p w14:paraId="289F377B">
            <w:pPr>
              <w:jc w:val="center"/>
              <w:rPr>
                <w:rFonts w:hint="eastAsia" w:ascii="宋体" w:hAnsi="宋体" w:cs="宋体"/>
                <w:sz w:val="24"/>
                <w:highlight w:val="none"/>
              </w:rPr>
            </w:pPr>
          </w:p>
        </w:tc>
        <w:tc>
          <w:tcPr>
            <w:tcW w:w="1342" w:type="dxa"/>
            <w:tcBorders>
              <w:top w:val="single" w:color="auto" w:sz="4" w:space="0"/>
              <w:left w:val="nil"/>
              <w:bottom w:val="single" w:color="auto" w:sz="4" w:space="0"/>
              <w:right w:val="single" w:color="auto" w:sz="4" w:space="0"/>
            </w:tcBorders>
            <w:vAlign w:val="center"/>
          </w:tcPr>
          <w:p w14:paraId="7F20422C">
            <w:pPr>
              <w:jc w:val="center"/>
              <w:rPr>
                <w:rFonts w:hint="eastAsia" w:ascii="宋体" w:hAnsi="宋体" w:cs="宋体"/>
                <w:sz w:val="24"/>
                <w:highlight w:val="none"/>
              </w:rPr>
            </w:pPr>
          </w:p>
        </w:tc>
        <w:tc>
          <w:tcPr>
            <w:tcW w:w="850" w:type="dxa"/>
            <w:tcBorders>
              <w:top w:val="single" w:color="auto" w:sz="4" w:space="0"/>
              <w:left w:val="nil"/>
              <w:bottom w:val="single" w:color="auto" w:sz="4" w:space="0"/>
              <w:right w:val="single" w:color="auto" w:sz="4" w:space="0"/>
            </w:tcBorders>
            <w:vAlign w:val="center"/>
          </w:tcPr>
          <w:p w14:paraId="13977FAF">
            <w:pPr>
              <w:jc w:val="center"/>
              <w:rPr>
                <w:rFonts w:hint="eastAsia" w:ascii="宋体" w:hAnsi="宋体" w:cs="宋体"/>
                <w:sz w:val="24"/>
                <w:highlight w:val="none"/>
              </w:rPr>
            </w:pPr>
          </w:p>
        </w:tc>
        <w:tc>
          <w:tcPr>
            <w:tcW w:w="850" w:type="dxa"/>
            <w:tcBorders>
              <w:top w:val="single" w:color="auto" w:sz="4" w:space="0"/>
              <w:left w:val="nil"/>
              <w:bottom w:val="single" w:color="auto" w:sz="4" w:space="0"/>
              <w:right w:val="single" w:color="auto" w:sz="4" w:space="0"/>
            </w:tcBorders>
            <w:vAlign w:val="center"/>
          </w:tcPr>
          <w:p w14:paraId="360A0D0E">
            <w:pPr>
              <w:jc w:val="center"/>
              <w:rPr>
                <w:rFonts w:hint="eastAsia" w:ascii="宋体" w:hAnsi="宋体" w:cs="宋体"/>
                <w:sz w:val="24"/>
                <w:highlight w:val="none"/>
              </w:rPr>
            </w:pPr>
          </w:p>
        </w:tc>
        <w:tc>
          <w:tcPr>
            <w:tcW w:w="850" w:type="dxa"/>
            <w:tcBorders>
              <w:top w:val="single" w:color="auto" w:sz="4" w:space="0"/>
              <w:left w:val="nil"/>
              <w:bottom w:val="single" w:color="auto" w:sz="4" w:space="0"/>
              <w:right w:val="single" w:color="auto" w:sz="4" w:space="0"/>
            </w:tcBorders>
            <w:vAlign w:val="center"/>
          </w:tcPr>
          <w:p w14:paraId="3AA39991">
            <w:pPr>
              <w:jc w:val="center"/>
              <w:rPr>
                <w:rFonts w:hint="eastAsia" w:ascii="宋体" w:hAnsi="宋体" w:cs="宋体"/>
                <w:sz w:val="24"/>
                <w:highlight w:val="none"/>
              </w:rPr>
            </w:pPr>
          </w:p>
        </w:tc>
      </w:tr>
      <w:tr w14:paraId="7A47A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jc w:val="center"/>
        </w:trPr>
        <w:tc>
          <w:tcPr>
            <w:tcW w:w="745" w:type="dxa"/>
            <w:tcBorders>
              <w:top w:val="single" w:color="auto" w:sz="4" w:space="0"/>
              <w:left w:val="single" w:color="auto" w:sz="4" w:space="0"/>
              <w:bottom w:val="single" w:color="auto" w:sz="4" w:space="0"/>
              <w:right w:val="single" w:color="auto" w:sz="4" w:space="0"/>
            </w:tcBorders>
            <w:vAlign w:val="center"/>
          </w:tcPr>
          <w:p w14:paraId="13B42BBF">
            <w:pPr>
              <w:jc w:val="center"/>
              <w:rPr>
                <w:rFonts w:hint="eastAsia" w:ascii="宋体" w:hAnsi="宋体" w:cs="宋体"/>
                <w:sz w:val="24"/>
                <w:highlight w:val="none"/>
              </w:rPr>
            </w:pPr>
            <w:r>
              <w:rPr>
                <w:rFonts w:hint="eastAsia" w:ascii="宋体" w:hAnsi="宋体" w:cs="宋体"/>
                <w:sz w:val="24"/>
                <w:highlight w:val="none"/>
              </w:rPr>
              <w:t>3</w:t>
            </w:r>
          </w:p>
        </w:tc>
        <w:tc>
          <w:tcPr>
            <w:tcW w:w="1356" w:type="dxa"/>
            <w:tcBorders>
              <w:top w:val="single" w:color="auto" w:sz="4" w:space="0"/>
              <w:left w:val="nil"/>
              <w:bottom w:val="single" w:color="auto" w:sz="4" w:space="0"/>
              <w:right w:val="single" w:color="auto" w:sz="4" w:space="0"/>
            </w:tcBorders>
            <w:vAlign w:val="center"/>
          </w:tcPr>
          <w:p w14:paraId="01FEFD8E">
            <w:pPr>
              <w:jc w:val="center"/>
              <w:rPr>
                <w:rFonts w:hint="eastAsia" w:ascii="宋体" w:hAnsi="宋体" w:cs="宋体"/>
                <w:sz w:val="24"/>
                <w:highlight w:val="none"/>
              </w:rPr>
            </w:pPr>
          </w:p>
        </w:tc>
        <w:tc>
          <w:tcPr>
            <w:tcW w:w="1458" w:type="dxa"/>
            <w:tcBorders>
              <w:top w:val="single" w:color="auto" w:sz="4" w:space="0"/>
              <w:left w:val="nil"/>
              <w:bottom w:val="single" w:color="auto" w:sz="4" w:space="0"/>
              <w:right w:val="single" w:color="auto" w:sz="4" w:space="0"/>
            </w:tcBorders>
            <w:vAlign w:val="center"/>
          </w:tcPr>
          <w:p w14:paraId="2E51E8C9">
            <w:pPr>
              <w:jc w:val="center"/>
              <w:rPr>
                <w:rFonts w:hint="eastAsia" w:ascii="宋体" w:hAnsi="宋体" w:cs="宋体"/>
                <w:sz w:val="24"/>
                <w:highlight w:val="none"/>
              </w:rPr>
            </w:pPr>
          </w:p>
        </w:tc>
        <w:tc>
          <w:tcPr>
            <w:tcW w:w="852" w:type="dxa"/>
            <w:tcBorders>
              <w:top w:val="single" w:color="auto" w:sz="4" w:space="0"/>
              <w:left w:val="nil"/>
              <w:bottom w:val="single" w:color="auto" w:sz="4" w:space="0"/>
              <w:right w:val="single" w:color="auto" w:sz="4" w:space="0"/>
            </w:tcBorders>
            <w:vAlign w:val="center"/>
          </w:tcPr>
          <w:p w14:paraId="175C2358">
            <w:pPr>
              <w:jc w:val="center"/>
              <w:rPr>
                <w:rFonts w:hint="eastAsia" w:ascii="宋体" w:hAnsi="宋体" w:cs="宋体"/>
                <w:sz w:val="24"/>
                <w:highlight w:val="none"/>
              </w:rPr>
            </w:pPr>
          </w:p>
        </w:tc>
        <w:tc>
          <w:tcPr>
            <w:tcW w:w="945" w:type="dxa"/>
            <w:tcBorders>
              <w:top w:val="single" w:color="auto" w:sz="4" w:space="0"/>
              <w:left w:val="nil"/>
              <w:bottom w:val="single" w:color="auto" w:sz="4" w:space="0"/>
              <w:right w:val="single" w:color="auto" w:sz="4" w:space="0"/>
            </w:tcBorders>
            <w:vAlign w:val="center"/>
          </w:tcPr>
          <w:p w14:paraId="44C4938D">
            <w:pPr>
              <w:jc w:val="center"/>
              <w:rPr>
                <w:rFonts w:hint="eastAsia" w:ascii="宋体" w:hAnsi="宋体" w:cs="宋体"/>
                <w:sz w:val="24"/>
                <w:highlight w:val="none"/>
              </w:rPr>
            </w:pPr>
          </w:p>
        </w:tc>
        <w:tc>
          <w:tcPr>
            <w:tcW w:w="1320" w:type="dxa"/>
            <w:tcBorders>
              <w:top w:val="single" w:color="auto" w:sz="4" w:space="0"/>
              <w:left w:val="nil"/>
              <w:bottom w:val="single" w:color="auto" w:sz="4" w:space="0"/>
              <w:right w:val="single" w:color="auto" w:sz="4" w:space="0"/>
            </w:tcBorders>
            <w:vAlign w:val="center"/>
          </w:tcPr>
          <w:p w14:paraId="445D64FC">
            <w:pPr>
              <w:jc w:val="center"/>
              <w:rPr>
                <w:rFonts w:hint="eastAsia" w:ascii="宋体" w:hAnsi="宋体" w:cs="宋体"/>
                <w:sz w:val="24"/>
                <w:highlight w:val="none"/>
              </w:rPr>
            </w:pPr>
          </w:p>
        </w:tc>
        <w:tc>
          <w:tcPr>
            <w:tcW w:w="1342" w:type="dxa"/>
            <w:tcBorders>
              <w:top w:val="single" w:color="auto" w:sz="4" w:space="0"/>
              <w:left w:val="nil"/>
              <w:bottom w:val="single" w:color="auto" w:sz="4" w:space="0"/>
              <w:right w:val="single" w:color="auto" w:sz="4" w:space="0"/>
            </w:tcBorders>
            <w:vAlign w:val="center"/>
          </w:tcPr>
          <w:p w14:paraId="4DF7EC71">
            <w:pPr>
              <w:jc w:val="center"/>
              <w:rPr>
                <w:rFonts w:hint="eastAsia" w:ascii="宋体" w:hAnsi="宋体" w:cs="宋体"/>
                <w:sz w:val="24"/>
                <w:highlight w:val="none"/>
              </w:rPr>
            </w:pPr>
          </w:p>
        </w:tc>
        <w:tc>
          <w:tcPr>
            <w:tcW w:w="850" w:type="dxa"/>
            <w:tcBorders>
              <w:top w:val="single" w:color="auto" w:sz="4" w:space="0"/>
              <w:left w:val="nil"/>
              <w:bottom w:val="single" w:color="auto" w:sz="4" w:space="0"/>
              <w:right w:val="single" w:color="auto" w:sz="4" w:space="0"/>
            </w:tcBorders>
            <w:vAlign w:val="center"/>
          </w:tcPr>
          <w:p w14:paraId="3B367D2C">
            <w:pPr>
              <w:jc w:val="center"/>
              <w:rPr>
                <w:rFonts w:hint="eastAsia" w:ascii="宋体" w:hAnsi="宋体" w:cs="宋体"/>
                <w:sz w:val="24"/>
                <w:highlight w:val="none"/>
              </w:rPr>
            </w:pPr>
          </w:p>
        </w:tc>
        <w:tc>
          <w:tcPr>
            <w:tcW w:w="850" w:type="dxa"/>
            <w:tcBorders>
              <w:top w:val="single" w:color="auto" w:sz="4" w:space="0"/>
              <w:left w:val="nil"/>
              <w:bottom w:val="single" w:color="auto" w:sz="4" w:space="0"/>
              <w:right w:val="single" w:color="auto" w:sz="4" w:space="0"/>
            </w:tcBorders>
            <w:vAlign w:val="center"/>
          </w:tcPr>
          <w:p w14:paraId="346CDDD2">
            <w:pPr>
              <w:jc w:val="center"/>
              <w:rPr>
                <w:rFonts w:hint="eastAsia" w:ascii="宋体" w:hAnsi="宋体" w:cs="宋体"/>
                <w:sz w:val="24"/>
                <w:highlight w:val="none"/>
              </w:rPr>
            </w:pPr>
          </w:p>
        </w:tc>
        <w:tc>
          <w:tcPr>
            <w:tcW w:w="850" w:type="dxa"/>
            <w:tcBorders>
              <w:top w:val="single" w:color="auto" w:sz="4" w:space="0"/>
              <w:left w:val="nil"/>
              <w:bottom w:val="single" w:color="auto" w:sz="4" w:space="0"/>
              <w:right w:val="single" w:color="auto" w:sz="4" w:space="0"/>
            </w:tcBorders>
            <w:vAlign w:val="center"/>
          </w:tcPr>
          <w:p w14:paraId="4F869D27">
            <w:pPr>
              <w:jc w:val="center"/>
              <w:rPr>
                <w:rFonts w:hint="eastAsia" w:ascii="宋体" w:hAnsi="宋体" w:cs="宋体"/>
                <w:sz w:val="24"/>
                <w:highlight w:val="none"/>
              </w:rPr>
            </w:pPr>
          </w:p>
        </w:tc>
      </w:tr>
      <w:tr w14:paraId="5D4FC4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jc w:val="center"/>
        </w:trPr>
        <w:tc>
          <w:tcPr>
            <w:tcW w:w="745" w:type="dxa"/>
            <w:tcBorders>
              <w:top w:val="single" w:color="auto" w:sz="4" w:space="0"/>
              <w:left w:val="single" w:color="auto" w:sz="4" w:space="0"/>
              <w:bottom w:val="single" w:color="auto" w:sz="4" w:space="0"/>
              <w:right w:val="single" w:color="auto" w:sz="4" w:space="0"/>
            </w:tcBorders>
            <w:vAlign w:val="center"/>
          </w:tcPr>
          <w:p w14:paraId="2B17E1D5">
            <w:pPr>
              <w:jc w:val="center"/>
              <w:rPr>
                <w:rFonts w:hint="eastAsia" w:ascii="宋体" w:hAnsi="宋体" w:cs="宋体"/>
                <w:sz w:val="24"/>
                <w:highlight w:val="none"/>
              </w:rPr>
            </w:pPr>
            <w:r>
              <w:rPr>
                <w:rFonts w:hint="eastAsia" w:ascii="宋体" w:hAnsi="宋体" w:cs="宋体"/>
                <w:sz w:val="24"/>
                <w:highlight w:val="none"/>
              </w:rPr>
              <w:t>4</w:t>
            </w:r>
          </w:p>
        </w:tc>
        <w:tc>
          <w:tcPr>
            <w:tcW w:w="1356" w:type="dxa"/>
            <w:tcBorders>
              <w:top w:val="single" w:color="auto" w:sz="4" w:space="0"/>
              <w:left w:val="nil"/>
              <w:bottom w:val="single" w:color="auto" w:sz="4" w:space="0"/>
              <w:right w:val="single" w:color="auto" w:sz="4" w:space="0"/>
            </w:tcBorders>
            <w:vAlign w:val="center"/>
          </w:tcPr>
          <w:p w14:paraId="4E3F80B8">
            <w:pPr>
              <w:jc w:val="center"/>
              <w:rPr>
                <w:rFonts w:hint="eastAsia" w:ascii="宋体" w:hAnsi="宋体" w:cs="宋体"/>
                <w:sz w:val="24"/>
                <w:highlight w:val="none"/>
              </w:rPr>
            </w:pPr>
          </w:p>
        </w:tc>
        <w:tc>
          <w:tcPr>
            <w:tcW w:w="1458" w:type="dxa"/>
            <w:tcBorders>
              <w:top w:val="single" w:color="auto" w:sz="4" w:space="0"/>
              <w:left w:val="nil"/>
              <w:bottom w:val="single" w:color="auto" w:sz="4" w:space="0"/>
              <w:right w:val="single" w:color="auto" w:sz="4" w:space="0"/>
            </w:tcBorders>
            <w:vAlign w:val="center"/>
          </w:tcPr>
          <w:p w14:paraId="7539F299">
            <w:pPr>
              <w:jc w:val="center"/>
              <w:rPr>
                <w:rFonts w:hint="eastAsia" w:ascii="宋体" w:hAnsi="宋体" w:cs="宋体"/>
                <w:sz w:val="24"/>
                <w:highlight w:val="none"/>
              </w:rPr>
            </w:pPr>
          </w:p>
        </w:tc>
        <w:tc>
          <w:tcPr>
            <w:tcW w:w="852" w:type="dxa"/>
            <w:tcBorders>
              <w:top w:val="single" w:color="auto" w:sz="4" w:space="0"/>
              <w:left w:val="nil"/>
              <w:bottom w:val="single" w:color="auto" w:sz="4" w:space="0"/>
              <w:right w:val="single" w:color="auto" w:sz="4" w:space="0"/>
            </w:tcBorders>
            <w:vAlign w:val="center"/>
          </w:tcPr>
          <w:p w14:paraId="4B1CDD07">
            <w:pPr>
              <w:jc w:val="center"/>
              <w:rPr>
                <w:rFonts w:hint="eastAsia" w:ascii="宋体" w:hAnsi="宋体" w:cs="宋体"/>
                <w:sz w:val="24"/>
                <w:highlight w:val="none"/>
              </w:rPr>
            </w:pPr>
          </w:p>
        </w:tc>
        <w:tc>
          <w:tcPr>
            <w:tcW w:w="945" w:type="dxa"/>
            <w:tcBorders>
              <w:top w:val="single" w:color="auto" w:sz="4" w:space="0"/>
              <w:left w:val="nil"/>
              <w:bottom w:val="single" w:color="auto" w:sz="4" w:space="0"/>
              <w:right w:val="single" w:color="auto" w:sz="4" w:space="0"/>
            </w:tcBorders>
            <w:vAlign w:val="center"/>
          </w:tcPr>
          <w:p w14:paraId="2D5842B7">
            <w:pPr>
              <w:jc w:val="center"/>
              <w:rPr>
                <w:rFonts w:hint="eastAsia" w:ascii="宋体" w:hAnsi="宋体" w:cs="宋体"/>
                <w:sz w:val="24"/>
                <w:highlight w:val="none"/>
              </w:rPr>
            </w:pPr>
          </w:p>
        </w:tc>
        <w:tc>
          <w:tcPr>
            <w:tcW w:w="1320" w:type="dxa"/>
            <w:tcBorders>
              <w:top w:val="single" w:color="auto" w:sz="4" w:space="0"/>
              <w:left w:val="nil"/>
              <w:bottom w:val="single" w:color="auto" w:sz="4" w:space="0"/>
              <w:right w:val="single" w:color="auto" w:sz="4" w:space="0"/>
            </w:tcBorders>
            <w:vAlign w:val="center"/>
          </w:tcPr>
          <w:p w14:paraId="2E0432E9">
            <w:pPr>
              <w:jc w:val="center"/>
              <w:rPr>
                <w:rFonts w:hint="eastAsia" w:ascii="宋体" w:hAnsi="宋体" w:cs="宋体"/>
                <w:sz w:val="24"/>
                <w:highlight w:val="none"/>
              </w:rPr>
            </w:pPr>
          </w:p>
        </w:tc>
        <w:tc>
          <w:tcPr>
            <w:tcW w:w="1342" w:type="dxa"/>
            <w:tcBorders>
              <w:top w:val="single" w:color="auto" w:sz="4" w:space="0"/>
              <w:left w:val="nil"/>
              <w:bottom w:val="single" w:color="auto" w:sz="4" w:space="0"/>
              <w:right w:val="single" w:color="auto" w:sz="4" w:space="0"/>
            </w:tcBorders>
            <w:vAlign w:val="center"/>
          </w:tcPr>
          <w:p w14:paraId="7221D29C">
            <w:pPr>
              <w:jc w:val="center"/>
              <w:rPr>
                <w:rFonts w:hint="eastAsia" w:ascii="宋体" w:hAnsi="宋体" w:cs="宋体"/>
                <w:sz w:val="24"/>
                <w:highlight w:val="none"/>
              </w:rPr>
            </w:pPr>
          </w:p>
        </w:tc>
        <w:tc>
          <w:tcPr>
            <w:tcW w:w="850" w:type="dxa"/>
            <w:tcBorders>
              <w:top w:val="single" w:color="auto" w:sz="4" w:space="0"/>
              <w:left w:val="nil"/>
              <w:bottom w:val="single" w:color="auto" w:sz="4" w:space="0"/>
              <w:right w:val="single" w:color="auto" w:sz="4" w:space="0"/>
            </w:tcBorders>
            <w:vAlign w:val="center"/>
          </w:tcPr>
          <w:p w14:paraId="16998CD5">
            <w:pPr>
              <w:jc w:val="center"/>
              <w:rPr>
                <w:rFonts w:hint="eastAsia" w:ascii="宋体" w:hAnsi="宋体" w:cs="宋体"/>
                <w:sz w:val="24"/>
                <w:highlight w:val="none"/>
              </w:rPr>
            </w:pPr>
          </w:p>
        </w:tc>
        <w:tc>
          <w:tcPr>
            <w:tcW w:w="850" w:type="dxa"/>
            <w:tcBorders>
              <w:top w:val="single" w:color="auto" w:sz="4" w:space="0"/>
              <w:left w:val="nil"/>
              <w:bottom w:val="single" w:color="auto" w:sz="4" w:space="0"/>
              <w:right w:val="single" w:color="auto" w:sz="4" w:space="0"/>
            </w:tcBorders>
            <w:vAlign w:val="center"/>
          </w:tcPr>
          <w:p w14:paraId="1BBC790F">
            <w:pPr>
              <w:jc w:val="center"/>
              <w:rPr>
                <w:rFonts w:hint="eastAsia" w:ascii="宋体" w:hAnsi="宋体" w:cs="宋体"/>
                <w:sz w:val="24"/>
                <w:highlight w:val="none"/>
              </w:rPr>
            </w:pPr>
          </w:p>
        </w:tc>
        <w:tc>
          <w:tcPr>
            <w:tcW w:w="850" w:type="dxa"/>
            <w:tcBorders>
              <w:top w:val="single" w:color="auto" w:sz="4" w:space="0"/>
              <w:left w:val="nil"/>
              <w:bottom w:val="single" w:color="auto" w:sz="4" w:space="0"/>
              <w:right w:val="single" w:color="auto" w:sz="4" w:space="0"/>
            </w:tcBorders>
            <w:vAlign w:val="center"/>
          </w:tcPr>
          <w:p w14:paraId="287CF856">
            <w:pPr>
              <w:jc w:val="center"/>
              <w:rPr>
                <w:rFonts w:hint="eastAsia" w:ascii="宋体" w:hAnsi="宋体" w:cs="宋体"/>
                <w:sz w:val="24"/>
                <w:highlight w:val="none"/>
              </w:rPr>
            </w:pPr>
          </w:p>
        </w:tc>
      </w:tr>
      <w:tr w14:paraId="584323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jc w:val="center"/>
        </w:trPr>
        <w:tc>
          <w:tcPr>
            <w:tcW w:w="745" w:type="dxa"/>
            <w:tcBorders>
              <w:top w:val="single" w:color="auto" w:sz="4" w:space="0"/>
              <w:left w:val="single" w:color="auto" w:sz="4" w:space="0"/>
              <w:bottom w:val="single" w:color="auto" w:sz="4" w:space="0"/>
              <w:right w:val="single" w:color="auto" w:sz="4" w:space="0"/>
            </w:tcBorders>
            <w:vAlign w:val="center"/>
          </w:tcPr>
          <w:p w14:paraId="58303503">
            <w:pPr>
              <w:jc w:val="center"/>
              <w:rPr>
                <w:rFonts w:hint="eastAsia" w:ascii="宋体" w:hAnsi="宋体" w:cs="宋体"/>
                <w:sz w:val="24"/>
                <w:highlight w:val="none"/>
              </w:rPr>
            </w:pPr>
            <w:r>
              <w:rPr>
                <w:rFonts w:hint="eastAsia" w:ascii="宋体" w:hAnsi="宋体" w:cs="宋体"/>
                <w:sz w:val="24"/>
                <w:highlight w:val="none"/>
              </w:rPr>
              <w:t>5</w:t>
            </w:r>
          </w:p>
        </w:tc>
        <w:tc>
          <w:tcPr>
            <w:tcW w:w="1356" w:type="dxa"/>
            <w:tcBorders>
              <w:top w:val="single" w:color="auto" w:sz="4" w:space="0"/>
              <w:left w:val="nil"/>
              <w:bottom w:val="single" w:color="auto" w:sz="4" w:space="0"/>
              <w:right w:val="single" w:color="auto" w:sz="4" w:space="0"/>
            </w:tcBorders>
            <w:vAlign w:val="center"/>
          </w:tcPr>
          <w:p w14:paraId="4C6E87A2">
            <w:pPr>
              <w:jc w:val="center"/>
              <w:rPr>
                <w:rFonts w:hint="eastAsia" w:ascii="宋体" w:hAnsi="宋体" w:cs="宋体"/>
                <w:sz w:val="24"/>
                <w:highlight w:val="none"/>
              </w:rPr>
            </w:pPr>
          </w:p>
        </w:tc>
        <w:tc>
          <w:tcPr>
            <w:tcW w:w="1458" w:type="dxa"/>
            <w:tcBorders>
              <w:top w:val="single" w:color="auto" w:sz="4" w:space="0"/>
              <w:left w:val="nil"/>
              <w:bottom w:val="single" w:color="auto" w:sz="4" w:space="0"/>
              <w:right w:val="single" w:color="auto" w:sz="4" w:space="0"/>
            </w:tcBorders>
            <w:vAlign w:val="center"/>
          </w:tcPr>
          <w:p w14:paraId="47563FFF">
            <w:pPr>
              <w:jc w:val="center"/>
              <w:rPr>
                <w:rFonts w:hint="eastAsia" w:ascii="宋体" w:hAnsi="宋体" w:cs="宋体"/>
                <w:sz w:val="24"/>
                <w:highlight w:val="none"/>
              </w:rPr>
            </w:pPr>
          </w:p>
        </w:tc>
        <w:tc>
          <w:tcPr>
            <w:tcW w:w="852" w:type="dxa"/>
            <w:tcBorders>
              <w:top w:val="single" w:color="auto" w:sz="4" w:space="0"/>
              <w:left w:val="nil"/>
              <w:bottom w:val="single" w:color="auto" w:sz="4" w:space="0"/>
              <w:right w:val="single" w:color="auto" w:sz="4" w:space="0"/>
            </w:tcBorders>
            <w:vAlign w:val="center"/>
          </w:tcPr>
          <w:p w14:paraId="52E1F3ED">
            <w:pPr>
              <w:jc w:val="center"/>
              <w:rPr>
                <w:rFonts w:hint="eastAsia" w:ascii="宋体" w:hAnsi="宋体" w:cs="宋体"/>
                <w:sz w:val="24"/>
                <w:highlight w:val="none"/>
              </w:rPr>
            </w:pPr>
          </w:p>
        </w:tc>
        <w:tc>
          <w:tcPr>
            <w:tcW w:w="945" w:type="dxa"/>
            <w:tcBorders>
              <w:top w:val="single" w:color="auto" w:sz="4" w:space="0"/>
              <w:left w:val="nil"/>
              <w:bottom w:val="single" w:color="auto" w:sz="4" w:space="0"/>
              <w:right w:val="single" w:color="auto" w:sz="4" w:space="0"/>
            </w:tcBorders>
            <w:vAlign w:val="center"/>
          </w:tcPr>
          <w:p w14:paraId="4157A037">
            <w:pPr>
              <w:jc w:val="center"/>
              <w:rPr>
                <w:rFonts w:hint="eastAsia" w:ascii="宋体" w:hAnsi="宋体" w:cs="宋体"/>
                <w:sz w:val="24"/>
                <w:highlight w:val="none"/>
              </w:rPr>
            </w:pPr>
          </w:p>
        </w:tc>
        <w:tc>
          <w:tcPr>
            <w:tcW w:w="1320" w:type="dxa"/>
            <w:tcBorders>
              <w:top w:val="single" w:color="auto" w:sz="4" w:space="0"/>
              <w:left w:val="nil"/>
              <w:bottom w:val="single" w:color="auto" w:sz="4" w:space="0"/>
              <w:right w:val="single" w:color="auto" w:sz="4" w:space="0"/>
            </w:tcBorders>
            <w:vAlign w:val="center"/>
          </w:tcPr>
          <w:p w14:paraId="59AA4501">
            <w:pPr>
              <w:jc w:val="center"/>
              <w:rPr>
                <w:rFonts w:hint="eastAsia" w:ascii="宋体" w:hAnsi="宋体" w:cs="宋体"/>
                <w:sz w:val="24"/>
                <w:highlight w:val="none"/>
              </w:rPr>
            </w:pPr>
          </w:p>
        </w:tc>
        <w:tc>
          <w:tcPr>
            <w:tcW w:w="1342" w:type="dxa"/>
            <w:tcBorders>
              <w:top w:val="single" w:color="auto" w:sz="4" w:space="0"/>
              <w:left w:val="nil"/>
              <w:bottom w:val="single" w:color="auto" w:sz="4" w:space="0"/>
              <w:right w:val="single" w:color="auto" w:sz="4" w:space="0"/>
            </w:tcBorders>
            <w:vAlign w:val="center"/>
          </w:tcPr>
          <w:p w14:paraId="74262E32">
            <w:pPr>
              <w:jc w:val="center"/>
              <w:rPr>
                <w:rFonts w:hint="eastAsia" w:ascii="宋体" w:hAnsi="宋体" w:cs="宋体"/>
                <w:sz w:val="24"/>
                <w:highlight w:val="none"/>
              </w:rPr>
            </w:pPr>
          </w:p>
        </w:tc>
        <w:tc>
          <w:tcPr>
            <w:tcW w:w="850" w:type="dxa"/>
            <w:tcBorders>
              <w:top w:val="single" w:color="auto" w:sz="4" w:space="0"/>
              <w:left w:val="nil"/>
              <w:bottom w:val="single" w:color="auto" w:sz="4" w:space="0"/>
              <w:right w:val="single" w:color="auto" w:sz="4" w:space="0"/>
            </w:tcBorders>
            <w:vAlign w:val="center"/>
          </w:tcPr>
          <w:p w14:paraId="77C73783">
            <w:pPr>
              <w:jc w:val="center"/>
              <w:rPr>
                <w:rFonts w:hint="eastAsia" w:ascii="宋体" w:hAnsi="宋体" w:cs="宋体"/>
                <w:sz w:val="24"/>
                <w:highlight w:val="none"/>
              </w:rPr>
            </w:pPr>
          </w:p>
        </w:tc>
        <w:tc>
          <w:tcPr>
            <w:tcW w:w="850" w:type="dxa"/>
            <w:tcBorders>
              <w:top w:val="single" w:color="auto" w:sz="4" w:space="0"/>
              <w:left w:val="nil"/>
              <w:bottom w:val="single" w:color="auto" w:sz="4" w:space="0"/>
              <w:right w:val="single" w:color="auto" w:sz="4" w:space="0"/>
            </w:tcBorders>
            <w:vAlign w:val="center"/>
          </w:tcPr>
          <w:p w14:paraId="30A98677">
            <w:pPr>
              <w:jc w:val="center"/>
              <w:rPr>
                <w:rFonts w:hint="eastAsia" w:ascii="宋体" w:hAnsi="宋体" w:cs="宋体"/>
                <w:sz w:val="24"/>
                <w:highlight w:val="none"/>
              </w:rPr>
            </w:pPr>
          </w:p>
        </w:tc>
        <w:tc>
          <w:tcPr>
            <w:tcW w:w="850" w:type="dxa"/>
            <w:tcBorders>
              <w:top w:val="single" w:color="auto" w:sz="4" w:space="0"/>
              <w:left w:val="nil"/>
              <w:bottom w:val="single" w:color="auto" w:sz="4" w:space="0"/>
              <w:right w:val="single" w:color="auto" w:sz="4" w:space="0"/>
            </w:tcBorders>
            <w:vAlign w:val="center"/>
          </w:tcPr>
          <w:p w14:paraId="72985007">
            <w:pPr>
              <w:jc w:val="center"/>
              <w:rPr>
                <w:rFonts w:hint="eastAsia" w:ascii="宋体" w:hAnsi="宋体" w:cs="宋体"/>
                <w:sz w:val="24"/>
                <w:highlight w:val="none"/>
              </w:rPr>
            </w:pPr>
          </w:p>
        </w:tc>
      </w:tr>
      <w:tr w14:paraId="28DFAF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jc w:val="center"/>
        </w:trPr>
        <w:tc>
          <w:tcPr>
            <w:tcW w:w="745" w:type="dxa"/>
            <w:tcBorders>
              <w:top w:val="single" w:color="auto" w:sz="4" w:space="0"/>
              <w:left w:val="single" w:color="auto" w:sz="4" w:space="0"/>
              <w:bottom w:val="single" w:color="auto" w:sz="4" w:space="0"/>
              <w:right w:val="single" w:color="auto" w:sz="4" w:space="0"/>
            </w:tcBorders>
            <w:vAlign w:val="center"/>
          </w:tcPr>
          <w:p w14:paraId="22BDF109">
            <w:pPr>
              <w:jc w:val="center"/>
              <w:rPr>
                <w:rFonts w:hint="eastAsia" w:ascii="宋体" w:hAnsi="宋体" w:cs="宋体"/>
                <w:sz w:val="24"/>
                <w:highlight w:val="none"/>
              </w:rPr>
            </w:pPr>
            <w:r>
              <w:rPr>
                <w:rFonts w:hint="eastAsia" w:ascii="宋体" w:hAnsi="宋体" w:cs="宋体"/>
                <w:sz w:val="24"/>
                <w:highlight w:val="none"/>
              </w:rPr>
              <w:t>6</w:t>
            </w:r>
          </w:p>
        </w:tc>
        <w:tc>
          <w:tcPr>
            <w:tcW w:w="1356" w:type="dxa"/>
            <w:tcBorders>
              <w:top w:val="single" w:color="auto" w:sz="4" w:space="0"/>
              <w:left w:val="nil"/>
              <w:bottom w:val="single" w:color="auto" w:sz="4" w:space="0"/>
              <w:right w:val="single" w:color="auto" w:sz="4" w:space="0"/>
            </w:tcBorders>
            <w:vAlign w:val="center"/>
          </w:tcPr>
          <w:p w14:paraId="6BD499AB">
            <w:pPr>
              <w:jc w:val="center"/>
              <w:rPr>
                <w:rFonts w:hint="eastAsia" w:ascii="宋体" w:hAnsi="宋体" w:cs="宋体"/>
                <w:sz w:val="24"/>
                <w:highlight w:val="none"/>
              </w:rPr>
            </w:pPr>
          </w:p>
        </w:tc>
        <w:tc>
          <w:tcPr>
            <w:tcW w:w="1458" w:type="dxa"/>
            <w:tcBorders>
              <w:top w:val="single" w:color="auto" w:sz="4" w:space="0"/>
              <w:left w:val="nil"/>
              <w:bottom w:val="single" w:color="auto" w:sz="4" w:space="0"/>
              <w:right w:val="single" w:color="auto" w:sz="4" w:space="0"/>
            </w:tcBorders>
            <w:vAlign w:val="center"/>
          </w:tcPr>
          <w:p w14:paraId="56182630">
            <w:pPr>
              <w:jc w:val="center"/>
              <w:rPr>
                <w:rFonts w:hint="eastAsia" w:ascii="宋体" w:hAnsi="宋体" w:cs="宋体"/>
                <w:sz w:val="24"/>
                <w:highlight w:val="none"/>
              </w:rPr>
            </w:pPr>
          </w:p>
        </w:tc>
        <w:tc>
          <w:tcPr>
            <w:tcW w:w="852" w:type="dxa"/>
            <w:tcBorders>
              <w:top w:val="single" w:color="auto" w:sz="4" w:space="0"/>
              <w:left w:val="nil"/>
              <w:bottom w:val="single" w:color="auto" w:sz="4" w:space="0"/>
              <w:right w:val="single" w:color="auto" w:sz="4" w:space="0"/>
            </w:tcBorders>
            <w:vAlign w:val="center"/>
          </w:tcPr>
          <w:p w14:paraId="777DDD05">
            <w:pPr>
              <w:jc w:val="center"/>
              <w:rPr>
                <w:rFonts w:hint="eastAsia" w:ascii="宋体" w:hAnsi="宋体" w:cs="宋体"/>
                <w:sz w:val="24"/>
                <w:highlight w:val="none"/>
              </w:rPr>
            </w:pPr>
          </w:p>
        </w:tc>
        <w:tc>
          <w:tcPr>
            <w:tcW w:w="945" w:type="dxa"/>
            <w:tcBorders>
              <w:top w:val="single" w:color="auto" w:sz="4" w:space="0"/>
              <w:left w:val="nil"/>
              <w:bottom w:val="single" w:color="auto" w:sz="4" w:space="0"/>
              <w:right w:val="single" w:color="auto" w:sz="4" w:space="0"/>
            </w:tcBorders>
            <w:vAlign w:val="center"/>
          </w:tcPr>
          <w:p w14:paraId="32950400">
            <w:pPr>
              <w:jc w:val="center"/>
              <w:rPr>
                <w:rFonts w:hint="eastAsia" w:ascii="宋体" w:hAnsi="宋体" w:cs="宋体"/>
                <w:sz w:val="24"/>
                <w:highlight w:val="none"/>
              </w:rPr>
            </w:pPr>
          </w:p>
        </w:tc>
        <w:tc>
          <w:tcPr>
            <w:tcW w:w="1320" w:type="dxa"/>
            <w:tcBorders>
              <w:top w:val="single" w:color="auto" w:sz="4" w:space="0"/>
              <w:left w:val="nil"/>
              <w:bottom w:val="single" w:color="auto" w:sz="4" w:space="0"/>
              <w:right w:val="single" w:color="auto" w:sz="4" w:space="0"/>
            </w:tcBorders>
            <w:vAlign w:val="center"/>
          </w:tcPr>
          <w:p w14:paraId="19C73F28">
            <w:pPr>
              <w:jc w:val="center"/>
              <w:rPr>
                <w:rFonts w:hint="eastAsia" w:ascii="宋体" w:hAnsi="宋体" w:cs="宋体"/>
                <w:sz w:val="24"/>
                <w:highlight w:val="none"/>
              </w:rPr>
            </w:pPr>
          </w:p>
        </w:tc>
        <w:tc>
          <w:tcPr>
            <w:tcW w:w="1342" w:type="dxa"/>
            <w:tcBorders>
              <w:top w:val="single" w:color="auto" w:sz="4" w:space="0"/>
              <w:left w:val="nil"/>
              <w:bottom w:val="single" w:color="auto" w:sz="4" w:space="0"/>
              <w:right w:val="single" w:color="auto" w:sz="4" w:space="0"/>
            </w:tcBorders>
            <w:vAlign w:val="center"/>
          </w:tcPr>
          <w:p w14:paraId="0BCE9C21">
            <w:pPr>
              <w:jc w:val="center"/>
              <w:rPr>
                <w:rFonts w:hint="eastAsia" w:ascii="宋体" w:hAnsi="宋体" w:cs="宋体"/>
                <w:sz w:val="24"/>
                <w:highlight w:val="none"/>
              </w:rPr>
            </w:pPr>
          </w:p>
        </w:tc>
        <w:tc>
          <w:tcPr>
            <w:tcW w:w="850" w:type="dxa"/>
            <w:tcBorders>
              <w:top w:val="single" w:color="auto" w:sz="4" w:space="0"/>
              <w:left w:val="nil"/>
              <w:bottom w:val="single" w:color="auto" w:sz="4" w:space="0"/>
              <w:right w:val="single" w:color="auto" w:sz="4" w:space="0"/>
            </w:tcBorders>
            <w:vAlign w:val="center"/>
          </w:tcPr>
          <w:p w14:paraId="1048531E">
            <w:pPr>
              <w:jc w:val="center"/>
              <w:rPr>
                <w:rFonts w:hint="eastAsia" w:ascii="宋体" w:hAnsi="宋体" w:cs="宋体"/>
                <w:sz w:val="24"/>
                <w:highlight w:val="none"/>
              </w:rPr>
            </w:pPr>
          </w:p>
        </w:tc>
        <w:tc>
          <w:tcPr>
            <w:tcW w:w="850" w:type="dxa"/>
            <w:tcBorders>
              <w:top w:val="single" w:color="auto" w:sz="4" w:space="0"/>
              <w:left w:val="nil"/>
              <w:bottom w:val="single" w:color="auto" w:sz="4" w:space="0"/>
              <w:right w:val="single" w:color="auto" w:sz="4" w:space="0"/>
            </w:tcBorders>
            <w:vAlign w:val="center"/>
          </w:tcPr>
          <w:p w14:paraId="41A9510F">
            <w:pPr>
              <w:jc w:val="center"/>
              <w:rPr>
                <w:rFonts w:hint="eastAsia" w:ascii="宋体" w:hAnsi="宋体" w:cs="宋体"/>
                <w:sz w:val="24"/>
                <w:highlight w:val="none"/>
              </w:rPr>
            </w:pPr>
          </w:p>
        </w:tc>
        <w:tc>
          <w:tcPr>
            <w:tcW w:w="850" w:type="dxa"/>
            <w:tcBorders>
              <w:top w:val="single" w:color="auto" w:sz="4" w:space="0"/>
              <w:left w:val="nil"/>
              <w:bottom w:val="single" w:color="auto" w:sz="4" w:space="0"/>
              <w:right w:val="single" w:color="auto" w:sz="4" w:space="0"/>
            </w:tcBorders>
            <w:vAlign w:val="center"/>
          </w:tcPr>
          <w:p w14:paraId="179777E8">
            <w:pPr>
              <w:jc w:val="center"/>
              <w:rPr>
                <w:rFonts w:hint="eastAsia" w:ascii="宋体" w:hAnsi="宋体" w:cs="宋体"/>
                <w:sz w:val="24"/>
                <w:highlight w:val="none"/>
              </w:rPr>
            </w:pPr>
          </w:p>
        </w:tc>
      </w:tr>
      <w:tr w14:paraId="276637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jc w:val="center"/>
        </w:trPr>
        <w:tc>
          <w:tcPr>
            <w:tcW w:w="745" w:type="dxa"/>
            <w:tcBorders>
              <w:top w:val="single" w:color="auto" w:sz="4" w:space="0"/>
              <w:left w:val="single" w:color="auto" w:sz="4" w:space="0"/>
              <w:bottom w:val="single" w:color="auto" w:sz="4" w:space="0"/>
              <w:right w:val="single" w:color="auto" w:sz="4" w:space="0"/>
            </w:tcBorders>
            <w:vAlign w:val="center"/>
          </w:tcPr>
          <w:p w14:paraId="285833F8">
            <w:pPr>
              <w:jc w:val="center"/>
              <w:rPr>
                <w:rFonts w:hint="eastAsia" w:ascii="宋体" w:hAnsi="宋体" w:cs="宋体"/>
                <w:sz w:val="24"/>
                <w:highlight w:val="none"/>
              </w:rPr>
            </w:pPr>
            <w:r>
              <w:rPr>
                <w:rFonts w:hint="eastAsia" w:ascii="宋体" w:hAnsi="宋体" w:cs="宋体"/>
                <w:sz w:val="24"/>
                <w:highlight w:val="none"/>
              </w:rPr>
              <w:t>7</w:t>
            </w:r>
          </w:p>
        </w:tc>
        <w:tc>
          <w:tcPr>
            <w:tcW w:w="1356" w:type="dxa"/>
            <w:tcBorders>
              <w:top w:val="single" w:color="auto" w:sz="4" w:space="0"/>
              <w:left w:val="nil"/>
              <w:bottom w:val="single" w:color="auto" w:sz="4" w:space="0"/>
              <w:right w:val="single" w:color="auto" w:sz="4" w:space="0"/>
            </w:tcBorders>
            <w:vAlign w:val="center"/>
          </w:tcPr>
          <w:p w14:paraId="5ACE841D">
            <w:pPr>
              <w:jc w:val="center"/>
              <w:rPr>
                <w:rFonts w:hint="eastAsia" w:ascii="宋体" w:hAnsi="宋体" w:cs="宋体"/>
                <w:sz w:val="24"/>
                <w:highlight w:val="none"/>
              </w:rPr>
            </w:pPr>
          </w:p>
        </w:tc>
        <w:tc>
          <w:tcPr>
            <w:tcW w:w="1458" w:type="dxa"/>
            <w:tcBorders>
              <w:top w:val="single" w:color="auto" w:sz="4" w:space="0"/>
              <w:left w:val="nil"/>
              <w:bottom w:val="single" w:color="auto" w:sz="4" w:space="0"/>
              <w:right w:val="single" w:color="auto" w:sz="4" w:space="0"/>
            </w:tcBorders>
            <w:vAlign w:val="center"/>
          </w:tcPr>
          <w:p w14:paraId="3FAF3044">
            <w:pPr>
              <w:jc w:val="center"/>
              <w:rPr>
                <w:rFonts w:hint="eastAsia" w:ascii="宋体" w:hAnsi="宋体" w:cs="宋体"/>
                <w:sz w:val="24"/>
                <w:highlight w:val="none"/>
              </w:rPr>
            </w:pPr>
          </w:p>
        </w:tc>
        <w:tc>
          <w:tcPr>
            <w:tcW w:w="852" w:type="dxa"/>
            <w:tcBorders>
              <w:top w:val="single" w:color="auto" w:sz="4" w:space="0"/>
              <w:left w:val="nil"/>
              <w:bottom w:val="single" w:color="auto" w:sz="4" w:space="0"/>
              <w:right w:val="single" w:color="auto" w:sz="4" w:space="0"/>
            </w:tcBorders>
            <w:vAlign w:val="center"/>
          </w:tcPr>
          <w:p w14:paraId="3EDB717A">
            <w:pPr>
              <w:jc w:val="center"/>
              <w:rPr>
                <w:rFonts w:hint="eastAsia" w:ascii="宋体" w:hAnsi="宋体" w:cs="宋体"/>
                <w:sz w:val="24"/>
                <w:highlight w:val="none"/>
              </w:rPr>
            </w:pPr>
          </w:p>
        </w:tc>
        <w:tc>
          <w:tcPr>
            <w:tcW w:w="945" w:type="dxa"/>
            <w:tcBorders>
              <w:top w:val="single" w:color="auto" w:sz="4" w:space="0"/>
              <w:left w:val="nil"/>
              <w:bottom w:val="single" w:color="auto" w:sz="4" w:space="0"/>
              <w:right w:val="single" w:color="auto" w:sz="4" w:space="0"/>
            </w:tcBorders>
            <w:vAlign w:val="center"/>
          </w:tcPr>
          <w:p w14:paraId="039D27D2">
            <w:pPr>
              <w:jc w:val="center"/>
              <w:rPr>
                <w:rFonts w:hint="eastAsia" w:ascii="宋体" w:hAnsi="宋体" w:cs="宋体"/>
                <w:sz w:val="24"/>
                <w:highlight w:val="none"/>
              </w:rPr>
            </w:pPr>
          </w:p>
        </w:tc>
        <w:tc>
          <w:tcPr>
            <w:tcW w:w="1320" w:type="dxa"/>
            <w:tcBorders>
              <w:top w:val="single" w:color="auto" w:sz="4" w:space="0"/>
              <w:left w:val="nil"/>
              <w:bottom w:val="single" w:color="auto" w:sz="4" w:space="0"/>
              <w:right w:val="single" w:color="auto" w:sz="4" w:space="0"/>
            </w:tcBorders>
            <w:vAlign w:val="center"/>
          </w:tcPr>
          <w:p w14:paraId="3F0D563E">
            <w:pPr>
              <w:jc w:val="center"/>
              <w:rPr>
                <w:rFonts w:hint="eastAsia" w:ascii="宋体" w:hAnsi="宋体" w:cs="宋体"/>
                <w:sz w:val="24"/>
                <w:highlight w:val="none"/>
              </w:rPr>
            </w:pPr>
          </w:p>
        </w:tc>
        <w:tc>
          <w:tcPr>
            <w:tcW w:w="1342" w:type="dxa"/>
            <w:tcBorders>
              <w:top w:val="single" w:color="auto" w:sz="4" w:space="0"/>
              <w:left w:val="nil"/>
              <w:bottom w:val="single" w:color="auto" w:sz="4" w:space="0"/>
              <w:right w:val="single" w:color="auto" w:sz="4" w:space="0"/>
            </w:tcBorders>
            <w:vAlign w:val="center"/>
          </w:tcPr>
          <w:p w14:paraId="7DB24FC7">
            <w:pPr>
              <w:jc w:val="center"/>
              <w:rPr>
                <w:rFonts w:hint="eastAsia" w:ascii="宋体" w:hAnsi="宋体" w:cs="宋体"/>
                <w:sz w:val="24"/>
                <w:highlight w:val="none"/>
              </w:rPr>
            </w:pPr>
          </w:p>
        </w:tc>
        <w:tc>
          <w:tcPr>
            <w:tcW w:w="850" w:type="dxa"/>
            <w:tcBorders>
              <w:top w:val="single" w:color="auto" w:sz="4" w:space="0"/>
              <w:left w:val="nil"/>
              <w:bottom w:val="single" w:color="auto" w:sz="4" w:space="0"/>
              <w:right w:val="single" w:color="auto" w:sz="4" w:space="0"/>
            </w:tcBorders>
            <w:vAlign w:val="center"/>
          </w:tcPr>
          <w:p w14:paraId="3CAB7B88">
            <w:pPr>
              <w:jc w:val="center"/>
              <w:rPr>
                <w:rFonts w:hint="eastAsia" w:ascii="宋体" w:hAnsi="宋体" w:cs="宋体"/>
                <w:sz w:val="24"/>
                <w:highlight w:val="none"/>
              </w:rPr>
            </w:pPr>
          </w:p>
        </w:tc>
        <w:tc>
          <w:tcPr>
            <w:tcW w:w="850" w:type="dxa"/>
            <w:tcBorders>
              <w:top w:val="single" w:color="auto" w:sz="4" w:space="0"/>
              <w:left w:val="nil"/>
              <w:bottom w:val="single" w:color="auto" w:sz="4" w:space="0"/>
              <w:right w:val="single" w:color="auto" w:sz="4" w:space="0"/>
            </w:tcBorders>
            <w:vAlign w:val="center"/>
          </w:tcPr>
          <w:p w14:paraId="19AEDC29">
            <w:pPr>
              <w:jc w:val="center"/>
              <w:rPr>
                <w:rFonts w:hint="eastAsia" w:ascii="宋体" w:hAnsi="宋体" w:cs="宋体"/>
                <w:sz w:val="24"/>
                <w:highlight w:val="none"/>
              </w:rPr>
            </w:pPr>
          </w:p>
        </w:tc>
        <w:tc>
          <w:tcPr>
            <w:tcW w:w="850" w:type="dxa"/>
            <w:tcBorders>
              <w:top w:val="single" w:color="auto" w:sz="4" w:space="0"/>
              <w:left w:val="nil"/>
              <w:bottom w:val="single" w:color="auto" w:sz="4" w:space="0"/>
              <w:right w:val="single" w:color="auto" w:sz="4" w:space="0"/>
            </w:tcBorders>
            <w:vAlign w:val="center"/>
          </w:tcPr>
          <w:p w14:paraId="6440DCDF">
            <w:pPr>
              <w:jc w:val="center"/>
              <w:rPr>
                <w:rFonts w:hint="eastAsia" w:ascii="宋体" w:hAnsi="宋体" w:cs="宋体"/>
                <w:sz w:val="24"/>
                <w:highlight w:val="none"/>
              </w:rPr>
            </w:pPr>
          </w:p>
        </w:tc>
      </w:tr>
      <w:tr w14:paraId="50C1CC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jc w:val="center"/>
        </w:trPr>
        <w:tc>
          <w:tcPr>
            <w:tcW w:w="745" w:type="dxa"/>
            <w:tcBorders>
              <w:top w:val="single" w:color="auto" w:sz="4" w:space="0"/>
              <w:left w:val="single" w:color="auto" w:sz="4" w:space="0"/>
              <w:bottom w:val="single" w:color="auto" w:sz="4" w:space="0"/>
              <w:right w:val="single" w:color="auto" w:sz="4" w:space="0"/>
            </w:tcBorders>
            <w:vAlign w:val="center"/>
          </w:tcPr>
          <w:p w14:paraId="177B20B7">
            <w:pPr>
              <w:jc w:val="center"/>
              <w:rPr>
                <w:rFonts w:hint="eastAsia" w:ascii="宋体" w:hAnsi="宋体" w:cs="宋体"/>
                <w:sz w:val="24"/>
                <w:highlight w:val="none"/>
              </w:rPr>
            </w:pPr>
            <w:r>
              <w:rPr>
                <w:rFonts w:hint="eastAsia" w:ascii="宋体" w:hAnsi="宋体" w:cs="宋体"/>
                <w:sz w:val="24"/>
                <w:highlight w:val="none"/>
              </w:rPr>
              <w:t>8</w:t>
            </w:r>
          </w:p>
        </w:tc>
        <w:tc>
          <w:tcPr>
            <w:tcW w:w="1356" w:type="dxa"/>
            <w:tcBorders>
              <w:top w:val="single" w:color="auto" w:sz="4" w:space="0"/>
              <w:left w:val="nil"/>
              <w:bottom w:val="single" w:color="auto" w:sz="4" w:space="0"/>
              <w:right w:val="single" w:color="auto" w:sz="4" w:space="0"/>
            </w:tcBorders>
            <w:vAlign w:val="center"/>
          </w:tcPr>
          <w:p w14:paraId="69A2BBC2">
            <w:pPr>
              <w:jc w:val="center"/>
              <w:rPr>
                <w:rFonts w:hint="eastAsia" w:ascii="宋体" w:hAnsi="宋体" w:cs="宋体"/>
                <w:sz w:val="24"/>
                <w:highlight w:val="none"/>
              </w:rPr>
            </w:pPr>
          </w:p>
        </w:tc>
        <w:tc>
          <w:tcPr>
            <w:tcW w:w="1458" w:type="dxa"/>
            <w:tcBorders>
              <w:top w:val="single" w:color="auto" w:sz="4" w:space="0"/>
              <w:left w:val="nil"/>
              <w:bottom w:val="single" w:color="auto" w:sz="4" w:space="0"/>
              <w:right w:val="single" w:color="auto" w:sz="4" w:space="0"/>
            </w:tcBorders>
            <w:vAlign w:val="center"/>
          </w:tcPr>
          <w:p w14:paraId="2309F2EC">
            <w:pPr>
              <w:jc w:val="center"/>
              <w:rPr>
                <w:rFonts w:hint="eastAsia" w:ascii="宋体" w:hAnsi="宋体" w:cs="宋体"/>
                <w:sz w:val="24"/>
                <w:highlight w:val="none"/>
              </w:rPr>
            </w:pPr>
          </w:p>
        </w:tc>
        <w:tc>
          <w:tcPr>
            <w:tcW w:w="852" w:type="dxa"/>
            <w:tcBorders>
              <w:top w:val="single" w:color="auto" w:sz="4" w:space="0"/>
              <w:left w:val="nil"/>
              <w:bottom w:val="single" w:color="auto" w:sz="4" w:space="0"/>
              <w:right w:val="single" w:color="auto" w:sz="4" w:space="0"/>
            </w:tcBorders>
            <w:vAlign w:val="center"/>
          </w:tcPr>
          <w:p w14:paraId="4FB8FB5C">
            <w:pPr>
              <w:jc w:val="center"/>
              <w:rPr>
                <w:rFonts w:hint="eastAsia" w:ascii="宋体" w:hAnsi="宋体" w:cs="宋体"/>
                <w:sz w:val="24"/>
                <w:highlight w:val="none"/>
              </w:rPr>
            </w:pPr>
          </w:p>
        </w:tc>
        <w:tc>
          <w:tcPr>
            <w:tcW w:w="945" w:type="dxa"/>
            <w:tcBorders>
              <w:top w:val="single" w:color="auto" w:sz="4" w:space="0"/>
              <w:left w:val="nil"/>
              <w:bottom w:val="single" w:color="auto" w:sz="4" w:space="0"/>
              <w:right w:val="single" w:color="auto" w:sz="4" w:space="0"/>
            </w:tcBorders>
            <w:vAlign w:val="center"/>
          </w:tcPr>
          <w:p w14:paraId="068FD809">
            <w:pPr>
              <w:jc w:val="center"/>
              <w:rPr>
                <w:rFonts w:hint="eastAsia" w:ascii="宋体" w:hAnsi="宋体" w:cs="宋体"/>
                <w:sz w:val="24"/>
                <w:highlight w:val="none"/>
              </w:rPr>
            </w:pPr>
          </w:p>
        </w:tc>
        <w:tc>
          <w:tcPr>
            <w:tcW w:w="1320" w:type="dxa"/>
            <w:tcBorders>
              <w:top w:val="single" w:color="auto" w:sz="4" w:space="0"/>
              <w:left w:val="nil"/>
              <w:bottom w:val="single" w:color="auto" w:sz="4" w:space="0"/>
              <w:right w:val="single" w:color="auto" w:sz="4" w:space="0"/>
            </w:tcBorders>
            <w:vAlign w:val="center"/>
          </w:tcPr>
          <w:p w14:paraId="575F7C0D">
            <w:pPr>
              <w:jc w:val="center"/>
              <w:rPr>
                <w:rFonts w:hint="eastAsia" w:ascii="宋体" w:hAnsi="宋体" w:cs="宋体"/>
                <w:sz w:val="24"/>
                <w:highlight w:val="none"/>
              </w:rPr>
            </w:pPr>
          </w:p>
        </w:tc>
        <w:tc>
          <w:tcPr>
            <w:tcW w:w="1342" w:type="dxa"/>
            <w:tcBorders>
              <w:top w:val="single" w:color="auto" w:sz="4" w:space="0"/>
              <w:left w:val="nil"/>
              <w:bottom w:val="single" w:color="auto" w:sz="4" w:space="0"/>
              <w:right w:val="single" w:color="auto" w:sz="4" w:space="0"/>
            </w:tcBorders>
            <w:vAlign w:val="center"/>
          </w:tcPr>
          <w:p w14:paraId="0526F410">
            <w:pPr>
              <w:jc w:val="center"/>
              <w:rPr>
                <w:rFonts w:hint="eastAsia" w:ascii="宋体" w:hAnsi="宋体" w:cs="宋体"/>
                <w:sz w:val="24"/>
                <w:highlight w:val="none"/>
              </w:rPr>
            </w:pPr>
          </w:p>
        </w:tc>
        <w:tc>
          <w:tcPr>
            <w:tcW w:w="850" w:type="dxa"/>
            <w:tcBorders>
              <w:top w:val="single" w:color="auto" w:sz="4" w:space="0"/>
              <w:left w:val="nil"/>
              <w:bottom w:val="single" w:color="auto" w:sz="4" w:space="0"/>
              <w:right w:val="single" w:color="auto" w:sz="4" w:space="0"/>
            </w:tcBorders>
            <w:vAlign w:val="center"/>
          </w:tcPr>
          <w:p w14:paraId="426DCE86">
            <w:pPr>
              <w:jc w:val="center"/>
              <w:rPr>
                <w:rFonts w:hint="eastAsia" w:ascii="宋体" w:hAnsi="宋体" w:cs="宋体"/>
                <w:sz w:val="24"/>
                <w:highlight w:val="none"/>
              </w:rPr>
            </w:pPr>
          </w:p>
        </w:tc>
        <w:tc>
          <w:tcPr>
            <w:tcW w:w="850" w:type="dxa"/>
            <w:tcBorders>
              <w:top w:val="single" w:color="auto" w:sz="4" w:space="0"/>
              <w:left w:val="nil"/>
              <w:bottom w:val="single" w:color="auto" w:sz="4" w:space="0"/>
              <w:right w:val="single" w:color="auto" w:sz="4" w:space="0"/>
            </w:tcBorders>
            <w:vAlign w:val="center"/>
          </w:tcPr>
          <w:p w14:paraId="0998B3D0">
            <w:pPr>
              <w:jc w:val="center"/>
              <w:rPr>
                <w:rFonts w:hint="eastAsia" w:ascii="宋体" w:hAnsi="宋体" w:cs="宋体"/>
                <w:sz w:val="24"/>
                <w:highlight w:val="none"/>
              </w:rPr>
            </w:pPr>
          </w:p>
        </w:tc>
        <w:tc>
          <w:tcPr>
            <w:tcW w:w="850" w:type="dxa"/>
            <w:tcBorders>
              <w:top w:val="single" w:color="auto" w:sz="4" w:space="0"/>
              <w:left w:val="nil"/>
              <w:bottom w:val="single" w:color="auto" w:sz="4" w:space="0"/>
              <w:right w:val="single" w:color="auto" w:sz="4" w:space="0"/>
            </w:tcBorders>
            <w:vAlign w:val="center"/>
          </w:tcPr>
          <w:p w14:paraId="4236F0D4">
            <w:pPr>
              <w:jc w:val="center"/>
              <w:rPr>
                <w:rFonts w:hint="eastAsia" w:ascii="宋体" w:hAnsi="宋体" w:cs="宋体"/>
                <w:sz w:val="24"/>
                <w:highlight w:val="none"/>
              </w:rPr>
            </w:pPr>
          </w:p>
        </w:tc>
      </w:tr>
      <w:tr w14:paraId="282C4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jc w:val="center"/>
        </w:trPr>
        <w:tc>
          <w:tcPr>
            <w:tcW w:w="745" w:type="dxa"/>
            <w:tcBorders>
              <w:top w:val="single" w:color="auto" w:sz="4" w:space="0"/>
              <w:left w:val="single" w:color="auto" w:sz="4" w:space="0"/>
              <w:bottom w:val="single" w:color="auto" w:sz="4" w:space="0"/>
              <w:right w:val="single" w:color="auto" w:sz="4" w:space="0"/>
            </w:tcBorders>
            <w:vAlign w:val="center"/>
          </w:tcPr>
          <w:p w14:paraId="35D61CFB">
            <w:pPr>
              <w:jc w:val="center"/>
              <w:rPr>
                <w:highlight w:val="none"/>
              </w:rPr>
            </w:pPr>
            <w:r>
              <w:rPr>
                <w:rFonts w:hint="eastAsia"/>
                <w:highlight w:val="none"/>
              </w:rPr>
              <w:t>...</w:t>
            </w:r>
          </w:p>
          <w:p w14:paraId="7222A6FE">
            <w:pPr>
              <w:jc w:val="center"/>
              <w:rPr>
                <w:highlight w:val="none"/>
              </w:rPr>
            </w:pPr>
            <w:r>
              <w:rPr>
                <w:rFonts w:hint="eastAsia" w:ascii="宋体" w:hAnsi="宋体" w:eastAsia="宋体" w:cs="宋体"/>
                <w:sz w:val="24"/>
                <w:szCs w:val="24"/>
                <w:highlight w:val="none"/>
              </w:rPr>
              <w:t>自行补充</w:t>
            </w:r>
          </w:p>
        </w:tc>
        <w:tc>
          <w:tcPr>
            <w:tcW w:w="1356" w:type="dxa"/>
            <w:tcBorders>
              <w:top w:val="single" w:color="auto" w:sz="4" w:space="0"/>
              <w:left w:val="nil"/>
              <w:bottom w:val="single" w:color="auto" w:sz="4" w:space="0"/>
              <w:right w:val="single" w:color="auto" w:sz="4" w:space="0"/>
            </w:tcBorders>
            <w:vAlign w:val="center"/>
          </w:tcPr>
          <w:p w14:paraId="366D4800">
            <w:pPr>
              <w:jc w:val="center"/>
              <w:rPr>
                <w:rFonts w:hint="eastAsia" w:ascii="宋体" w:hAnsi="宋体" w:cs="宋体"/>
                <w:sz w:val="24"/>
                <w:highlight w:val="none"/>
              </w:rPr>
            </w:pPr>
          </w:p>
        </w:tc>
        <w:tc>
          <w:tcPr>
            <w:tcW w:w="1458" w:type="dxa"/>
            <w:tcBorders>
              <w:top w:val="single" w:color="auto" w:sz="4" w:space="0"/>
              <w:left w:val="nil"/>
              <w:bottom w:val="single" w:color="auto" w:sz="4" w:space="0"/>
              <w:right w:val="single" w:color="auto" w:sz="4" w:space="0"/>
            </w:tcBorders>
            <w:vAlign w:val="center"/>
          </w:tcPr>
          <w:p w14:paraId="196FE6DE">
            <w:pPr>
              <w:jc w:val="center"/>
              <w:rPr>
                <w:rFonts w:hint="eastAsia" w:ascii="宋体" w:hAnsi="宋体" w:cs="宋体"/>
                <w:sz w:val="24"/>
                <w:highlight w:val="none"/>
              </w:rPr>
            </w:pPr>
          </w:p>
        </w:tc>
        <w:tc>
          <w:tcPr>
            <w:tcW w:w="852" w:type="dxa"/>
            <w:tcBorders>
              <w:top w:val="single" w:color="auto" w:sz="4" w:space="0"/>
              <w:left w:val="nil"/>
              <w:bottom w:val="single" w:color="auto" w:sz="4" w:space="0"/>
              <w:right w:val="single" w:color="auto" w:sz="4" w:space="0"/>
            </w:tcBorders>
            <w:vAlign w:val="center"/>
          </w:tcPr>
          <w:p w14:paraId="74F89555">
            <w:pPr>
              <w:jc w:val="center"/>
              <w:rPr>
                <w:rFonts w:hint="eastAsia" w:ascii="宋体" w:hAnsi="宋体" w:cs="宋体"/>
                <w:sz w:val="24"/>
                <w:highlight w:val="none"/>
              </w:rPr>
            </w:pPr>
          </w:p>
        </w:tc>
        <w:tc>
          <w:tcPr>
            <w:tcW w:w="945" w:type="dxa"/>
            <w:tcBorders>
              <w:top w:val="single" w:color="auto" w:sz="4" w:space="0"/>
              <w:left w:val="nil"/>
              <w:bottom w:val="single" w:color="auto" w:sz="4" w:space="0"/>
              <w:right w:val="single" w:color="auto" w:sz="4" w:space="0"/>
            </w:tcBorders>
            <w:vAlign w:val="center"/>
          </w:tcPr>
          <w:p w14:paraId="7F85D10A">
            <w:pPr>
              <w:jc w:val="center"/>
              <w:rPr>
                <w:rFonts w:hint="eastAsia" w:ascii="宋体" w:hAnsi="宋体" w:cs="宋体"/>
                <w:sz w:val="24"/>
                <w:highlight w:val="none"/>
              </w:rPr>
            </w:pPr>
          </w:p>
        </w:tc>
        <w:tc>
          <w:tcPr>
            <w:tcW w:w="1320" w:type="dxa"/>
            <w:tcBorders>
              <w:top w:val="single" w:color="auto" w:sz="4" w:space="0"/>
              <w:left w:val="nil"/>
              <w:bottom w:val="single" w:color="auto" w:sz="4" w:space="0"/>
              <w:right w:val="single" w:color="auto" w:sz="4" w:space="0"/>
            </w:tcBorders>
            <w:vAlign w:val="center"/>
          </w:tcPr>
          <w:p w14:paraId="4BB173E1">
            <w:pPr>
              <w:jc w:val="center"/>
              <w:rPr>
                <w:rFonts w:hint="eastAsia" w:ascii="宋体" w:hAnsi="宋体" w:cs="宋体"/>
                <w:sz w:val="24"/>
                <w:highlight w:val="none"/>
              </w:rPr>
            </w:pPr>
          </w:p>
        </w:tc>
        <w:tc>
          <w:tcPr>
            <w:tcW w:w="1342" w:type="dxa"/>
            <w:tcBorders>
              <w:top w:val="single" w:color="auto" w:sz="4" w:space="0"/>
              <w:left w:val="nil"/>
              <w:bottom w:val="single" w:color="auto" w:sz="4" w:space="0"/>
              <w:right w:val="single" w:color="auto" w:sz="4" w:space="0"/>
            </w:tcBorders>
            <w:vAlign w:val="center"/>
          </w:tcPr>
          <w:p w14:paraId="71B75354">
            <w:pPr>
              <w:jc w:val="center"/>
              <w:rPr>
                <w:rFonts w:hint="eastAsia" w:ascii="宋体" w:hAnsi="宋体" w:cs="宋体"/>
                <w:sz w:val="24"/>
                <w:highlight w:val="none"/>
              </w:rPr>
            </w:pPr>
          </w:p>
        </w:tc>
        <w:tc>
          <w:tcPr>
            <w:tcW w:w="850" w:type="dxa"/>
            <w:tcBorders>
              <w:top w:val="single" w:color="auto" w:sz="4" w:space="0"/>
              <w:left w:val="nil"/>
              <w:bottom w:val="single" w:color="auto" w:sz="4" w:space="0"/>
              <w:right w:val="single" w:color="auto" w:sz="4" w:space="0"/>
            </w:tcBorders>
            <w:vAlign w:val="center"/>
          </w:tcPr>
          <w:p w14:paraId="2104C07E">
            <w:pPr>
              <w:jc w:val="center"/>
              <w:rPr>
                <w:rFonts w:hint="eastAsia" w:ascii="宋体" w:hAnsi="宋体" w:cs="宋体"/>
                <w:sz w:val="24"/>
                <w:highlight w:val="none"/>
              </w:rPr>
            </w:pPr>
          </w:p>
        </w:tc>
        <w:tc>
          <w:tcPr>
            <w:tcW w:w="850" w:type="dxa"/>
            <w:tcBorders>
              <w:top w:val="single" w:color="auto" w:sz="4" w:space="0"/>
              <w:left w:val="nil"/>
              <w:bottom w:val="single" w:color="auto" w:sz="4" w:space="0"/>
              <w:right w:val="single" w:color="auto" w:sz="4" w:space="0"/>
            </w:tcBorders>
            <w:vAlign w:val="center"/>
          </w:tcPr>
          <w:p w14:paraId="4E5968BB">
            <w:pPr>
              <w:jc w:val="center"/>
              <w:rPr>
                <w:rFonts w:hint="eastAsia" w:ascii="宋体" w:hAnsi="宋体" w:cs="宋体"/>
                <w:sz w:val="24"/>
                <w:highlight w:val="none"/>
              </w:rPr>
            </w:pPr>
          </w:p>
        </w:tc>
        <w:tc>
          <w:tcPr>
            <w:tcW w:w="850" w:type="dxa"/>
            <w:tcBorders>
              <w:top w:val="single" w:color="auto" w:sz="4" w:space="0"/>
              <w:left w:val="nil"/>
              <w:bottom w:val="single" w:color="auto" w:sz="4" w:space="0"/>
              <w:right w:val="single" w:color="auto" w:sz="4" w:space="0"/>
            </w:tcBorders>
            <w:vAlign w:val="center"/>
          </w:tcPr>
          <w:p w14:paraId="5713A84C">
            <w:pPr>
              <w:jc w:val="center"/>
              <w:rPr>
                <w:rFonts w:hint="eastAsia" w:ascii="宋体" w:hAnsi="宋体" w:cs="宋体"/>
                <w:sz w:val="24"/>
                <w:highlight w:val="none"/>
              </w:rPr>
            </w:pPr>
          </w:p>
        </w:tc>
      </w:tr>
      <w:tr w14:paraId="747E8B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jc w:val="center"/>
        </w:trPr>
        <w:tc>
          <w:tcPr>
            <w:tcW w:w="2101" w:type="dxa"/>
            <w:gridSpan w:val="2"/>
            <w:tcBorders>
              <w:top w:val="single" w:color="auto" w:sz="4" w:space="0"/>
              <w:left w:val="single" w:color="auto" w:sz="4" w:space="0"/>
              <w:bottom w:val="single" w:color="auto" w:sz="4" w:space="0"/>
              <w:right w:val="single" w:color="auto" w:sz="4" w:space="0"/>
            </w:tcBorders>
            <w:vAlign w:val="center"/>
          </w:tcPr>
          <w:p w14:paraId="45C75A92">
            <w:pPr>
              <w:jc w:val="center"/>
              <w:rPr>
                <w:rFonts w:hint="eastAsia" w:ascii="宋体" w:hAnsi="宋体" w:cs="宋体"/>
                <w:sz w:val="24"/>
                <w:highlight w:val="none"/>
              </w:rPr>
            </w:pPr>
            <w:r>
              <w:rPr>
                <w:rFonts w:hint="eastAsia" w:ascii="宋体" w:hAnsi="宋体" w:cs="宋体"/>
                <w:sz w:val="24"/>
                <w:highlight w:val="none"/>
              </w:rPr>
              <w:t>总价</w:t>
            </w:r>
          </w:p>
        </w:tc>
        <w:tc>
          <w:tcPr>
            <w:tcW w:w="6767" w:type="dxa"/>
            <w:gridSpan w:val="6"/>
            <w:tcBorders>
              <w:top w:val="single" w:color="auto" w:sz="4" w:space="0"/>
              <w:left w:val="nil"/>
              <w:bottom w:val="single" w:color="auto" w:sz="4" w:space="0"/>
              <w:right w:val="single" w:color="auto" w:sz="4" w:space="0"/>
            </w:tcBorders>
            <w:vAlign w:val="center"/>
          </w:tcPr>
          <w:p w14:paraId="0BEA63E4">
            <w:pPr>
              <w:jc w:val="center"/>
              <w:rPr>
                <w:rFonts w:hint="eastAsia" w:ascii="宋体" w:hAnsi="宋体" w:cs="宋体"/>
                <w:sz w:val="24"/>
                <w:highlight w:val="none"/>
              </w:rPr>
            </w:pPr>
          </w:p>
        </w:tc>
        <w:tc>
          <w:tcPr>
            <w:tcW w:w="850" w:type="dxa"/>
            <w:tcBorders>
              <w:top w:val="single" w:color="auto" w:sz="4" w:space="0"/>
              <w:left w:val="nil"/>
              <w:bottom w:val="single" w:color="auto" w:sz="4" w:space="0"/>
              <w:right w:val="single" w:color="auto" w:sz="4" w:space="0"/>
            </w:tcBorders>
            <w:vAlign w:val="center"/>
          </w:tcPr>
          <w:p w14:paraId="3A06D4EE">
            <w:pPr>
              <w:jc w:val="center"/>
              <w:rPr>
                <w:rFonts w:hint="eastAsia" w:ascii="宋体" w:hAnsi="宋体" w:cs="宋体"/>
                <w:sz w:val="24"/>
                <w:highlight w:val="none"/>
              </w:rPr>
            </w:pPr>
          </w:p>
        </w:tc>
        <w:tc>
          <w:tcPr>
            <w:tcW w:w="850" w:type="dxa"/>
            <w:tcBorders>
              <w:top w:val="single" w:color="auto" w:sz="4" w:space="0"/>
              <w:left w:val="nil"/>
              <w:bottom w:val="single" w:color="auto" w:sz="4" w:space="0"/>
              <w:right w:val="single" w:color="auto" w:sz="4" w:space="0"/>
            </w:tcBorders>
            <w:vAlign w:val="center"/>
          </w:tcPr>
          <w:p w14:paraId="332383A8">
            <w:pPr>
              <w:jc w:val="center"/>
              <w:rPr>
                <w:rFonts w:hint="eastAsia" w:ascii="宋体" w:hAnsi="宋体" w:cs="宋体"/>
                <w:sz w:val="24"/>
                <w:highlight w:val="none"/>
              </w:rPr>
            </w:pPr>
          </w:p>
        </w:tc>
      </w:tr>
    </w:tbl>
    <w:p w14:paraId="35C0C51C">
      <w:pPr>
        <w:spacing w:line="480" w:lineRule="exact"/>
        <w:outlineLvl w:val="2"/>
        <w:rPr>
          <w:rFonts w:hint="eastAsia" w:ascii="宋体" w:hAnsi="宋体" w:cs="宋体"/>
          <w:b/>
          <w:bCs/>
          <w:sz w:val="24"/>
          <w:highlight w:val="none"/>
        </w:rPr>
      </w:pPr>
      <w:r>
        <w:rPr>
          <w:rFonts w:hint="eastAsia" w:ascii="宋体" w:hAnsi="宋体" w:cs="宋体"/>
          <w:b/>
          <w:bCs/>
          <w:sz w:val="24"/>
          <w:highlight w:val="none"/>
        </w:rPr>
        <w:t xml:space="preserve"> </w:t>
      </w:r>
      <w:bookmarkStart w:id="270" w:name="_Toc17942"/>
      <w:r>
        <w:rPr>
          <w:rFonts w:hint="eastAsia" w:ascii="宋体" w:hAnsi="宋体" w:cs="宋体"/>
          <w:b/>
          <w:bCs/>
          <w:sz w:val="24"/>
          <w:highlight w:val="none"/>
        </w:rPr>
        <w:t>注：1.供应商根据需要可在本表中自行增加更为详细的报价说明</w:t>
      </w:r>
      <w:bookmarkEnd w:id="270"/>
    </w:p>
    <w:p w14:paraId="3F56A09C">
      <w:pPr>
        <w:spacing w:line="480" w:lineRule="exact"/>
        <w:rPr>
          <w:rFonts w:hint="eastAsia" w:ascii="宋体" w:hAnsi="宋体" w:cs="宋体"/>
          <w:b/>
          <w:bCs/>
          <w:sz w:val="24"/>
          <w:highlight w:val="none"/>
        </w:rPr>
      </w:pPr>
      <w:r>
        <w:rPr>
          <w:rFonts w:hint="eastAsia" w:ascii="宋体" w:hAnsi="宋体" w:cs="宋体"/>
          <w:b/>
          <w:bCs/>
          <w:sz w:val="24"/>
          <w:highlight w:val="none"/>
        </w:rPr>
        <w:t>包含设备价、备品备件价、包装费、装卸费、运输费、税金（含关税、增值税）、安装费、检测验收费、培训费及其他所有费用，均包含在投标报价中。</w:t>
      </w:r>
    </w:p>
    <w:p w14:paraId="795C478D">
      <w:pPr>
        <w:spacing w:line="480" w:lineRule="exact"/>
        <w:rPr>
          <w:rFonts w:hint="eastAsia" w:ascii="宋体" w:hAnsi="宋体" w:cs="宋体"/>
          <w:sz w:val="24"/>
          <w:highlight w:val="none"/>
        </w:rPr>
      </w:pPr>
      <w:r>
        <w:rPr>
          <w:rFonts w:hint="eastAsia" w:ascii="宋体" w:hAnsi="宋体" w:cs="宋体"/>
          <w:sz w:val="24"/>
          <w:highlight w:val="none"/>
        </w:rPr>
        <w:t>供应商名称（电子签章）：</w:t>
      </w:r>
      <w:bookmarkStart w:id="271" w:name="_Hlk522286805"/>
      <w:bookmarkEnd w:id="271"/>
    </w:p>
    <w:p w14:paraId="6431E5FB">
      <w:pPr>
        <w:spacing w:line="480" w:lineRule="exact"/>
        <w:rPr>
          <w:rFonts w:hint="eastAsia" w:ascii="宋体" w:hAnsi="宋体" w:cs="宋体"/>
          <w:sz w:val="24"/>
          <w:highlight w:val="none"/>
        </w:rPr>
      </w:pPr>
      <w:r>
        <w:rPr>
          <w:rFonts w:hint="eastAsia" w:ascii="宋体" w:hAnsi="宋体" w:cs="宋体"/>
          <w:sz w:val="24"/>
          <w:highlight w:val="none"/>
        </w:rPr>
        <w:t>法定代表人（电子签章）：</w:t>
      </w:r>
    </w:p>
    <w:p w14:paraId="6950AE77">
      <w:pPr>
        <w:spacing w:line="480" w:lineRule="exact"/>
        <w:rPr>
          <w:rFonts w:hint="eastAsia" w:ascii="宋体" w:hAnsi="宋体" w:cs="宋体"/>
          <w:sz w:val="24"/>
          <w:highlight w:val="none"/>
        </w:rPr>
      </w:pPr>
      <w:r>
        <w:rPr>
          <w:rFonts w:hint="eastAsia" w:ascii="宋体" w:hAnsi="宋体" w:cs="宋体"/>
          <w:sz w:val="24"/>
          <w:highlight w:val="none"/>
        </w:rPr>
        <w:t>日期：年 月 日</w:t>
      </w:r>
    </w:p>
    <w:p w14:paraId="5741F4BA">
      <w:pPr>
        <w:pStyle w:val="7"/>
        <w:jc w:val="center"/>
        <w:rPr>
          <w:highlight w:val="none"/>
        </w:rPr>
      </w:pPr>
      <w:bookmarkStart w:id="272" w:name="_Toc361989463"/>
      <w:bookmarkEnd w:id="272"/>
      <w:bookmarkStart w:id="273" w:name="_Toc244934213"/>
      <w:bookmarkEnd w:id="273"/>
      <w:bookmarkStart w:id="274" w:name="_Toc25298"/>
      <w:bookmarkStart w:id="275" w:name="_Toc17010"/>
      <w:bookmarkStart w:id="276" w:name="_Toc10655"/>
      <w:r>
        <w:rPr>
          <w:rFonts w:ascii="宋体" w:hAnsi="宋体" w:cs="宋体"/>
          <w:szCs w:val="24"/>
          <w:highlight w:val="none"/>
        </w:rPr>
        <w:br w:type="page"/>
      </w:r>
      <w:bookmarkStart w:id="277" w:name="_Toc11113"/>
      <w:r>
        <w:rPr>
          <w:rFonts w:hint="eastAsia"/>
          <w:highlight w:val="none"/>
        </w:rPr>
        <w:t>六、技术规格偏离表</w:t>
      </w:r>
      <w:bookmarkEnd w:id="277"/>
    </w:p>
    <w:tbl>
      <w:tblPr>
        <w:tblStyle w:val="2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8"/>
        <w:gridCol w:w="1805"/>
        <w:gridCol w:w="2348"/>
        <w:gridCol w:w="1585"/>
        <w:gridCol w:w="1182"/>
        <w:gridCol w:w="900"/>
      </w:tblGrid>
      <w:tr w14:paraId="1CDCA0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76" w:hRule="atLeast"/>
          <w:jc w:val="center"/>
        </w:trPr>
        <w:tc>
          <w:tcPr>
            <w:tcW w:w="878" w:type="dxa"/>
            <w:tcBorders>
              <w:top w:val="single" w:color="auto" w:sz="4" w:space="0"/>
              <w:left w:val="single" w:color="auto" w:sz="4" w:space="0"/>
              <w:bottom w:val="single" w:color="auto" w:sz="4" w:space="0"/>
              <w:right w:val="single" w:color="auto" w:sz="4" w:space="0"/>
            </w:tcBorders>
            <w:vAlign w:val="center"/>
          </w:tcPr>
          <w:p w14:paraId="18567A2F">
            <w:pPr>
              <w:spacing w:line="360" w:lineRule="auto"/>
              <w:jc w:val="center"/>
              <w:rPr>
                <w:rFonts w:hint="eastAsia" w:ascii="宋体" w:hAnsi="宋体" w:eastAsia="宋体" w:cs="宋体"/>
                <w:sz w:val="24"/>
                <w:szCs w:val="20"/>
                <w:highlight w:val="none"/>
              </w:rPr>
            </w:pPr>
            <w:r>
              <w:rPr>
                <w:rFonts w:hint="eastAsia" w:ascii="宋体" w:hAnsi="宋体" w:eastAsia="宋体" w:cs="宋体"/>
                <w:sz w:val="24"/>
                <w:szCs w:val="20"/>
                <w:highlight w:val="none"/>
              </w:rPr>
              <w:t>序号</w:t>
            </w:r>
          </w:p>
        </w:tc>
        <w:tc>
          <w:tcPr>
            <w:tcW w:w="1805" w:type="dxa"/>
            <w:tcBorders>
              <w:top w:val="single" w:color="auto" w:sz="4" w:space="0"/>
              <w:left w:val="nil"/>
              <w:bottom w:val="single" w:color="auto" w:sz="4" w:space="0"/>
              <w:right w:val="single" w:color="auto" w:sz="4" w:space="0"/>
            </w:tcBorders>
            <w:vAlign w:val="center"/>
          </w:tcPr>
          <w:p w14:paraId="489A2528">
            <w:pPr>
              <w:spacing w:line="360" w:lineRule="auto"/>
              <w:jc w:val="center"/>
              <w:rPr>
                <w:rFonts w:hint="eastAsia" w:ascii="宋体" w:hAnsi="宋体" w:eastAsia="宋体" w:cs="宋体"/>
                <w:sz w:val="24"/>
                <w:szCs w:val="20"/>
                <w:highlight w:val="none"/>
              </w:rPr>
            </w:pPr>
            <w:r>
              <w:rPr>
                <w:rFonts w:hint="eastAsia" w:ascii="宋体" w:hAnsi="宋体" w:eastAsia="宋体" w:cs="宋体"/>
                <w:sz w:val="24"/>
                <w:szCs w:val="20"/>
                <w:highlight w:val="none"/>
              </w:rPr>
              <w:t>货物名称</w:t>
            </w:r>
          </w:p>
        </w:tc>
        <w:tc>
          <w:tcPr>
            <w:tcW w:w="2348" w:type="dxa"/>
            <w:tcBorders>
              <w:top w:val="single" w:color="auto" w:sz="4" w:space="0"/>
              <w:left w:val="nil"/>
              <w:bottom w:val="single" w:color="auto" w:sz="4" w:space="0"/>
              <w:right w:val="single" w:color="auto" w:sz="4" w:space="0"/>
            </w:tcBorders>
            <w:vAlign w:val="center"/>
          </w:tcPr>
          <w:p w14:paraId="5C903F54">
            <w:pPr>
              <w:spacing w:line="360" w:lineRule="auto"/>
              <w:jc w:val="center"/>
              <w:rPr>
                <w:rFonts w:hint="eastAsia" w:ascii="宋体" w:hAnsi="宋体" w:eastAsia="宋体" w:cs="宋体"/>
                <w:sz w:val="24"/>
                <w:szCs w:val="20"/>
                <w:highlight w:val="none"/>
              </w:rPr>
            </w:pPr>
            <w:r>
              <w:rPr>
                <w:rFonts w:hint="eastAsia" w:ascii="宋体" w:hAnsi="宋体" w:eastAsia="宋体" w:cs="宋体"/>
                <w:sz w:val="24"/>
                <w:szCs w:val="20"/>
                <w:highlight w:val="none"/>
              </w:rPr>
              <w:t>竞争性磋商文件要求规格或参数</w:t>
            </w:r>
          </w:p>
        </w:tc>
        <w:tc>
          <w:tcPr>
            <w:tcW w:w="1585" w:type="dxa"/>
            <w:tcBorders>
              <w:top w:val="single" w:color="auto" w:sz="4" w:space="0"/>
              <w:left w:val="nil"/>
              <w:bottom w:val="single" w:color="auto" w:sz="4" w:space="0"/>
              <w:right w:val="single" w:color="auto" w:sz="4" w:space="0"/>
            </w:tcBorders>
            <w:vAlign w:val="center"/>
          </w:tcPr>
          <w:p w14:paraId="24DA6484">
            <w:pPr>
              <w:spacing w:line="360" w:lineRule="auto"/>
              <w:jc w:val="center"/>
              <w:rPr>
                <w:rFonts w:hint="eastAsia" w:ascii="宋体" w:hAnsi="宋体" w:eastAsia="宋体" w:cs="宋体"/>
                <w:sz w:val="24"/>
                <w:szCs w:val="20"/>
                <w:highlight w:val="none"/>
              </w:rPr>
            </w:pPr>
            <w:r>
              <w:rPr>
                <w:rFonts w:hint="eastAsia" w:ascii="宋体" w:hAnsi="宋体" w:eastAsia="宋体" w:cs="宋体"/>
                <w:sz w:val="24"/>
                <w:szCs w:val="20"/>
                <w:highlight w:val="none"/>
              </w:rPr>
              <w:t>响应货物规格或参数</w:t>
            </w:r>
          </w:p>
        </w:tc>
        <w:tc>
          <w:tcPr>
            <w:tcW w:w="1182" w:type="dxa"/>
            <w:tcBorders>
              <w:top w:val="single" w:color="auto" w:sz="4" w:space="0"/>
              <w:left w:val="nil"/>
              <w:bottom w:val="single" w:color="auto" w:sz="4" w:space="0"/>
              <w:right w:val="single" w:color="auto" w:sz="4" w:space="0"/>
            </w:tcBorders>
            <w:vAlign w:val="center"/>
          </w:tcPr>
          <w:p w14:paraId="694EDE1D">
            <w:pPr>
              <w:spacing w:line="360" w:lineRule="auto"/>
              <w:jc w:val="center"/>
              <w:rPr>
                <w:rFonts w:hint="eastAsia" w:ascii="宋体" w:hAnsi="宋体" w:eastAsia="宋体" w:cs="宋体"/>
                <w:sz w:val="24"/>
                <w:szCs w:val="20"/>
                <w:highlight w:val="none"/>
              </w:rPr>
            </w:pPr>
            <w:r>
              <w:rPr>
                <w:rFonts w:hint="eastAsia" w:ascii="宋体" w:hAnsi="宋体" w:eastAsia="宋体" w:cs="宋体"/>
                <w:sz w:val="24"/>
                <w:szCs w:val="20"/>
                <w:highlight w:val="none"/>
              </w:rPr>
              <w:t>偏离</w:t>
            </w:r>
          </w:p>
          <w:p w14:paraId="11ABE74A">
            <w:pPr>
              <w:spacing w:line="360" w:lineRule="auto"/>
              <w:jc w:val="center"/>
              <w:rPr>
                <w:rFonts w:hint="eastAsia" w:ascii="宋体" w:hAnsi="宋体" w:eastAsia="宋体" w:cs="宋体"/>
                <w:sz w:val="24"/>
                <w:szCs w:val="20"/>
                <w:highlight w:val="none"/>
              </w:rPr>
            </w:pPr>
            <w:r>
              <w:rPr>
                <w:rFonts w:hint="eastAsia" w:ascii="宋体" w:hAnsi="宋体" w:eastAsia="宋体" w:cs="宋体"/>
                <w:sz w:val="24"/>
                <w:szCs w:val="20"/>
                <w:highlight w:val="none"/>
              </w:rPr>
              <w:t>(正/负)</w:t>
            </w:r>
          </w:p>
        </w:tc>
        <w:tc>
          <w:tcPr>
            <w:tcW w:w="900" w:type="dxa"/>
            <w:tcBorders>
              <w:top w:val="single" w:color="auto" w:sz="4" w:space="0"/>
              <w:left w:val="nil"/>
              <w:bottom w:val="single" w:color="auto" w:sz="4" w:space="0"/>
              <w:right w:val="single" w:color="auto" w:sz="4" w:space="0"/>
            </w:tcBorders>
            <w:vAlign w:val="center"/>
          </w:tcPr>
          <w:p w14:paraId="0AD4B2D1">
            <w:pPr>
              <w:spacing w:line="360" w:lineRule="auto"/>
              <w:jc w:val="center"/>
              <w:rPr>
                <w:rFonts w:hint="eastAsia" w:ascii="宋体" w:hAnsi="宋体" w:eastAsia="宋体" w:cs="宋体"/>
                <w:sz w:val="24"/>
                <w:szCs w:val="20"/>
                <w:highlight w:val="none"/>
              </w:rPr>
            </w:pPr>
            <w:r>
              <w:rPr>
                <w:rFonts w:hint="eastAsia" w:ascii="宋体" w:hAnsi="宋体" w:eastAsia="宋体" w:cs="宋体"/>
                <w:sz w:val="24"/>
                <w:szCs w:val="20"/>
                <w:highlight w:val="none"/>
              </w:rPr>
              <w:t>说明</w:t>
            </w:r>
          </w:p>
        </w:tc>
      </w:tr>
      <w:tr w14:paraId="2B7BEE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36" w:hRule="atLeast"/>
          <w:jc w:val="center"/>
        </w:trPr>
        <w:tc>
          <w:tcPr>
            <w:tcW w:w="878" w:type="dxa"/>
            <w:tcBorders>
              <w:top w:val="single" w:color="auto" w:sz="4" w:space="0"/>
              <w:left w:val="single" w:color="auto" w:sz="4" w:space="0"/>
              <w:bottom w:val="single" w:color="auto" w:sz="4" w:space="0"/>
              <w:right w:val="single" w:color="auto" w:sz="4" w:space="0"/>
            </w:tcBorders>
            <w:vAlign w:val="center"/>
          </w:tcPr>
          <w:p w14:paraId="5705CDD3">
            <w:pPr>
              <w:spacing w:line="360" w:lineRule="auto"/>
              <w:jc w:val="center"/>
              <w:rPr>
                <w:rFonts w:hint="eastAsia" w:ascii="宋体" w:hAnsi="宋体" w:eastAsia="宋体" w:cs="宋体"/>
                <w:sz w:val="24"/>
                <w:szCs w:val="20"/>
                <w:highlight w:val="none"/>
              </w:rPr>
            </w:pPr>
            <w:r>
              <w:rPr>
                <w:rFonts w:hint="eastAsia" w:ascii="宋体" w:hAnsi="宋体" w:eastAsia="宋体" w:cs="宋体"/>
                <w:sz w:val="24"/>
                <w:szCs w:val="20"/>
                <w:highlight w:val="none"/>
              </w:rPr>
              <w:t>1</w:t>
            </w:r>
          </w:p>
        </w:tc>
        <w:tc>
          <w:tcPr>
            <w:tcW w:w="1805" w:type="dxa"/>
            <w:tcBorders>
              <w:top w:val="single" w:color="auto" w:sz="4" w:space="0"/>
              <w:left w:val="nil"/>
              <w:bottom w:val="single" w:color="auto" w:sz="4" w:space="0"/>
              <w:right w:val="single" w:color="auto" w:sz="4" w:space="0"/>
            </w:tcBorders>
            <w:vAlign w:val="center"/>
          </w:tcPr>
          <w:p w14:paraId="14B5FF82">
            <w:pPr>
              <w:spacing w:line="360" w:lineRule="auto"/>
              <w:jc w:val="center"/>
              <w:rPr>
                <w:rFonts w:hint="eastAsia" w:ascii="宋体" w:hAnsi="宋体" w:eastAsia="宋体" w:cs="宋体"/>
                <w:sz w:val="24"/>
                <w:szCs w:val="20"/>
                <w:highlight w:val="none"/>
              </w:rPr>
            </w:pPr>
          </w:p>
        </w:tc>
        <w:tc>
          <w:tcPr>
            <w:tcW w:w="2348" w:type="dxa"/>
            <w:tcBorders>
              <w:top w:val="single" w:color="auto" w:sz="4" w:space="0"/>
              <w:left w:val="nil"/>
              <w:bottom w:val="single" w:color="auto" w:sz="4" w:space="0"/>
              <w:right w:val="single" w:color="auto" w:sz="4" w:space="0"/>
            </w:tcBorders>
            <w:vAlign w:val="center"/>
          </w:tcPr>
          <w:p w14:paraId="2517C843">
            <w:pPr>
              <w:spacing w:line="360" w:lineRule="auto"/>
              <w:jc w:val="center"/>
              <w:rPr>
                <w:rFonts w:hint="eastAsia" w:ascii="宋体" w:hAnsi="宋体" w:eastAsia="宋体" w:cs="宋体"/>
                <w:sz w:val="24"/>
                <w:szCs w:val="20"/>
                <w:highlight w:val="none"/>
              </w:rPr>
            </w:pPr>
          </w:p>
        </w:tc>
        <w:tc>
          <w:tcPr>
            <w:tcW w:w="1585" w:type="dxa"/>
            <w:tcBorders>
              <w:top w:val="single" w:color="auto" w:sz="4" w:space="0"/>
              <w:left w:val="nil"/>
              <w:bottom w:val="single" w:color="auto" w:sz="4" w:space="0"/>
              <w:right w:val="single" w:color="auto" w:sz="4" w:space="0"/>
            </w:tcBorders>
            <w:vAlign w:val="center"/>
          </w:tcPr>
          <w:p w14:paraId="1C6A885C">
            <w:pPr>
              <w:spacing w:line="360" w:lineRule="auto"/>
              <w:jc w:val="center"/>
              <w:rPr>
                <w:rFonts w:hint="eastAsia" w:ascii="宋体" w:hAnsi="宋体" w:eastAsia="宋体" w:cs="宋体"/>
                <w:sz w:val="24"/>
                <w:szCs w:val="20"/>
                <w:highlight w:val="none"/>
              </w:rPr>
            </w:pPr>
          </w:p>
        </w:tc>
        <w:tc>
          <w:tcPr>
            <w:tcW w:w="1182" w:type="dxa"/>
            <w:tcBorders>
              <w:top w:val="single" w:color="auto" w:sz="4" w:space="0"/>
              <w:left w:val="nil"/>
              <w:bottom w:val="single" w:color="auto" w:sz="4" w:space="0"/>
              <w:right w:val="single" w:color="auto" w:sz="4" w:space="0"/>
            </w:tcBorders>
            <w:vAlign w:val="center"/>
          </w:tcPr>
          <w:p w14:paraId="3DFDF8FB">
            <w:pPr>
              <w:spacing w:line="360" w:lineRule="auto"/>
              <w:jc w:val="center"/>
              <w:rPr>
                <w:rFonts w:hint="eastAsia" w:ascii="宋体" w:hAnsi="宋体" w:eastAsia="宋体" w:cs="宋体"/>
                <w:sz w:val="24"/>
                <w:szCs w:val="20"/>
                <w:highlight w:val="none"/>
              </w:rPr>
            </w:pPr>
          </w:p>
        </w:tc>
        <w:tc>
          <w:tcPr>
            <w:tcW w:w="900" w:type="dxa"/>
            <w:tcBorders>
              <w:top w:val="single" w:color="auto" w:sz="4" w:space="0"/>
              <w:left w:val="nil"/>
              <w:bottom w:val="single" w:color="auto" w:sz="4" w:space="0"/>
              <w:right w:val="single" w:color="auto" w:sz="4" w:space="0"/>
            </w:tcBorders>
            <w:vAlign w:val="center"/>
          </w:tcPr>
          <w:p w14:paraId="53457A91">
            <w:pPr>
              <w:spacing w:line="360" w:lineRule="auto"/>
              <w:jc w:val="center"/>
              <w:rPr>
                <w:rFonts w:hint="eastAsia" w:ascii="宋体" w:hAnsi="宋体" w:eastAsia="宋体" w:cs="宋体"/>
                <w:sz w:val="24"/>
                <w:szCs w:val="20"/>
                <w:highlight w:val="none"/>
              </w:rPr>
            </w:pPr>
          </w:p>
        </w:tc>
      </w:tr>
      <w:tr w14:paraId="6A5AC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36" w:hRule="atLeast"/>
          <w:jc w:val="center"/>
        </w:trPr>
        <w:tc>
          <w:tcPr>
            <w:tcW w:w="878" w:type="dxa"/>
            <w:tcBorders>
              <w:top w:val="single" w:color="auto" w:sz="4" w:space="0"/>
              <w:left w:val="single" w:color="auto" w:sz="4" w:space="0"/>
              <w:bottom w:val="single" w:color="auto" w:sz="4" w:space="0"/>
              <w:right w:val="single" w:color="auto" w:sz="4" w:space="0"/>
            </w:tcBorders>
            <w:vAlign w:val="center"/>
          </w:tcPr>
          <w:p w14:paraId="4C6C5A6F">
            <w:pPr>
              <w:spacing w:line="360" w:lineRule="auto"/>
              <w:jc w:val="center"/>
              <w:rPr>
                <w:rFonts w:hint="eastAsia" w:ascii="宋体" w:hAnsi="宋体" w:eastAsia="宋体" w:cs="宋体"/>
                <w:sz w:val="24"/>
                <w:szCs w:val="20"/>
                <w:highlight w:val="none"/>
              </w:rPr>
            </w:pPr>
            <w:r>
              <w:rPr>
                <w:rFonts w:hint="eastAsia" w:ascii="宋体" w:hAnsi="宋体" w:eastAsia="宋体" w:cs="宋体"/>
                <w:sz w:val="24"/>
                <w:szCs w:val="20"/>
                <w:highlight w:val="none"/>
              </w:rPr>
              <w:t>2</w:t>
            </w:r>
          </w:p>
        </w:tc>
        <w:tc>
          <w:tcPr>
            <w:tcW w:w="1805" w:type="dxa"/>
            <w:tcBorders>
              <w:top w:val="single" w:color="auto" w:sz="4" w:space="0"/>
              <w:left w:val="nil"/>
              <w:bottom w:val="single" w:color="auto" w:sz="4" w:space="0"/>
              <w:right w:val="single" w:color="auto" w:sz="4" w:space="0"/>
            </w:tcBorders>
            <w:vAlign w:val="center"/>
          </w:tcPr>
          <w:p w14:paraId="73D62F5C">
            <w:pPr>
              <w:spacing w:line="360" w:lineRule="auto"/>
              <w:jc w:val="center"/>
              <w:rPr>
                <w:rFonts w:hint="eastAsia" w:ascii="宋体" w:hAnsi="宋体" w:eastAsia="宋体" w:cs="宋体"/>
                <w:sz w:val="24"/>
                <w:szCs w:val="20"/>
                <w:highlight w:val="none"/>
              </w:rPr>
            </w:pPr>
          </w:p>
        </w:tc>
        <w:tc>
          <w:tcPr>
            <w:tcW w:w="2348" w:type="dxa"/>
            <w:tcBorders>
              <w:top w:val="single" w:color="auto" w:sz="4" w:space="0"/>
              <w:left w:val="nil"/>
              <w:bottom w:val="single" w:color="auto" w:sz="4" w:space="0"/>
              <w:right w:val="single" w:color="auto" w:sz="4" w:space="0"/>
            </w:tcBorders>
            <w:vAlign w:val="center"/>
          </w:tcPr>
          <w:p w14:paraId="7AE3D0DB">
            <w:pPr>
              <w:spacing w:line="360" w:lineRule="auto"/>
              <w:jc w:val="center"/>
              <w:rPr>
                <w:rFonts w:hint="eastAsia" w:ascii="宋体" w:hAnsi="宋体" w:eastAsia="宋体" w:cs="宋体"/>
                <w:sz w:val="24"/>
                <w:szCs w:val="20"/>
                <w:highlight w:val="none"/>
              </w:rPr>
            </w:pPr>
          </w:p>
        </w:tc>
        <w:tc>
          <w:tcPr>
            <w:tcW w:w="1585" w:type="dxa"/>
            <w:tcBorders>
              <w:top w:val="single" w:color="auto" w:sz="4" w:space="0"/>
              <w:left w:val="nil"/>
              <w:bottom w:val="single" w:color="auto" w:sz="4" w:space="0"/>
              <w:right w:val="single" w:color="auto" w:sz="4" w:space="0"/>
            </w:tcBorders>
            <w:vAlign w:val="center"/>
          </w:tcPr>
          <w:p w14:paraId="10D06C41">
            <w:pPr>
              <w:spacing w:line="360" w:lineRule="auto"/>
              <w:jc w:val="center"/>
              <w:rPr>
                <w:rFonts w:hint="eastAsia" w:ascii="宋体" w:hAnsi="宋体" w:eastAsia="宋体" w:cs="宋体"/>
                <w:sz w:val="24"/>
                <w:szCs w:val="20"/>
                <w:highlight w:val="none"/>
              </w:rPr>
            </w:pPr>
          </w:p>
        </w:tc>
        <w:tc>
          <w:tcPr>
            <w:tcW w:w="1182" w:type="dxa"/>
            <w:tcBorders>
              <w:top w:val="single" w:color="auto" w:sz="4" w:space="0"/>
              <w:left w:val="nil"/>
              <w:bottom w:val="single" w:color="auto" w:sz="4" w:space="0"/>
              <w:right w:val="single" w:color="auto" w:sz="4" w:space="0"/>
            </w:tcBorders>
            <w:vAlign w:val="center"/>
          </w:tcPr>
          <w:p w14:paraId="26D5B57C">
            <w:pPr>
              <w:spacing w:line="360" w:lineRule="auto"/>
              <w:jc w:val="center"/>
              <w:rPr>
                <w:rFonts w:hint="eastAsia" w:ascii="宋体" w:hAnsi="宋体" w:eastAsia="宋体" w:cs="宋体"/>
                <w:sz w:val="24"/>
                <w:szCs w:val="20"/>
                <w:highlight w:val="none"/>
              </w:rPr>
            </w:pPr>
          </w:p>
        </w:tc>
        <w:tc>
          <w:tcPr>
            <w:tcW w:w="900" w:type="dxa"/>
            <w:tcBorders>
              <w:top w:val="single" w:color="auto" w:sz="4" w:space="0"/>
              <w:left w:val="nil"/>
              <w:bottom w:val="single" w:color="auto" w:sz="4" w:space="0"/>
              <w:right w:val="single" w:color="auto" w:sz="4" w:space="0"/>
            </w:tcBorders>
            <w:vAlign w:val="center"/>
          </w:tcPr>
          <w:p w14:paraId="6FA00E8A">
            <w:pPr>
              <w:spacing w:line="360" w:lineRule="auto"/>
              <w:jc w:val="center"/>
              <w:rPr>
                <w:rFonts w:hint="eastAsia" w:ascii="宋体" w:hAnsi="宋体" w:eastAsia="宋体" w:cs="宋体"/>
                <w:sz w:val="24"/>
                <w:szCs w:val="20"/>
                <w:highlight w:val="none"/>
              </w:rPr>
            </w:pPr>
          </w:p>
        </w:tc>
      </w:tr>
      <w:tr w14:paraId="0EB4B6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36" w:hRule="atLeast"/>
          <w:jc w:val="center"/>
        </w:trPr>
        <w:tc>
          <w:tcPr>
            <w:tcW w:w="878" w:type="dxa"/>
            <w:tcBorders>
              <w:top w:val="single" w:color="auto" w:sz="4" w:space="0"/>
              <w:left w:val="single" w:color="auto" w:sz="4" w:space="0"/>
              <w:bottom w:val="single" w:color="auto" w:sz="4" w:space="0"/>
              <w:right w:val="single" w:color="auto" w:sz="4" w:space="0"/>
            </w:tcBorders>
            <w:vAlign w:val="center"/>
          </w:tcPr>
          <w:p w14:paraId="36EBABD6">
            <w:pPr>
              <w:spacing w:line="360" w:lineRule="auto"/>
              <w:jc w:val="center"/>
              <w:rPr>
                <w:rFonts w:hint="eastAsia" w:ascii="宋体" w:hAnsi="宋体" w:eastAsia="宋体" w:cs="宋体"/>
                <w:sz w:val="24"/>
                <w:szCs w:val="20"/>
                <w:highlight w:val="none"/>
              </w:rPr>
            </w:pPr>
            <w:r>
              <w:rPr>
                <w:rFonts w:hint="eastAsia" w:ascii="宋体" w:hAnsi="宋体" w:eastAsia="宋体" w:cs="宋体"/>
                <w:sz w:val="24"/>
                <w:szCs w:val="20"/>
                <w:highlight w:val="none"/>
              </w:rPr>
              <w:t>3</w:t>
            </w:r>
          </w:p>
        </w:tc>
        <w:tc>
          <w:tcPr>
            <w:tcW w:w="1805" w:type="dxa"/>
            <w:tcBorders>
              <w:top w:val="single" w:color="auto" w:sz="4" w:space="0"/>
              <w:left w:val="nil"/>
              <w:bottom w:val="single" w:color="auto" w:sz="4" w:space="0"/>
              <w:right w:val="single" w:color="auto" w:sz="4" w:space="0"/>
            </w:tcBorders>
            <w:vAlign w:val="center"/>
          </w:tcPr>
          <w:p w14:paraId="0A2BF8AD">
            <w:pPr>
              <w:spacing w:line="360" w:lineRule="auto"/>
              <w:jc w:val="center"/>
              <w:rPr>
                <w:rFonts w:hint="eastAsia" w:ascii="宋体" w:hAnsi="宋体" w:eastAsia="宋体" w:cs="宋体"/>
                <w:sz w:val="24"/>
                <w:szCs w:val="20"/>
                <w:highlight w:val="none"/>
              </w:rPr>
            </w:pPr>
          </w:p>
        </w:tc>
        <w:tc>
          <w:tcPr>
            <w:tcW w:w="2348" w:type="dxa"/>
            <w:tcBorders>
              <w:top w:val="single" w:color="auto" w:sz="4" w:space="0"/>
              <w:left w:val="nil"/>
              <w:bottom w:val="single" w:color="auto" w:sz="4" w:space="0"/>
              <w:right w:val="single" w:color="auto" w:sz="4" w:space="0"/>
            </w:tcBorders>
            <w:vAlign w:val="center"/>
          </w:tcPr>
          <w:p w14:paraId="53EFC6B5">
            <w:pPr>
              <w:spacing w:line="360" w:lineRule="auto"/>
              <w:jc w:val="center"/>
              <w:rPr>
                <w:rFonts w:hint="eastAsia" w:ascii="宋体" w:hAnsi="宋体" w:eastAsia="宋体" w:cs="宋体"/>
                <w:sz w:val="24"/>
                <w:szCs w:val="20"/>
                <w:highlight w:val="none"/>
              </w:rPr>
            </w:pPr>
          </w:p>
        </w:tc>
        <w:tc>
          <w:tcPr>
            <w:tcW w:w="1585" w:type="dxa"/>
            <w:tcBorders>
              <w:top w:val="single" w:color="auto" w:sz="4" w:space="0"/>
              <w:left w:val="nil"/>
              <w:bottom w:val="single" w:color="auto" w:sz="4" w:space="0"/>
              <w:right w:val="single" w:color="auto" w:sz="4" w:space="0"/>
            </w:tcBorders>
            <w:vAlign w:val="center"/>
          </w:tcPr>
          <w:p w14:paraId="30A700FF">
            <w:pPr>
              <w:spacing w:line="360" w:lineRule="auto"/>
              <w:jc w:val="center"/>
              <w:rPr>
                <w:rFonts w:hint="eastAsia" w:ascii="宋体" w:hAnsi="宋体" w:eastAsia="宋体" w:cs="宋体"/>
                <w:sz w:val="24"/>
                <w:szCs w:val="20"/>
                <w:highlight w:val="none"/>
              </w:rPr>
            </w:pPr>
          </w:p>
        </w:tc>
        <w:tc>
          <w:tcPr>
            <w:tcW w:w="1182" w:type="dxa"/>
            <w:tcBorders>
              <w:top w:val="single" w:color="auto" w:sz="4" w:space="0"/>
              <w:left w:val="nil"/>
              <w:bottom w:val="single" w:color="auto" w:sz="4" w:space="0"/>
              <w:right w:val="single" w:color="auto" w:sz="4" w:space="0"/>
            </w:tcBorders>
            <w:vAlign w:val="center"/>
          </w:tcPr>
          <w:p w14:paraId="11DDF80D">
            <w:pPr>
              <w:spacing w:line="360" w:lineRule="auto"/>
              <w:jc w:val="center"/>
              <w:rPr>
                <w:rFonts w:hint="eastAsia" w:ascii="宋体" w:hAnsi="宋体" w:eastAsia="宋体" w:cs="宋体"/>
                <w:sz w:val="24"/>
                <w:szCs w:val="20"/>
                <w:highlight w:val="none"/>
              </w:rPr>
            </w:pPr>
          </w:p>
        </w:tc>
        <w:tc>
          <w:tcPr>
            <w:tcW w:w="900" w:type="dxa"/>
            <w:tcBorders>
              <w:top w:val="single" w:color="auto" w:sz="4" w:space="0"/>
              <w:left w:val="nil"/>
              <w:bottom w:val="single" w:color="auto" w:sz="4" w:space="0"/>
              <w:right w:val="single" w:color="auto" w:sz="4" w:space="0"/>
            </w:tcBorders>
            <w:vAlign w:val="center"/>
          </w:tcPr>
          <w:p w14:paraId="0B81D428">
            <w:pPr>
              <w:spacing w:line="360" w:lineRule="auto"/>
              <w:jc w:val="center"/>
              <w:rPr>
                <w:rFonts w:hint="eastAsia" w:ascii="宋体" w:hAnsi="宋体" w:eastAsia="宋体" w:cs="宋体"/>
                <w:sz w:val="24"/>
                <w:szCs w:val="20"/>
                <w:highlight w:val="none"/>
              </w:rPr>
            </w:pPr>
          </w:p>
        </w:tc>
      </w:tr>
      <w:tr w14:paraId="4072D7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36" w:hRule="atLeast"/>
          <w:jc w:val="center"/>
        </w:trPr>
        <w:tc>
          <w:tcPr>
            <w:tcW w:w="878" w:type="dxa"/>
            <w:tcBorders>
              <w:top w:val="single" w:color="auto" w:sz="4" w:space="0"/>
              <w:left w:val="single" w:color="auto" w:sz="4" w:space="0"/>
              <w:bottom w:val="single" w:color="auto" w:sz="4" w:space="0"/>
              <w:right w:val="single" w:color="auto" w:sz="4" w:space="0"/>
            </w:tcBorders>
            <w:vAlign w:val="center"/>
          </w:tcPr>
          <w:p w14:paraId="45C2BBE2">
            <w:pPr>
              <w:spacing w:line="360" w:lineRule="auto"/>
              <w:jc w:val="center"/>
              <w:rPr>
                <w:rFonts w:hint="eastAsia" w:ascii="宋体" w:hAnsi="宋体" w:eastAsia="宋体" w:cs="宋体"/>
                <w:sz w:val="24"/>
                <w:szCs w:val="20"/>
                <w:highlight w:val="none"/>
              </w:rPr>
            </w:pPr>
            <w:r>
              <w:rPr>
                <w:rFonts w:hint="eastAsia" w:ascii="宋体" w:hAnsi="宋体" w:eastAsia="宋体" w:cs="宋体"/>
                <w:sz w:val="24"/>
                <w:szCs w:val="20"/>
                <w:highlight w:val="none"/>
              </w:rPr>
              <w:t>…</w:t>
            </w:r>
          </w:p>
        </w:tc>
        <w:tc>
          <w:tcPr>
            <w:tcW w:w="1805" w:type="dxa"/>
            <w:tcBorders>
              <w:top w:val="single" w:color="auto" w:sz="4" w:space="0"/>
              <w:left w:val="nil"/>
              <w:bottom w:val="single" w:color="auto" w:sz="4" w:space="0"/>
              <w:right w:val="single" w:color="auto" w:sz="4" w:space="0"/>
            </w:tcBorders>
            <w:vAlign w:val="center"/>
          </w:tcPr>
          <w:p w14:paraId="5AAE9601">
            <w:pPr>
              <w:spacing w:line="360" w:lineRule="auto"/>
              <w:jc w:val="center"/>
              <w:rPr>
                <w:rFonts w:hint="eastAsia" w:ascii="宋体" w:hAnsi="宋体" w:eastAsia="宋体" w:cs="宋体"/>
                <w:sz w:val="24"/>
                <w:szCs w:val="20"/>
                <w:highlight w:val="none"/>
              </w:rPr>
            </w:pPr>
          </w:p>
        </w:tc>
        <w:tc>
          <w:tcPr>
            <w:tcW w:w="2348" w:type="dxa"/>
            <w:tcBorders>
              <w:top w:val="single" w:color="auto" w:sz="4" w:space="0"/>
              <w:left w:val="nil"/>
              <w:bottom w:val="single" w:color="auto" w:sz="4" w:space="0"/>
              <w:right w:val="single" w:color="auto" w:sz="4" w:space="0"/>
            </w:tcBorders>
            <w:vAlign w:val="center"/>
          </w:tcPr>
          <w:p w14:paraId="76BD9A72">
            <w:pPr>
              <w:spacing w:line="360" w:lineRule="auto"/>
              <w:jc w:val="center"/>
              <w:rPr>
                <w:rFonts w:hint="eastAsia" w:ascii="宋体" w:hAnsi="宋体" w:eastAsia="宋体" w:cs="宋体"/>
                <w:sz w:val="24"/>
                <w:szCs w:val="20"/>
                <w:highlight w:val="none"/>
              </w:rPr>
            </w:pPr>
          </w:p>
        </w:tc>
        <w:tc>
          <w:tcPr>
            <w:tcW w:w="1585" w:type="dxa"/>
            <w:tcBorders>
              <w:top w:val="single" w:color="auto" w:sz="4" w:space="0"/>
              <w:left w:val="nil"/>
              <w:bottom w:val="single" w:color="auto" w:sz="4" w:space="0"/>
              <w:right w:val="single" w:color="auto" w:sz="4" w:space="0"/>
            </w:tcBorders>
            <w:vAlign w:val="center"/>
          </w:tcPr>
          <w:p w14:paraId="62DB11CE">
            <w:pPr>
              <w:spacing w:line="360" w:lineRule="auto"/>
              <w:jc w:val="center"/>
              <w:rPr>
                <w:rFonts w:hint="eastAsia" w:ascii="宋体" w:hAnsi="宋体" w:eastAsia="宋体" w:cs="宋体"/>
                <w:sz w:val="24"/>
                <w:szCs w:val="20"/>
                <w:highlight w:val="none"/>
              </w:rPr>
            </w:pPr>
          </w:p>
        </w:tc>
        <w:tc>
          <w:tcPr>
            <w:tcW w:w="1182" w:type="dxa"/>
            <w:tcBorders>
              <w:top w:val="single" w:color="auto" w:sz="4" w:space="0"/>
              <w:left w:val="nil"/>
              <w:bottom w:val="single" w:color="auto" w:sz="4" w:space="0"/>
              <w:right w:val="single" w:color="auto" w:sz="4" w:space="0"/>
            </w:tcBorders>
            <w:vAlign w:val="center"/>
          </w:tcPr>
          <w:p w14:paraId="0946F890">
            <w:pPr>
              <w:spacing w:line="360" w:lineRule="auto"/>
              <w:jc w:val="center"/>
              <w:rPr>
                <w:rFonts w:hint="eastAsia" w:ascii="宋体" w:hAnsi="宋体" w:eastAsia="宋体" w:cs="宋体"/>
                <w:sz w:val="24"/>
                <w:szCs w:val="20"/>
                <w:highlight w:val="none"/>
              </w:rPr>
            </w:pPr>
          </w:p>
        </w:tc>
        <w:tc>
          <w:tcPr>
            <w:tcW w:w="900" w:type="dxa"/>
            <w:tcBorders>
              <w:top w:val="single" w:color="auto" w:sz="4" w:space="0"/>
              <w:left w:val="nil"/>
              <w:bottom w:val="single" w:color="auto" w:sz="4" w:space="0"/>
              <w:right w:val="single" w:color="auto" w:sz="4" w:space="0"/>
            </w:tcBorders>
            <w:vAlign w:val="center"/>
          </w:tcPr>
          <w:p w14:paraId="02BA4EEF">
            <w:pPr>
              <w:spacing w:line="360" w:lineRule="auto"/>
              <w:jc w:val="center"/>
              <w:rPr>
                <w:rFonts w:hint="eastAsia" w:ascii="宋体" w:hAnsi="宋体" w:eastAsia="宋体" w:cs="宋体"/>
                <w:sz w:val="24"/>
                <w:szCs w:val="20"/>
                <w:highlight w:val="none"/>
              </w:rPr>
            </w:pPr>
          </w:p>
        </w:tc>
      </w:tr>
      <w:tr w14:paraId="1249B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36" w:hRule="atLeast"/>
          <w:jc w:val="center"/>
        </w:trPr>
        <w:tc>
          <w:tcPr>
            <w:tcW w:w="878" w:type="dxa"/>
            <w:tcBorders>
              <w:top w:val="single" w:color="auto" w:sz="4" w:space="0"/>
              <w:left w:val="single" w:color="auto" w:sz="4" w:space="0"/>
              <w:bottom w:val="single" w:color="auto" w:sz="4" w:space="0"/>
              <w:right w:val="single" w:color="auto" w:sz="4" w:space="0"/>
            </w:tcBorders>
            <w:vAlign w:val="center"/>
          </w:tcPr>
          <w:p w14:paraId="10B4D315">
            <w:pPr>
              <w:spacing w:line="360" w:lineRule="auto"/>
              <w:jc w:val="center"/>
              <w:rPr>
                <w:rFonts w:hint="eastAsia" w:ascii="宋体" w:hAnsi="宋体" w:eastAsia="宋体" w:cs="宋体"/>
                <w:sz w:val="24"/>
                <w:szCs w:val="20"/>
                <w:highlight w:val="none"/>
              </w:rPr>
            </w:pPr>
          </w:p>
        </w:tc>
        <w:tc>
          <w:tcPr>
            <w:tcW w:w="1805" w:type="dxa"/>
            <w:tcBorders>
              <w:top w:val="single" w:color="auto" w:sz="4" w:space="0"/>
              <w:left w:val="nil"/>
              <w:bottom w:val="single" w:color="auto" w:sz="4" w:space="0"/>
              <w:right w:val="single" w:color="auto" w:sz="4" w:space="0"/>
            </w:tcBorders>
            <w:vAlign w:val="center"/>
          </w:tcPr>
          <w:p w14:paraId="041283EE">
            <w:pPr>
              <w:spacing w:line="360" w:lineRule="auto"/>
              <w:jc w:val="center"/>
              <w:rPr>
                <w:rFonts w:hint="eastAsia" w:ascii="宋体" w:hAnsi="宋体" w:eastAsia="宋体" w:cs="宋体"/>
                <w:sz w:val="24"/>
                <w:szCs w:val="20"/>
                <w:highlight w:val="none"/>
              </w:rPr>
            </w:pPr>
          </w:p>
        </w:tc>
        <w:tc>
          <w:tcPr>
            <w:tcW w:w="2348" w:type="dxa"/>
            <w:tcBorders>
              <w:top w:val="single" w:color="auto" w:sz="4" w:space="0"/>
              <w:left w:val="nil"/>
              <w:bottom w:val="single" w:color="auto" w:sz="4" w:space="0"/>
              <w:right w:val="single" w:color="auto" w:sz="4" w:space="0"/>
            </w:tcBorders>
            <w:vAlign w:val="center"/>
          </w:tcPr>
          <w:p w14:paraId="555BF6E2">
            <w:pPr>
              <w:spacing w:line="360" w:lineRule="auto"/>
              <w:jc w:val="center"/>
              <w:rPr>
                <w:rFonts w:hint="eastAsia" w:ascii="宋体" w:hAnsi="宋体" w:eastAsia="宋体" w:cs="宋体"/>
                <w:sz w:val="24"/>
                <w:szCs w:val="20"/>
                <w:highlight w:val="none"/>
              </w:rPr>
            </w:pPr>
          </w:p>
        </w:tc>
        <w:tc>
          <w:tcPr>
            <w:tcW w:w="1585" w:type="dxa"/>
            <w:tcBorders>
              <w:top w:val="single" w:color="auto" w:sz="4" w:space="0"/>
              <w:left w:val="nil"/>
              <w:bottom w:val="single" w:color="auto" w:sz="4" w:space="0"/>
              <w:right w:val="single" w:color="auto" w:sz="4" w:space="0"/>
            </w:tcBorders>
            <w:vAlign w:val="center"/>
          </w:tcPr>
          <w:p w14:paraId="441B297F">
            <w:pPr>
              <w:spacing w:line="360" w:lineRule="auto"/>
              <w:jc w:val="center"/>
              <w:rPr>
                <w:rFonts w:hint="eastAsia" w:ascii="宋体" w:hAnsi="宋体" w:eastAsia="宋体" w:cs="宋体"/>
                <w:sz w:val="24"/>
                <w:szCs w:val="20"/>
                <w:highlight w:val="none"/>
              </w:rPr>
            </w:pPr>
          </w:p>
        </w:tc>
        <w:tc>
          <w:tcPr>
            <w:tcW w:w="1182" w:type="dxa"/>
            <w:tcBorders>
              <w:top w:val="single" w:color="auto" w:sz="4" w:space="0"/>
              <w:left w:val="nil"/>
              <w:bottom w:val="single" w:color="auto" w:sz="4" w:space="0"/>
              <w:right w:val="single" w:color="auto" w:sz="4" w:space="0"/>
            </w:tcBorders>
            <w:vAlign w:val="center"/>
          </w:tcPr>
          <w:p w14:paraId="6113CE78">
            <w:pPr>
              <w:spacing w:line="360" w:lineRule="auto"/>
              <w:jc w:val="center"/>
              <w:rPr>
                <w:rFonts w:hint="eastAsia" w:ascii="宋体" w:hAnsi="宋体" w:eastAsia="宋体" w:cs="宋体"/>
                <w:sz w:val="24"/>
                <w:szCs w:val="20"/>
                <w:highlight w:val="none"/>
              </w:rPr>
            </w:pPr>
          </w:p>
        </w:tc>
        <w:tc>
          <w:tcPr>
            <w:tcW w:w="900" w:type="dxa"/>
            <w:tcBorders>
              <w:top w:val="single" w:color="auto" w:sz="4" w:space="0"/>
              <w:left w:val="nil"/>
              <w:bottom w:val="single" w:color="auto" w:sz="4" w:space="0"/>
              <w:right w:val="single" w:color="auto" w:sz="4" w:space="0"/>
            </w:tcBorders>
            <w:vAlign w:val="center"/>
          </w:tcPr>
          <w:p w14:paraId="4FE4A98F">
            <w:pPr>
              <w:spacing w:line="360" w:lineRule="auto"/>
              <w:jc w:val="center"/>
              <w:rPr>
                <w:rFonts w:hint="eastAsia" w:ascii="宋体" w:hAnsi="宋体" w:eastAsia="宋体" w:cs="宋体"/>
                <w:sz w:val="24"/>
                <w:szCs w:val="20"/>
                <w:highlight w:val="none"/>
              </w:rPr>
            </w:pPr>
          </w:p>
        </w:tc>
      </w:tr>
      <w:tr w14:paraId="4704CC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36" w:hRule="atLeast"/>
          <w:jc w:val="center"/>
        </w:trPr>
        <w:tc>
          <w:tcPr>
            <w:tcW w:w="878" w:type="dxa"/>
            <w:tcBorders>
              <w:top w:val="single" w:color="auto" w:sz="4" w:space="0"/>
              <w:left w:val="single" w:color="auto" w:sz="4" w:space="0"/>
              <w:bottom w:val="single" w:color="auto" w:sz="4" w:space="0"/>
              <w:right w:val="single" w:color="auto" w:sz="4" w:space="0"/>
            </w:tcBorders>
            <w:vAlign w:val="center"/>
          </w:tcPr>
          <w:p w14:paraId="30E0C2C3">
            <w:pPr>
              <w:spacing w:line="360" w:lineRule="auto"/>
              <w:jc w:val="center"/>
              <w:rPr>
                <w:rFonts w:hint="eastAsia" w:ascii="宋体" w:hAnsi="宋体" w:eastAsia="宋体" w:cs="宋体"/>
                <w:sz w:val="24"/>
                <w:szCs w:val="20"/>
                <w:highlight w:val="none"/>
              </w:rPr>
            </w:pPr>
          </w:p>
        </w:tc>
        <w:tc>
          <w:tcPr>
            <w:tcW w:w="1805" w:type="dxa"/>
            <w:tcBorders>
              <w:top w:val="single" w:color="auto" w:sz="4" w:space="0"/>
              <w:left w:val="nil"/>
              <w:bottom w:val="single" w:color="auto" w:sz="4" w:space="0"/>
              <w:right w:val="single" w:color="auto" w:sz="4" w:space="0"/>
            </w:tcBorders>
            <w:vAlign w:val="center"/>
          </w:tcPr>
          <w:p w14:paraId="399C77B3">
            <w:pPr>
              <w:spacing w:line="360" w:lineRule="auto"/>
              <w:jc w:val="center"/>
              <w:rPr>
                <w:rFonts w:hint="eastAsia" w:ascii="宋体" w:hAnsi="宋体" w:eastAsia="宋体" w:cs="宋体"/>
                <w:sz w:val="24"/>
                <w:szCs w:val="20"/>
                <w:highlight w:val="none"/>
              </w:rPr>
            </w:pPr>
          </w:p>
        </w:tc>
        <w:tc>
          <w:tcPr>
            <w:tcW w:w="2348" w:type="dxa"/>
            <w:tcBorders>
              <w:top w:val="single" w:color="auto" w:sz="4" w:space="0"/>
              <w:left w:val="nil"/>
              <w:bottom w:val="single" w:color="auto" w:sz="4" w:space="0"/>
              <w:right w:val="single" w:color="auto" w:sz="4" w:space="0"/>
            </w:tcBorders>
            <w:vAlign w:val="center"/>
          </w:tcPr>
          <w:p w14:paraId="42A8E518">
            <w:pPr>
              <w:spacing w:line="360" w:lineRule="auto"/>
              <w:jc w:val="center"/>
              <w:rPr>
                <w:rFonts w:hint="eastAsia" w:ascii="宋体" w:hAnsi="宋体" w:eastAsia="宋体" w:cs="宋体"/>
                <w:sz w:val="24"/>
                <w:szCs w:val="20"/>
                <w:highlight w:val="none"/>
              </w:rPr>
            </w:pPr>
          </w:p>
        </w:tc>
        <w:tc>
          <w:tcPr>
            <w:tcW w:w="1585" w:type="dxa"/>
            <w:tcBorders>
              <w:top w:val="single" w:color="auto" w:sz="4" w:space="0"/>
              <w:left w:val="nil"/>
              <w:bottom w:val="single" w:color="auto" w:sz="4" w:space="0"/>
              <w:right w:val="single" w:color="auto" w:sz="4" w:space="0"/>
            </w:tcBorders>
            <w:vAlign w:val="center"/>
          </w:tcPr>
          <w:p w14:paraId="6469A61A">
            <w:pPr>
              <w:spacing w:line="360" w:lineRule="auto"/>
              <w:jc w:val="center"/>
              <w:rPr>
                <w:rFonts w:hint="eastAsia" w:ascii="宋体" w:hAnsi="宋体" w:eastAsia="宋体" w:cs="宋体"/>
                <w:sz w:val="24"/>
                <w:szCs w:val="20"/>
                <w:highlight w:val="none"/>
              </w:rPr>
            </w:pPr>
          </w:p>
        </w:tc>
        <w:tc>
          <w:tcPr>
            <w:tcW w:w="1182" w:type="dxa"/>
            <w:tcBorders>
              <w:top w:val="single" w:color="auto" w:sz="4" w:space="0"/>
              <w:left w:val="nil"/>
              <w:bottom w:val="single" w:color="auto" w:sz="4" w:space="0"/>
              <w:right w:val="single" w:color="auto" w:sz="4" w:space="0"/>
            </w:tcBorders>
            <w:vAlign w:val="center"/>
          </w:tcPr>
          <w:p w14:paraId="44163239">
            <w:pPr>
              <w:spacing w:line="360" w:lineRule="auto"/>
              <w:jc w:val="center"/>
              <w:rPr>
                <w:rFonts w:hint="eastAsia" w:ascii="宋体" w:hAnsi="宋体" w:eastAsia="宋体" w:cs="宋体"/>
                <w:sz w:val="24"/>
                <w:szCs w:val="20"/>
                <w:highlight w:val="none"/>
              </w:rPr>
            </w:pPr>
          </w:p>
        </w:tc>
        <w:tc>
          <w:tcPr>
            <w:tcW w:w="900" w:type="dxa"/>
            <w:tcBorders>
              <w:top w:val="single" w:color="auto" w:sz="4" w:space="0"/>
              <w:left w:val="nil"/>
              <w:bottom w:val="single" w:color="auto" w:sz="4" w:space="0"/>
              <w:right w:val="single" w:color="auto" w:sz="4" w:space="0"/>
            </w:tcBorders>
            <w:vAlign w:val="center"/>
          </w:tcPr>
          <w:p w14:paraId="22919B70">
            <w:pPr>
              <w:spacing w:line="360" w:lineRule="auto"/>
              <w:jc w:val="center"/>
              <w:rPr>
                <w:rFonts w:hint="eastAsia" w:ascii="宋体" w:hAnsi="宋体" w:eastAsia="宋体" w:cs="宋体"/>
                <w:sz w:val="24"/>
                <w:szCs w:val="20"/>
                <w:highlight w:val="none"/>
              </w:rPr>
            </w:pPr>
          </w:p>
        </w:tc>
      </w:tr>
      <w:tr w14:paraId="603E3F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67" w:hRule="atLeast"/>
          <w:jc w:val="center"/>
        </w:trPr>
        <w:tc>
          <w:tcPr>
            <w:tcW w:w="878" w:type="dxa"/>
            <w:tcBorders>
              <w:top w:val="single" w:color="auto" w:sz="4" w:space="0"/>
              <w:left w:val="single" w:color="auto" w:sz="4" w:space="0"/>
              <w:bottom w:val="single" w:color="auto" w:sz="4" w:space="0"/>
              <w:right w:val="single" w:color="auto" w:sz="4" w:space="0"/>
            </w:tcBorders>
            <w:vAlign w:val="center"/>
          </w:tcPr>
          <w:p w14:paraId="1E1DF9FE">
            <w:pPr>
              <w:spacing w:line="360" w:lineRule="auto"/>
              <w:jc w:val="center"/>
              <w:rPr>
                <w:rFonts w:hint="eastAsia" w:ascii="宋体" w:hAnsi="宋体" w:eastAsia="宋体" w:cs="宋体"/>
                <w:sz w:val="24"/>
                <w:szCs w:val="20"/>
                <w:highlight w:val="none"/>
              </w:rPr>
            </w:pPr>
          </w:p>
        </w:tc>
        <w:tc>
          <w:tcPr>
            <w:tcW w:w="1805" w:type="dxa"/>
            <w:tcBorders>
              <w:top w:val="single" w:color="auto" w:sz="4" w:space="0"/>
              <w:left w:val="nil"/>
              <w:bottom w:val="single" w:color="auto" w:sz="4" w:space="0"/>
              <w:right w:val="single" w:color="auto" w:sz="4" w:space="0"/>
            </w:tcBorders>
            <w:vAlign w:val="center"/>
          </w:tcPr>
          <w:p w14:paraId="7F0C4735">
            <w:pPr>
              <w:spacing w:line="360" w:lineRule="auto"/>
              <w:jc w:val="center"/>
              <w:rPr>
                <w:rFonts w:hint="eastAsia" w:ascii="宋体" w:hAnsi="宋体" w:eastAsia="宋体" w:cs="宋体"/>
                <w:sz w:val="24"/>
                <w:szCs w:val="20"/>
                <w:highlight w:val="none"/>
              </w:rPr>
            </w:pPr>
          </w:p>
        </w:tc>
        <w:tc>
          <w:tcPr>
            <w:tcW w:w="2348" w:type="dxa"/>
            <w:tcBorders>
              <w:top w:val="single" w:color="auto" w:sz="4" w:space="0"/>
              <w:left w:val="nil"/>
              <w:bottom w:val="single" w:color="auto" w:sz="4" w:space="0"/>
              <w:right w:val="single" w:color="auto" w:sz="4" w:space="0"/>
            </w:tcBorders>
            <w:vAlign w:val="center"/>
          </w:tcPr>
          <w:p w14:paraId="1514B677">
            <w:pPr>
              <w:spacing w:line="360" w:lineRule="auto"/>
              <w:jc w:val="center"/>
              <w:rPr>
                <w:rFonts w:hint="eastAsia" w:ascii="宋体" w:hAnsi="宋体" w:eastAsia="宋体" w:cs="宋体"/>
                <w:sz w:val="24"/>
                <w:szCs w:val="20"/>
                <w:highlight w:val="none"/>
              </w:rPr>
            </w:pPr>
          </w:p>
        </w:tc>
        <w:tc>
          <w:tcPr>
            <w:tcW w:w="1585" w:type="dxa"/>
            <w:tcBorders>
              <w:top w:val="single" w:color="auto" w:sz="4" w:space="0"/>
              <w:left w:val="nil"/>
              <w:bottom w:val="single" w:color="auto" w:sz="4" w:space="0"/>
              <w:right w:val="single" w:color="auto" w:sz="4" w:space="0"/>
            </w:tcBorders>
            <w:vAlign w:val="center"/>
          </w:tcPr>
          <w:p w14:paraId="56A8B098">
            <w:pPr>
              <w:spacing w:line="360" w:lineRule="auto"/>
              <w:jc w:val="center"/>
              <w:rPr>
                <w:rFonts w:hint="eastAsia" w:ascii="宋体" w:hAnsi="宋体" w:eastAsia="宋体" w:cs="宋体"/>
                <w:sz w:val="24"/>
                <w:szCs w:val="20"/>
                <w:highlight w:val="none"/>
              </w:rPr>
            </w:pPr>
          </w:p>
        </w:tc>
        <w:tc>
          <w:tcPr>
            <w:tcW w:w="1182" w:type="dxa"/>
            <w:tcBorders>
              <w:top w:val="single" w:color="auto" w:sz="4" w:space="0"/>
              <w:left w:val="nil"/>
              <w:bottom w:val="single" w:color="auto" w:sz="4" w:space="0"/>
              <w:right w:val="single" w:color="auto" w:sz="4" w:space="0"/>
            </w:tcBorders>
            <w:vAlign w:val="center"/>
          </w:tcPr>
          <w:p w14:paraId="208BAE5B">
            <w:pPr>
              <w:spacing w:line="360" w:lineRule="auto"/>
              <w:jc w:val="center"/>
              <w:rPr>
                <w:rFonts w:hint="eastAsia" w:ascii="宋体" w:hAnsi="宋体" w:eastAsia="宋体" w:cs="宋体"/>
                <w:sz w:val="24"/>
                <w:szCs w:val="20"/>
                <w:highlight w:val="none"/>
              </w:rPr>
            </w:pPr>
          </w:p>
        </w:tc>
        <w:tc>
          <w:tcPr>
            <w:tcW w:w="900" w:type="dxa"/>
            <w:tcBorders>
              <w:top w:val="single" w:color="auto" w:sz="4" w:space="0"/>
              <w:left w:val="nil"/>
              <w:bottom w:val="single" w:color="auto" w:sz="4" w:space="0"/>
              <w:right w:val="single" w:color="auto" w:sz="4" w:space="0"/>
            </w:tcBorders>
            <w:vAlign w:val="center"/>
          </w:tcPr>
          <w:p w14:paraId="29ACAB8E">
            <w:pPr>
              <w:spacing w:line="360" w:lineRule="auto"/>
              <w:jc w:val="center"/>
              <w:rPr>
                <w:rFonts w:hint="eastAsia" w:ascii="宋体" w:hAnsi="宋体" w:eastAsia="宋体" w:cs="宋体"/>
                <w:sz w:val="24"/>
                <w:szCs w:val="20"/>
                <w:highlight w:val="none"/>
              </w:rPr>
            </w:pPr>
          </w:p>
        </w:tc>
      </w:tr>
    </w:tbl>
    <w:p w14:paraId="4F26482D">
      <w:pPr>
        <w:spacing w:line="360" w:lineRule="auto"/>
        <w:rPr>
          <w:rFonts w:hint="eastAsia" w:ascii="宋体" w:hAnsi="宋体" w:eastAsia="宋体" w:cs="宋体"/>
          <w:b/>
          <w:bCs/>
          <w:sz w:val="24"/>
          <w:szCs w:val="20"/>
          <w:highlight w:val="none"/>
        </w:rPr>
      </w:pPr>
      <w:r>
        <w:rPr>
          <w:rFonts w:hint="eastAsia" w:ascii="宋体" w:hAnsi="宋体" w:eastAsia="宋体" w:cs="宋体"/>
          <w:b/>
          <w:bCs/>
          <w:sz w:val="24"/>
          <w:szCs w:val="20"/>
          <w:highlight w:val="none"/>
        </w:rPr>
        <w:t>注：响应人应对照竞争性磋商文件技术规格要求，反映所提供货物和服务对竞争性磋商文件的技术规格要求的全部正/负偏离（优于竞争性磋商文件要求的为正偏离、低于竞争性磋商文件要求得为负偏离）情况。未在本表中做出偏离说明的项目，视为与竞争性磋商文件要求一致；在本表中做出偏离说明的项目，响应人必须提供所投设备的具体参数值，并在技术标中提供详细资料。</w:t>
      </w:r>
    </w:p>
    <w:p w14:paraId="0AABB63A">
      <w:pPr>
        <w:spacing w:line="360" w:lineRule="auto"/>
        <w:ind w:firstLine="3360" w:firstLineChars="1400"/>
        <w:rPr>
          <w:rFonts w:hint="eastAsia" w:ascii="宋体" w:hAnsi="宋体" w:eastAsia="宋体" w:cs="宋体"/>
          <w:sz w:val="24"/>
          <w:szCs w:val="20"/>
          <w:highlight w:val="none"/>
        </w:rPr>
      </w:pPr>
    </w:p>
    <w:p w14:paraId="787A744E">
      <w:pPr>
        <w:spacing w:line="360" w:lineRule="auto"/>
        <w:ind w:firstLine="3360" w:firstLineChars="1400"/>
        <w:rPr>
          <w:rFonts w:hint="eastAsia" w:ascii="宋体" w:hAnsi="宋体" w:eastAsia="宋体" w:cs="宋体"/>
          <w:sz w:val="24"/>
          <w:szCs w:val="20"/>
          <w:highlight w:val="none"/>
          <w:u w:val="single"/>
        </w:rPr>
      </w:pPr>
      <w:r>
        <w:rPr>
          <w:rFonts w:hint="eastAsia" w:ascii="宋体" w:hAnsi="宋体" w:eastAsia="宋体" w:cs="宋体"/>
          <w:sz w:val="24"/>
          <w:szCs w:val="20"/>
          <w:highlight w:val="none"/>
        </w:rPr>
        <w:t>供应商名称：</w:t>
      </w:r>
      <w:r>
        <w:rPr>
          <w:rFonts w:hint="eastAsia" w:ascii="宋体" w:hAnsi="宋体" w:eastAsia="宋体" w:cs="宋体"/>
          <w:sz w:val="24"/>
          <w:szCs w:val="20"/>
          <w:highlight w:val="none"/>
          <w:u w:val="single"/>
        </w:rPr>
        <w:t xml:space="preserve">              </w:t>
      </w:r>
      <w:r>
        <w:rPr>
          <w:rFonts w:hint="eastAsia" w:ascii="宋体" w:hAnsi="宋体" w:eastAsia="宋体" w:cs="宋体"/>
          <w:sz w:val="24"/>
          <w:szCs w:val="20"/>
          <w:highlight w:val="none"/>
        </w:rPr>
        <w:t>（盖单位章）</w:t>
      </w:r>
    </w:p>
    <w:p w14:paraId="0CCCDF1B">
      <w:pPr>
        <w:spacing w:line="360" w:lineRule="auto"/>
        <w:ind w:right="-340" w:rightChars="-162" w:firstLine="3360" w:firstLineChars="1400"/>
        <w:rPr>
          <w:rFonts w:hint="eastAsia" w:ascii="宋体" w:hAnsi="宋体" w:eastAsia="宋体" w:cs="宋体"/>
          <w:sz w:val="24"/>
          <w:szCs w:val="20"/>
          <w:highlight w:val="none"/>
        </w:rPr>
      </w:pPr>
      <w:r>
        <w:rPr>
          <w:rFonts w:hint="eastAsia" w:ascii="宋体" w:hAnsi="宋体" w:eastAsia="宋体" w:cs="宋体"/>
          <w:sz w:val="24"/>
          <w:szCs w:val="20"/>
          <w:highlight w:val="none"/>
        </w:rPr>
        <w:t>日    期：</w:t>
      </w:r>
      <w:r>
        <w:rPr>
          <w:rFonts w:hint="eastAsia" w:ascii="宋体" w:hAnsi="宋体" w:eastAsia="宋体" w:cs="宋体"/>
          <w:sz w:val="24"/>
          <w:szCs w:val="20"/>
          <w:highlight w:val="none"/>
          <w:u w:val="single"/>
        </w:rPr>
        <w:t xml:space="preserve">     </w:t>
      </w:r>
      <w:r>
        <w:rPr>
          <w:rFonts w:hint="eastAsia" w:ascii="宋体" w:hAnsi="宋体" w:eastAsia="宋体" w:cs="宋体"/>
          <w:sz w:val="24"/>
          <w:szCs w:val="20"/>
          <w:highlight w:val="none"/>
        </w:rPr>
        <w:t>年</w:t>
      </w:r>
      <w:r>
        <w:rPr>
          <w:rFonts w:hint="eastAsia" w:ascii="宋体" w:hAnsi="宋体" w:eastAsia="宋体" w:cs="宋体"/>
          <w:sz w:val="24"/>
          <w:szCs w:val="20"/>
          <w:highlight w:val="none"/>
          <w:u w:val="single"/>
        </w:rPr>
        <w:t xml:space="preserve">      </w:t>
      </w:r>
      <w:r>
        <w:rPr>
          <w:rFonts w:hint="eastAsia" w:ascii="宋体" w:hAnsi="宋体" w:eastAsia="宋体" w:cs="宋体"/>
          <w:sz w:val="24"/>
          <w:szCs w:val="20"/>
          <w:highlight w:val="none"/>
        </w:rPr>
        <w:t>月</w:t>
      </w:r>
      <w:r>
        <w:rPr>
          <w:rFonts w:hint="eastAsia" w:ascii="宋体" w:hAnsi="宋体" w:eastAsia="宋体" w:cs="宋体"/>
          <w:sz w:val="24"/>
          <w:szCs w:val="20"/>
          <w:highlight w:val="none"/>
          <w:u w:val="single"/>
        </w:rPr>
        <w:t xml:space="preserve">      </w:t>
      </w:r>
      <w:r>
        <w:rPr>
          <w:rFonts w:hint="eastAsia" w:ascii="宋体" w:hAnsi="宋体" w:eastAsia="宋体" w:cs="宋体"/>
          <w:sz w:val="24"/>
          <w:szCs w:val="20"/>
          <w:highlight w:val="none"/>
        </w:rPr>
        <w:t>日</w:t>
      </w:r>
    </w:p>
    <w:p w14:paraId="2A97D192">
      <w:pPr>
        <w:widowControl/>
        <w:jc w:val="left"/>
        <w:rPr>
          <w:rFonts w:hint="eastAsia" w:ascii="宋体" w:hAnsi="宋体" w:cs="宋体"/>
          <w:szCs w:val="24"/>
          <w:highlight w:val="none"/>
        </w:rPr>
      </w:pPr>
    </w:p>
    <w:p w14:paraId="1D4FA1D0">
      <w:pPr>
        <w:widowControl/>
        <w:jc w:val="left"/>
        <w:rPr>
          <w:highlight w:val="none"/>
        </w:rPr>
      </w:pPr>
      <w:r>
        <w:rPr>
          <w:highlight w:val="none"/>
        </w:rPr>
        <w:br w:type="page"/>
      </w:r>
    </w:p>
    <w:p w14:paraId="12FF5EE3">
      <w:pPr>
        <w:pStyle w:val="7"/>
        <w:jc w:val="center"/>
        <w:rPr>
          <w:highlight w:val="none"/>
        </w:rPr>
      </w:pPr>
      <w:bookmarkStart w:id="278" w:name="_Toc21996"/>
      <w:r>
        <w:rPr>
          <w:rFonts w:hint="eastAsia"/>
          <w:highlight w:val="none"/>
        </w:rPr>
        <w:t>七、技术标部分</w:t>
      </w:r>
      <w:bookmarkEnd w:id="274"/>
      <w:bookmarkEnd w:id="275"/>
      <w:bookmarkEnd w:id="276"/>
      <w:bookmarkEnd w:id="278"/>
    </w:p>
    <w:p w14:paraId="69E7F863">
      <w:pPr>
        <w:spacing w:line="500" w:lineRule="exact"/>
        <w:jc w:val="center"/>
        <w:rPr>
          <w:rFonts w:hint="eastAsia" w:ascii="宋体" w:hAnsi="宋体" w:cs="宋体"/>
          <w:sz w:val="22"/>
          <w:highlight w:val="none"/>
        </w:rPr>
      </w:pPr>
      <w:r>
        <w:rPr>
          <w:rFonts w:hint="eastAsia" w:ascii="宋体" w:hAnsi="宋体" w:cs="宋体"/>
          <w:sz w:val="22"/>
          <w:highlight w:val="none"/>
        </w:rPr>
        <w:t>（格式自拟）</w:t>
      </w:r>
    </w:p>
    <w:p w14:paraId="0330EA93">
      <w:pPr>
        <w:rPr>
          <w:highlight w:val="none"/>
        </w:rPr>
      </w:pPr>
      <w:bookmarkStart w:id="279" w:name="_Toc12073"/>
      <w:bookmarkEnd w:id="279"/>
      <w:r>
        <w:rPr>
          <w:rFonts w:hint="eastAsia"/>
          <w:highlight w:val="none"/>
        </w:rPr>
        <w:br w:type="page"/>
      </w:r>
      <w:bookmarkStart w:id="280" w:name="_Toc2770"/>
      <w:bookmarkEnd w:id="280"/>
      <w:bookmarkStart w:id="281" w:name="_Toc20210"/>
      <w:bookmarkStart w:id="282" w:name="_Toc4724"/>
    </w:p>
    <w:p w14:paraId="06A3BF81">
      <w:pPr>
        <w:pStyle w:val="7"/>
        <w:jc w:val="center"/>
        <w:rPr>
          <w:highlight w:val="none"/>
        </w:rPr>
      </w:pPr>
      <w:bookmarkStart w:id="283" w:name="_Toc26781"/>
      <w:r>
        <w:rPr>
          <w:rFonts w:hint="eastAsia"/>
          <w:highlight w:val="none"/>
        </w:rPr>
        <w:t>八、供应商资格证明</w:t>
      </w:r>
      <w:bookmarkEnd w:id="281"/>
      <w:bookmarkEnd w:id="282"/>
      <w:r>
        <w:rPr>
          <w:rFonts w:hint="eastAsia"/>
          <w:highlight w:val="none"/>
        </w:rPr>
        <w:t>材料</w:t>
      </w:r>
      <w:bookmarkEnd w:id="283"/>
    </w:p>
    <w:p w14:paraId="52F670E3">
      <w:pPr>
        <w:jc w:val="center"/>
        <w:rPr>
          <w:rFonts w:hint="eastAsia" w:ascii="宋体" w:hAnsi="宋体" w:cs="宋体"/>
          <w:sz w:val="24"/>
          <w:highlight w:val="none"/>
        </w:rPr>
      </w:pPr>
      <w:bookmarkStart w:id="284" w:name="_Toc361989464"/>
      <w:bookmarkEnd w:id="284"/>
      <w:r>
        <w:rPr>
          <w:rFonts w:hint="eastAsia" w:ascii="宋体" w:hAnsi="宋体" w:cs="宋体"/>
          <w:sz w:val="24"/>
          <w:highlight w:val="none"/>
        </w:rPr>
        <w:br w:type="page"/>
      </w:r>
      <w:bookmarkStart w:id="285" w:name="_Toc528078075"/>
      <w:bookmarkEnd w:id="285"/>
      <w:bookmarkStart w:id="286" w:name="_Toc361989466"/>
      <w:bookmarkEnd w:id="286"/>
      <w:bookmarkStart w:id="287" w:name="_Toc234213567"/>
      <w:bookmarkEnd w:id="287"/>
      <w:bookmarkStart w:id="288" w:name="_Toc361989467"/>
      <w:bookmarkEnd w:id="288"/>
      <w:bookmarkStart w:id="289" w:name="_Toc244934216"/>
      <w:bookmarkEnd w:id="289"/>
      <w:bookmarkStart w:id="290" w:name="_Toc7868"/>
    </w:p>
    <w:p w14:paraId="535587B3">
      <w:pPr>
        <w:pStyle w:val="7"/>
        <w:jc w:val="center"/>
        <w:rPr>
          <w:highlight w:val="none"/>
        </w:rPr>
      </w:pPr>
      <w:bookmarkStart w:id="291" w:name="_Toc21708"/>
      <w:r>
        <w:rPr>
          <w:rFonts w:hint="eastAsia"/>
          <w:highlight w:val="none"/>
        </w:rPr>
        <w:t>九、</w:t>
      </w:r>
      <w:bookmarkEnd w:id="290"/>
      <w:r>
        <w:rPr>
          <w:rFonts w:hint="eastAsia"/>
          <w:highlight w:val="none"/>
        </w:rPr>
        <w:t>商务标部分</w:t>
      </w:r>
      <w:bookmarkEnd w:id="291"/>
    </w:p>
    <w:p w14:paraId="1343C761">
      <w:pPr>
        <w:jc w:val="center"/>
        <w:outlineLvl w:val="2"/>
        <w:rPr>
          <w:rFonts w:hint="eastAsia" w:ascii="宋体" w:hAnsi="宋体" w:cs="宋体"/>
          <w:b/>
          <w:bCs/>
          <w:sz w:val="24"/>
          <w:highlight w:val="none"/>
        </w:rPr>
      </w:pPr>
      <w:bookmarkStart w:id="292" w:name="_Toc21162"/>
      <w:r>
        <w:rPr>
          <w:rFonts w:hint="eastAsia" w:ascii="宋体" w:hAnsi="宋体" w:cs="宋体"/>
          <w:b/>
          <w:bCs/>
          <w:sz w:val="24"/>
          <w:highlight w:val="none"/>
        </w:rPr>
        <w:t>（格式自拟）</w:t>
      </w:r>
      <w:bookmarkEnd w:id="292"/>
    </w:p>
    <w:p w14:paraId="2A44968D">
      <w:pPr>
        <w:jc w:val="center"/>
        <w:rPr>
          <w:rFonts w:hint="eastAsia" w:ascii="宋体" w:hAnsi="宋体" w:cs="宋体"/>
          <w:b/>
          <w:bCs/>
          <w:sz w:val="24"/>
          <w:highlight w:val="none"/>
        </w:rPr>
      </w:pPr>
      <w:r>
        <w:rPr>
          <w:rFonts w:hint="eastAsia" w:ascii="宋体" w:hAnsi="宋体" w:cs="宋体"/>
          <w:b/>
          <w:bCs/>
          <w:sz w:val="24"/>
          <w:highlight w:val="none"/>
        </w:rPr>
        <w:br w:type="page"/>
      </w:r>
    </w:p>
    <w:p w14:paraId="24506F8C">
      <w:pPr>
        <w:ind w:firstLine="420"/>
        <w:jc w:val="center"/>
        <w:rPr>
          <w:rFonts w:hint="eastAsia" w:ascii="宋体" w:hAnsi="宋体" w:cs="宋体"/>
          <w:b/>
          <w:bCs/>
          <w:sz w:val="24"/>
          <w:highlight w:val="none"/>
        </w:rPr>
      </w:pPr>
    </w:p>
    <w:p w14:paraId="3CD41CE9">
      <w:pPr>
        <w:pStyle w:val="7"/>
        <w:jc w:val="center"/>
        <w:rPr>
          <w:highlight w:val="none"/>
        </w:rPr>
      </w:pPr>
      <w:bookmarkStart w:id="293" w:name="_Toc528078076"/>
      <w:bookmarkEnd w:id="293"/>
      <w:bookmarkStart w:id="294" w:name="_Toc244934217"/>
      <w:bookmarkEnd w:id="294"/>
      <w:bookmarkStart w:id="295" w:name="_Toc361989468"/>
      <w:bookmarkEnd w:id="295"/>
      <w:bookmarkStart w:id="296" w:name="_Toc17473"/>
      <w:bookmarkStart w:id="297" w:name="_Toc23775"/>
      <w:r>
        <w:rPr>
          <w:rFonts w:hint="eastAsia"/>
          <w:highlight w:val="none"/>
        </w:rPr>
        <w:t>十、其他资料</w:t>
      </w:r>
      <w:bookmarkEnd w:id="296"/>
      <w:bookmarkEnd w:id="297"/>
    </w:p>
    <w:p w14:paraId="3065E253">
      <w:pPr>
        <w:jc w:val="center"/>
        <w:rPr>
          <w:rFonts w:hint="eastAsia" w:ascii="宋体" w:hAnsi="宋体" w:cs="宋体"/>
          <w:b/>
          <w:bCs/>
          <w:sz w:val="24"/>
          <w:highlight w:val="none"/>
        </w:rPr>
      </w:pPr>
    </w:p>
    <w:p w14:paraId="4FA84F29">
      <w:pPr>
        <w:jc w:val="center"/>
        <w:outlineLvl w:val="0"/>
        <w:rPr>
          <w:rFonts w:hint="eastAsia" w:ascii="宋体" w:hAnsi="宋体" w:cs="宋体"/>
          <w:b/>
          <w:bCs/>
          <w:sz w:val="24"/>
          <w:highlight w:val="none"/>
        </w:rPr>
      </w:pPr>
      <w:bookmarkStart w:id="298" w:name="_Toc30780"/>
      <w:bookmarkStart w:id="299" w:name="_Toc5157"/>
      <w:bookmarkStart w:id="300" w:name="_Toc21993"/>
      <w:bookmarkStart w:id="301" w:name="_Toc24855"/>
      <w:bookmarkStart w:id="302" w:name="_Toc9253"/>
      <w:bookmarkStart w:id="303" w:name="_Toc22165"/>
      <w:r>
        <w:rPr>
          <w:rFonts w:hint="eastAsia" w:ascii="宋体" w:hAnsi="宋体" w:cs="宋体"/>
          <w:b/>
          <w:bCs/>
          <w:sz w:val="24"/>
          <w:highlight w:val="none"/>
        </w:rPr>
        <w:t>（供应商认为应该提交的资料）</w:t>
      </w:r>
      <w:bookmarkEnd w:id="298"/>
      <w:bookmarkEnd w:id="299"/>
      <w:bookmarkEnd w:id="300"/>
      <w:bookmarkEnd w:id="301"/>
      <w:bookmarkEnd w:id="302"/>
      <w:bookmarkEnd w:id="303"/>
    </w:p>
    <w:p w14:paraId="06F1BCE7">
      <w:pPr>
        <w:jc w:val="center"/>
        <w:rPr>
          <w:rFonts w:hint="eastAsia" w:ascii="宋体" w:hAnsi="宋体" w:cs="宋体"/>
          <w:b/>
          <w:bCs/>
          <w:sz w:val="24"/>
          <w:highlight w:val="none"/>
        </w:rPr>
      </w:pPr>
    </w:p>
    <w:p w14:paraId="02E897B4">
      <w:pPr>
        <w:rPr>
          <w:rFonts w:hint="eastAsia" w:ascii="宋体" w:hAnsi="宋体" w:cs="宋体"/>
          <w:b/>
          <w:bCs/>
          <w:sz w:val="24"/>
          <w:highlight w:val="none"/>
        </w:rPr>
      </w:pPr>
      <w:r>
        <w:rPr>
          <w:rFonts w:hint="eastAsia" w:ascii="宋体" w:hAnsi="宋体" w:cs="宋体"/>
          <w:b/>
          <w:bCs/>
          <w:sz w:val="24"/>
          <w:highlight w:val="none"/>
        </w:rPr>
        <w:t xml:space="preserve"> </w:t>
      </w:r>
    </w:p>
    <w:p w14:paraId="30108731">
      <w:pPr>
        <w:rPr>
          <w:rFonts w:hint="eastAsia" w:ascii="宋体" w:hAnsi="宋体" w:cs="宋体"/>
          <w:b/>
          <w:bCs/>
          <w:sz w:val="24"/>
          <w:highlight w:val="none"/>
        </w:rPr>
      </w:pPr>
      <w:r>
        <w:rPr>
          <w:rFonts w:hint="eastAsia" w:ascii="宋体" w:hAnsi="宋体" w:cs="宋体"/>
          <w:b/>
          <w:bCs/>
          <w:sz w:val="24"/>
          <w:highlight w:val="none"/>
        </w:rPr>
        <w:t xml:space="preserve"> </w:t>
      </w:r>
    </w:p>
    <w:p w14:paraId="051F427E">
      <w:pPr>
        <w:rPr>
          <w:rFonts w:hint="eastAsia" w:ascii="宋体" w:hAnsi="宋体" w:cs="宋体"/>
          <w:b/>
          <w:bCs/>
          <w:sz w:val="24"/>
          <w:highlight w:val="none"/>
        </w:rPr>
      </w:pPr>
      <w:r>
        <w:rPr>
          <w:rFonts w:hint="eastAsia" w:ascii="宋体" w:hAnsi="宋体" w:cs="宋体"/>
          <w:b/>
          <w:bCs/>
          <w:sz w:val="24"/>
          <w:highlight w:val="none"/>
        </w:rPr>
        <w:t xml:space="preserve"> </w:t>
      </w:r>
    </w:p>
    <w:p w14:paraId="1B467E2B">
      <w:pPr>
        <w:rPr>
          <w:rFonts w:hint="eastAsia" w:ascii="宋体" w:hAnsi="宋体" w:cs="宋体"/>
          <w:b/>
          <w:bCs/>
          <w:sz w:val="24"/>
          <w:highlight w:val="none"/>
        </w:rPr>
      </w:pPr>
      <w:r>
        <w:rPr>
          <w:rFonts w:hint="eastAsia" w:ascii="宋体" w:hAnsi="宋体" w:cs="宋体"/>
          <w:b/>
          <w:bCs/>
          <w:sz w:val="24"/>
          <w:highlight w:val="none"/>
        </w:rPr>
        <w:t xml:space="preserve"> </w:t>
      </w:r>
    </w:p>
    <w:p w14:paraId="7A62F968">
      <w:pPr>
        <w:rPr>
          <w:rFonts w:hint="eastAsia" w:ascii="宋体" w:hAnsi="宋体" w:cs="宋体"/>
          <w:b/>
          <w:bCs/>
          <w:sz w:val="24"/>
          <w:highlight w:val="none"/>
        </w:rPr>
      </w:pPr>
      <w:r>
        <w:rPr>
          <w:rFonts w:hint="eastAsia" w:ascii="宋体" w:hAnsi="宋体" w:cs="宋体"/>
          <w:b/>
          <w:bCs/>
          <w:sz w:val="24"/>
          <w:highlight w:val="none"/>
        </w:rPr>
        <w:t xml:space="preserve"> </w:t>
      </w:r>
    </w:p>
    <w:p w14:paraId="4206F70E">
      <w:pPr>
        <w:rPr>
          <w:rFonts w:hint="eastAsia" w:ascii="宋体" w:hAnsi="宋体" w:cs="宋体"/>
          <w:b/>
          <w:bCs/>
          <w:sz w:val="24"/>
          <w:highlight w:val="none"/>
        </w:rPr>
      </w:pPr>
      <w:r>
        <w:rPr>
          <w:rFonts w:hint="eastAsia" w:ascii="宋体" w:hAnsi="宋体" w:cs="宋体"/>
          <w:b/>
          <w:bCs/>
          <w:sz w:val="24"/>
          <w:highlight w:val="none"/>
        </w:rPr>
        <w:t xml:space="preserve"> </w:t>
      </w:r>
    </w:p>
    <w:p w14:paraId="204099B2">
      <w:pPr>
        <w:rPr>
          <w:rFonts w:hint="eastAsia" w:ascii="宋体" w:hAnsi="宋体" w:cs="宋体"/>
          <w:b/>
          <w:bCs/>
          <w:sz w:val="24"/>
          <w:highlight w:val="none"/>
        </w:rPr>
      </w:pPr>
      <w:r>
        <w:rPr>
          <w:rFonts w:hint="eastAsia" w:ascii="宋体" w:hAnsi="宋体" w:cs="宋体"/>
          <w:b/>
          <w:bCs/>
          <w:sz w:val="24"/>
          <w:highlight w:val="none"/>
        </w:rPr>
        <w:t xml:space="preserve"> </w:t>
      </w:r>
    </w:p>
    <w:p w14:paraId="695511AF">
      <w:pPr>
        <w:rPr>
          <w:rFonts w:hint="eastAsia" w:ascii="宋体" w:hAnsi="宋体" w:cs="宋体"/>
          <w:b/>
          <w:bCs/>
          <w:sz w:val="24"/>
          <w:highlight w:val="none"/>
        </w:rPr>
      </w:pPr>
      <w:r>
        <w:rPr>
          <w:rFonts w:hint="eastAsia" w:ascii="宋体" w:hAnsi="宋体" w:cs="宋体"/>
          <w:b/>
          <w:bCs/>
          <w:sz w:val="24"/>
          <w:highlight w:val="none"/>
        </w:rPr>
        <w:t xml:space="preserve"> </w:t>
      </w:r>
    </w:p>
    <w:p w14:paraId="7F946679">
      <w:pPr>
        <w:rPr>
          <w:rFonts w:hint="eastAsia" w:ascii="宋体" w:hAnsi="宋体" w:cs="宋体"/>
          <w:b/>
          <w:bCs/>
          <w:sz w:val="24"/>
          <w:highlight w:val="none"/>
        </w:rPr>
      </w:pPr>
      <w:r>
        <w:rPr>
          <w:rFonts w:hint="eastAsia" w:ascii="宋体" w:hAnsi="宋体" w:cs="宋体"/>
          <w:b/>
          <w:bCs/>
          <w:sz w:val="24"/>
          <w:highlight w:val="none"/>
        </w:rPr>
        <w:t xml:space="preserve"> </w:t>
      </w:r>
    </w:p>
    <w:p w14:paraId="7B2C327B">
      <w:pPr>
        <w:rPr>
          <w:rFonts w:hint="eastAsia" w:ascii="宋体" w:hAnsi="宋体" w:cs="宋体"/>
          <w:sz w:val="24"/>
          <w:highlight w:val="none"/>
        </w:rPr>
      </w:pPr>
      <w:r>
        <w:rPr>
          <w:rFonts w:hint="eastAsia" w:ascii="宋体" w:hAnsi="宋体" w:cs="宋体"/>
          <w:sz w:val="24"/>
          <w:highlight w:val="none"/>
        </w:rPr>
        <w:t xml:space="preserve"> </w:t>
      </w:r>
    </w:p>
    <w:p w14:paraId="699982B4">
      <w:pPr>
        <w:rPr>
          <w:rFonts w:hint="eastAsia" w:ascii="宋体" w:hAnsi="宋体" w:cs="宋体"/>
          <w:sz w:val="24"/>
          <w:highlight w:val="none"/>
        </w:rPr>
      </w:pPr>
      <w:r>
        <w:rPr>
          <w:rFonts w:hint="eastAsia" w:ascii="宋体" w:hAnsi="宋体" w:cs="宋体"/>
          <w:sz w:val="24"/>
          <w:highlight w:val="none"/>
        </w:rPr>
        <w:t xml:space="preserve"> </w:t>
      </w:r>
    </w:p>
    <w:p w14:paraId="4138347E">
      <w:pPr>
        <w:rPr>
          <w:rFonts w:hint="eastAsia" w:ascii="宋体" w:hAnsi="宋体" w:cs="宋体"/>
          <w:sz w:val="24"/>
          <w:highlight w:val="none"/>
        </w:rPr>
      </w:pPr>
    </w:p>
    <w:p w14:paraId="24429E57">
      <w:pPr>
        <w:rPr>
          <w:rFonts w:hint="eastAsia" w:ascii="宋体" w:hAnsi="宋体" w:cs="宋体"/>
          <w:sz w:val="24"/>
          <w:highlight w:val="none"/>
        </w:rPr>
      </w:pPr>
    </w:p>
    <w:p w14:paraId="2AC13DE8">
      <w:pPr>
        <w:rPr>
          <w:rFonts w:hint="eastAsia" w:ascii="宋体" w:hAnsi="宋体" w:cs="宋体"/>
          <w:sz w:val="24"/>
          <w:highlight w:val="none"/>
        </w:rPr>
      </w:pPr>
    </w:p>
    <w:p w14:paraId="5270C000">
      <w:pPr>
        <w:rPr>
          <w:rFonts w:hint="eastAsia" w:ascii="宋体" w:hAnsi="宋体" w:eastAsia="宋体" w:cs="宋体"/>
          <w:sz w:val="24"/>
          <w:szCs w:val="24"/>
          <w:highlight w:val="none"/>
        </w:rPr>
      </w:pPr>
    </w:p>
    <w:p w14:paraId="4A82AE38">
      <w:pPr>
        <w:widowControl/>
        <w:jc w:val="left"/>
        <w:rPr>
          <w:highlight w:val="none"/>
        </w:rPr>
      </w:pPr>
      <w:r>
        <w:rPr>
          <w:highlight w:val="none"/>
        </w:rPr>
        <w:br w:type="page"/>
      </w:r>
    </w:p>
    <w:p w14:paraId="12627B9B">
      <w:pPr>
        <w:wordWrap w:val="0"/>
        <w:topLinePunct/>
        <w:outlineLvl w:val="0"/>
        <w:rPr>
          <w:rFonts w:hint="eastAsia" w:ascii="宋体" w:hAnsi="宋体" w:eastAsia="宋体" w:cs="宋体"/>
          <w:sz w:val="24"/>
          <w:szCs w:val="24"/>
          <w:highlight w:val="none"/>
        </w:rPr>
      </w:pPr>
      <w:bookmarkStart w:id="304" w:name="_Toc16496"/>
      <w:bookmarkStart w:id="305" w:name="_Toc224"/>
      <w:bookmarkStart w:id="306" w:name="_Toc5971"/>
      <w:bookmarkStart w:id="307" w:name="_Toc12352"/>
      <w:bookmarkStart w:id="308" w:name="_Toc30800"/>
      <w:bookmarkStart w:id="309" w:name="_Toc17134"/>
      <w:r>
        <w:rPr>
          <w:rFonts w:hint="eastAsia" w:ascii="宋体" w:hAnsi="宋体" w:eastAsia="宋体" w:cs="宋体"/>
          <w:sz w:val="24"/>
          <w:szCs w:val="24"/>
          <w:highlight w:val="none"/>
        </w:rPr>
        <w:t>附件1</w:t>
      </w:r>
      <w:bookmarkEnd w:id="304"/>
      <w:bookmarkEnd w:id="305"/>
      <w:bookmarkEnd w:id="306"/>
      <w:bookmarkEnd w:id="307"/>
      <w:bookmarkEnd w:id="308"/>
      <w:bookmarkEnd w:id="309"/>
    </w:p>
    <w:p w14:paraId="672C93F1">
      <w:pPr>
        <w:wordWrap w:val="0"/>
        <w:topLinePunct/>
        <w:adjustRightInd w:val="0"/>
        <w:spacing w:line="360" w:lineRule="auto"/>
        <w:ind w:left="63" w:leftChars="30" w:right="63" w:rightChars="30"/>
        <w:jc w:val="center"/>
        <w:textAlignment w:val="baseline"/>
        <w:rPr>
          <w:rFonts w:hint="eastAsia" w:ascii="宋体" w:hAnsi="宋体" w:eastAsia="宋体" w:cs="宋体"/>
          <w:b/>
          <w:sz w:val="24"/>
          <w:szCs w:val="24"/>
          <w:highlight w:val="none"/>
        </w:rPr>
      </w:pPr>
      <w:r>
        <w:rPr>
          <w:rFonts w:hint="eastAsia" w:ascii="宋体" w:hAnsi="宋体" w:eastAsia="宋体" w:cs="宋体"/>
          <w:b/>
          <w:sz w:val="24"/>
          <w:szCs w:val="24"/>
          <w:highlight w:val="none"/>
        </w:rPr>
        <w:t>中小企业声明函</w:t>
      </w:r>
    </w:p>
    <w:p w14:paraId="34346BF4">
      <w:pPr>
        <w:wordWrap w:val="0"/>
        <w:topLinePunct/>
        <w:adjustRightInd w:val="0"/>
        <w:snapToGrid w:val="0"/>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本公司（联合体）郑重声明，根据《政府采购促进中小企业发展管理办法》（财库﹝2020﹞46 号）的规定，本公司（联合体）参加</w:t>
      </w:r>
      <w:r>
        <w:rPr>
          <w:rFonts w:hint="eastAsia" w:ascii="宋体" w:hAnsi="宋体" w:eastAsia="宋体" w:cs="宋体"/>
          <w:sz w:val="24"/>
          <w:szCs w:val="24"/>
          <w:highlight w:val="none"/>
          <w:u w:val="single"/>
        </w:rPr>
        <w:t>（单位名称）</w:t>
      </w:r>
      <w:r>
        <w:rPr>
          <w:rFonts w:hint="eastAsia" w:ascii="宋体" w:hAnsi="宋体" w:eastAsia="宋体" w:cs="宋体"/>
          <w:sz w:val="24"/>
          <w:szCs w:val="24"/>
          <w:highlight w:val="none"/>
        </w:rPr>
        <w:t>的</w:t>
      </w:r>
      <w:r>
        <w:rPr>
          <w:rFonts w:hint="eastAsia" w:ascii="宋体" w:hAnsi="宋体" w:eastAsia="宋体" w:cs="宋体"/>
          <w:sz w:val="24"/>
          <w:szCs w:val="24"/>
          <w:highlight w:val="none"/>
          <w:u w:val="single"/>
        </w:rPr>
        <w:t>（项目名称）</w:t>
      </w:r>
      <w:r>
        <w:rPr>
          <w:rFonts w:hint="eastAsia" w:ascii="宋体" w:hAnsi="宋体" w:eastAsia="宋体" w:cs="宋体"/>
          <w:sz w:val="24"/>
          <w:szCs w:val="24"/>
          <w:highlight w:val="none"/>
        </w:rPr>
        <w:t>采购活动，提供的货物全部为符合政策要求的中小企业。相关企业（含联合体中的中小企业、签订分包意向协议的中小企业）的具体情况如下：</w:t>
      </w:r>
    </w:p>
    <w:p w14:paraId="5A1E3C97">
      <w:pPr>
        <w:wordWrap w:val="0"/>
        <w:topLinePunct/>
        <w:adjustRightInd w:val="0"/>
        <w:snapToGrid w:val="0"/>
        <w:spacing w:line="360" w:lineRule="auto"/>
        <w:ind w:firstLine="480" w:firstLineChars="200"/>
        <w:rPr>
          <w:rFonts w:hint="eastAsia" w:ascii="宋体" w:hAnsi="宋体" w:eastAsia="宋体" w:cs="宋体"/>
          <w:kern w:val="0"/>
          <w:sz w:val="24"/>
          <w:szCs w:val="24"/>
          <w:highlight w:val="none"/>
        </w:rPr>
      </w:pPr>
      <w:r>
        <w:rPr>
          <w:rFonts w:hint="eastAsia" w:ascii="宋体" w:hAnsi="宋体" w:eastAsia="宋体" w:cs="宋体"/>
          <w:sz w:val="24"/>
          <w:szCs w:val="24"/>
          <w:highlight w:val="none"/>
        </w:rPr>
        <w:t>1.</w:t>
      </w:r>
      <w:r>
        <w:rPr>
          <w:rFonts w:hint="eastAsia" w:ascii="宋体" w:hAnsi="宋体" w:eastAsia="宋体" w:cs="宋体"/>
          <w:sz w:val="24"/>
          <w:szCs w:val="24"/>
          <w:highlight w:val="none"/>
          <w:u w:val="single"/>
        </w:rPr>
        <w:t>（标的名称）</w:t>
      </w:r>
      <w:r>
        <w:rPr>
          <w:rFonts w:hint="eastAsia" w:ascii="宋体" w:hAnsi="宋体" w:eastAsia="宋体" w:cs="宋体"/>
          <w:sz w:val="24"/>
          <w:szCs w:val="24"/>
          <w:highlight w:val="none"/>
        </w:rPr>
        <w:t>，属于</w:t>
      </w:r>
      <w:r>
        <w:rPr>
          <w:rFonts w:hint="eastAsia" w:ascii="宋体" w:hAnsi="宋体" w:eastAsia="宋体" w:cs="宋体"/>
          <w:sz w:val="24"/>
          <w:szCs w:val="24"/>
          <w:highlight w:val="none"/>
          <w:u w:val="single"/>
        </w:rPr>
        <w:t xml:space="preserve"> （采购文件中明确的所属行业）</w:t>
      </w:r>
      <w:r>
        <w:rPr>
          <w:rFonts w:hint="eastAsia" w:ascii="宋体" w:hAnsi="宋体" w:eastAsia="宋体" w:cs="宋体"/>
          <w:sz w:val="24"/>
          <w:szCs w:val="24"/>
          <w:highlight w:val="none"/>
        </w:rPr>
        <w:t>；制造商为</w:t>
      </w:r>
      <w:r>
        <w:rPr>
          <w:rFonts w:hint="eastAsia" w:ascii="宋体" w:hAnsi="宋体" w:eastAsia="宋体" w:cs="宋体"/>
          <w:sz w:val="24"/>
          <w:szCs w:val="24"/>
          <w:highlight w:val="none"/>
          <w:u w:val="single"/>
        </w:rPr>
        <w:t>（企业名称）</w:t>
      </w:r>
      <w:r>
        <w:rPr>
          <w:rFonts w:hint="eastAsia" w:ascii="宋体" w:hAnsi="宋体" w:eastAsia="宋体" w:cs="宋体"/>
          <w:sz w:val="24"/>
          <w:szCs w:val="24"/>
          <w:highlight w:val="none"/>
        </w:rPr>
        <w:t>，从业人员</w:t>
      </w:r>
      <w:r>
        <w:rPr>
          <w:rFonts w:hint="eastAsia" w:ascii="宋体" w:hAnsi="宋体" w:eastAsia="宋体" w:cs="宋体"/>
          <w:sz w:val="24"/>
          <w:szCs w:val="24"/>
          <w:highlight w:val="none"/>
          <w:u w:val="single"/>
        </w:rPr>
        <w:tab/>
      </w:r>
      <w:r>
        <w:rPr>
          <w:rFonts w:hint="eastAsia" w:ascii="宋体" w:hAnsi="宋体" w:eastAsia="宋体" w:cs="宋体"/>
          <w:sz w:val="24"/>
          <w:szCs w:val="24"/>
          <w:highlight w:val="none"/>
        </w:rPr>
        <w:t>人，营业收入为</w:t>
      </w:r>
      <w:r>
        <w:rPr>
          <w:rFonts w:hint="eastAsia" w:ascii="宋体" w:hAnsi="宋体" w:eastAsia="宋体" w:cs="宋体"/>
          <w:sz w:val="24"/>
          <w:szCs w:val="24"/>
          <w:highlight w:val="none"/>
          <w:u w:val="single"/>
        </w:rPr>
        <w:tab/>
      </w:r>
      <w:r>
        <w:rPr>
          <w:rFonts w:hint="eastAsia" w:ascii="宋体" w:hAnsi="宋体" w:eastAsia="宋体" w:cs="宋体"/>
          <w:sz w:val="24"/>
          <w:szCs w:val="24"/>
          <w:highlight w:val="none"/>
        </w:rPr>
        <w:t>万元，资产总额为</w:t>
      </w:r>
      <w:r>
        <w:rPr>
          <w:rFonts w:hint="eastAsia" w:ascii="宋体" w:hAnsi="宋体" w:eastAsia="宋体" w:cs="宋体"/>
          <w:sz w:val="24"/>
          <w:szCs w:val="24"/>
          <w:highlight w:val="none"/>
          <w:u w:val="single"/>
        </w:rPr>
        <w:tab/>
      </w:r>
      <w:r>
        <w:rPr>
          <w:rFonts w:hint="eastAsia" w:ascii="宋体" w:hAnsi="宋体" w:eastAsia="宋体" w:cs="宋体"/>
          <w:sz w:val="24"/>
          <w:szCs w:val="24"/>
          <w:highlight w:val="none"/>
        </w:rPr>
        <w:t>万元</w:t>
      </w:r>
      <w:r>
        <w:rPr>
          <w:rFonts w:hint="eastAsia" w:ascii="宋体" w:hAnsi="宋体" w:eastAsia="宋体" w:cs="宋体"/>
          <w:sz w:val="24"/>
          <w:szCs w:val="24"/>
          <w:highlight w:val="none"/>
          <w:vertAlign w:val="superscript"/>
        </w:rPr>
        <w:t>1</w:t>
      </w:r>
      <w:r>
        <w:rPr>
          <w:rFonts w:hint="eastAsia" w:ascii="宋体" w:hAnsi="宋体" w:eastAsia="宋体" w:cs="宋体"/>
          <w:sz w:val="24"/>
          <w:szCs w:val="24"/>
          <w:highlight w:val="none"/>
        </w:rPr>
        <w:t>，属于</w:t>
      </w:r>
      <w:r>
        <w:rPr>
          <w:rFonts w:hint="eastAsia" w:ascii="宋体" w:hAnsi="宋体" w:eastAsia="宋体" w:cs="宋体"/>
          <w:sz w:val="24"/>
          <w:szCs w:val="24"/>
          <w:highlight w:val="none"/>
          <w:u w:val="single"/>
        </w:rPr>
        <w:t>（中型企业、小型企业、微型企业）</w:t>
      </w:r>
      <w:r>
        <w:rPr>
          <w:rFonts w:hint="eastAsia" w:ascii="宋体" w:hAnsi="宋体" w:eastAsia="宋体" w:cs="宋体"/>
          <w:sz w:val="24"/>
          <w:szCs w:val="24"/>
          <w:highlight w:val="none"/>
        </w:rPr>
        <w:t>；</w:t>
      </w:r>
    </w:p>
    <w:p w14:paraId="55075B99">
      <w:pPr>
        <w:wordWrap w:val="0"/>
        <w:topLinePunct/>
        <w:adjustRightInd w:val="0"/>
        <w:snapToGrid w:val="0"/>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2.</w:t>
      </w:r>
      <w:r>
        <w:rPr>
          <w:rFonts w:hint="eastAsia" w:ascii="宋体" w:hAnsi="宋体" w:eastAsia="宋体" w:cs="宋体"/>
          <w:sz w:val="24"/>
          <w:szCs w:val="24"/>
          <w:highlight w:val="none"/>
          <w:u w:val="single"/>
        </w:rPr>
        <w:t>（标的名称）</w:t>
      </w:r>
      <w:r>
        <w:rPr>
          <w:rFonts w:hint="eastAsia" w:ascii="宋体" w:hAnsi="宋体" w:eastAsia="宋体" w:cs="宋体"/>
          <w:sz w:val="24"/>
          <w:szCs w:val="24"/>
          <w:highlight w:val="none"/>
        </w:rPr>
        <w:t>，属于</w:t>
      </w:r>
      <w:r>
        <w:rPr>
          <w:rFonts w:hint="eastAsia" w:ascii="宋体" w:hAnsi="宋体" w:eastAsia="宋体" w:cs="宋体"/>
          <w:sz w:val="24"/>
          <w:szCs w:val="24"/>
          <w:highlight w:val="none"/>
          <w:u w:val="single"/>
        </w:rPr>
        <w:t xml:space="preserve"> （采购文件中明确的所属行业）</w:t>
      </w:r>
      <w:r>
        <w:rPr>
          <w:rFonts w:hint="eastAsia" w:ascii="宋体" w:hAnsi="宋体" w:eastAsia="宋体" w:cs="宋体"/>
          <w:sz w:val="24"/>
          <w:szCs w:val="24"/>
          <w:highlight w:val="none"/>
        </w:rPr>
        <w:t>；制造商为</w:t>
      </w:r>
      <w:r>
        <w:rPr>
          <w:rFonts w:hint="eastAsia" w:ascii="宋体" w:hAnsi="宋体" w:eastAsia="宋体" w:cs="宋体"/>
          <w:sz w:val="24"/>
          <w:szCs w:val="24"/>
          <w:highlight w:val="none"/>
          <w:u w:val="single"/>
        </w:rPr>
        <w:t>（企业名称）</w:t>
      </w:r>
      <w:r>
        <w:rPr>
          <w:rFonts w:hint="eastAsia" w:ascii="宋体" w:hAnsi="宋体" w:eastAsia="宋体" w:cs="宋体"/>
          <w:sz w:val="24"/>
          <w:szCs w:val="24"/>
          <w:highlight w:val="none"/>
        </w:rPr>
        <w:t>，从业人员</w:t>
      </w:r>
      <w:r>
        <w:rPr>
          <w:rFonts w:hint="eastAsia" w:ascii="宋体" w:hAnsi="宋体" w:eastAsia="宋体" w:cs="宋体"/>
          <w:sz w:val="24"/>
          <w:szCs w:val="24"/>
          <w:highlight w:val="none"/>
          <w:u w:val="single"/>
        </w:rPr>
        <w:tab/>
      </w:r>
      <w:r>
        <w:rPr>
          <w:rFonts w:hint="eastAsia" w:ascii="宋体" w:hAnsi="宋体" w:eastAsia="宋体" w:cs="宋体"/>
          <w:sz w:val="24"/>
          <w:szCs w:val="24"/>
          <w:highlight w:val="none"/>
        </w:rPr>
        <w:t>人，营业收入为</w:t>
      </w:r>
      <w:r>
        <w:rPr>
          <w:rFonts w:hint="eastAsia" w:ascii="宋体" w:hAnsi="宋体" w:eastAsia="宋体" w:cs="宋体"/>
          <w:sz w:val="24"/>
          <w:szCs w:val="24"/>
          <w:highlight w:val="none"/>
          <w:u w:val="single"/>
        </w:rPr>
        <w:tab/>
      </w:r>
      <w:r>
        <w:rPr>
          <w:rFonts w:hint="eastAsia" w:ascii="宋体" w:hAnsi="宋体" w:eastAsia="宋体" w:cs="宋体"/>
          <w:sz w:val="24"/>
          <w:szCs w:val="24"/>
          <w:highlight w:val="none"/>
        </w:rPr>
        <w:t>万元，资产总额为</w:t>
      </w:r>
      <w:r>
        <w:rPr>
          <w:rFonts w:hint="eastAsia" w:ascii="宋体" w:hAnsi="宋体" w:eastAsia="宋体" w:cs="宋体"/>
          <w:sz w:val="24"/>
          <w:szCs w:val="24"/>
          <w:highlight w:val="none"/>
          <w:u w:val="single"/>
        </w:rPr>
        <w:tab/>
      </w:r>
      <w:r>
        <w:rPr>
          <w:rFonts w:hint="eastAsia" w:ascii="宋体" w:hAnsi="宋体" w:eastAsia="宋体" w:cs="宋体"/>
          <w:sz w:val="24"/>
          <w:szCs w:val="24"/>
          <w:highlight w:val="none"/>
        </w:rPr>
        <w:t>万元，属于</w:t>
      </w:r>
      <w:r>
        <w:rPr>
          <w:rFonts w:hint="eastAsia" w:ascii="宋体" w:hAnsi="宋体" w:eastAsia="宋体" w:cs="宋体"/>
          <w:sz w:val="24"/>
          <w:szCs w:val="24"/>
          <w:highlight w:val="none"/>
          <w:u w:val="single"/>
        </w:rPr>
        <w:t>（中型企业、小型企业、微型企业）</w:t>
      </w:r>
      <w:r>
        <w:rPr>
          <w:rFonts w:hint="eastAsia" w:ascii="宋体" w:hAnsi="宋体" w:eastAsia="宋体" w:cs="宋体"/>
          <w:sz w:val="24"/>
          <w:szCs w:val="24"/>
          <w:highlight w:val="none"/>
        </w:rPr>
        <w:t>；</w:t>
      </w:r>
    </w:p>
    <w:p w14:paraId="1651E842">
      <w:pPr>
        <w:wordWrap w:val="0"/>
        <w:topLinePunct/>
        <w:adjustRightInd w:val="0"/>
        <w:snapToGrid w:val="0"/>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w:t>
      </w:r>
    </w:p>
    <w:p w14:paraId="5F47E020">
      <w:pPr>
        <w:wordWrap w:val="0"/>
        <w:topLinePunct/>
        <w:adjustRightInd w:val="0"/>
        <w:snapToGrid w:val="0"/>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以上企业，不属于大企业的分支机构，不存在控股股东为大企业的情形，也不存在与大企业的负责人为同一人的情形。</w:t>
      </w:r>
    </w:p>
    <w:p w14:paraId="636E15A6">
      <w:pPr>
        <w:wordWrap w:val="0"/>
        <w:topLinePunct/>
        <w:adjustRightInd w:val="0"/>
        <w:snapToGrid w:val="0"/>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本企业对上述声明内容的真实性负责。如有虚假，将依法承担相应责任。</w:t>
      </w:r>
    </w:p>
    <w:p w14:paraId="11415BF9">
      <w:pPr>
        <w:wordWrap w:val="0"/>
        <w:topLinePunct/>
        <w:spacing w:after="120" w:line="360" w:lineRule="auto"/>
        <w:ind w:left="420" w:leftChars="200" w:firstLine="480" w:firstLineChars="200"/>
        <w:rPr>
          <w:rFonts w:hint="eastAsia" w:ascii="宋体" w:hAnsi="宋体" w:eastAsia="宋体" w:cs="宋体"/>
          <w:sz w:val="24"/>
          <w:szCs w:val="24"/>
          <w:highlight w:val="none"/>
        </w:rPr>
      </w:pPr>
    </w:p>
    <w:p w14:paraId="13720AB2">
      <w:pPr>
        <w:wordWrap w:val="0"/>
        <w:topLinePunct/>
        <w:adjustRightInd w:val="0"/>
        <w:snapToGrid w:val="0"/>
        <w:spacing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企业名称（盖章）：</w:t>
      </w:r>
    </w:p>
    <w:p w14:paraId="1910FAB9">
      <w:pPr>
        <w:wordWrap w:val="0"/>
        <w:topLinePunct/>
        <w:adjustRightInd w:val="0"/>
        <w:snapToGrid w:val="0"/>
        <w:spacing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日          期：</w:t>
      </w:r>
    </w:p>
    <w:p w14:paraId="3B6F5D8E">
      <w:pPr>
        <w:wordWrap w:val="0"/>
        <w:topLinePunct/>
        <w:spacing w:after="120" w:line="360" w:lineRule="auto"/>
        <w:ind w:left="420" w:leftChars="200" w:firstLine="480" w:firstLineChars="200"/>
        <w:rPr>
          <w:rFonts w:hint="eastAsia" w:ascii="宋体" w:hAnsi="宋体" w:eastAsia="宋体" w:cs="宋体"/>
          <w:sz w:val="24"/>
          <w:szCs w:val="24"/>
          <w:highlight w:val="none"/>
        </w:rPr>
      </w:pPr>
    </w:p>
    <w:p w14:paraId="3A64DBF7">
      <w:pPr>
        <w:wordWrap w:val="0"/>
        <w:topLinePunct/>
        <w:adjustRightInd w:val="0"/>
        <w:snapToGrid w:val="0"/>
        <w:spacing w:line="360" w:lineRule="auto"/>
        <w:rPr>
          <w:rFonts w:hint="eastAsia" w:ascii="宋体" w:hAnsi="宋体" w:eastAsia="宋体" w:cs="宋体"/>
          <w:spacing w:val="6"/>
          <w:sz w:val="24"/>
          <w:szCs w:val="24"/>
          <w:highlight w:val="none"/>
        </w:rPr>
      </w:pPr>
      <w:r>
        <w:rPr>
          <w:rFonts w:hint="eastAsia" w:ascii="宋体" w:hAnsi="宋体" w:eastAsia="宋体" w:cs="宋体"/>
          <w:spacing w:val="6"/>
          <w:sz w:val="24"/>
          <w:szCs w:val="24"/>
          <w:highlight w:val="none"/>
        </w:rPr>
        <w:t>说明：</w:t>
      </w:r>
    </w:p>
    <w:p w14:paraId="4A57623B">
      <w:pPr>
        <w:spacing w:line="360" w:lineRule="auto"/>
        <w:ind w:firstLine="168" w:firstLineChars="67"/>
        <w:rPr>
          <w:rFonts w:hint="eastAsia" w:ascii="宋体" w:hAnsi="宋体" w:cs="仿宋"/>
          <w:sz w:val="24"/>
          <w:szCs w:val="24"/>
          <w:highlight w:val="none"/>
        </w:rPr>
      </w:pPr>
      <w:r>
        <w:rPr>
          <w:rFonts w:hint="eastAsia" w:ascii="宋体" w:hAnsi="宋体" w:eastAsia="宋体" w:cs="宋体"/>
          <w:spacing w:val="6"/>
          <w:sz w:val="24"/>
          <w:szCs w:val="24"/>
          <w:highlight w:val="none"/>
        </w:rPr>
        <w:t>1、从业人员、营业收入、资产总额填报上一年度数据，无上一年度数据的新成立企业可不填报。</w:t>
      </w:r>
      <w:r>
        <w:rPr>
          <w:rFonts w:hint="eastAsia" w:ascii="宋体" w:hAnsi="宋体" w:cs="仿宋"/>
          <w:sz w:val="24"/>
          <w:szCs w:val="24"/>
          <w:highlight w:val="none"/>
        </w:rPr>
        <w:t>（属于中小微企业的填写，不属于的无需填写此项内容）</w:t>
      </w:r>
    </w:p>
    <w:p w14:paraId="15604090">
      <w:pPr>
        <w:wordWrap w:val="0"/>
        <w:topLinePunct/>
        <w:adjustRightInd w:val="0"/>
        <w:snapToGrid w:val="0"/>
        <w:spacing w:line="360" w:lineRule="auto"/>
        <w:rPr>
          <w:rFonts w:hint="eastAsia" w:ascii="宋体" w:hAnsi="宋体" w:eastAsia="宋体" w:cs="宋体"/>
          <w:spacing w:val="6"/>
          <w:sz w:val="24"/>
          <w:szCs w:val="24"/>
          <w:highlight w:val="none"/>
        </w:rPr>
      </w:pPr>
    </w:p>
    <w:p w14:paraId="28998099">
      <w:pPr>
        <w:widowControl/>
        <w:jc w:val="left"/>
        <w:rPr>
          <w:rFonts w:hint="eastAsia" w:ascii="宋体" w:hAnsi="宋体" w:eastAsia="宋体" w:cs="宋体"/>
          <w:sz w:val="24"/>
          <w:szCs w:val="24"/>
          <w:highlight w:val="none"/>
        </w:rPr>
      </w:pPr>
      <w:r>
        <w:rPr>
          <w:rFonts w:ascii="宋体" w:hAnsi="宋体" w:eastAsia="宋体" w:cs="宋体"/>
          <w:sz w:val="24"/>
          <w:szCs w:val="24"/>
          <w:highlight w:val="none"/>
        </w:rPr>
        <w:br w:type="page"/>
      </w:r>
    </w:p>
    <w:p w14:paraId="23E72E79">
      <w:pPr>
        <w:wordWrap w:val="0"/>
        <w:topLinePunct/>
        <w:spacing w:after="120" w:line="360" w:lineRule="auto"/>
        <w:outlineLvl w:val="0"/>
        <w:rPr>
          <w:rFonts w:hint="eastAsia" w:ascii="宋体" w:hAnsi="宋体" w:eastAsia="宋体" w:cs="宋体"/>
          <w:sz w:val="24"/>
          <w:szCs w:val="24"/>
          <w:highlight w:val="none"/>
        </w:rPr>
      </w:pPr>
      <w:bookmarkStart w:id="310" w:name="_Toc6392"/>
      <w:bookmarkStart w:id="311" w:name="_Toc24444"/>
      <w:bookmarkStart w:id="312" w:name="_Toc11019"/>
      <w:bookmarkStart w:id="313" w:name="_Toc2102"/>
      <w:bookmarkStart w:id="314" w:name="_Toc4122"/>
      <w:bookmarkStart w:id="315" w:name="_Toc28455"/>
      <w:r>
        <w:rPr>
          <w:rFonts w:hint="eastAsia" w:ascii="宋体" w:hAnsi="宋体" w:eastAsia="宋体" w:cs="宋体"/>
          <w:sz w:val="24"/>
          <w:szCs w:val="24"/>
          <w:highlight w:val="none"/>
        </w:rPr>
        <w:t>附件2</w:t>
      </w:r>
      <w:bookmarkEnd w:id="310"/>
      <w:bookmarkEnd w:id="311"/>
      <w:bookmarkEnd w:id="312"/>
      <w:bookmarkEnd w:id="313"/>
      <w:bookmarkEnd w:id="314"/>
      <w:bookmarkEnd w:id="315"/>
    </w:p>
    <w:p w14:paraId="76EE96F8">
      <w:pPr>
        <w:wordWrap w:val="0"/>
        <w:topLinePunct/>
        <w:adjustRightInd w:val="0"/>
        <w:snapToGrid w:val="0"/>
        <w:ind w:firstLine="480" w:firstLineChars="200"/>
        <w:rPr>
          <w:rFonts w:hint="eastAsia" w:ascii="宋体" w:hAnsi="宋体" w:eastAsia="宋体" w:cs="宋体"/>
          <w:sz w:val="24"/>
          <w:szCs w:val="24"/>
          <w:highlight w:val="none"/>
        </w:rPr>
      </w:pPr>
    </w:p>
    <w:p w14:paraId="3A229F15">
      <w:pPr>
        <w:wordWrap w:val="0"/>
        <w:topLinePunct/>
        <w:adjustRightInd w:val="0"/>
        <w:snapToGrid w:val="0"/>
        <w:ind w:firstLine="360" w:firstLineChars="150"/>
        <w:rPr>
          <w:rFonts w:hint="eastAsia" w:ascii="宋体" w:hAnsi="宋体" w:eastAsia="宋体" w:cs="宋体"/>
          <w:sz w:val="24"/>
          <w:szCs w:val="24"/>
          <w:highlight w:val="none"/>
        </w:rPr>
      </w:pPr>
    </w:p>
    <w:p w14:paraId="5D3DAD30">
      <w:pPr>
        <w:keepNext/>
        <w:keepLines/>
        <w:tabs>
          <w:tab w:val="left" w:pos="840"/>
        </w:tabs>
        <w:wordWrap w:val="0"/>
        <w:topLinePunct/>
        <w:spacing w:line="412" w:lineRule="auto"/>
        <w:jc w:val="center"/>
        <w:outlineLvl w:val="0"/>
        <w:rPr>
          <w:rFonts w:hint="eastAsia" w:ascii="宋体" w:hAnsi="宋体" w:eastAsia="宋体" w:cs="宋体"/>
          <w:b/>
          <w:bCs/>
          <w:sz w:val="24"/>
          <w:szCs w:val="24"/>
          <w:highlight w:val="none"/>
          <w:lang w:val="zh-CN"/>
        </w:rPr>
      </w:pPr>
      <w:bookmarkStart w:id="316" w:name="_Toc30785"/>
      <w:bookmarkStart w:id="317" w:name="_Toc4731"/>
      <w:bookmarkStart w:id="318" w:name="_Toc20491"/>
      <w:bookmarkStart w:id="319" w:name="_Toc24165"/>
      <w:bookmarkStart w:id="320" w:name="_Toc13308"/>
      <w:bookmarkStart w:id="321" w:name="_Toc14760"/>
      <w:r>
        <w:rPr>
          <w:rFonts w:hint="eastAsia" w:ascii="宋体" w:hAnsi="宋体" w:eastAsia="宋体" w:cs="宋体"/>
          <w:b/>
          <w:bCs/>
          <w:sz w:val="24"/>
          <w:szCs w:val="24"/>
          <w:highlight w:val="none"/>
          <w:lang w:val="zh-CN"/>
        </w:rPr>
        <w:t>监狱企业证明文件</w:t>
      </w:r>
      <w:bookmarkEnd w:id="316"/>
      <w:bookmarkEnd w:id="317"/>
      <w:bookmarkEnd w:id="318"/>
      <w:bookmarkEnd w:id="319"/>
      <w:bookmarkEnd w:id="320"/>
      <w:bookmarkEnd w:id="321"/>
    </w:p>
    <w:p w14:paraId="2229EBFF">
      <w:pPr>
        <w:wordWrap w:val="0"/>
        <w:topLinePunct/>
        <w:jc w:val="center"/>
        <w:rPr>
          <w:rFonts w:hint="eastAsia" w:ascii="宋体" w:hAnsi="宋体" w:eastAsia="宋体" w:cs="宋体"/>
          <w:b/>
          <w:bCs/>
          <w:sz w:val="24"/>
          <w:szCs w:val="24"/>
          <w:highlight w:val="none"/>
        </w:rPr>
      </w:pPr>
    </w:p>
    <w:p w14:paraId="3D4F5C25">
      <w:pPr>
        <w:wordWrap w:val="0"/>
        <w:topLinePunct/>
        <w:spacing w:line="500" w:lineRule="exact"/>
        <w:rPr>
          <w:rFonts w:hint="eastAsia" w:ascii="宋体" w:hAnsi="宋体" w:eastAsia="宋体" w:cs="宋体"/>
          <w:spacing w:val="6"/>
          <w:sz w:val="24"/>
          <w:szCs w:val="24"/>
          <w:highlight w:val="none"/>
        </w:rPr>
      </w:pPr>
    </w:p>
    <w:p w14:paraId="288ECE5C">
      <w:pPr>
        <w:wordWrap w:val="0"/>
        <w:topLinePunct/>
        <w:spacing w:line="500" w:lineRule="exact"/>
        <w:ind w:firstLine="420"/>
        <w:rPr>
          <w:rFonts w:hint="eastAsia" w:ascii="宋体" w:hAnsi="宋体" w:eastAsia="宋体" w:cs="宋体"/>
          <w:spacing w:val="6"/>
          <w:sz w:val="24"/>
          <w:szCs w:val="24"/>
          <w:highlight w:val="none"/>
        </w:rPr>
      </w:pPr>
      <w:r>
        <w:rPr>
          <w:rFonts w:hint="eastAsia" w:ascii="宋体" w:hAnsi="宋体" w:eastAsia="宋体" w:cs="宋体"/>
          <w:spacing w:val="6"/>
          <w:sz w:val="24"/>
          <w:szCs w:val="24"/>
          <w:highlight w:val="none"/>
        </w:rPr>
        <w:t>（监狱企业参加政府采购活动时，应当提供由省级以上监狱管理局、戒毒管理局(含新疆生产建设兵团)出具的属于监狱企业的证明文件。</w:t>
      </w:r>
    </w:p>
    <w:p w14:paraId="098F6DE0">
      <w:pPr>
        <w:wordWrap w:val="0"/>
        <w:topLinePunct/>
        <w:spacing w:line="500" w:lineRule="exact"/>
        <w:ind w:firstLine="504" w:firstLineChars="200"/>
        <w:rPr>
          <w:rFonts w:hint="eastAsia" w:ascii="宋体" w:hAnsi="宋体" w:eastAsia="宋体" w:cs="宋体"/>
          <w:spacing w:val="6"/>
          <w:sz w:val="24"/>
          <w:szCs w:val="24"/>
          <w:highlight w:val="none"/>
        </w:rPr>
      </w:pPr>
    </w:p>
    <w:p w14:paraId="5E76E4AB">
      <w:pPr>
        <w:wordWrap w:val="0"/>
        <w:topLinePunct/>
        <w:spacing w:line="500" w:lineRule="exact"/>
        <w:ind w:firstLine="504" w:firstLineChars="200"/>
        <w:rPr>
          <w:rFonts w:hint="eastAsia" w:ascii="宋体" w:hAnsi="宋体" w:eastAsia="宋体" w:cs="宋体"/>
          <w:spacing w:val="6"/>
          <w:sz w:val="24"/>
          <w:szCs w:val="24"/>
          <w:highlight w:val="none"/>
        </w:rPr>
      </w:pPr>
    </w:p>
    <w:p w14:paraId="122F5A1A">
      <w:pPr>
        <w:wordWrap w:val="0"/>
        <w:topLinePunct/>
        <w:spacing w:line="500" w:lineRule="exact"/>
        <w:ind w:firstLine="504" w:firstLineChars="200"/>
        <w:rPr>
          <w:rFonts w:hint="eastAsia" w:ascii="宋体" w:hAnsi="宋体" w:eastAsia="宋体" w:cs="宋体"/>
          <w:spacing w:val="6"/>
          <w:sz w:val="24"/>
          <w:szCs w:val="24"/>
          <w:highlight w:val="none"/>
        </w:rPr>
      </w:pPr>
      <w:r>
        <w:rPr>
          <w:rFonts w:hint="eastAsia" w:ascii="宋体" w:hAnsi="宋体" w:eastAsia="宋体" w:cs="宋体"/>
          <w:spacing w:val="6"/>
          <w:sz w:val="24"/>
          <w:szCs w:val="24"/>
          <w:highlight w:val="none"/>
        </w:rPr>
        <w:t>注：在投标文件中附扫描件</w:t>
      </w:r>
    </w:p>
    <w:p w14:paraId="3DA05317">
      <w:pPr>
        <w:wordWrap w:val="0"/>
        <w:topLinePunct/>
        <w:spacing w:line="500" w:lineRule="exact"/>
        <w:rPr>
          <w:rFonts w:hint="eastAsia" w:ascii="宋体" w:hAnsi="宋体" w:eastAsia="宋体" w:cs="宋体"/>
          <w:sz w:val="24"/>
          <w:szCs w:val="24"/>
          <w:highlight w:val="none"/>
        </w:rPr>
      </w:pPr>
    </w:p>
    <w:p w14:paraId="4AA0634F">
      <w:pPr>
        <w:wordWrap w:val="0"/>
        <w:topLinePunct/>
        <w:spacing w:after="120"/>
        <w:ind w:left="1470" w:leftChars="700" w:right="1470" w:rightChars="700"/>
        <w:rPr>
          <w:rFonts w:hint="eastAsia" w:ascii="宋体" w:hAnsi="宋体" w:eastAsia="宋体" w:cs="宋体"/>
          <w:b/>
          <w:bCs/>
          <w:kern w:val="36"/>
          <w:sz w:val="24"/>
          <w:szCs w:val="24"/>
          <w:highlight w:val="none"/>
        </w:rPr>
      </w:pPr>
    </w:p>
    <w:p w14:paraId="060EB242">
      <w:pPr>
        <w:wordWrap w:val="0"/>
        <w:topLinePunct/>
        <w:spacing w:after="120"/>
        <w:ind w:left="1470" w:leftChars="700" w:right="1470" w:rightChars="700"/>
        <w:rPr>
          <w:rFonts w:hint="eastAsia" w:ascii="宋体" w:hAnsi="宋体" w:eastAsia="宋体" w:cs="宋体"/>
          <w:b/>
          <w:bCs/>
          <w:kern w:val="36"/>
          <w:sz w:val="24"/>
          <w:szCs w:val="24"/>
          <w:highlight w:val="none"/>
        </w:rPr>
      </w:pPr>
    </w:p>
    <w:p w14:paraId="7CD9384F">
      <w:pPr>
        <w:wordWrap w:val="0"/>
        <w:topLinePunct/>
        <w:spacing w:after="120"/>
        <w:ind w:left="1470" w:leftChars="700" w:right="1470" w:rightChars="700"/>
        <w:rPr>
          <w:rFonts w:hint="eastAsia" w:ascii="宋体" w:hAnsi="宋体" w:eastAsia="宋体" w:cs="宋体"/>
          <w:b/>
          <w:bCs/>
          <w:kern w:val="36"/>
          <w:sz w:val="24"/>
          <w:szCs w:val="24"/>
          <w:highlight w:val="none"/>
        </w:rPr>
      </w:pPr>
    </w:p>
    <w:p w14:paraId="34522097">
      <w:pPr>
        <w:wordWrap w:val="0"/>
        <w:topLinePunct/>
        <w:spacing w:after="120"/>
        <w:ind w:left="1470" w:leftChars="700" w:right="1470" w:rightChars="700"/>
        <w:rPr>
          <w:rFonts w:hint="eastAsia" w:ascii="宋体" w:hAnsi="宋体" w:eastAsia="宋体" w:cs="宋体"/>
          <w:b/>
          <w:bCs/>
          <w:kern w:val="36"/>
          <w:sz w:val="24"/>
          <w:szCs w:val="24"/>
          <w:highlight w:val="none"/>
        </w:rPr>
      </w:pPr>
    </w:p>
    <w:p w14:paraId="4DB91E4A">
      <w:pPr>
        <w:wordWrap w:val="0"/>
        <w:topLinePunct/>
        <w:spacing w:after="120"/>
        <w:ind w:left="1470" w:leftChars="700" w:right="1470" w:rightChars="700"/>
        <w:rPr>
          <w:rFonts w:hint="eastAsia" w:ascii="宋体" w:hAnsi="宋体" w:eastAsia="宋体" w:cs="宋体"/>
          <w:b/>
          <w:bCs/>
          <w:kern w:val="36"/>
          <w:sz w:val="24"/>
          <w:szCs w:val="24"/>
          <w:highlight w:val="none"/>
        </w:rPr>
      </w:pPr>
    </w:p>
    <w:p w14:paraId="51CBEA21">
      <w:pPr>
        <w:wordWrap w:val="0"/>
        <w:topLinePunct/>
        <w:spacing w:after="120"/>
        <w:ind w:left="1470" w:leftChars="700" w:right="1470" w:rightChars="700"/>
        <w:rPr>
          <w:rFonts w:hint="eastAsia" w:ascii="宋体" w:hAnsi="宋体" w:eastAsia="宋体" w:cs="宋体"/>
          <w:b/>
          <w:bCs/>
          <w:kern w:val="36"/>
          <w:sz w:val="24"/>
          <w:szCs w:val="24"/>
          <w:highlight w:val="none"/>
        </w:rPr>
      </w:pPr>
    </w:p>
    <w:p w14:paraId="16E1C763">
      <w:pPr>
        <w:wordWrap w:val="0"/>
        <w:topLinePunct/>
        <w:spacing w:after="120"/>
        <w:ind w:left="1470" w:leftChars="700" w:right="1470" w:rightChars="700"/>
        <w:rPr>
          <w:rFonts w:hint="eastAsia" w:ascii="宋体" w:hAnsi="宋体" w:eastAsia="宋体" w:cs="宋体"/>
          <w:b/>
          <w:bCs/>
          <w:kern w:val="36"/>
          <w:sz w:val="24"/>
          <w:szCs w:val="24"/>
          <w:highlight w:val="none"/>
        </w:rPr>
      </w:pPr>
    </w:p>
    <w:p w14:paraId="6EAADACF">
      <w:pPr>
        <w:wordWrap w:val="0"/>
        <w:topLinePunct/>
        <w:spacing w:after="120"/>
        <w:ind w:left="1470" w:leftChars="700" w:right="1470" w:rightChars="700"/>
        <w:rPr>
          <w:rFonts w:hint="eastAsia" w:ascii="宋体" w:hAnsi="宋体" w:eastAsia="宋体" w:cs="宋体"/>
          <w:b/>
          <w:bCs/>
          <w:kern w:val="36"/>
          <w:sz w:val="24"/>
          <w:szCs w:val="24"/>
          <w:highlight w:val="none"/>
        </w:rPr>
      </w:pPr>
    </w:p>
    <w:p w14:paraId="2B9919BB">
      <w:pPr>
        <w:wordWrap w:val="0"/>
        <w:topLinePunct/>
        <w:spacing w:after="120"/>
        <w:ind w:left="1470" w:leftChars="700" w:right="1470" w:rightChars="700"/>
        <w:rPr>
          <w:rFonts w:hint="eastAsia" w:ascii="宋体" w:hAnsi="宋体" w:eastAsia="宋体" w:cs="宋体"/>
          <w:b/>
          <w:bCs/>
          <w:kern w:val="36"/>
          <w:sz w:val="24"/>
          <w:szCs w:val="24"/>
          <w:highlight w:val="none"/>
        </w:rPr>
      </w:pPr>
    </w:p>
    <w:p w14:paraId="2B7CEF61">
      <w:pPr>
        <w:wordWrap w:val="0"/>
        <w:topLinePunct/>
        <w:spacing w:after="120"/>
        <w:ind w:left="1470" w:leftChars="700" w:right="1470" w:rightChars="700"/>
        <w:rPr>
          <w:rFonts w:hint="eastAsia" w:ascii="宋体" w:hAnsi="宋体" w:eastAsia="宋体" w:cs="宋体"/>
          <w:b/>
          <w:bCs/>
          <w:kern w:val="36"/>
          <w:sz w:val="24"/>
          <w:szCs w:val="24"/>
          <w:highlight w:val="none"/>
        </w:rPr>
      </w:pPr>
    </w:p>
    <w:p w14:paraId="72F82AE9">
      <w:pPr>
        <w:wordWrap w:val="0"/>
        <w:topLinePunct/>
        <w:spacing w:after="120"/>
        <w:ind w:left="1470" w:leftChars="700" w:right="1470" w:rightChars="700"/>
        <w:rPr>
          <w:rFonts w:hint="eastAsia" w:ascii="宋体" w:hAnsi="宋体" w:eastAsia="宋体" w:cs="宋体"/>
          <w:b/>
          <w:bCs/>
          <w:kern w:val="36"/>
          <w:sz w:val="24"/>
          <w:szCs w:val="24"/>
          <w:highlight w:val="none"/>
        </w:rPr>
      </w:pPr>
    </w:p>
    <w:p w14:paraId="35932235">
      <w:pPr>
        <w:wordWrap w:val="0"/>
        <w:topLinePunct/>
        <w:spacing w:after="120"/>
        <w:ind w:left="1470" w:leftChars="700" w:right="1470" w:rightChars="700"/>
        <w:rPr>
          <w:rFonts w:hint="eastAsia" w:ascii="宋体" w:hAnsi="宋体" w:eastAsia="宋体" w:cs="宋体"/>
          <w:b/>
          <w:bCs/>
          <w:kern w:val="36"/>
          <w:sz w:val="24"/>
          <w:szCs w:val="24"/>
          <w:highlight w:val="none"/>
        </w:rPr>
      </w:pPr>
    </w:p>
    <w:p w14:paraId="689424F1">
      <w:pPr>
        <w:pageBreakBefore/>
        <w:wordWrap w:val="0"/>
        <w:topLinePunct/>
        <w:ind w:firstLine="360" w:firstLineChars="150"/>
        <w:outlineLvl w:val="0"/>
        <w:rPr>
          <w:rFonts w:hint="eastAsia" w:ascii="宋体" w:hAnsi="宋体" w:eastAsia="宋体" w:cs="宋体"/>
          <w:sz w:val="24"/>
          <w:szCs w:val="24"/>
          <w:highlight w:val="none"/>
        </w:rPr>
      </w:pPr>
      <w:bookmarkStart w:id="322" w:name="_Toc11345"/>
      <w:bookmarkStart w:id="323" w:name="_Toc5906"/>
      <w:bookmarkStart w:id="324" w:name="_Toc6264"/>
      <w:bookmarkStart w:id="325" w:name="_Toc8392"/>
      <w:bookmarkStart w:id="326" w:name="_Toc14655"/>
      <w:bookmarkStart w:id="327" w:name="_Toc6897"/>
      <w:r>
        <w:rPr>
          <w:rFonts w:hint="eastAsia" w:ascii="宋体" w:hAnsi="宋体" w:eastAsia="宋体" w:cs="宋体"/>
          <w:sz w:val="24"/>
          <w:szCs w:val="24"/>
          <w:highlight w:val="none"/>
        </w:rPr>
        <w:t>附件3</w:t>
      </w:r>
      <w:bookmarkEnd w:id="322"/>
      <w:bookmarkEnd w:id="323"/>
      <w:bookmarkEnd w:id="324"/>
      <w:bookmarkEnd w:id="325"/>
      <w:bookmarkEnd w:id="326"/>
      <w:bookmarkEnd w:id="327"/>
    </w:p>
    <w:p w14:paraId="165A1BA7">
      <w:pPr>
        <w:wordWrap w:val="0"/>
        <w:spacing w:after="120" w:line="480" w:lineRule="exact"/>
        <w:jc w:val="center"/>
        <w:outlineLvl w:val="0"/>
        <w:rPr>
          <w:rFonts w:hint="eastAsia" w:ascii="宋体" w:hAnsi="宋体" w:eastAsia="宋体" w:cs="宋体"/>
          <w:b/>
          <w:bCs/>
          <w:kern w:val="36"/>
          <w:sz w:val="24"/>
          <w:szCs w:val="24"/>
          <w:highlight w:val="none"/>
        </w:rPr>
      </w:pPr>
      <w:bookmarkStart w:id="328" w:name="_Toc27930"/>
      <w:bookmarkStart w:id="329" w:name="_Toc20868"/>
      <w:bookmarkStart w:id="330" w:name="_Toc30651"/>
      <w:bookmarkStart w:id="331" w:name="_Toc32130"/>
      <w:bookmarkStart w:id="332" w:name="_Toc23906"/>
      <w:bookmarkStart w:id="333" w:name="_Toc23815"/>
      <w:r>
        <w:rPr>
          <w:rFonts w:hint="eastAsia" w:ascii="宋体" w:hAnsi="宋体" w:eastAsia="宋体" w:cs="宋体"/>
          <w:b/>
          <w:bCs/>
          <w:kern w:val="36"/>
          <w:sz w:val="24"/>
          <w:szCs w:val="24"/>
          <w:highlight w:val="none"/>
        </w:rPr>
        <w:t>残疾人福利性单位声明函（如有）</w:t>
      </w:r>
      <w:bookmarkEnd w:id="328"/>
      <w:bookmarkEnd w:id="329"/>
      <w:bookmarkEnd w:id="330"/>
      <w:bookmarkEnd w:id="331"/>
      <w:bookmarkEnd w:id="332"/>
      <w:bookmarkEnd w:id="333"/>
    </w:p>
    <w:p w14:paraId="19E390F0">
      <w:pPr>
        <w:wordWrap w:val="0"/>
        <w:spacing w:after="120" w:line="480" w:lineRule="exact"/>
        <w:ind w:firstLine="480" w:firstLineChars="200"/>
        <w:rPr>
          <w:rFonts w:hint="eastAsia" w:ascii="宋体" w:hAnsi="宋体" w:eastAsia="宋体" w:cs="宋体"/>
          <w:kern w:val="36"/>
          <w:sz w:val="24"/>
          <w:szCs w:val="24"/>
          <w:highlight w:val="none"/>
        </w:rPr>
      </w:pPr>
    </w:p>
    <w:p w14:paraId="4A3C14AA">
      <w:pPr>
        <w:wordWrap w:val="0"/>
        <w:spacing w:after="120" w:line="480" w:lineRule="exact"/>
        <w:ind w:firstLine="480" w:firstLineChars="200"/>
        <w:rPr>
          <w:rFonts w:hint="eastAsia" w:ascii="宋体" w:hAnsi="宋体" w:eastAsia="宋体" w:cs="宋体"/>
          <w:kern w:val="36"/>
          <w:sz w:val="24"/>
          <w:szCs w:val="24"/>
          <w:highlight w:val="none"/>
        </w:rPr>
      </w:pPr>
      <w:r>
        <w:rPr>
          <w:rFonts w:hint="eastAsia" w:ascii="宋体" w:hAnsi="宋体" w:eastAsia="宋体" w:cs="宋体"/>
          <w:kern w:val="36"/>
          <w:sz w:val="24"/>
          <w:szCs w:val="24"/>
          <w:highlight w:val="none"/>
        </w:rPr>
        <w:t>本单位郑重声明，根据《财政部 民政部 中国残疾人联合会关于促进残疾人就业政府采购政策的通知》（财库〔2017〕141号）的规定，本单位为符合条件的残疾人福利性单位，且本单位参加</w:t>
      </w:r>
      <w:r>
        <w:rPr>
          <w:rFonts w:hint="eastAsia" w:ascii="宋体" w:hAnsi="宋体" w:eastAsia="宋体" w:cs="宋体"/>
          <w:kern w:val="36"/>
          <w:sz w:val="24"/>
          <w:szCs w:val="24"/>
          <w:highlight w:val="none"/>
          <w:u w:val="single"/>
        </w:rPr>
        <w:t xml:space="preserve">       </w:t>
      </w:r>
      <w:r>
        <w:rPr>
          <w:rFonts w:hint="eastAsia" w:ascii="宋体" w:hAnsi="宋体" w:eastAsia="宋体" w:cs="宋体"/>
          <w:kern w:val="36"/>
          <w:sz w:val="24"/>
          <w:szCs w:val="24"/>
          <w:highlight w:val="none"/>
        </w:rPr>
        <w:t xml:space="preserve">单位的 </w:t>
      </w:r>
      <w:r>
        <w:rPr>
          <w:rFonts w:hint="eastAsia" w:ascii="宋体" w:hAnsi="宋体" w:eastAsia="宋体" w:cs="宋体"/>
          <w:kern w:val="36"/>
          <w:sz w:val="24"/>
          <w:szCs w:val="24"/>
          <w:highlight w:val="none"/>
          <w:u w:val="single"/>
        </w:rPr>
        <w:t xml:space="preserve">     </w:t>
      </w:r>
      <w:r>
        <w:rPr>
          <w:rFonts w:hint="eastAsia" w:ascii="宋体" w:hAnsi="宋体" w:eastAsia="宋体" w:cs="宋体"/>
          <w:kern w:val="36"/>
          <w:sz w:val="24"/>
          <w:szCs w:val="24"/>
          <w:highlight w:val="none"/>
        </w:rPr>
        <w:t>项目采购活动提供本单位制造的货物（由本单位承担工程/提供服务），或者提供其他残疾人福利性单位制造的货物（不包括使用非残疾人福利性单位注册商标的货物）。</w:t>
      </w:r>
    </w:p>
    <w:p w14:paraId="7DF1908D">
      <w:pPr>
        <w:wordWrap w:val="0"/>
        <w:spacing w:after="120" w:line="480" w:lineRule="exact"/>
        <w:ind w:firstLine="480" w:firstLineChars="200"/>
        <w:rPr>
          <w:rFonts w:hint="eastAsia" w:ascii="宋体" w:hAnsi="宋体" w:eastAsia="宋体" w:cs="宋体"/>
          <w:kern w:val="36"/>
          <w:sz w:val="24"/>
          <w:szCs w:val="24"/>
          <w:highlight w:val="none"/>
        </w:rPr>
      </w:pPr>
      <w:r>
        <w:rPr>
          <w:rFonts w:hint="eastAsia" w:ascii="宋体" w:hAnsi="宋体" w:eastAsia="宋体" w:cs="宋体"/>
          <w:kern w:val="36"/>
          <w:sz w:val="24"/>
          <w:szCs w:val="24"/>
          <w:highlight w:val="none"/>
        </w:rPr>
        <w:t>本单位对上述声明的真实性负责。如有虚假，将依法承担相应责任。</w:t>
      </w:r>
    </w:p>
    <w:p w14:paraId="37436669">
      <w:pPr>
        <w:wordWrap w:val="0"/>
        <w:spacing w:line="480" w:lineRule="exact"/>
        <w:ind w:firstLine="480" w:firstLineChars="200"/>
        <w:jc w:val="right"/>
        <w:rPr>
          <w:rFonts w:hint="eastAsia" w:ascii="宋体" w:hAnsi="宋体" w:eastAsia="宋体" w:cs="宋体"/>
          <w:sz w:val="24"/>
          <w:szCs w:val="24"/>
          <w:highlight w:val="none"/>
        </w:rPr>
      </w:pPr>
    </w:p>
    <w:p w14:paraId="2FBCA748">
      <w:pPr>
        <w:wordWrap w:val="0"/>
        <w:topLinePunct/>
        <w:spacing w:line="360" w:lineRule="auto"/>
        <w:rPr>
          <w:rFonts w:hint="eastAsia" w:ascii="宋体" w:hAnsi="宋体" w:eastAsia="宋体" w:cs="宋体"/>
          <w:kern w:val="0"/>
          <w:sz w:val="24"/>
          <w:szCs w:val="24"/>
          <w:highlight w:val="none"/>
        </w:rPr>
      </w:pPr>
    </w:p>
    <w:p w14:paraId="736A4687">
      <w:pPr>
        <w:wordWrap w:val="0"/>
        <w:topLinePunct/>
        <w:spacing w:line="360" w:lineRule="auto"/>
        <w:ind w:firstLine="480" w:firstLineChars="200"/>
        <w:rPr>
          <w:rFonts w:hint="eastAsia" w:ascii="宋体" w:hAnsi="宋体" w:eastAsia="宋体" w:cs="宋体"/>
          <w:sz w:val="24"/>
          <w:szCs w:val="24"/>
          <w:highlight w:val="none"/>
        </w:rPr>
      </w:pPr>
    </w:p>
    <w:p w14:paraId="4F208CEC">
      <w:pPr>
        <w:wordWrap w:val="0"/>
        <w:topLinePunct/>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响应人（企业电子签章或盖章）：</w:t>
      </w:r>
    </w:p>
    <w:p w14:paraId="2ECB1885">
      <w:pPr>
        <w:wordWrap w:val="0"/>
        <w:topLinePunct/>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法定代表人（个人电子签章或盖章或签字）： </w:t>
      </w:r>
    </w:p>
    <w:p w14:paraId="4078778A">
      <w:pPr>
        <w:wordWrap w:val="0"/>
        <w:topLinePunct/>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日 期： </w:t>
      </w:r>
    </w:p>
    <w:p w14:paraId="688EBF13">
      <w:pPr>
        <w:rPr>
          <w:rFonts w:ascii="Calibri" w:hAnsi="Calibri" w:eastAsia="宋体" w:cs="Times New Roman"/>
          <w:sz w:val="22"/>
          <w:highlight w:val="none"/>
        </w:rPr>
      </w:pPr>
    </w:p>
    <w:p w14:paraId="474522DB">
      <w:pPr>
        <w:wordWrap w:val="0"/>
        <w:jc w:val="center"/>
        <w:rPr>
          <w:rFonts w:hint="eastAsia" w:ascii="宋体" w:hAnsi="宋体" w:eastAsia="宋体" w:cs="宋体"/>
          <w:b/>
          <w:bCs/>
          <w:sz w:val="24"/>
          <w:szCs w:val="24"/>
          <w:highlight w:val="none"/>
        </w:rPr>
      </w:pPr>
    </w:p>
    <w:p w14:paraId="4256F510">
      <w:pPr>
        <w:wordWrap w:val="0"/>
        <w:jc w:val="center"/>
        <w:rPr>
          <w:rFonts w:hint="eastAsia" w:ascii="宋体" w:hAnsi="宋体" w:eastAsia="宋体" w:cs="宋体"/>
          <w:b/>
          <w:bCs/>
          <w:sz w:val="24"/>
          <w:szCs w:val="24"/>
          <w:highlight w:val="none"/>
        </w:rPr>
      </w:pPr>
    </w:p>
    <w:p w14:paraId="1D0447EC">
      <w:pPr>
        <w:wordWrap w:val="0"/>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 xml:space="preserve"> </w:t>
      </w:r>
    </w:p>
    <w:p w14:paraId="4847EBCC">
      <w:pPr>
        <w:wordWrap w:val="0"/>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 xml:space="preserve"> </w:t>
      </w:r>
    </w:p>
    <w:p w14:paraId="0A2DBA65">
      <w:pPr>
        <w:wordWrap w:val="0"/>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 xml:space="preserve"> </w:t>
      </w:r>
    </w:p>
    <w:p w14:paraId="17545A88">
      <w:pPr>
        <w:wordWrap w:val="0"/>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 xml:space="preserve"> </w:t>
      </w:r>
    </w:p>
    <w:p w14:paraId="1A21E2D5">
      <w:pPr>
        <w:topLinePunct/>
        <w:jc w:val="center"/>
        <w:rPr>
          <w:rFonts w:hint="eastAsia" w:ascii="宋体" w:hAnsi="宋体" w:eastAsia="宋体" w:cs="宋体"/>
          <w:b/>
          <w:bCs/>
          <w:sz w:val="24"/>
          <w:szCs w:val="24"/>
          <w:highlight w:val="none"/>
        </w:rPr>
      </w:pPr>
    </w:p>
    <w:p w14:paraId="2107CD89">
      <w:pPr>
        <w:topLinePunct/>
        <w:jc w:val="center"/>
        <w:rPr>
          <w:rFonts w:hint="eastAsia" w:ascii="宋体" w:hAnsi="宋体" w:eastAsia="宋体" w:cs="宋体"/>
          <w:b/>
          <w:bCs/>
          <w:sz w:val="24"/>
          <w:szCs w:val="24"/>
          <w:highlight w:val="none"/>
        </w:rPr>
      </w:pPr>
    </w:p>
    <w:p w14:paraId="4364D789">
      <w:pPr>
        <w:rPr>
          <w:highlight w:val="none"/>
        </w:rPr>
      </w:pPr>
    </w:p>
    <w:bookmarkEnd w:id="334"/>
    <w:sectPr>
      <w:pgSz w:w="11906" w:h="16838"/>
      <w:pgMar w:top="1440" w:right="1083" w:bottom="1440" w:left="1083" w:header="851" w:footer="850" w:gutter="0"/>
      <w:cols w:space="0" w:num="1"/>
      <w:titlePg/>
      <w:rtlGutter w:val="0"/>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华文楷体">
    <w:altName w:val="宋体"/>
    <w:panose1 w:val="02010600040101010101"/>
    <w:charset w:val="86"/>
    <w:family w:val="auto"/>
    <w:pitch w:val="default"/>
    <w:sig w:usb0="00000000" w:usb1="00000000" w:usb2="00000010" w:usb3="00000000" w:csb0="0004009F" w:csb1="00000000"/>
  </w:font>
  <w:font w:name="方正小标宋简体">
    <w:altName w:val="黑体"/>
    <w:panose1 w:val="02000000000000000000"/>
    <w:charset w:val="86"/>
    <w:family w:val="auto"/>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0000000000000000000"/>
    <w:charset w:val="86"/>
    <w:family w:val="modern"/>
    <w:pitch w:val="default"/>
    <w:sig w:usb0="00000000" w:usb1="00000000" w:usb2="00000000" w:usb3="00000000" w:csb0="00040000" w:csb1="00000000"/>
  </w:font>
  <w:font w:name="KSOF439EEF50">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6BA3B7">
    <w:pPr>
      <w:rPr>
        <w:b/>
        <w:bCs/>
        <w:sz w:val="2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2F109C">
    <w:pPr>
      <w:framePr w:wrap="around" w:vAnchor="text" w:hAnchor="margin" w:xAlign="right" w:y="1"/>
    </w:pPr>
    <w:r>
      <w:fldChar w:fldCharType="begin"/>
    </w:r>
    <w:r>
      <w:instrText xml:space="preserve">PAGE  </w:instrText>
    </w:r>
    <w:r>
      <w:fldChar w:fldCharType="end"/>
    </w:r>
  </w:p>
  <w:p w14:paraId="459D0EC8">
    <w:pPr>
      <w:ind w:right="360"/>
    </w:pPr>
  </w:p>
  <w:p w14:paraId="354CEDE4"/>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45C9F3">
    <w:pPr>
      <w:pStyle w:val="13"/>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281604">
    <w:pPr>
      <w:pStyle w:val="13"/>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78C2C30">
                          <w:pPr>
                            <w:pStyle w:val="13"/>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078C2C30">
                    <w:pPr>
                      <w:pStyle w:val="13"/>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64E92A">
    <w:pPr>
      <w:rPr>
        <w:b/>
        <w:bCs/>
        <w:sz w:val="24"/>
      </w:rPr>
    </w:pPr>
    <w:r>
      <w:rPr>
        <w:sz w:val="24"/>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D2C4EFA">
                          <w:pPr>
                            <w:pStyle w:val="13"/>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0D2C4EFA">
                    <w:pPr>
                      <w:pStyle w:val="13"/>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217777">
    <w:pPr>
      <w:pStyle w:val="13"/>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39E193E">
                          <w:pPr>
                            <w:pStyle w:val="1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p w14:paraId="239E193E">
                    <w:pPr>
                      <w:pStyle w:val="13"/>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C2B9C5"/>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1B861A">
    <w:pPr>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10D7A3">
    <w:pPr>
      <w:pStyle w:val="15"/>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F6BC116"/>
    <w:multiLevelType w:val="singleLevel"/>
    <w:tmpl w:val="BF6BC116"/>
    <w:lvl w:ilvl="0" w:tentative="0">
      <w:start w:val="16"/>
      <w:numFmt w:val="decimal"/>
      <w:suff w:val="space"/>
      <w:lvlText w:val="%1."/>
      <w:lvlJc w:val="left"/>
    </w:lvl>
  </w:abstractNum>
  <w:abstractNum w:abstractNumId="1">
    <w:nsid w:val="CFE7C3F8"/>
    <w:multiLevelType w:val="singleLevel"/>
    <w:tmpl w:val="CFE7C3F8"/>
    <w:lvl w:ilvl="0" w:tentative="0">
      <w:start w:val="1"/>
      <w:numFmt w:val="decimal"/>
      <w:suff w:val="nothing"/>
      <w:lvlText w:val="（%1）"/>
      <w:lvlJc w:val="left"/>
    </w:lvl>
  </w:abstractNum>
  <w:abstractNum w:abstractNumId="2">
    <w:nsid w:val="DDECD3BC"/>
    <w:multiLevelType w:val="singleLevel"/>
    <w:tmpl w:val="DDECD3BC"/>
    <w:lvl w:ilvl="0" w:tentative="0">
      <w:start w:val="6"/>
      <w:numFmt w:val="decimal"/>
      <w:suff w:val="space"/>
      <w:lvlText w:val="%1."/>
      <w:lvlJc w:val="left"/>
    </w:lvl>
  </w:abstractNum>
  <w:abstractNum w:abstractNumId="3">
    <w:nsid w:val="DE759F4B"/>
    <w:multiLevelType w:val="singleLevel"/>
    <w:tmpl w:val="DE759F4B"/>
    <w:lvl w:ilvl="0" w:tentative="0">
      <w:start w:val="2"/>
      <w:numFmt w:val="decimal"/>
      <w:suff w:val="space"/>
      <w:lvlText w:val="%1."/>
      <w:lvlJc w:val="left"/>
    </w:lvl>
  </w:abstractNum>
  <w:abstractNum w:abstractNumId="4">
    <w:nsid w:val="DEABE1DB"/>
    <w:multiLevelType w:val="singleLevel"/>
    <w:tmpl w:val="DEABE1DB"/>
    <w:lvl w:ilvl="0" w:tentative="0">
      <w:start w:val="23"/>
      <w:numFmt w:val="decimal"/>
      <w:suff w:val="space"/>
      <w:lvlText w:val="%1."/>
      <w:lvlJc w:val="left"/>
    </w:lvl>
  </w:abstractNum>
  <w:abstractNum w:abstractNumId="5">
    <w:nsid w:val="FFEFC674"/>
    <w:multiLevelType w:val="singleLevel"/>
    <w:tmpl w:val="FFEFC674"/>
    <w:lvl w:ilvl="0" w:tentative="0">
      <w:start w:val="1"/>
      <w:numFmt w:val="decimal"/>
      <w:suff w:val="nothing"/>
      <w:lvlText w:val="（%1）"/>
      <w:lvlJc w:val="left"/>
    </w:lvl>
  </w:abstractNum>
  <w:abstractNum w:abstractNumId="6">
    <w:nsid w:val="7A0F6431"/>
    <w:multiLevelType w:val="singleLevel"/>
    <w:tmpl w:val="7A0F6431"/>
    <w:lvl w:ilvl="0" w:tentative="0">
      <w:start w:val="1"/>
      <w:numFmt w:val="decimal"/>
      <w:suff w:val="space"/>
      <w:lvlText w:val="%1."/>
      <w:lvlJc w:val="left"/>
    </w:lvl>
  </w:abstractNum>
  <w:num w:numId="1">
    <w:abstractNumId w:val="6"/>
  </w:num>
  <w:num w:numId="2">
    <w:abstractNumId w:val="1"/>
  </w:num>
  <w:num w:numId="3">
    <w:abstractNumId w:val="5"/>
  </w:num>
  <w:num w:numId="4">
    <w:abstractNumId w:val="3"/>
  </w:num>
  <w:num w:numId="5">
    <w:abstractNumId w:val="2"/>
  </w:num>
  <w:num w:numId="6">
    <w:abstractNumId w:val="0"/>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dit="trackedChanges"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MwNWNmZTllMTQ2YjMwYjEwNTBhYzVlNTJjODYzNjMifQ=="/>
  </w:docVars>
  <w:rsids>
    <w:rsidRoot w:val="00152654"/>
    <w:rsid w:val="00083471"/>
    <w:rsid w:val="000A6711"/>
    <w:rsid w:val="000C6D21"/>
    <w:rsid w:val="000E2BF8"/>
    <w:rsid w:val="001430A5"/>
    <w:rsid w:val="00143CDA"/>
    <w:rsid w:val="00152654"/>
    <w:rsid w:val="001A5D99"/>
    <w:rsid w:val="001B19C9"/>
    <w:rsid w:val="001E1818"/>
    <w:rsid w:val="001F37CD"/>
    <w:rsid w:val="001F5AC8"/>
    <w:rsid w:val="002311F3"/>
    <w:rsid w:val="002320CE"/>
    <w:rsid w:val="00237A0E"/>
    <w:rsid w:val="00246FA7"/>
    <w:rsid w:val="00270D10"/>
    <w:rsid w:val="00273EE8"/>
    <w:rsid w:val="002905CA"/>
    <w:rsid w:val="002958F8"/>
    <w:rsid w:val="002C608B"/>
    <w:rsid w:val="002F7D2C"/>
    <w:rsid w:val="00312B72"/>
    <w:rsid w:val="00320DDB"/>
    <w:rsid w:val="00334A6B"/>
    <w:rsid w:val="00350C82"/>
    <w:rsid w:val="003527D7"/>
    <w:rsid w:val="003576E5"/>
    <w:rsid w:val="0039248C"/>
    <w:rsid w:val="003924B7"/>
    <w:rsid w:val="003A78E7"/>
    <w:rsid w:val="003C33C2"/>
    <w:rsid w:val="003D51E3"/>
    <w:rsid w:val="003D5CA2"/>
    <w:rsid w:val="003F1570"/>
    <w:rsid w:val="00434D18"/>
    <w:rsid w:val="004A08ED"/>
    <w:rsid w:val="004A731C"/>
    <w:rsid w:val="004C591A"/>
    <w:rsid w:val="004C731E"/>
    <w:rsid w:val="004F03E3"/>
    <w:rsid w:val="004F41BA"/>
    <w:rsid w:val="00527EDE"/>
    <w:rsid w:val="0055594D"/>
    <w:rsid w:val="00561CA7"/>
    <w:rsid w:val="005714C6"/>
    <w:rsid w:val="005759F7"/>
    <w:rsid w:val="005D3523"/>
    <w:rsid w:val="0060256A"/>
    <w:rsid w:val="00627171"/>
    <w:rsid w:val="00641D5F"/>
    <w:rsid w:val="006B26B5"/>
    <w:rsid w:val="006B45C2"/>
    <w:rsid w:val="006B6C76"/>
    <w:rsid w:val="006E5EDA"/>
    <w:rsid w:val="007172C1"/>
    <w:rsid w:val="00722D56"/>
    <w:rsid w:val="007411E3"/>
    <w:rsid w:val="00746C7B"/>
    <w:rsid w:val="00762021"/>
    <w:rsid w:val="007700BA"/>
    <w:rsid w:val="00770A93"/>
    <w:rsid w:val="00777811"/>
    <w:rsid w:val="007867EB"/>
    <w:rsid w:val="007A5C31"/>
    <w:rsid w:val="007C63AC"/>
    <w:rsid w:val="007D054B"/>
    <w:rsid w:val="00861A5B"/>
    <w:rsid w:val="0088019D"/>
    <w:rsid w:val="00881E7F"/>
    <w:rsid w:val="008B2C55"/>
    <w:rsid w:val="008C73C6"/>
    <w:rsid w:val="008F1981"/>
    <w:rsid w:val="00912FF2"/>
    <w:rsid w:val="009158BF"/>
    <w:rsid w:val="00937F8F"/>
    <w:rsid w:val="00940846"/>
    <w:rsid w:val="00977C16"/>
    <w:rsid w:val="00987A02"/>
    <w:rsid w:val="009A0796"/>
    <w:rsid w:val="009C0A65"/>
    <w:rsid w:val="009D06CA"/>
    <w:rsid w:val="00A33AAF"/>
    <w:rsid w:val="00A343A4"/>
    <w:rsid w:val="00A54C48"/>
    <w:rsid w:val="00A54ED7"/>
    <w:rsid w:val="00AC14A1"/>
    <w:rsid w:val="00AF3709"/>
    <w:rsid w:val="00AF4871"/>
    <w:rsid w:val="00AF68FB"/>
    <w:rsid w:val="00AF7AAE"/>
    <w:rsid w:val="00B17443"/>
    <w:rsid w:val="00B36E03"/>
    <w:rsid w:val="00B75DE5"/>
    <w:rsid w:val="00B96E69"/>
    <w:rsid w:val="00BC0A6F"/>
    <w:rsid w:val="00BE464E"/>
    <w:rsid w:val="00C16D48"/>
    <w:rsid w:val="00C347BA"/>
    <w:rsid w:val="00C70D23"/>
    <w:rsid w:val="00C7264B"/>
    <w:rsid w:val="00C864F7"/>
    <w:rsid w:val="00C9128B"/>
    <w:rsid w:val="00C95B56"/>
    <w:rsid w:val="00CA1BB8"/>
    <w:rsid w:val="00CD493F"/>
    <w:rsid w:val="00CE085D"/>
    <w:rsid w:val="00CF735E"/>
    <w:rsid w:val="00D04286"/>
    <w:rsid w:val="00D15D6C"/>
    <w:rsid w:val="00D16CED"/>
    <w:rsid w:val="00D17E4B"/>
    <w:rsid w:val="00D937E2"/>
    <w:rsid w:val="00DA3138"/>
    <w:rsid w:val="00DB6584"/>
    <w:rsid w:val="00DC33B4"/>
    <w:rsid w:val="00DC7B19"/>
    <w:rsid w:val="00DF7831"/>
    <w:rsid w:val="00E260A9"/>
    <w:rsid w:val="00E261D0"/>
    <w:rsid w:val="00E368E1"/>
    <w:rsid w:val="00E67728"/>
    <w:rsid w:val="00E727FE"/>
    <w:rsid w:val="00E805B6"/>
    <w:rsid w:val="00E86C16"/>
    <w:rsid w:val="00EA6082"/>
    <w:rsid w:val="00EA72E0"/>
    <w:rsid w:val="00EC3FFE"/>
    <w:rsid w:val="00ED010A"/>
    <w:rsid w:val="00ED4A12"/>
    <w:rsid w:val="00EF645A"/>
    <w:rsid w:val="00F121E7"/>
    <w:rsid w:val="00F12EB3"/>
    <w:rsid w:val="00F4401E"/>
    <w:rsid w:val="00F53179"/>
    <w:rsid w:val="00F53A22"/>
    <w:rsid w:val="00F54035"/>
    <w:rsid w:val="00F60957"/>
    <w:rsid w:val="00F6218F"/>
    <w:rsid w:val="00FC0843"/>
    <w:rsid w:val="00FC664E"/>
    <w:rsid w:val="00FD7DD6"/>
    <w:rsid w:val="00FF6399"/>
    <w:rsid w:val="00FF6CF4"/>
    <w:rsid w:val="0120336B"/>
    <w:rsid w:val="01E70230"/>
    <w:rsid w:val="01F26FD5"/>
    <w:rsid w:val="029A38EC"/>
    <w:rsid w:val="032C4E8C"/>
    <w:rsid w:val="03452838"/>
    <w:rsid w:val="03555A65"/>
    <w:rsid w:val="03AC1DBF"/>
    <w:rsid w:val="04C06098"/>
    <w:rsid w:val="0530678A"/>
    <w:rsid w:val="05422ECB"/>
    <w:rsid w:val="059C537A"/>
    <w:rsid w:val="06223D87"/>
    <w:rsid w:val="0655382F"/>
    <w:rsid w:val="06710E08"/>
    <w:rsid w:val="072A0899"/>
    <w:rsid w:val="086E6C0F"/>
    <w:rsid w:val="0994295D"/>
    <w:rsid w:val="099B68C7"/>
    <w:rsid w:val="09B87B50"/>
    <w:rsid w:val="0A14667A"/>
    <w:rsid w:val="0B785854"/>
    <w:rsid w:val="0C470036"/>
    <w:rsid w:val="0C550DDA"/>
    <w:rsid w:val="0CA72900"/>
    <w:rsid w:val="0CF56D46"/>
    <w:rsid w:val="0DD81423"/>
    <w:rsid w:val="0E1212A0"/>
    <w:rsid w:val="0E707BF7"/>
    <w:rsid w:val="0E805BB5"/>
    <w:rsid w:val="0EA03BFE"/>
    <w:rsid w:val="0EA220E4"/>
    <w:rsid w:val="0EC62A52"/>
    <w:rsid w:val="0EE26D46"/>
    <w:rsid w:val="0FA25AF2"/>
    <w:rsid w:val="102962AF"/>
    <w:rsid w:val="10D12E24"/>
    <w:rsid w:val="10DF6CB1"/>
    <w:rsid w:val="10FE14EA"/>
    <w:rsid w:val="111927C8"/>
    <w:rsid w:val="11232B99"/>
    <w:rsid w:val="1232386A"/>
    <w:rsid w:val="1235718D"/>
    <w:rsid w:val="124E3051"/>
    <w:rsid w:val="127546B4"/>
    <w:rsid w:val="12814D98"/>
    <w:rsid w:val="12C84F5F"/>
    <w:rsid w:val="1340403C"/>
    <w:rsid w:val="134578A4"/>
    <w:rsid w:val="1358441B"/>
    <w:rsid w:val="138403CC"/>
    <w:rsid w:val="13A46379"/>
    <w:rsid w:val="13B17F44"/>
    <w:rsid w:val="13DF53A0"/>
    <w:rsid w:val="14691370"/>
    <w:rsid w:val="15785F0B"/>
    <w:rsid w:val="159D0154"/>
    <w:rsid w:val="15B842D3"/>
    <w:rsid w:val="15CE6D77"/>
    <w:rsid w:val="161A3893"/>
    <w:rsid w:val="16454DFC"/>
    <w:rsid w:val="16E6675F"/>
    <w:rsid w:val="17147100"/>
    <w:rsid w:val="174D6D27"/>
    <w:rsid w:val="17F60AEE"/>
    <w:rsid w:val="18463EA2"/>
    <w:rsid w:val="193C23FA"/>
    <w:rsid w:val="193C34F7"/>
    <w:rsid w:val="19FE255B"/>
    <w:rsid w:val="1A3A1C2F"/>
    <w:rsid w:val="1A7F4D8D"/>
    <w:rsid w:val="1A9F789A"/>
    <w:rsid w:val="1AB62E35"/>
    <w:rsid w:val="1AEB6F83"/>
    <w:rsid w:val="1AFF6879"/>
    <w:rsid w:val="1B067919"/>
    <w:rsid w:val="1B2D5684"/>
    <w:rsid w:val="1B387CE9"/>
    <w:rsid w:val="1B5A697D"/>
    <w:rsid w:val="1B6B39BC"/>
    <w:rsid w:val="1CA473E9"/>
    <w:rsid w:val="1E262080"/>
    <w:rsid w:val="1E3A020F"/>
    <w:rsid w:val="1E6D3113"/>
    <w:rsid w:val="1EAA4A5F"/>
    <w:rsid w:val="1EE337DA"/>
    <w:rsid w:val="1F550E6F"/>
    <w:rsid w:val="1FA616CA"/>
    <w:rsid w:val="202B2133"/>
    <w:rsid w:val="206B33F0"/>
    <w:rsid w:val="20AA5D3B"/>
    <w:rsid w:val="210066E7"/>
    <w:rsid w:val="210C5E73"/>
    <w:rsid w:val="228B1CF7"/>
    <w:rsid w:val="22D33065"/>
    <w:rsid w:val="23922946"/>
    <w:rsid w:val="23BC3BC2"/>
    <w:rsid w:val="23D65192"/>
    <w:rsid w:val="25423C43"/>
    <w:rsid w:val="25615736"/>
    <w:rsid w:val="26484F20"/>
    <w:rsid w:val="276A7481"/>
    <w:rsid w:val="29017971"/>
    <w:rsid w:val="29AF5108"/>
    <w:rsid w:val="29B856B6"/>
    <w:rsid w:val="2A6E7289"/>
    <w:rsid w:val="2AEB08D9"/>
    <w:rsid w:val="2B0B2D29"/>
    <w:rsid w:val="2B666272"/>
    <w:rsid w:val="2B69251F"/>
    <w:rsid w:val="2C4A70DD"/>
    <w:rsid w:val="2D543A3E"/>
    <w:rsid w:val="2DD6761F"/>
    <w:rsid w:val="2DEA60B2"/>
    <w:rsid w:val="2E132621"/>
    <w:rsid w:val="2E476DBF"/>
    <w:rsid w:val="2EB15996"/>
    <w:rsid w:val="2EE265FC"/>
    <w:rsid w:val="2EEB0EA8"/>
    <w:rsid w:val="2F4775A8"/>
    <w:rsid w:val="2FFD5AB7"/>
    <w:rsid w:val="30247BD1"/>
    <w:rsid w:val="30323310"/>
    <w:rsid w:val="30FE1366"/>
    <w:rsid w:val="311E1C0C"/>
    <w:rsid w:val="315A0567"/>
    <w:rsid w:val="319C110F"/>
    <w:rsid w:val="31F86FE0"/>
    <w:rsid w:val="32132BEF"/>
    <w:rsid w:val="32841D1E"/>
    <w:rsid w:val="329364AC"/>
    <w:rsid w:val="334F36CD"/>
    <w:rsid w:val="337748EF"/>
    <w:rsid w:val="341A53CF"/>
    <w:rsid w:val="348736E8"/>
    <w:rsid w:val="367F6029"/>
    <w:rsid w:val="37492C0F"/>
    <w:rsid w:val="374E46CA"/>
    <w:rsid w:val="37754601"/>
    <w:rsid w:val="379A790F"/>
    <w:rsid w:val="37DB4E60"/>
    <w:rsid w:val="38291776"/>
    <w:rsid w:val="38344A73"/>
    <w:rsid w:val="383C7A23"/>
    <w:rsid w:val="38F30730"/>
    <w:rsid w:val="392E030F"/>
    <w:rsid w:val="395E197D"/>
    <w:rsid w:val="399F745E"/>
    <w:rsid w:val="39A44A75"/>
    <w:rsid w:val="39D013C6"/>
    <w:rsid w:val="39D709A6"/>
    <w:rsid w:val="3A902A5A"/>
    <w:rsid w:val="3B1D688D"/>
    <w:rsid w:val="3B8E51A6"/>
    <w:rsid w:val="3BB61FCA"/>
    <w:rsid w:val="3CA8662A"/>
    <w:rsid w:val="3CD63197"/>
    <w:rsid w:val="3D8E5820"/>
    <w:rsid w:val="3DE90CA8"/>
    <w:rsid w:val="3E066647"/>
    <w:rsid w:val="3E5500EC"/>
    <w:rsid w:val="3EE51F65"/>
    <w:rsid w:val="3EFC4CA0"/>
    <w:rsid w:val="40255396"/>
    <w:rsid w:val="40371000"/>
    <w:rsid w:val="40A86BF9"/>
    <w:rsid w:val="40B97058"/>
    <w:rsid w:val="41151DB4"/>
    <w:rsid w:val="412B6973"/>
    <w:rsid w:val="426218BA"/>
    <w:rsid w:val="427462E7"/>
    <w:rsid w:val="42E87780"/>
    <w:rsid w:val="438D6CAC"/>
    <w:rsid w:val="441614F2"/>
    <w:rsid w:val="444B414F"/>
    <w:rsid w:val="46160AA8"/>
    <w:rsid w:val="46274A64"/>
    <w:rsid w:val="4695726A"/>
    <w:rsid w:val="469610B4"/>
    <w:rsid w:val="46B04A59"/>
    <w:rsid w:val="475A49C5"/>
    <w:rsid w:val="47705F96"/>
    <w:rsid w:val="47737835"/>
    <w:rsid w:val="4852044E"/>
    <w:rsid w:val="489179D5"/>
    <w:rsid w:val="48927F3F"/>
    <w:rsid w:val="49066BB2"/>
    <w:rsid w:val="499C12C5"/>
    <w:rsid w:val="49E60792"/>
    <w:rsid w:val="4A646878"/>
    <w:rsid w:val="4A6F474A"/>
    <w:rsid w:val="4B142792"/>
    <w:rsid w:val="4B5A4F93"/>
    <w:rsid w:val="4B7C13AE"/>
    <w:rsid w:val="4B9328A2"/>
    <w:rsid w:val="4C267267"/>
    <w:rsid w:val="4CD90E06"/>
    <w:rsid w:val="4CEC4311"/>
    <w:rsid w:val="4D4C6EB0"/>
    <w:rsid w:val="4DB17D3F"/>
    <w:rsid w:val="4E197388"/>
    <w:rsid w:val="4F222A30"/>
    <w:rsid w:val="4F337AEB"/>
    <w:rsid w:val="4FA47389"/>
    <w:rsid w:val="4FB87BC6"/>
    <w:rsid w:val="4FBF60BA"/>
    <w:rsid w:val="50526B81"/>
    <w:rsid w:val="50B43398"/>
    <w:rsid w:val="51047D34"/>
    <w:rsid w:val="5266448B"/>
    <w:rsid w:val="5268268C"/>
    <w:rsid w:val="530D15CE"/>
    <w:rsid w:val="531C5933"/>
    <w:rsid w:val="53737397"/>
    <w:rsid w:val="54A3721F"/>
    <w:rsid w:val="54C87E4F"/>
    <w:rsid w:val="54CD2C7A"/>
    <w:rsid w:val="555C7B5A"/>
    <w:rsid w:val="56BF65F2"/>
    <w:rsid w:val="56E55B57"/>
    <w:rsid w:val="57083360"/>
    <w:rsid w:val="575064D2"/>
    <w:rsid w:val="581B09D8"/>
    <w:rsid w:val="581D7A74"/>
    <w:rsid w:val="591075D9"/>
    <w:rsid w:val="59B85CA7"/>
    <w:rsid w:val="59EE16C8"/>
    <w:rsid w:val="5A8B33BB"/>
    <w:rsid w:val="5B406296"/>
    <w:rsid w:val="5B4C2CF5"/>
    <w:rsid w:val="5B550888"/>
    <w:rsid w:val="5BD82630"/>
    <w:rsid w:val="5C802CB6"/>
    <w:rsid w:val="5D7A1F07"/>
    <w:rsid w:val="5E116979"/>
    <w:rsid w:val="5E420235"/>
    <w:rsid w:val="5E8E262A"/>
    <w:rsid w:val="5E976488"/>
    <w:rsid w:val="5F335DCF"/>
    <w:rsid w:val="5F374E01"/>
    <w:rsid w:val="5F70731B"/>
    <w:rsid w:val="602776E2"/>
    <w:rsid w:val="609D1752"/>
    <w:rsid w:val="60BA2F43"/>
    <w:rsid w:val="614671FD"/>
    <w:rsid w:val="615C44D2"/>
    <w:rsid w:val="61A11A3C"/>
    <w:rsid w:val="61A342D1"/>
    <w:rsid w:val="61AD3C17"/>
    <w:rsid w:val="622817F7"/>
    <w:rsid w:val="62650996"/>
    <w:rsid w:val="6280132C"/>
    <w:rsid w:val="629917AC"/>
    <w:rsid w:val="63012331"/>
    <w:rsid w:val="636F0D32"/>
    <w:rsid w:val="63D65B34"/>
    <w:rsid w:val="641A55C7"/>
    <w:rsid w:val="64C86FBA"/>
    <w:rsid w:val="64CC5572"/>
    <w:rsid w:val="65FC6F1B"/>
    <w:rsid w:val="66671B30"/>
    <w:rsid w:val="6727446C"/>
    <w:rsid w:val="67DB3C85"/>
    <w:rsid w:val="67F85F54"/>
    <w:rsid w:val="6822078F"/>
    <w:rsid w:val="68490412"/>
    <w:rsid w:val="688306D3"/>
    <w:rsid w:val="68B27D65"/>
    <w:rsid w:val="68D97EC3"/>
    <w:rsid w:val="694C689C"/>
    <w:rsid w:val="69961435"/>
    <w:rsid w:val="6A7259FE"/>
    <w:rsid w:val="6AB9362D"/>
    <w:rsid w:val="6AF90805"/>
    <w:rsid w:val="6B7B1AB7"/>
    <w:rsid w:val="6CFC5A53"/>
    <w:rsid w:val="6D0D5EB2"/>
    <w:rsid w:val="6D2817E7"/>
    <w:rsid w:val="6D282CEC"/>
    <w:rsid w:val="6D6B220F"/>
    <w:rsid w:val="6E8421A4"/>
    <w:rsid w:val="6FD35191"/>
    <w:rsid w:val="709B41F7"/>
    <w:rsid w:val="711A294B"/>
    <w:rsid w:val="711E1996"/>
    <w:rsid w:val="712B62B9"/>
    <w:rsid w:val="715356CF"/>
    <w:rsid w:val="71A2280E"/>
    <w:rsid w:val="73BA0505"/>
    <w:rsid w:val="744C447E"/>
    <w:rsid w:val="74EF17B2"/>
    <w:rsid w:val="7513403E"/>
    <w:rsid w:val="7559354D"/>
    <w:rsid w:val="75E60822"/>
    <w:rsid w:val="76C07AF1"/>
    <w:rsid w:val="770F5175"/>
    <w:rsid w:val="771A763D"/>
    <w:rsid w:val="77894387"/>
    <w:rsid w:val="77A47413"/>
    <w:rsid w:val="78085BF3"/>
    <w:rsid w:val="78F147CA"/>
    <w:rsid w:val="794D599B"/>
    <w:rsid w:val="798555D1"/>
    <w:rsid w:val="799F10C8"/>
    <w:rsid w:val="79D73ACF"/>
    <w:rsid w:val="7B4C4049"/>
    <w:rsid w:val="7B5F3D7C"/>
    <w:rsid w:val="7B837D9E"/>
    <w:rsid w:val="7B903FAB"/>
    <w:rsid w:val="7BD15BD0"/>
    <w:rsid w:val="7DE22A43"/>
    <w:rsid w:val="7EA20CF5"/>
    <w:rsid w:val="7EC02D84"/>
    <w:rsid w:val="7ECC24A0"/>
    <w:rsid w:val="7F435763"/>
    <w:rsid w:val="7FF76C79"/>
    <w:rsid w:val="F7EBAD5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name="toc 1"/>
    <w:lsdException w:qFormat="1" w:uiPriority="39" w:name="toc 2"/>
    <w:lsdException w:qFormat="1" w:uiPriority="39" w:name="toc 3"/>
    <w:lsdException w:uiPriority="39" w:name="toc 4"/>
    <w:lsdException w:qFormat="1" w:unhideWhenUsed="0" w:uiPriority="0" w:semiHidden="0"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nhideWhenUsed="0" w:uiPriority="99" w:semiHidden="0"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qFormat="1" w:unhideWhenUsed="0" w:uiPriority="0" w:semiHidden="0" w:name="Message Header"/>
    <w:lsdException w:qFormat="1" w:unhideWhenUsed="0" w:uiPriority="11" w:semiHidden="0" w:name="Subtitle"/>
    <w:lsdException w:uiPriority="99" w:name="Salutation"/>
    <w:lsdException w:uiPriority="99" w:name="Date"/>
    <w:lsdException w:qFormat="1" w:unhideWhenUsed="0" w:uiPriority="99" w:semiHidden="0" w:name="Body Text First Indent"/>
    <w:lsdException w:qFormat="1" w:uiPriority="99" w:semiHidden="0" w:name="Body Text First Indent 2"/>
    <w:lsdException w:uiPriority="99" w:name="Note Heading"/>
    <w:lsdException w:qFormat="1" w:unhideWhenUsed="0" w:uiPriority="0" w:semiHidden="0" w:name="Body Text 2"/>
    <w:lsdException w:uiPriority="99" w:name="Body Text 3"/>
    <w:lsdException w:qFormat="1" w:unhideWhenUsed="0" w:uiPriority="0" w:semiHidden="0"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semiHidden="0"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uiPriority="99" w:name="HTML Preformatted"/>
    <w:lsdException w:qFormat="1" w:uiPriority="99" w:name="HTML Sample"/>
    <w:lsdException w:qFormat="1" w:uiPriority="99" w:name="HTML Typewriter"/>
    <w:lsdException w:qFormat="1"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5">
    <w:name w:val="heading 1"/>
    <w:basedOn w:val="1"/>
    <w:next w:val="1"/>
    <w:autoRedefine/>
    <w:qFormat/>
    <w:uiPriority w:val="0"/>
    <w:pPr>
      <w:spacing w:before="38"/>
      <w:ind w:left="892"/>
      <w:jc w:val="center"/>
      <w:outlineLvl w:val="0"/>
    </w:pPr>
    <w:rPr>
      <w:sz w:val="32"/>
      <w:szCs w:val="32"/>
    </w:rPr>
  </w:style>
  <w:style w:type="paragraph" w:styleId="6">
    <w:name w:val="heading 2"/>
    <w:basedOn w:val="1"/>
    <w:next w:val="1"/>
    <w:link w:val="46"/>
    <w:autoRedefine/>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7">
    <w:name w:val="heading 3"/>
    <w:basedOn w:val="1"/>
    <w:next w:val="1"/>
    <w:link w:val="39"/>
    <w:autoRedefine/>
    <w:unhideWhenUsed/>
    <w:qFormat/>
    <w:uiPriority w:val="9"/>
    <w:pPr>
      <w:keepNext/>
      <w:keepLines/>
      <w:spacing w:line="360" w:lineRule="auto"/>
      <w:outlineLvl w:val="2"/>
    </w:pPr>
    <w:rPr>
      <w:b/>
      <w:bCs/>
      <w:sz w:val="28"/>
      <w:szCs w:val="32"/>
    </w:rPr>
  </w:style>
  <w:style w:type="character" w:default="1" w:styleId="26">
    <w:name w:val="Default Paragraph Font"/>
    <w:semiHidden/>
    <w:unhideWhenUsed/>
    <w:qFormat/>
    <w:uiPriority w:val="1"/>
  </w:style>
  <w:style w:type="table" w:default="1" w:styleId="24">
    <w:name w:val="Normal Table"/>
    <w:semiHidden/>
    <w:unhideWhenUsed/>
    <w:qFormat/>
    <w:uiPriority w:val="99"/>
    <w:tblPr>
      <w:tblCellMar>
        <w:top w:w="0" w:type="dxa"/>
        <w:left w:w="108" w:type="dxa"/>
        <w:bottom w:w="0" w:type="dxa"/>
        <w:right w:w="108" w:type="dxa"/>
      </w:tblCellMar>
    </w:tblPr>
  </w:style>
  <w:style w:type="paragraph" w:styleId="2">
    <w:name w:val="Body Text Indent 2"/>
    <w:basedOn w:val="1"/>
    <w:next w:val="3"/>
    <w:autoRedefine/>
    <w:qFormat/>
    <w:uiPriority w:val="0"/>
    <w:pPr>
      <w:spacing w:line="360" w:lineRule="auto"/>
      <w:ind w:left="1140"/>
    </w:pPr>
    <w:rPr>
      <w:rFonts w:ascii="宋体"/>
      <w:sz w:val="24"/>
      <w:szCs w:val="20"/>
    </w:rPr>
  </w:style>
  <w:style w:type="paragraph" w:styleId="3">
    <w:name w:val="Plain Text"/>
    <w:basedOn w:val="1"/>
    <w:next w:val="4"/>
    <w:autoRedefine/>
    <w:qFormat/>
    <w:uiPriority w:val="0"/>
    <w:rPr>
      <w:rFonts w:ascii="宋体" w:hAnsi="Courier New"/>
      <w:szCs w:val="20"/>
    </w:rPr>
  </w:style>
  <w:style w:type="paragraph" w:styleId="4">
    <w:name w:val="toc 5"/>
    <w:basedOn w:val="1"/>
    <w:next w:val="1"/>
    <w:qFormat/>
    <w:uiPriority w:val="0"/>
    <w:pPr>
      <w:ind w:left="400" w:leftChars="400"/>
    </w:pPr>
    <w:rPr>
      <w:rFonts w:ascii="Times New Roman" w:hAnsi="Times New Roman"/>
      <w:szCs w:val="24"/>
    </w:rPr>
  </w:style>
  <w:style w:type="paragraph" w:styleId="8">
    <w:name w:val="annotation text"/>
    <w:basedOn w:val="1"/>
    <w:unhideWhenUsed/>
    <w:qFormat/>
    <w:uiPriority w:val="99"/>
    <w:rPr>
      <w:sz w:val="20"/>
    </w:rPr>
  </w:style>
  <w:style w:type="paragraph" w:styleId="9">
    <w:name w:val="Body Text"/>
    <w:basedOn w:val="1"/>
    <w:autoRedefine/>
    <w:qFormat/>
    <w:uiPriority w:val="0"/>
    <w:pPr>
      <w:adjustRightInd w:val="0"/>
      <w:jc w:val="left"/>
      <w:textAlignment w:val="baseline"/>
    </w:pPr>
    <w:rPr>
      <w:rFonts w:ascii="楷体_GB2312" w:eastAsia="楷体_GB2312"/>
      <w:kern w:val="0"/>
      <w:sz w:val="28"/>
      <w:szCs w:val="20"/>
    </w:rPr>
  </w:style>
  <w:style w:type="paragraph" w:styleId="10">
    <w:name w:val="Body Text Indent"/>
    <w:basedOn w:val="1"/>
    <w:autoRedefine/>
    <w:qFormat/>
    <w:uiPriority w:val="0"/>
    <w:pPr>
      <w:adjustRightInd w:val="0"/>
      <w:spacing w:after="120" w:line="360" w:lineRule="atLeast"/>
      <w:ind w:left="420"/>
      <w:jc w:val="left"/>
      <w:textAlignment w:val="baseline"/>
    </w:pPr>
    <w:rPr>
      <w:rFonts w:ascii="Times New Roman" w:hAnsi="Times New Roman" w:eastAsia="宋体" w:cs="Times New Roman"/>
      <w:kern w:val="0"/>
      <w:sz w:val="24"/>
      <w:szCs w:val="28"/>
    </w:rPr>
  </w:style>
  <w:style w:type="paragraph" w:styleId="11">
    <w:name w:val="toc 3"/>
    <w:basedOn w:val="1"/>
    <w:next w:val="1"/>
    <w:semiHidden/>
    <w:unhideWhenUsed/>
    <w:qFormat/>
    <w:uiPriority w:val="39"/>
    <w:pPr>
      <w:ind w:left="840" w:leftChars="400"/>
    </w:pPr>
  </w:style>
  <w:style w:type="paragraph" w:styleId="12">
    <w:name w:val="Balloon Text"/>
    <w:basedOn w:val="1"/>
    <w:link w:val="44"/>
    <w:autoRedefine/>
    <w:semiHidden/>
    <w:unhideWhenUsed/>
    <w:qFormat/>
    <w:uiPriority w:val="99"/>
    <w:rPr>
      <w:sz w:val="18"/>
      <w:szCs w:val="18"/>
    </w:rPr>
  </w:style>
  <w:style w:type="paragraph" w:styleId="13">
    <w:name w:val="footer"/>
    <w:basedOn w:val="1"/>
    <w:link w:val="43"/>
    <w:autoRedefine/>
    <w:unhideWhenUsed/>
    <w:qFormat/>
    <w:uiPriority w:val="99"/>
    <w:pPr>
      <w:tabs>
        <w:tab w:val="center" w:pos="4153"/>
        <w:tab w:val="right" w:pos="8306"/>
      </w:tabs>
      <w:snapToGrid w:val="0"/>
      <w:jc w:val="left"/>
    </w:pPr>
    <w:rPr>
      <w:sz w:val="18"/>
      <w:szCs w:val="18"/>
    </w:rPr>
  </w:style>
  <w:style w:type="paragraph" w:styleId="14">
    <w:name w:val="envelope return"/>
    <w:basedOn w:val="1"/>
    <w:autoRedefine/>
    <w:qFormat/>
    <w:uiPriority w:val="99"/>
    <w:rPr>
      <w:rFonts w:ascii="Arial" w:hAnsi="Arial"/>
    </w:rPr>
  </w:style>
  <w:style w:type="paragraph" w:styleId="15">
    <w:name w:val="header"/>
    <w:basedOn w:val="1"/>
    <w:link w:val="42"/>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16">
    <w:name w:val="toc 1"/>
    <w:basedOn w:val="1"/>
    <w:next w:val="1"/>
    <w:autoRedefine/>
    <w:semiHidden/>
    <w:unhideWhenUsed/>
    <w:qFormat/>
    <w:uiPriority w:val="39"/>
  </w:style>
  <w:style w:type="paragraph" w:styleId="17">
    <w:name w:val="Subtitle"/>
    <w:basedOn w:val="1"/>
    <w:next w:val="1"/>
    <w:link w:val="49"/>
    <w:autoRedefine/>
    <w:qFormat/>
    <w:uiPriority w:val="11"/>
    <w:pPr>
      <w:spacing w:before="240" w:after="60" w:line="312" w:lineRule="auto"/>
      <w:jc w:val="center"/>
      <w:outlineLvl w:val="1"/>
    </w:pPr>
    <w:rPr>
      <w:rFonts w:eastAsia="宋体" w:asciiTheme="majorHAnsi" w:hAnsiTheme="majorHAnsi" w:cstheme="majorBidi"/>
      <w:b/>
      <w:bCs/>
      <w:kern w:val="28"/>
      <w:sz w:val="32"/>
      <w:szCs w:val="32"/>
    </w:rPr>
  </w:style>
  <w:style w:type="paragraph" w:styleId="18">
    <w:name w:val="toc 2"/>
    <w:basedOn w:val="1"/>
    <w:next w:val="1"/>
    <w:semiHidden/>
    <w:unhideWhenUsed/>
    <w:qFormat/>
    <w:uiPriority w:val="39"/>
    <w:pPr>
      <w:ind w:left="420" w:leftChars="200"/>
    </w:pPr>
  </w:style>
  <w:style w:type="paragraph" w:styleId="19">
    <w:name w:val="Body Text 2"/>
    <w:basedOn w:val="1"/>
    <w:next w:val="3"/>
    <w:autoRedefine/>
    <w:qFormat/>
    <w:uiPriority w:val="0"/>
    <w:pPr>
      <w:spacing w:line="360" w:lineRule="auto"/>
    </w:pPr>
    <w:rPr>
      <w:sz w:val="24"/>
      <w:szCs w:val="20"/>
    </w:rPr>
  </w:style>
  <w:style w:type="paragraph" w:styleId="20">
    <w:name w:val="Message Header"/>
    <w:basedOn w:val="1"/>
    <w:autoRedefine/>
    <w:qFormat/>
    <w:uiPriority w:val="0"/>
    <w:pPr>
      <w:pBdr>
        <w:top w:val="single" w:color="auto" w:sz="6" w:space="1"/>
        <w:left w:val="single" w:color="auto" w:sz="6" w:space="1"/>
        <w:bottom w:val="single" w:color="auto" w:sz="6" w:space="1"/>
        <w:right w:val="single" w:color="auto" w:sz="6" w:space="1"/>
      </w:pBdr>
      <w:shd w:val="clear" w:color="auto" w:fill="7F7F7F"/>
      <w:spacing w:before="100" w:beforeAutospacing="1" w:after="100" w:afterAutospacing="1"/>
      <w:ind w:left="1080" w:leftChars="500" w:hanging="1080" w:hangingChars="500"/>
    </w:pPr>
    <w:rPr>
      <w:rFonts w:ascii="Arial" w:hAnsi="Arial" w:cs="Arial"/>
      <w:sz w:val="24"/>
      <w:szCs w:val="24"/>
    </w:rPr>
  </w:style>
  <w:style w:type="paragraph" w:styleId="21">
    <w:name w:val="Normal (Web)"/>
    <w:basedOn w:val="1"/>
    <w:autoRedefine/>
    <w:unhideWhenUsed/>
    <w:qFormat/>
    <w:uiPriority w:val="99"/>
    <w:rPr>
      <w:rFonts w:ascii="Times New Roman" w:hAnsi="Times New Roman" w:cs="Times New Roman"/>
      <w:sz w:val="24"/>
      <w:szCs w:val="24"/>
    </w:rPr>
  </w:style>
  <w:style w:type="paragraph" w:styleId="22">
    <w:name w:val="Body Text First Indent"/>
    <w:basedOn w:val="9"/>
    <w:autoRedefine/>
    <w:qFormat/>
    <w:uiPriority w:val="99"/>
    <w:pPr>
      <w:spacing w:after="120"/>
      <w:ind w:firstLine="420" w:firstLineChars="100"/>
    </w:pPr>
    <w:rPr>
      <w:rFonts w:ascii="Times New Roman" w:hAnsi="Times New Roman" w:cs="Times New Roman"/>
      <w:sz w:val="21"/>
      <w:szCs w:val="21"/>
    </w:rPr>
  </w:style>
  <w:style w:type="paragraph" w:styleId="23">
    <w:name w:val="Body Text First Indent 2"/>
    <w:basedOn w:val="10"/>
    <w:next w:val="22"/>
    <w:autoRedefine/>
    <w:unhideWhenUsed/>
    <w:qFormat/>
    <w:uiPriority w:val="99"/>
    <w:pPr>
      <w:ind w:firstLine="420" w:firstLineChars="200"/>
    </w:pPr>
  </w:style>
  <w:style w:type="table" w:styleId="25">
    <w:name w:val="Table Grid"/>
    <w:basedOn w:val="24"/>
    <w:autoRedefine/>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7">
    <w:name w:val="Strong"/>
    <w:basedOn w:val="26"/>
    <w:autoRedefine/>
    <w:qFormat/>
    <w:uiPriority w:val="22"/>
    <w:rPr>
      <w:b/>
      <w:bCs/>
    </w:rPr>
  </w:style>
  <w:style w:type="character" w:styleId="28">
    <w:name w:val="FollowedHyperlink"/>
    <w:basedOn w:val="26"/>
    <w:autoRedefine/>
    <w:semiHidden/>
    <w:unhideWhenUsed/>
    <w:qFormat/>
    <w:uiPriority w:val="99"/>
    <w:rPr>
      <w:color w:val="800080"/>
      <w:u w:val="none"/>
    </w:rPr>
  </w:style>
  <w:style w:type="character" w:styleId="29">
    <w:name w:val="Emphasis"/>
    <w:basedOn w:val="26"/>
    <w:autoRedefine/>
    <w:qFormat/>
    <w:uiPriority w:val="20"/>
    <w:rPr>
      <w:b/>
      <w:bCs/>
    </w:rPr>
  </w:style>
  <w:style w:type="character" w:styleId="30">
    <w:name w:val="HTML Definition"/>
    <w:basedOn w:val="26"/>
    <w:autoRedefine/>
    <w:semiHidden/>
    <w:unhideWhenUsed/>
    <w:qFormat/>
    <w:uiPriority w:val="99"/>
  </w:style>
  <w:style w:type="character" w:styleId="31">
    <w:name w:val="HTML Typewriter"/>
    <w:basedOn w:val="26"/>
    <w:autoRedefine/>
    <w:semiHidden/>
    <w:unhideWhenUsed/>
    <w:qFormat/>
    <w:uiPriority w:val="99"/>
    <w:rPr>
      <w:rFonts w:hint="default" w:ascii="monospace" w:hAnsi="monospace" w:eastAsia="monospace" w:cs="monospace"/>
      <w:sz w:val="20"/>
    </w:rPr>
  </w:style>
  <w:style w:type="character" w:styleId="32">
    <w:name w:val="HTML Acronym"/>
    <w:basedOn w:val="26"/>
    <w:autoRedefine/>
    <w:semiHidden/>
    <w:unhideWhenUsed/>
    <w:qFormat/>
    <w:uiPriority w:val="99"/>
  </w:style>
  <w:style w:type="character" w:styleId="33">
    <w:name w:val="HTML Variable"/>
    <w:basedOn w:val="26"/>
    <w:autoRedefine/>
    <w:semiHidden/>
    <w:unhideWhenUsed/>
    <w:qFormat/>
    <w:uiPriority w:val="99"/>
  </w:style>
  <w:style w:type="character" w:styleId="34">
    <w:name w:val="Hyperlink"/>
    <w:basedOn w:val="26"/>
    <w:autoRedefine/>
    <w:unhideWhenUsed/>
    <w:qFormat/>
    <w:uiPriority w:val="99"/>
    <w:rPr>
      <w:color w:val="0000FF" w:themeColor="hyperlink"/>
      <w:u w:val="single"/>
      <w14:textFill>
        <w14:solidFill>
          <w14:schemeClr w14:val="hlink"/>
        </w14:solidFill>
      </w14:textFill>
    </w:rPr>
  </w:style>
  <w:style w:type="character" w:styleId="35">
    <w:name w:val="HTML Code"/>
    <w:basedOn w:val="26"/>
    <w:autoRedefine/>
    <w:semiHidden/>
    <w:unhideWhenUsed/>
    <w:qFormat/>
    <w:uiPriority w:val="99"/>
    <w:rPr>
      <w:rFonts w:hint="default" w:ascii="monospace" w:hAnsi="monospace" w:eastAsia="monospace" w:cs="monospace"/>
      <w:sz w:val="20"/>
    </w:rPr>
  </w:style>
  <w:style w:type="character" w:styleId="36">
    <w:name w:val="HTML Cite"/>
    <w:basedOn w:val="26"/>
    <w:autoRedefine/>
    <w:semiHidden/>
    <w:unhideWhenUsed/>
    <w:qFormat/>
    <w:uiPriority w:val="99"/>
  </w:style>
  <w:style w:type="character" w:styleId="37">
    <w:name w:val="HTML Keyboard"/>
    <w:basedOn w:val="26"/>
    <w:autoRedefine/>
    <w:semiHidden/>
    <w:unhideWhenUsed/>
    <w:qFormat/>
    <w:uiPriority w:val="99"/>
    <w:rPr>
      <w:rFonts w:hint="default" w:ascii="monospace" w:hAnsi="monospace" w:eastAsia="monospace" w:cs="monospace"/>
      <w:sz w:val="20"/>
    </w:rPr>
  </w:style>
  <w:style w:type="character" w:styleId="38">
    <w:name w:val="HTML Sample"/>
    <w:basedOn w:val="26"/>
    <w:autoRedefine/>
    <w:semiHidden/>
    <w:unhideWhenUsed/>
    <w:qFormat/>
    <w:uiPriority w:val="99"/>
    <w:rPr>
      <w:rFonts w:ascii="monospace" w:hAnsi="monospace" w:eastAsia="monospace" w:cs="monospace"/>
    </w:rPr>
  </w:style>
  <w:style w:type="character" w:customStyle="1" w:styleId="39">
    <w:name w:val="标题 3 字符"/>
    <w:basedOn w:val="26"/>
    <w:link w:val="7"/>
    <w:autoRedefine/>
    <w:qFormat/>
    <w:uiPriority w:val="9"/>
    <w:rPr>
      <w:rFonts w:asciiTheme="minorHAnsi" w:hAnsiTheme="minorHAnsi" w:eastAsiaTheme="minorEastAsia"/>
      <w:b/>
      <w:bCs/>
      <w:sz w:val="28"/>
      <w:szCs w:val="32"/>
    </w:rPr>
  </w:style>
  <w:style w:type="paragraph" w:styleId="40">
    <w:name w:val="No Spacing"/>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1">
    <w:name w:val="Default"/>
    <w:basedOn w:val="1"/>
    <w:autoRedefine/>
    <w:qFormat/>
    <w:uiPriority w:val="0"/>
    <w:pPr>
      <w:autoSpaceDE w:val="0"/>
      <w:autoSpaceDN w:val="0"/>
      <w:adjustRightInd w:val="0"/>
      <w:jc w:val="left"/>
    </w:pPr>
    <w:rPr>
      <w:rFonts w:ascii="Calibri" w:hAnsi="Calibri"/>
      <w:color w:val="000000"/>
      <w:kern w:val="0"/>
      <w:sz w:val="24"/>
      <w:szCs w:val="24"/>
    </w:rPr>
  </w:style>
  <w:style w:type="character" w:customStyle="1" w:styleId="42">
    <w:name w:val="页眉 字符"/>
    <w:basedOn w:val="26"/>
    <w:link w:val="15"/>
    <w:autoRedefine/>
    <w:qFormat/>
    <w:uiPriority w:val="99"/>
    <w:rPr>
      <w:sz w:val="18"/>
      <w:szCs w:val="18"/>
    </w:rPr>
  </w:style>
  <w:style w:type="character" w:customStyle="1" w:styleId="43">
    <w:name w:val="页脚 字符"/>
    <w:basedOn w:val="26"/>
    <w:link w:val="13"/>
    <w:autoRedefine/>
    <w:qFormat/>
    <w:uiPriority w:val="99"/>
    <w:rPr>
      <w:sz w:val="18"/>
      <w:szCs w:val="18"/>
    </w:rPr>
  </w:style>
  <w:style w:type="character" w:customStyle="1" w:styleId="44">
    <w:name w:val="批注框文本 字符"/>
    <w:basedOn w:val="26"/>
    <w:link w:val="12"/>
    <w:autoRedefine/>
    <w:semiHidden/>
    <w:qFormat/>
    <w:uiPriority w:val="99"/>
    <w:rPr>
      <w:sz w:val="18"/>
      <w:szCs w:val="18"/>
    </w:rPr>
  </w:style>
  <w:style w:type="paragraph" w:styleId="45">
    <w:name w:val="List Paragraph"/>
    <w:basedOn w:val="1"/>
    <w:autoRedefine/>
    <w:qFormat/>
    <w:uiPriority w:val="99"/>
    <w:pPr>
      <w:ind w:firstLine="420" w:firstLineChars="200"/>
    </w:pPr>
  </w:style>
  <w:style w:type="character" w:customStyle="1" w:styleId="46">
    <w:name w:val="标题 2 字符"/>
    <w:basedOn w:val="26"/>
    <w:link w:val="6"/>
    <w:autoRedefine/>
    <w:qFormat/>
    <w:uiPriority w:val="9"/>
    <w:rPr>
      <w:rFonts w:asciiTheme="majorHAnsi" w:hAnsiTheme="majorHAnsi" w:eastAsiaTheme="majorEastAsia" w:cstheme="majorBidi"/>
      <w:b/>
      <w:bCs/>
      <w:sz w:val="32"/>
      <w:szCs w:val="32"/>
    </w:rPr>
  </w:style>
  <w:style w:type="paragraph" w:customStyle="1" w:styleId="47">
    <w:name w:val="正文 New New New New"/>
    <w:autoRedefine/>
    <w:qFormat/>
    <w:uiPriority w:val="0"/>
    <w:pPr>
      <w:widowControl w:val="0"/>
      <w:jc w:val="both"/>
    </w:pPr>
    <w:rPr>
      <w:rFonts w:ascii="Times New Roman" w:hAnsi="Times New Roman" w:eastAsia="宋体" w:cs="Times New Roman"/>
      <w:szCs w:val="24"/>
      <w:lang w:val="en-US" w:eastAsia="zh-CN" w:bidi="ar-SA"/>
    </w:rPr>
  </w:style>
  <w:style w:type="paragraph" w:customStyle="1" w:styleId="48">
    <w:name w:val="列出段落1"/>
    <w:basedOn w:val="1"/>
    <w:autoRedefine/>
    <w:qFormat/>
    <w:uiPriority w:val="34"/>
    <w:pPr>
      <w:ind w:firstLine="420" w:firstLineChars="200"/>
    </w:pPr>
    <w:rPr>
      <w:szCs w:val="24"/>
    </w:rPr>
  </w:style>
  <w:style w:type="character" w:customStyle="1" w:styleId="49">
    <w:name w:val="副标题 字符"/>
    <w:basedOn w:val="26"/>
    <w:link w:val="17"/>
    <w:autoRedefine/>
    <w:qFormat/>
    <w:uiPriority w:val="11"/>
    <w:rPr>
      <w:rFonts w:eastAsia="宋体" w:asciiTheme="majorHAnsi" w:hAnsiTheme="majorHAnsi" w:cstheme="majorBidi"/>
      <w:b/>
      <w:bCs/>
      <w:kern w:val="28"/>
      <w:sz w:val="32"/>
      <w:szCs w:val="32"/>
    </w:rPr>
  </w:style>
  <w:style w:type="paragraph" w:customStyle="1" w:styleId="50">
    <w:name w:val="Table Paragraph"/>
    <w:basedOn w:val="1"/>
    <w:autoRedefine/>
    <w:qFormat/>
    <w:uiPriority w:val="1"/>
    <w:rPr>
      <w:rFonts w:hAnsi="宋体" w:cs="宋体"/>
    </w:rPr>
  </w:style>
  <w:style w:type="character" w:customStyle="1" w:styleId="51">
    <w:name w:val="font41"/>
    <w:basedOn w:val="26"/>
    <w:autoRedefine/>
    <w:qFormat/>
    <w:uiPriority w:val="0"/>
    <w:rPr>
      <w:rFonts w:hint="default" w:ascii="Times New Roman" w:hAnsi="Times New Roman" w:cs="Times New Roman"/>
      <w:color w:val="000000"/>
      <w:sz w:val="18"/>
      <w:szCs w:val="18"/>
      <w:u w:val="none"/>
    </w:rPr>
  </w:style>
  <w:style w:type="character" w:customStyle="1" w:styleId="52">
    <w:name w:val="first-child"/>
    <w:basedOn w:val="26"/>
    <w:autoRedefine/>
    <w:qFormat/>
    <w:uiPriority w:val="0"/>
  </w:style>
  <w:style w:type="character" w:customStyle="1" w:styleId="53">
    <w:name w:val="layui-layer-tabnow"/>
    <w:basedOn w:val="26"/>
    <w:autoRedefine/>
    <w:qFormat/>
    <w:uiPriority w:val="0"/>
    <w:rPr>
      <w:bdr w:val="single" w:color="CCCCCC" w:sz="6" w:space="0"/>
      <w:shd w:val="clear" w:color="auto" w:fill="FFFFFF"/>
    </w:rPr>
  </w:style>
  <w:style w:type="character" w:customStyle="1" w:styleId="54">
    <w:name w:val="hover"/>
    <w:basedOn w:val="26"/>
    <w:autoRedefine/>
    <w:qFormat/>
    <w:uiPriority w:val="0"/>
    <w:rPr>
      <w:color w:val="2590EB"/>
    </w:rPr>
  </w:style>
  <w:style w:type="character" w:customStyle="1" w:styleId="55">
    <w:name w:val="hover1"/>
    <w:basedOn w:val="26"/>
    <w:autoRedefine/>
    <w:qFormat/>
    <w:uiPriority w:val="0"/>
    <w:rPr>
      <w:color w:val="2590EB"/>
    </w:rPr>
  </w:style>
  <w:style w:type="character" w:customStyle="1" w:styleId="56">
    <w:name w:val="hover2"/>
    <w:basedOn w:val="26"/>
    <w:autoRedefine/>
    <w:qFormat/>
    <w:uiPriority w:val="0"/>
  </w:style>
  <w:style w:type="character" w:customStyle="1" w:styleId="57">
    <w:name w:val="mini-outputtext1"/>
    <w:basedOn w:val="26"/>
    <w:autoRedefine/>
    <w:qFormat/>
    <w:uiPriority w:val="0"/>
  </w:style>
  <w:style w:type="character" w:customStyle="1" w:styleId="58">
    <w:name w:val="hover3"/>
    <w:basedOn w:val="26"/>
    <w:autoRedefine/>
    <w:qFormat/>
    <w:uiPriority w:val="0"/>
  </w:style>
  <w:style w:type="paragraph" w:customStyle="1" w:styleId="59">
    <w:name w:val="WPSOffice手动目录 1"/>
    <w:autoRedefine/>
    <w:qFormat/>
    <w:uiPriority w:val="0"/>
    <w:rPr>
      <w:rFonts w:ascii="Times New Roman" w:hAnsi="Times New Roman" w:eastAsia="宋体" w:cs="Times New Roman"/>
      <w:lang w:val="en-US" w:eastAsia="zh-CN" w:bidi="ar-SA"/>
    </w:rPr>
  </w:style>
  <w:style w:type="paragraph" w:customStyle="1" w:styleId="60">
    <w:name w:val="无间隔1"/>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61">
    <w:name w:val="font11"/>
    <w:basedOn w:val="26"/>
    <w:autoRedefine/>
    <w:qFormat/>
    <w:uiPriority w:val="0"/>
    <w:rPr>
      <w:rFonts w:hint="eastAsia" w:ascii="宋体" w:hAnsi="宋体" w:eastAsia="宋体" w:cs="宋体"/>
      <w:color w:val="000000"/>
      <w:sz w:val="20"/>
      <w:szCs w:val="20"/>
      <w:u w:val="none"/>
    </w:rPr>
  </w:style>
  <w:style w:type="paragraph" w:customStyle="1" w:styleId="62">
    <w:name w:val="Table Text"/>
    <w:basedOn w:val="1"/>
    <w:semiHidden/>
    <w:qFormat/>
    <w:uiPriority w:val="0"/>
    <w:rPr>
      <w:rFonts w:ascii="宋体" w:hAnsi="宋体" w:eastAsia="宋体" w:cs="宋体"/>
      <w:sz w:val="24"/>
      <w:szCs w:val="24"/>
      <w:lang w:eastAsia="en-US"/>
    </w:rPr>
  </w:style>
  <w:style w:type="paragraph" w:customStyle="1" w:styleId="63">
    <w:name w:val="AONormal"/>
    <w:qFormat/>
    <w:uiPriority w:val="0"/>
    <w:pPr>
      <w:autoSpaceDE w:val="0"/>
      <w:autoSpaceDN w:val="0"/>
      <w:adjustRightInd w:val="0"/>
      <w:spacing w:line="400" w:lineRule="exact"/>
      <w:ind w:firstLine="440" w:firstLineChars="200"/>
    </w:pPr>
    <w:rPr>
      <w:rFonts w:ascii="华文楷体" w:hAnsi="华文楷体" w:eastAsia="华文楷体" w:cs="华文楷体"/>
      <w:sz w:val="22"/>
      <w:szCs w:val="21"/>
      <w:lang w:val="en-US" w:eastAsia="zh-CN" w:bidi="ar-SA"/>
    </w:rPr>
  </w:style>
  <w:style w:type="paragraph" w:customStyle="1" w:styleId="64">
    <w:name w:val="Revision"/>
    <w:hidden/>
    <w:unhideWhenUsed/>
    <w:qFormat/>
    <w:uiPriority w:val="99"/>
    <w:rPr>
      <w:rFonts w:asciiTheme="minorHAnsi" w:hAnsiTheme="minorHAnsi" w:eastAsiaTheme="minorEastAsia" w:cstheme="minorBidi"/>
      <w:kern w:val="2"/>
      <w:sz w:val="21"/>
      <w:szCs w:val="22"/>
      <w:lang w:val="en-US" w:eastAsia="zh-CN" w:bidi="ar-SA"/>
    </w:rPr>
  </w:style>
  <w:style w:type="character" w:customStyle="1" w:styleId="65">
    <w:name w:val="font61"/>
    <w:basedOn w:val="26"/>
    <w:qFormat/>
    <w:uiPriority w:val="0"/>
    <w:rPr>
      <w:rFonts w:hint="eastAsia" w:ascii="宋体" w:hAnsi="宋体" w:eastAsia="宋体" w:cs="宋体"/>
      <w:color w:val="000000"/>
      <w:sz w:val="20"/>
      <w:szCs w:val="20"/>
      <w:u w:val="none"/>
    </w:rPr>
  </w:style>
  <w:style w:type="character" w:customStyle="1" w:styleId="66">
    <w:name w:val="font71"/>
    <w:basedOn w:val="26"/>
    <w:qFormat/>
    <w:uiPriority w:val="0"/>
    <w:rPr>
      <w:rFonts w:hint="eastAsia" w:ascii="宋体" w:hAnsi="宋体" w:eastAsia="宋体" w:cs="宋体"/>
      <w:color w:val="000000"/>
      <w:sz w:val="20"/>
      <w:szCs w:val="20"/>
      <w:u w:val="none"/>
    </w:rPr>
  </w:style>
  <w:style w:type="character" w:customStyle="1" w:styleId="67">
    <w:name w:val="font81"/>
    <w:basedOn w:val="26"/>
    <w:qFormat/>
    <w:uiPriority w:val="0"/>
    <w:rPr>
      <w:rFonts w:hint="eastAsia" w:ascii="宋体" w:hAnsi="宋体" w:eastAsia="宋体" w:cs="宋体"/>
      <w:color w:val="000000"/>
      <w:sz w:val="20"/>
      <w:szCs w:val="20"/>
      <w:u w:val="none"/>
    </w:rPr>
  </w:style>
  <w:style w:type="character" w:customStyle="1" w:styleId="68">
    <w:name w:val="font31"/>
    <w:basedOn w:val="26"/>
    <w:qFormat/>
    <w:uiPriority w:val="0"/>
    <w:rPr>
      <w:rFonts w:hint="default" w:ascii="Times New Roman" w:hAnsi="Times New Roman" w:cs="Times New Roman"/>
      <w:color w:val="000000"/>
      <w:sz w:val="24"/>
      <w:szCs w:val="24"/>
      <w:u w:val="none"/>
    </w:rPr>
  </w:style>
  <w:style w:type="character" w:customStyle="1" w:styleId="69">
    <w:name w:val="font01"/>
    <w:basedOn w:val="26"/>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image" Target="media/image1.jpeg"/><Relationship Id="rId12" Type="http://schemas.openxmlformats.org/officeDocument/2006/relationships/theme" Target="theme/theme1.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61</Pages>
  <Words>26404</Words>
  <Characters>28035</Characters>
  <Lines>484</Lines>
  <Paragraphs>1260</Paragraphs>
  <TotalTime>6</TotalTime>
  <ScaleCrop>false</ScaleCrop>
  <LinksUpToDate>false</LinksUpToDate>
  <CharactersWithSpaces>31649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2023-11-28T07:17:00Z</dcterms:created>
  <dc:creator>MY</dc:creator>
  <cp:lastModifiedBy>HY</cp:lastModifiedBy>
  <dcterms:modified xsi:type="dcterms:W3CDTF">2026-09-24T08:00:32Z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6FE1D9FC49C54043B61BA4983010E342_13</vt:lpwstr>
  </property>
  <property fmtid="{D5CDD505-2E9C-101B-9397-08002B2CF9AE}" pid="4" name="KSOTemplateDocerSaveRecord">
    <vt:lpwstr>eyJoZGlkIjoiOWVjNTAyZTJmOTk5YjJjMzg5ZWM5MjdhMWFkZjhkYzQiLCJ1c2VySWQiOiI5MzE5MDc4ODgifQ==</vt:lpwstr>
  </property>
</Properties>
</file>