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028155">
      <w:pPr>
        <w:rPr>
          <w:rFonts w:hint="eastAsia"/>
          <w:color w:val="auto"/>
          <w:highlight w:val="none"/>
          <w:lang w:eastAsia="zh-CN"/>
        </w:rPr>
      </w:pPr>
      <w:bookmarkStart w:id="129" w:name="_GoBack"/>
      <w:bookmarkEnd w:id="129"/>
    </w:p>
    <w:p w14:paraId="3BD16DAB">
      <w:pPr>
        <w:snapToGrid w:val="0"/>
        <w:jc w:val="center"/>
        <w:outlineLvl w:val="9"/>
        <w:rPr>
          <w:rFonts w:hint="eastAsia" w:ascii="宋体" w:hAnsi="宋体" w:eastAsia="宋体" w:cs="宋体"/>
          <w:color w:val="auto"/>
          <w:sz w:val="56"/>
          <w:szCs w:val="72"/>
          <w:highlight w:val="none"/>
        </w:rPr>
      </w:pPr>
      <w:r>
        <w:rPr>
          <w:rFonts w:hint="eastAsia" w:cs="宋体"/>
          <w:b/>
          <w:bCs/>
          <w:color w:val="auto"/>
          <w:sz w:val="44"/>
          <w:szCs w:val="44"/>
          <w:highlight w:val="none"/>
          <w:lang w:eastAsia="zh-CN"/>
        </w:rPr>
        <w:t>渑池县原种场配套粮库建设项目（设备部分）</w:t>
      </w:r>
    </w:p>
    <w:p w14:paraId="69CBC31A">
      <w:pPr>
        <w:snapToGrid w:val="0"/>
        <w:jc w:val="center"/>
        <w:outlineLvl w:val="9"/>
        <w:rPr>
          <w:rFonts w:hint="eastAsia" w:ascii="宋体" w:hAnsi="宋体" w:eastAsia="宋体" w:cs="宋体"/>
          <w:b/>
          <w:bCs/>
          <w:color w:val="auto"/>
          <w:sz w:val="52"/>
          <w:szCs w:val="56"/>
          <w:highlight w:val="none"/>
        </w:rPr>
      </w:pPr>
    </w:p>
    <w:p w14:paraId="0FD8021F">
      <w:pPr>
        <w:snapToGrid w:val="0"/>
        <w:jc w:val="center"/>
        <w:outlineLvl w:val="9"/>
        <w:rPr>
          <w:rFonts w:hint="eastAsia" w:ascii="宋体" w:hAnsi="宋体" w:eastAsia="宋体" w:cs="宋体"/>
          <w:b/>
          <w:bCs/>
          <w:color w:val="auto"/>
          <w:sz w:val="52"/>
          <w:szCs w:val="56"/>
          <w:highlight w:val="none"/>
        </w:rPr>
      </w:pPr>
    </w:p>
    <w:p w14:paraId="0A773686">
      <w:pPr>
        <w:snapToGrid w:val="0"/>
        <w:jc w:val="center"/>
        <w:outlineLvl w:val="9"/>
        <w:rPr>
          <w:rFonts w:hint="eastAsia" w:ascii="宋体" w:hAnsi="宋体" w:eastAsia="宋体" w:cs="宋体"/>
          <w:b/>
          <w:bCs/>
          <w:color w:val="auto"/>
          <w:sz w:val="52"/>
          <w:szCs w:val="56"/>
          <w:highlight w:val="none"/>
        </w:rPr>
      </w:pPr>
    </w:p>
    <w:p w14:paraId="4D25873C">
      <w:pPr>
        <w:snapToGrid w:val="0"/>
        <w:jc w:val="center"/>
        <w:outlineLvl w:val="9"/>
        <w:rPr>
          <w:rFonts w:hint="eastAsia" w:ascii="宋体" w:hAnsi="宋体" w:eastAsia="宋体" w:cs="宋体"/>
          <w:b/>
          <w:bCs/>
          <w:color w:val="auto"/>
          <w:sz w:val="52"/>
          <w:szCs w:val="56"/>
          <w:highlight w:val="none"/>
        </w:rPr>
      </w:pPr>
    </w:p>
    <w:p w14:paraId="5D23426A">
      <w:pPr>
        <w:snapToGrid w:val="0"/>
        <w:jc w:val="center"/>
        <w:outlineLvl w:val="9"/>
        <w:rPr>
          <w:rFonts w:hint="eastAsia" w:ascii="宋体" w:hAnsi="宋体" w:eastAsia="宋体" w:cs="宋体"/>
          <w:b/>
          <w:bCs/>
          <w:color w:val="auto"/>
          <w:sz w:val="52"/>
          <w:szCs w:val="56"/>
          <w:highlight w:val="none"/>
        </w:rPr>
      </w:pPr>
      <w:r>
        <w:rPr>
          <w:rFonts w:hint="eastAsia" w:ascii="宋体" w:hAnsi="宋体" w:eastAsia="宋体" w:cs="宋体"/>
          <w:b/>
          <w:bCs/>
          <w:color w:val="auto"/>
          <w:sz w:val="52"/>
          <w:szCs w:val="56"/>
          <w:highlight w:val="none"/>
        </w:rPr>
        <w:t>竞争性磋商文件</w:t>
      </w:r>
    </w:p>
    <w:p w14:paraId="4DA8786B">
      <w:pPr>
        <w:pStyle w:val="6"/>
        <w:outlineLvl w:val="9"/>
        <w:rPr>
          <w:rFonts w:hint="eastAsia" w:ascii="宋体" w:hAnsi="宋体" w:eastAsia="宋体" w:cs="宋体"/>
          <w:color w:val="auto"/>
          <w:sz w:val="21"/>
          <w:szCs w:val="21"/>
          <w:highlight w:val="none"/>
        </w:rPr>
      </w:pPr>
    </w:p>
    <w:p w14:paraId="5A557261">
      <w:pPr>
        <w:rPr>
          <w:rFonts w:hint="eastAsia" w:ascii="宋体" w:hAnsi="宋体" w:eastAsia="宋体" w:cs="宋体"/>
          <w:color w:val="auto"/>
          <w:highlight w:val="none"/>
        </w:rPr>
      </w:pPr>
    </w:p>
    <w:p w14:paraId="142169D1">
      <w:pPr>
        <w:pStyle w:val="15"/>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项目编号：</w:t>
      </w:r>
      <w:r>
        <w:rPr>
          <w:rFonts w:hint="eastAsia" w:ascii="宋体" w:hAnsi="宋体" w:cs="宋体"/>
          <w:b/>
          <w:bCs/>
          <w:color w:val="auto"/>
          <w:sz w:val="32"/>
          <w:szCs w:val="32"/>
          <w:highlight w:val="none"/>
          <w:lang w:eastAsia="zh-CN"/>
        </w:rPr>
        <w:t>渑池竞磋采购-2026-14</w:t>
      </w:r>
      <w:r>
        <w:rPr>
          <w:rFonts w:hint="eastAsia" w:ascii="宋体" w:hAnsi="宋体" w:cs="宋体"/>
          <w:b/>
          <w:bCs/>
          <w:color w:val="auto"/>
          <w:sz w:val="32"/>
          <w:szCs w:val="32"/>
          <w:highlight w:val="none"/>
          <w:lang w:val="en-US" w:eastAsia="zh-CN"/>
        </w:rPr>
        <w:t>3、MCGZ[2026]218-ZC197</w:t>
      </w:r>
    </w:p>
    <w:p w14:paraId="6E69E672">
      <w:pPr>
        <w:pStyle w:val="16"/>
        <w:rPr>
          <w:rFonts w:hint="default"/>
          <w:color w:val="auto"/>
          <w:highlight w:val="none"/>
          <w:lang w:val="en-US" w:eastAsia="zh-CN"/>
        </w:rPr>
      </w:pPr>
    </w:p>
    <w:p w14:paraId="5E2D91AB">
      <w:pPr>
        <w:jc w:val="both"/>
        <w:outlineLvl w:val="9"/>
        <w:rPr>
          <w:color w:val="auto"/>
          <w:sz w:val="84"/>
          <w:szCs w:val="84"/>
          <w:highlight w:val="none"/>
        </w:rPr>
      </w:pPr>
    </w:p>
    <w:p w14:paraId="75330E69">
      <w:pPr>
        <w:jc w:val="center"/>
        <w:outlineLvl w:val="9"/>
        <w:rPr>
          <w:rFonts w:hint="eastAsia" w:ascii="宋体" w:hAnsi="宋体" w:eastAsia="宋体" w:cs="宋体"/>
          <w:color w:val="auto"/>
          <w:sz w:val="21"/>
          <w:szCs w:val="21"/>
          <w:highlight w:val="none"/>
        </w:rPr>
      </w:pPr>
    </w:p>
    <w:p w14:paraId="198BF490">
      <w:pPr>
        <w:spacing w:line="700" w:lineRule="exact"/>
        <w:ind w:right="-482" w:rightChars="-219"/>
        <w:jc w:val="center"/>
        <w:outlineLvl w:val="9"/>
        <w:rPr>
          <w:rFonts w:hint="eastAsia" w:ascii="宋体" w:hAnsi="宋体" w:eastAsia="宋体" w:cs="宋体"/>
          <w:b/>
          <w:bCs/>
          <w:color w:val="auto"/>
          <w:sz w:val="32"/>
          <w:szCs w:val="32"/>
          <w:highlight w:val="none"/>
        </w:rPr>
      </w:pPr>
    </w:p>
    <w:p w14:paraId="12182B1F">
      <w:pPr>
        <w:pStyle w:val="10"/>
        <w:rPr>
          <w:rFonts w:hint="eastAsia"/>
          <w:color w:val="auto"/>
          <w:highlight w:val="none"/>
        </w:rPr>
      </w:pPr>
    </w:p>
    <w:p w14:paraId="4F2C9A6C">
      <w:pPr>
        <w:spacing w:line="700" w:lineRule="exact"/>
        <w:ind w:right="-482" w:rightChars="-219"/>
        <w:jc w:val="center"/>
        <w:outlineLvl w:val="9"/>
        <w:rPr>
          <w:rFonts w:hint="eastAsia" w:ascii="宋体" w:hAnsi="宋体" w:eastAsia="宋体" w:cs="宋体"/>
          <w:b/>
          <w:bCs/>
          <w:color w:val="auto"/>
          <w:sz w:val="32"/>
          <w:szCs w:val="32"/>
          <w:highlight w:val="none"/>
        </w:rPr>
      </w:pPr>
    </w:p>
    <w:p w14:paraId="6958C3FA">
      <w:pPr>
        <w:spacing w:line="700" w:lineRule="exact"/>
        <w:ind w:right="-482" w:rightChars="-219"/>
        <w:jc w:val="center"/>
        <w:outlineLvl w:val="9"/>
        <w:rPr>
          <w:rFonts w:hint="eastAsia" w:cs="宋体"/>
          <w:b/>
          <w:bCs/>
          <w:color w:val="auto"/>
          <w:sz w:val="32"/>
          <w:szCs w:val="32"/>
          <w:highlight w:val="none"/>
          <w:lang w:eastAsia="zh-CN"/>
        </w:rPr>
      </w:pPr>
      <w:r>
        <w:rPr>
          <w:rFonts w:hint="eastAsia" w:ascii="宋体" w:hAnsi="宋体" w:eastAsia="宋体" w:cs="宋体"/>
          <w:b/>
          <w:bCs/>
          <w:color w:val="auto"/>
          <w:sz w:val="32"/>
          <w:szCs w:val="32"/>
          <w:highlight w:val="none"/>
        </w:rPr>
        <w:t>采购</w:t>
      </w:r>
      <w:r>
        <w:rPr>
          <w:rFonts w:hint="eastAsia" w:ascii="宋体" w:hAnsi="宋体" w:eastAsia="宋体" w:cs="宋体"/>
          <w:b/>
          <w:bCs/>
          <w:color w:val="auto"/>
          <w:sz w:val="32"/>
          <w:szCs w:val="32"/>
          <w:highlight w:val="none"/>
          <w:lang w:val="en-US" w:eastAsia="zh-CN"/>
        </w:rPr>
        <w:t>人</w:t>
      </w:r>
      <w:r>
        <w:rPr>
          <w:rFonts w:hint="eastAsia" w:ascii="宋体" w:hAnsi="宋体" w:eastAsia="宋体" w:cs="宋体"/>
          <w:b/>
          <w:bCs/>
          <w:color w:val="auto"/>
          <w:sz w:val="32"/>
          <w:szCs w:val="32"/>
          <w:highlight w:val="none"/>
        </w:rPr>
        <w:t>：</w:t>
      </w:r>
      <w:r>
        <w:rPr>
          <w:rFonts w:hint="eastAsia" w:cs="宋体"/>
          <w:b/>
          <w:bCs/>
          <w:color w:val="auto"/>
          <w:sz w:val="32"/>
          <w:szCs w:val="32"/>
          <w:highlight w:val="none"/>
          <w:lang w:eastAsia="zh-CN"/>
        </w:rPr>
        <w:t>渑池县农业农村局</w:t>
      </w:r>
    </w:p>
    <w:p w14:paraId="02896573">
      <w:pPr>
        <w:spacing w:line="700" w:lineRule="exact"/>
        <w:ind w:right="-482" w:rightChars="-219"/>
        <w:jc w:val="center"/>
        <w:outlineLvl w:val="9"/>
        <w:rPr>
          <w:rFonts w:hint="eastAsia"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rPr>
        <w:t>采购代理机构：</w:t>
      </w:r>
      <w:r>
        <w:rPr>
          <w:rFonts w:hint="eastAsia" w:cs="宋体"/>
          <w:b/>
          <w:bCs/>
          <w:color w:val="auto"/>
          <w:sz w:val="32"/>
          <w:szCs w:val="32"/>
          <w:highlight w:val="none"/>
          <w:lang w:eastAsia="zh-CN"/>
        </w:rPr>
        <w:t>中豫建设工程咨询有限公司</w:t>
      </w:r>
    </w:p>
    <w:p w14:paraId="2CB1780F">
      <w:pPr>
        <w:spacing w:line="700" w:lineRule="exact"/>
        <w:jc w:val="center"/>
        <w:outlineLvl w:val="9"/>
        <w:rPr>
          <w:rFonts w:hint="eastAsia" w:ascii="宋体" w:hAnsi="宋体" w:eastAsia="宋体" w:cs="宋体"/>
          <w:b/>
          <w:bCs/>
          <w:color w:val="auto"/>
          <w:sz w:val="32"/>
          <w:szCs w:val="32"/>
          <w:highlight w:val="none"/>
        </w:rPr>
      </w:pPr>
      <w:r>
        <w:rPr>
          <w:rFonts w:hint="eastAsia" w:cs="宋体"/>
          <w:b/>
          <w:bCs/>
          <w:color w:val="auto"/>
          <w:sz w:val="32"/>
          <w:szCs w:val="32"/>
          <w:highlight w:val="none"/>
          <w:lang w:val="en-US" w:eastAsia="zh-CN"/>
        </w:rPr>
        <w:t>日期</w:t>
      </w:r>
      <w:r>
        <w:rPr>
          <w:rFonts w:hint="eastAsia" w:ascii="宋体" w:hAnsi="宋体" w:eastAsia="宋体" w:cs="宋体"/>
          <w:b/>
          <w:bCs/>
          <w:color w:val="auto"/>
          <w:sz w:val="32"/>
          <w:szCs w:val="32"/>
          <w:highlight w:val="none"/>
          <w:lang w:val="en-US" w:eastAsia="zh-CN"/>
        </w:rPr>
        <w:t>：</w:t>
      </w:r>
      <w:r>
        <w:rPr>
          <w:rFonts w:hint="eastAsia" w:ascii="宋体" w:hAnsi="宋体" w:eastAsia="宋体" w:cs="宋体"/>
          <w:b/>
          <w:bCs/>
          <w:color w:val="auto"/>
          <w:sz w:val="32"/>
          <w:szCs w:val="32"/>
          <w:highlight w:val="none"/>
        </w:rPr>
        <w:t>二〇二</w:t>
      </w:r>
      <w:r>
        <w:rPr>
          <w:rFonts w:hint="eastAsia" w:eastAsia="宋体" w:cs="宋体"/>
          <w:b/>
          <w:bCs/>
          <w:color w:val="auto"/>
          <w:sz w:val="32"/>
          <w:szCs w:val="32"/>
          <w:highlight w:val="none"/>
          <w:lang w:val="en-US" w:eastAsia="zh-CN"/>
        </w:rPr>
        <w:t>六</w:t>
      </w:r>
      <w:r>
        <w:rPr>
          <w:rFonts w:hint="eastAsia" w:ascii="宋体" w:hAnsi="宋体" w:eastAsia="宋体" w:cs="宋体"/>
          <w:b/>
          <w:bCs/>
          <w:color w:val="auto"/>
          <w:sz w:val="32"/>
          <w:szCs w:val="32"/>
          <w:highlight w:val="none"/>
        </w:rPr>
        <w:t>年</w:t>
      </w:r>
      <w:r>
        <w:rPr>
          <w:rFonts w:hint="eastAsia" w:cs="宋体"/>
          <w:b/>
          <w:bCs/>
          <w:color w:val="auto"/>
          <w:sz w:val="32"/>
          <w:szCs w:val="32"/>
          <w:highlight w:val="none"/>
          <w:lang w:val="en-US" w:eastAsia="zh-CN"/>
        </w:rPr>
        <w:t>九</w:t>
      </w:r>
      <w:r>
        <w:rPr>
          <w:rFonts w:hint="eastAsia" w:ascii="宋体" w:hAnsi="宋体" w:eastAsia="宋体" w:cs="宋体"/>
          <w:b/>
          <w:bCs/>
          <w:color w:val="auto"/>
          <w:sz w:val="32"/>
          <w:szCs w:val="32"/>
          <w:highlight w:val="none"/>
        </w:rPr>
        <w:t>月</w:t>
      </w:r>
    </w:p>
    <w:p w14:paraId="747613CF">
      <w:pPr>
        <w:snapToGrid w:val="0"/>
        <w:spacing w:line="572" w:lineRule="atLeast"/>
        <w:ind w:left="0" w:leftChars="0" w:firstLine="1097" w:firstLineChars="343"/>
        <w:jc w:val="center"/>
        <w:outlineLvl w:val="9"/>
        <w:rPr>
          <w:rFonts w:hint="eastAsia" w:ascii="宋体" w:hAnsi="宋体" w:eastAsia="宋体" w:cs="宋体"/>
          <w:color w:val="auto"/>
          <w:sz w:val="32"/>
          <w:szCs w:val="32"/>
          <w:highlight w:val="none"/>
        </w:rPr>
        <w:sectPr>
          <w:pgSz w:w="11906" w:h="16838"/>
          <w:pgMar w:top="1440" w:right="1080" w:bottom="1440" w:left="1080" w:header="851" w:footer="992" w:gutter="0"/>
          <w:cols w:space="720" w:num="1"/>
          <w:docGrid w:type="lines" w:linePitch="312" w:charSpace="0"/>
        </w:sectPr>
      </w:pPr>
      <w:bookmarkStart w:id="0" w:name="_Toc510994104"/>
    </w:p>
    <w:bookmarkEnd w:id="0"/>
    <w:p w14:paraId="2F01CC52">
      <w:pPr>
        <w:spacing w:before="0" w:beforeLines="0" w:after="0" w:afterLines="0" w:line="240" w:lineRule="auto"/>
        <w:ind w:left="0" w:leftChars="0" w:right="0" w:rightChars="0" w:firstLine="0" w:firstLineChars="0"/>
        <w:jc w:val="center"/>
        <w:rPr>
          <w:rFonts w:hint="eastAsia" w:ascii="宋体" w:hAnsi="宋体" w:eastAsia="宋体" w:cs="宋体"/>
          <w:b/>
          <w:bCs/>
          <w:color w:val="auto"/>
          <w:sz w:val="44"/>
          <w:szCs w:val="44"/>
          <w:highlight w:val="none"/>
        </w:rPr>
      </w:pPr>
      <w:bookmarkStart w:id="1" w:name="_Toc510994105"/>
      <w:r>
        <w:rPr>
          <w:rFonts w:hint="eastAsia" w:ascii="宋体" w:hAnsi="宋体" w:eastAsia="宋体" w:cs="宋体"/>
          <w:b/>
          <w:bCs/>
          <w:color w:val="auto"/>
          <w:sz w:val="40"/>
          <w:szCs w:val="44"/>
          <w:highlight w:val="none"/>
        </w:rPr>
        <w:t>目</w:t>
      </w:r>
      <w:r>
        <w:rPr>
          <w:rFonts w:hint="eastAsia" w:ascii="宋体" w:hAnsi="宋体" w:eastAsia="宋体" w:cs="宋体"/>
          <w:b/>
          <w:bCs/>
          <w:color w:val="auto"/>
          <w:sz w:val="40"/>
          <w:szCs w:val="44"/>
          <w:highlight w:val="none"/>
          <w:lang w:val="en-US" w:eastAsia="zh-CN"/>
        </w:rPr>
        <w:t xml:space="preserve">  </w:t>
      </w:r>
      <w:r>
        <w:rPr>
          <w:rFonts w:hint="eastAsia" w:ascii="宋体" w:hAnsi="宋体" w:eastAsia="宋体" w:cs="宋体"/>
          <w:b/>
          <w:bCs/>
          <w:color w:val="auto"/>
          <w:sz w:val="40"/>
          <w:szCs w:val="44"/>
          <w:highlight w:val="none"/>
        </w:rPr>
        <w:t>录</w:t>
      </w:r>
    </w:p>
    <w:p w14:paraId="7DA92253">
      <w:pPr>
        <w:pStyle w:val="13"/>
        <w:tabs>
          <w:tab w:val="right" w:leader="dot" w:pos="9750"/>
        </w:tabs>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TOC \o "1-1" \h \u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_Toc8834 </w:instrText>
      </w:r>
      <w:r>
        <w:rPr>
          <w:rFonts w:hint="eastAsia" w:ascii="宋体" w:hAnsi="宋体" w:eastAsia="宋体" w:cs="宋体"/>
          <w:highlight w:val="none"/>
        </w:rPr>
        <w:fldChar w:fldCharType="separate"/>
      </w:r>
      <w:r>
        <w:rPr>
          <w:rFonts w:hint="eastAsia" w:ascii="宋体" w:hAnsi="宋体" w:eastAsia="宋体" w:cs="宋体"/>
          <w:bCs/>
          <w:szCs w:val="48"/>
          <w:highlight w:val="none"/>
          <w:lang w:val="en-US" w:eastAsia="zh-CN"/>
        </w:rPr>
        <w:t xml:space="preserve">第一章  </w:t>
      </w:r>
      <w:r>
        <w:rPr>
          <w:rFonts w:hint="eastAsia" w:ascii="宋体" w:hAnsi="宋体" w:eastAsia="宋体" w:cs="宋体"/>
          <w:bCs/>
          <w:szCs w:val="48"/>
          <w:highlight w:val="none"/>
        </w:rPr>
        <w:t>竞争性磋商公告</w:t>
      </w:r>
      <w:r>
        <w:tab/>
      </w:r>
      <w:r>
        <w:fldChar w:fldCharType="begin"/>
      </w:r>
      <w:r>
        <w:instrText xml:space="preserve"> PAGEREF _Toc8834 \h </w:instrText>
      </w:r>
      <w:r>
        <w:fldChar w:fldCharType="separate"/>
      </w:r>
      <w:r>
        <w:t>1</w:t>
      </w:r>
      <w:r>
        <w:fldChar w:fldCharType="end"/>
      </w:r>
      <w:r>
        <w:rPr>
          <w:rFonts w:hint="eastAsia" w:ascii="宋体" w:hAnsi="宋体" w:eastAsia="宋体" w:cs="宋体"/>
          <w:color w:val="auto"/>
          <w:highlight w:val="none"/>
        </w:rPr>
        <w:fldChar w:fldCharType="end"/>
      </w:r>
    </w:p>
    <w:p w14:paraId="4336DE29">
      <w:pPr>
        <w:pStyle w:val="13"/>
        <w:tabs>
          <w:tab w:val="right" w:leader="dot" w:pos="9750"/>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_Toc10515 </w:instrText>
      </w:r>
      <w:r>
        <w:rPr>
          <w:rFonts w:hint="eastAsia" w:ascii="宋体" w:hAnsi="宋体" w:eastAsia="宋体" w:cs="宋体"/>
          <w:highlight w:val="none"/>
        </w:rPr>
        <w:fldChar w:fldCharType="separate"/>
      </w:r>
      <w:r>
        <w:rPr>
          <w:rFonts w:hint="eastAsia" w:ascii="宋体" w:hAnsi="宋体" w:eastAsia="宋体" w:cs="宋体"/>
          <w:bCs/>
          <w:szCs w:val="48"/>
          <w:highlight w:val="none"/>
          <w:lang w:val="en-US" w:eastAsia="zh-CN"/>
        </w:rPr>
        <w:t xml:space="preserve">第二章  </w:t>
      </w:r>
      <w:r>
        <w:rPr>
          <w:rFonts w:hint="eastAsia" w:eastAsia="宋体" w:cs="宋体"/>
          <w:bCs/>
          <w:szCs w:val="48"/>
          <w:highlight w:val="none"/>
          <w:lang w:eastAsia="zh-CN"/>
        </w:rPr>
        <w:t>响应人</w:t>
      </w:r>
      <w:r>
        <w:rPr>
          <w:rFonts w:hint="eastAsia" w:ascii="宋体" w:hAnsi="宋体" w:eastAsia="宋体" w:cs="宋体"/>
          <w:bCs/>
          <w:szCs w:val="48"/>
          <w:highlight w:val="none"/>
        </w:rPr>
        <w:t>须知</w:t>
      </w:r>
      <w:r>
        <w:tab/>
      </w:r>
      <w:r>
        <w:fldChar w:fldCharType="begin"/>
      </w:r>
      <w:r>
        <w:instrText xml:space="preserve"> PAGEREF _Toc10515 \h </w:instrText>
      </w:r>
      <w:r>
        <w:fldChar w:fldCharType="separate"/>
      </w:r>
      <w:r>
        <w:t>5</w:t>
      </w:r>
      <w:r>
        <w:fldChar w:fldCharType="end"/>
      </w:r>
      <w:r>
        <w:rPr>
          <w:rFonts w:hint="eastAsia" w:ascii="宋体" w:hAnsi="宋体" w:eastAsia="宋体" w:cs="宋体"/>
          <w:color w:val="auto"/>
          <w:highlight w:val="none"/>
        </w:rPr>
        <w:fldChar w:fldCharType="end"/>
      </w:r>
    </w:p>
    <w:p w14:paraId="366807A3">
      <w:pPr>
        <w:pStyle w:val="13"/>
        <w:tabs>
          <w:tab w:val="right" w:leader="dot" w:pos="9750"/>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_Toc20259 </w:instrText>
      </w:r>
      <w:r>
        <w:rPr>
          <w:rFonts w:hint="eastAsia" w:ascii="宋体" w:hAnsi="宋体" w:eastAsia="宋体" w:cs="宋体"/>
          <w:highlight w:val="none"/>
        </w:rPr>
        <w:fldChar w:fldCharType="separate"/>
      </w:r>
      <w:r>
        <w:rPr>
          <w:rFonts w:hint="eastAsia" w:ascii="宋体" w:hAnsi="宋体" w:eastAsia="宋体" w:cs="宋体"/>
          <w:bCs/>
          <w:szCs w:val="48"/>
          <w:highlight w:val="none"/>
        </w:rPr>
        <w:t>第三章</w:t>
      </w:r>
      <w:r>
        <w:rPr>
          <w:rFonts w:hint="eastAsia" w:ascii="宋体" w:hAnsi="宋体" w:eastAsia="宋体" w:cs="宋体"/>
          <w:bCs/>
          <w:szCs w:val="48"/>
          <w:highlight w:val="none"/>
          <w:lang w:val="en-US" w:eastAsia="zh-CN"/>
        </w:rPr>
        <w:t xml:space="preserve">  </w:t>
      </w:r>
      <w:r>
        <w:rPr>
          <w:rFonts w:hint="eastAsia" w:ascii="宋体" w:hAnsi="宋体" w:eastAsia="宋体" w:cs="宋体"/>
          <w:bCs/>
          <w:szCs w:val="44"/>
          <w:highlight w:val="none"/>
          <w:shd w:val="clear" w:color="auto" w:fill="FFFFFF"/>
        </w:rPr>
        <w:t>采购内容及参数要求</w:t>
      </w:r>
      <w:r>
        <w:tab/>
      </w:r>
      <w:r>
        <w:fldChar w:fldCharType="begin"/>
      </w:r>
      <w:r>
        <w:instrText xml:space="preserve"> PAGEREF _Toc20259 \h </w:instrText>
      </w:r>
      <w:r>
        <w:fldChar w:fldCharType="separate"/>
      </w:r>
      <w:r>
        <w:t>23</w:t>
      </w:r>
      <w:r>
        <w:fldChar w:fldCharType="end"/>
      </w:r>
      <w:r>
        <w:rPr>
          <w:rFonts w:hint="eastAsia" w:ascii="宋体" w:hAnsi="宋体" w:eastAsia="宋体" w:cs="宋体"/>
          <w:color w:val="auto"/>
          <w:highlight w:val="none"/>
        </w:rPr>
        <w:fldChar w:fldCharType="end"/>
      </w:r>
    </w:p>
    <w:p w14:paraId="763A2E60">
      <w:pPr>
        <w:pStyle w:val="13"/>
        <w:tabs>
          <w:tab w:val="right" w:leader="dot" w:pos="9750"/>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_Toc9564 </w:instrText>
      </w:r>
      <w:r>
        <w:rPr>
          <w:rFonts w:hint="eastAsia" w:ascii="宋体" w:hAnsi="宋体" w:eastAsia="宋体" w:cs="宋体"/>
          <w:highlight w:val="none"/>
        </w:rPr>
        <w:fldChar w:fldCharType="separate"/>
      </w:r>
      <w:r>
        <w:rPr>
          <w:rFonts w:hint="eastAsia" w:ascii="宋体" w:hAnsi="宋体" w:eastAsia="宋体" w:cs="宋体"/>
          <w:bCs/>
          <w:szCs w:val="48"/>
          <w:highlight w:val="none"/>
        </w:rPr>
        <w:t>第四章</w:t>
      </w:r>
      <w:r>
        <w:rPr>
          <w:rFonts w:hint="eastAsia" w:ascii="宋体" w:hAnsi="宋体" w:eastAsia="宋体" w:cs="宋体"/>
          <w:bCs/>
          <w:szCs w:val="48"/>
          <w:highlight w:val="none"/>
          <w:lang w:val="en-US" w:eastAsia="zh-CN"/>
        </w:rPr>
        <w:t xml:space="preserve">  </w:t>
      </w:r>
      <w:r>
        <w:rPr>
          <w:rFonts w:hint="eastAsia" w:ascii="宋体" w:hAnsi="宋体" w:eastAsia="宋体" w:cs="宋体"/>
          <w:bCs/>
          <w:szCs w:val="48"/>
          <w:highlight w:val="none"/>
        </w:rPr>
        <w:t>评审办法</w:t>
      </w:r>
      <w:r>
        <w:tab/>
      </w:r>
      <w:r>
        <w:fldChar w:fldCharType="begin"/>
      </w:r>
      <w:r>
        <w:instrText xml:space="preserve"> PAGEREF _Toc9564 \h </w:instrText>
      </w:r>
      <w:r>
        <w:fldChar w:fldCharType="separate"/>
      </w:r>
      <w:r>
        <w:t>27</w:t>
      </w:r>
      <w:r>
        <w:fldChar w:fldCharType="end"/>
      </w:r>
      <w:r>
        <w:rPr>
          <w:rFonts w:hint="eastAsia" w:ascii="宋体" w:hAnsi="宋体" w:eastAsia="宋体" w:cs="宋体"/>
          <w:color w:val="auto"/>
          <w:highlight w:val="none"/>
        </w:rPr>
        <w:fldChar w:fldCharType="end"/>
      </w:r>
    </w:p>
    <w:p w14:paraId="5B826437">
      <w:pPr>
        <w:pStyle w:val="13"/>
        <w:tabs>
          <w:tab w:val="right" w:leader="dot" w:pos="9750"/>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_Toc10337 </w:instrText>
      </w:r>
      <w:r>
        <w:rPr>
          <w:rFonts w:hint="eastAsia" w:ascii="宋体" w:hAnsi="宋体" w:eastAsia="宋体" w:cs="宋体"/>
          <w:highlight w:val="none"/>
        </w:rPr>
        <w:fldChar w:fldCharType="separate"/>
      </w:r>
      <w:r>
        <w:rPr>
          <w:rFonts w:hint="eastAsia" w:ascii="宋体" w:hAnsi="宋体" w:eastAsia="宋体" w:cs="宋体"/>
          <w:bCs/>
          <w:szCs w:val="48"/>
          <w:highlight w:val="none"/>
        </w:rPr>
        <w:t>第五章</w:t>
      </w:r>
      <w:r>
        <w:rPr>
          <w:rFonts w:hint="eastAsia" w:ascii="宋体" w:hAnsi="宋体" w:eastAsia="宋体" w:cs="宋体"/>
          <w:bCs/>
          <w:szCs w:val="48"/>
          <w:highlight w:val="none"/>
          <w:lang w:val="en-US" w:eastAsia="zh-CN"/>
        </w:rPr>
        <w:t xml:space="preserve">  </w:t>
      </w:r>
      <w:r>
        <w:rPr>
          <w:rFonts w:hint="eastAsia" w:ascii="宋体" w:hAnsi="宋体" w:eastAsia="宋体" w:cs="宋体"/>
          <w:bCs/>
          <w:szCs w:val="48"/>
          <w:highlight w:val="none"/>
        </w:rPr>
        <w:t>合同格式</w:t>
      </w:r>
      <w:r>
        <w:tab/>
      </w:r>
      <w:r>
        <w:fldChar w:fldCharType="begin"/>
      </w:r>
      <w:r>
        <w:instrText xml:space="preserve"> PAGEREF _Toc10337 \h </w:instrText>
      </w:r>
      <w:r>
        <w:fldChar w:fldCharType="separate"/>
      </w:r>
      <w:r>
        <w:t>35</w:t>
      </w:r>
      <w:r>
        <w:fldChar w:fldCharType="end"/>
      </w:r>
      <w:r>
        <w:rPr>
          <w:rFonts w:hint="eastAsia" w:ascii="宋体" w:hAnsi="宋体" w:eastAsia="宋体" w:cs="宋体"/>
          <w:color w:val="auto"/>
          <w:highlight w:val="none"/>
        </w:rPr>
        <w:fldChar w:fldCharType="end"/>
      </w:r>
    </w:p>
    <w:p w14:paraId="3A0FFE7F">
      <w:pPr>
        <w:pStyle w:val="13"/>
        <w:tabs>
          <w:tab w:val="right" w:leader="dot" w:pos="9750"/>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_Toc12661 </w:instrText>
      </w:r>
      <w:r>
        <w:rPr>
          <w:rFonts w:hint="eastAsia" w:ascii="宋体" w:hAnsi="宋体" w:eastAsia="宋体" w:cs="宋体"/>
          <w:highlight w:val="none"/>
        </w:rPr>
        <w:fldChar w:fldCharType="separate"/>
      </w:r>
      <w:r>
        <w:rPr>
          <w:rFonts w:hint="eastAsia" w:ascii="宋体" w:hAnsi="宋体" w:eastAsia="宋体" w:cs="宋体"/>
          <w:bCs/>
          <w:szCs w:val="48"/>
          <w:highlight w:val="none"/>
          <w:lang w:val="en-US" w:eastAsia="zh-CN"/>
        </w:rPr>
        <w:t xml:space="preserve">第六章  </w:t>
      </w:r>
      <w:r>
        <w:rPr>
          <w:rFonts w:hint="eastAsia" w:ascii="宋体" w:hAnsi="宋体" w:eastAsia="宋体" w:cs="宋体"/>
          <w:bCs/>
          <w:szCs w:val="48"/>
          <w:highlight w:val="none"/>
        </w:rPr>
        <w:t>响应文件格式</w:t>
      </w:r>
      <w:r>
        <w:tab/>
      </w:r>
      <w:r>
        <w:fldChar w:fldCharType="begin"/>
      </w:r>
      <w:r>
        <w:instrText xml:space="preserve"> PAGEREF _Toc12661 \h </w:instrText>
      </w:r>
      <w:r>
        <w:fldChar w:fldCharType="separate"/>
      </w:r>
      <w:r>
        <w:t>36</w:t>
      </w:r>
      <w:r>
        <w:fldChar w:fldCharType="end"/>
      </w:r>
      <w:r>
        <w:rPr>
          <w:rFonts w:hint="eastAsia" w:ascii="宋体" w:hAnsi="宋体" w:eastAsia="宋体" w:cs="宋体"/>
          <w:color w:val="auto"/>
          <w:highlight w:val="none"/>
        </w:rPr>
        <w:fldChar w:fldCharType="end"/>
      </w:r>
    </w:p>
    <w:p w14:paraId="31DBF200">
      <w:pPr>
        <w:pStyle w:val="6"/>
        <w:rPr>
          <w:rFonts w:hint="eastAsia" w:ascii="宋体" w:hAnsi="宋体" w:eastAsia="宋体" w:cs="宋体"/>
          <w:color w:val="auto"/>
          <w:highlight w:val="none"/>
        </w:rPr>
      </w:pPr>
      <w:r>
        <w:rPr>
          <w:rFonts w:hint="eastAsia" w:ascii="宋体" w:hAnsi="宋体" w:eastAsia="宋体" w:cs="宋体"/>
          <w:color w:val="auto"/>
          <w:highlight w:val="none"/>
        </w:rPr>
        <w:fldChar w:fldCharType="end"/>
      </w:r>
    </w:p>
    <w:p w14:paraId="354DC2EB">
      <w:pPr>
        <w:rPr>
          <w:rFonts w:hint="eastAsia" w:ascii="宋体" w:hAnsi="宋体" w:eastAsia="宋体" w:cs="宋体"/>
          <w:color w:val="auto"/>
          <w:highlight w:val="none"/>
        </w:rPr>
      </w:pPr>
    </w:p>
    <w:p w14:paraId="764543FE">
      <w:pPr>
        <w:pStyle w:val="4"/>
        <w:rPr>
          <w:rFonts w:hint="eastAsia" w:ascii="宋体" w:hAnsi="宋体" w:eastAsia="宋体" w:cs="宋体"/>
          <w:color w:val="auto"/>
          <w:highlight w:val="none"/>
        </w:rPr>
      </w:pPr>
    </w:p>
    <w:p w14:paraId="3A49FC5E">
      <w:pPr>
        <w:rPr>
          <w:rFonts w:hint="eastAsia" w:ascii="宋体" w:hAnsi="宋体" w:eastAsia="宋体" w:cs="宋体"/>
          <w:color w:val="auto"/>
          <w:highlight w:val="none"/>
        </w:rPr>
      </w:pPr>
    </w:p>
    <w:p w14:paraId="2801F003">
      <w:pPr>
        <w:rPr>
          <w:rFonts w:hint="eastAsia" w:ascii="宋体" w:hAnsi="宋体" w:eastAsia="宋体" w:cs="宋体"/>
          <w:color w:val="auto"/>
          <w:highlight w:val="none"/>
        </w:rPr>
      </w:pPr>
    </w:p>
    <w:p w14:paraId="23C85BDE">
      <w:pPr>
        <w:numPr>
          <w:ilvl w:val="0"/>
          <w:numId w:val="0"/>
        </w:numPr>
        <w:spacing w:line="480" w:lineRule="auto"/>
        <w:jc w:val="center"/>
        <w:outlineLvl w:val="0"/>
        <w:rPr>
          <w:rFonts w:hint="eastAsia" w:ascii="宋体" w:hAnsi="宋体" w:eastAsia="宋体" w:cs="宋体"/>
          <w:b/>
          <w:bCs/>
          <w:color w:val="auto"/>
          <w:sz w:val="48"/>
          <w:szCs w:val="48"/>
          <w:highlight w:val="none"/>
          <w:lang w:val="en-US" w:eastAsia="zh-CN"/>
        </w:rPr>
        <w:sectPr>
          <w:footerReference r:id="rId3" w:type="default"/>
          <w:pgSz w:w="11910" w:h="16840"/>
          <w:pgMar w:top="1440" w:right="1080" w:bottom="1440" w:left="1080" w:header="0" w:footer="1441" w:gutter="0"/>
          <w:pgNumType w:fmt="decimal" w:start="1"/>
          <w:cols w:space="720" w:num="1"/>
        </w:sectPr>
      </w:pPr>
    </w:p>
    <w:p w14:paraId="6A69119B">
      <w:pPr>
        <w:numPr>
          <w:ilvl w:val="0"/>
          <w:numId w:val="0"/>
        </w:numPr>
        <w:spacing w:line="480" w:lineRule="auto"/>
        <w:jc w:val="center"/>
        <w:outlineLvl w:val="0"/>
        <w:rPr>
          <w:rFonts w:hint="eastAsia" w:ascii="宋体" w:hAnsi="宋体" w:eastAsia="宋体" w:cs="宋体"/>
          <w:b/>
          <w:bCs/>
          <w:color w:val="auto"/>
          <w:sz w:val="48"/>
          <w:szCs w:val="48"/>
          <w:highlight w:val="none"/>
        </w:rPr>
      </w:pPr>
      <w:bookmarkStart w:id="2" w:name="_Toc8834"/>
      <w:r>
        <w:rPr>
          <w:rFonts w:hint="eastAsia" w:ascii="宋体" w:hAnsi="宋体" w:eastAsia="宋体" w:cs="宋体"/>
          <w:b/>
          <w:bCs/>
          <w:color w:val="auto"/>
          <w:sz w:val="48"/>
          <w:szCs w:val="48"/>
          <w:highlight w:val="none"/>
          <w:lang w:val="en-US" w:eastAsia="zh-CN"/>
        </w:rPr>
        <w:t xml:space="preserve">第一章  </w:t>
      </w:r>
      <w:r>
        <w:rPr>
          <w:rFonts w:hint="eastAsia" w:ascii="宋体" w:hAnsi="宋体" w:eastAsia="宋体" w:cs="宋体"/>
          <w:b/>
          <w:bCs/>
          <w:color w:val="auto"/>
          <w:sz w:val="48"/>
          <w:szCs w:val="48"/>
          <w:highlight w:val="none"/>
        </w:rPr>
        <w:t>竞争性磋商公告</w:t>
      </w:r>
      <w:bookmarkEnd w:id="2"/>
    </w:p>
    <w:p w14:paraId="0CE021CA">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0" w:firstLineChars="200"/>
        <w:jc w:val="both"/>
        <w:textAlignment w:val="auto"/>
        <w:outlineLvl w:val="9"/>
        <w:rPr>
          <w:rFonts w:hint="eastAsia" w:cs="宋体"/>
          <w:color w:val="auto"/>
          <w:sz w:val="24"/>
          <w:szCs w:val="24"/>
          <w:highlight w:val="none"/>
          <w:lang w:val="en-US" w:eastAsia="zh-CN" w:bidi="ar"/>
        </w:rPr>
      </w:pPr>
      <w:r>
        <w:rPr>
          <w:rFonts w:hint="eastAsia" w:cs="宋体"/>
          <w:color w:val="auto"/>
          <w:sz w:val="24"/>
          <w:szCs w:val="24"/>
          <w:highlight w:val="none"/>
          <w:lang w:val="en-US" w:eastAsia="zh-CN" w:bidi="ar"/>
        </w:rPr>
        <w:t>项目概况</w:t>
      </w:r>
    </w:p>
    <w:p w14:paraId="24FB478B">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0" w:firstLineChars="200"/>
        <w:jc w:val="both"/>
        <w:textAlignment w:val="auto"/>
        <w:outlineLvl w:val="9"/>
        <w:rPr>
          <w:rFonts w:hint="eastAsia" w:ascii="宋体" w:hAnsi="宋体" w:eastAsia="宋体" w:cs="宋体"/>
          <w:color w:val="auto"/>
          <w:sz w:val="24"/>
          <w:szCs w:val="24"/>
          <w:highlight w:val="none"/>
          <w:lang w:bidi="ar"/>
        </w:rPr>
      </w:pPr>
      <w:r>
        <w:rPr>
          <w:rFonts w:hint="eastAsia" w:cs="宋体"/>
          <w:color w:val="auto"/>
          <w:sz w:val="24"/>
          <w:szCs w:val="24"/>
          <w:highlight w:val="none"/>
          <w:lang w:val="en-US" w:eastAsia="zh-CN" w:bidi="ar"/>
        </w:rPr>
        <w:t>渑池县原种场配套粮库建设项目（设备部分）招标项目的潜在投标人应在三门峡市公共资源交易中心网（网址：http://gzjy.smx.gov.cn/）获取招标文件，并于2026年10月19日08时20分（北京时间）前递交响应文件。</w:t>
      </w:r>
    </w:p>
    <w:p w14:paraId="31C59E6D">
      <w:pPr>
        <w:spacing w:line="360" w:lineRule="auto"/>
        <w:ind w:left="0" w:leftChars="0" w:firstLine="878" w:firstLineChars="366"/>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一、项目基本情况</w:t>
      </w:r>
    </w:p>
    <w:p w14:paraId="5C2BB976">
      <w:pPr>
        <w:spacing w:line="360" w:lineRule="auto"/>
        <w:ind w:left="0" w:leftChars="0" w:firstLine="878" w:firstLineChars="366"/>
        <w:rPr>
          <w:rFonts w:hint="eastAsia" w:ascii="宋体" w:hAnsi="宋体" w:eastAsia="宋体" w:cs="宋体"/>
          <w:color w:val="auto"/>
          <w:sz w:val="24"/>
          <w:szCs w:val="24"/>
          <w:highlight w:val="none"/>
          <w:lang w:eastAsia="zh-CN" w:bidi="ar"/>
        </w:rPr>
      </w:pPr>
      <w:r>
        <w:rPr>
          <w:rFonts w:hint="eastAsia" w:ascii="宋体" w:hAnsi="宋体" w:eastAsia="宋体" w:cs="宋体"/>
          <w:color w:val="auto"/>
          <w:sz w:val="24"/>
          <w:szCs w:val="24"/>
          <w:highlight w:val="none"/>
          <w:lang w:bidi="ar"/>
        </w:rPr>
        <w:t>1、项目编号：渑池竞磋采购-2026-143</w:t>
      </w:r>
      <w:r>
        <w:rPr>
          <w:rFonts w:hint="eastAsia" w:cs="宋体"/>
          <w:color w:val="auto"/>
          <w:sz w:val="24"/>
          <w:szCs w:val="24"/>
          <w:highlight w:val="none"/>
          <w:lang w:eastAsia="zh-CN" w:bidi="ar"/>
        </w:rPr>
        <w:t>、MCGZ[2026]218-ZC197</w:t>
      </w:r>
    </w:p>
    <w:p w14:paraId="54A68952">
      <w:pPr>
        <w:spacing w:line="360" w:lineRule="auto"/>
        <w:ind w:left="0" w:leftChars="0" w:firstLine="878" w:firstLineChars="366"/>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2、项目名称：渑池县原种场配套粮库建设项目（设备部分）</w:t>
      </w:r>
    </w:p>
    <w:p w14:paraId="554D36A2">
      <w:pPr>
        <w:spacing w:line="360" w:lineRule="auto"/>
        <w:ind w:left="0" w:leftChars="0" w:firstLine="878" w:firstLineChars="366"/>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3、采购方式：竞争性磋商</w:t>
      </w:r>
    </w:p>
    <w:p w14:paraId="51ACA45C">
      <w:pPr>
        <w:spacing w:line="360" w:lineRule="auto"/>
        <w:ind w:left="0" w:leftChars="0" w:firstLine="878" w:firstLineChars="366"/>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4、预算金额：1,279,420.00元</w:t>
      </w:r>
    </w:p>
    <w:p w14:paraId="43C7762E">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bidi="ar"/>
        </w:rPr>
        <w:t>最高限价：1279420元</w:t>
      </w:r>
    </w:p>
    <w:tbl>
      <w:tblPr>
        <w:tblStyle w:val="17"/>
        <w:tblW w:w="88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886"/>
        <w:gridCol w:w="3364"/>
        <w:gridCol w:w="1575"/>
        <w:gridCol w:w="1305"/>
      </w:tblGrid>
      <w:tr w14:paraId="3337B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35" w:type="dxa"/>
            <w:noWrap/>
            <w:vAlign w:val="center"/>
          </w:tcPr>
          <w:p w14:paraId="7637FA91">
            <w:pPr>
              <w:widowControl/>
              <w:spacing w:line="276" w:lineRule="auto"/>
              <w:jc w:val="center"/>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序号</w:t>
            </w:r>
          </w:p>
        </w:tc>
        <w:tc>
          <w:tcPr>
            <w:tcW w:w="1886" w:type="dxa"/>
            <w:noWrap/>
            <w:vAlign w:val="center"/>
          </w:tcPr>
          <w:p w14:paraId="25039336">
            <w:pPr>
              <w:widowControl/>
              <w:spacing w:line="276" w:lineRule="auto"/>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包号</w:t>
            </w:r>
          </w:p>
        </w:tc>
        <w:tc>
          <w:tcPr>
            <w:tcW w:w="3364" w:type="dxa"/>
            <w:noWrap/>
            <w:vAlign w:val="center"/>
          </w:tcPr>
          <w:p w14:paraId="3751990B">
            <w:pPr>
              <w:widowControl/>
              <w:spacing w:line="276" w:lineRule="auto"/>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包名称</w:t>
            </w:r>
          </w:p>
        </w:tc>
        <w:tc>
          <w:tcPr>
            <w:tcW w:w="1575" w:type="dxa"/>
            <w:noWrap/>
            <w:vAlign w:val="center"/>
          </w:tcPr>
          <w:p w14:paraId="591486EE">
            <w:pPr>
              <w:widowControl/>
              <w:spacing w:line="276" w:lineRule="auto"/>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包预算</w:t>
            </w:r>
          </w:p>
          <w:p w14:paraId="24365F38">
            <w:pPr>
              <w:widowControl/>
              <w:spacing w:line="276" w:lineRule="auto"/>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（元）</w:t>
            </w:r>
          </w:p>
        </w:tc>
        <w:tc>
          <w:tcPr>
            <w:tcW w:w="1305" w:type="dxa"/>
            <w:noWrap/>
            <w:vAlign w:val="center"/>
          </w:tcPr>
          <w:p w14:paraId="7A485BC0">
            <w:pPr>
              <w:widowControl/>
              <w:spacing w:line="276" w:lineRule="auto"/>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包最高限价（元）</w:t>
            </w:r>
          </w:p>
        </w:tc>
      </w:tr>
      <w:tr w14:paraId="7E94A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735" w:type="dxa"/>
            <w:noWrap/>
            <w:vAlign w:val="center"/>
          </w:tcPr>
          <w:p w14:paraId="101E5344">
            <w:pPr>
              <w:widowControl/>
              <w:spacing w:line="360" w:lineRule="auto"/>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1886" w:type="dxa"/>
            <w:noWrap/>
            <w:vAlign w:val="center"/>
          </w:tcPr>
          <w:p w14:paraId="0A8CB5B3">
            <w:pPr>
              <w:widowControl/>
              <w:spacing w:line="360" w:lineRule="auto"/>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Times New Roman"/>
                <w:color w:val="auto"/>
                <w:sz w:val="24"/>
                <w:szCs w:val="24"/>
                <w:highlight w:val="none"/>
                <w:lang w:eastAsia="zh-CN"/>
              </w:rPr>
              <w:t>MCGZ[2026]21</w:t>
            </w:r>
            <w:r>
              <w:rPr>
                <w:rFonts w:hint="eastAsia" w:cs="Times New Roman"/>
                <w:color w:val="auto"/>
                <w:sz w:val="24"/>
                <w:szCs w:val="24"/>
                <w:highlight w:val="none"/>
                <w:lang w:val="en-US" w:eastAsia="zh-CN"/>
              </w:rPr>
              <w:t>8</w:t>
            </w:r>
            <w:r>
              <w:rPr>
                <w:rFonts w:hint="eastAsia" w:ascii="宋体" w:hAnsi="宋体" w:eastAsia="宋体" w:cs="Times New Roman"/>
                <w:color w:val="auto"/>
                <w:sz w:val="24"/>
                <w:szCs w:val="24"/>
                <w:highlight w:val="none"/>
                <w:lang w:eastAsia="zh-CN"/>
              </w:rPr>
              <w:t>-ZC19</w:t>
            </w:r>
            <w:r>
              <w:rPr>
                <w:rFonts w:hint="eastAsia" w:cs="Times New Roman"/>
                <w:color w:val="auto"/>
                <w:sz w:val="24"/>
                <w:szCs w:val="24"/>
                <w:highlight w:val="none"/>
                <w:lang w:val="en-US" w:eastAsia="zh-CN"/>
              </w:rPr>
              <w:t>7-1</w:t>
            </w:r>
          </w:p>
        </w:tc>
        <w:tc>
          <w:tcPr>
            <w:tcW w:w="3364" w:type="dxa"/>
            <w:noWrap/>
            <w:vAlign w:val="center"/>
          </w:tcPr>
          <w:p w14:paraId="34DE1683">
            <w:pPr>
              <w:jc w:val="center"/>
              <w:rPr>
                <w:rFonts w:ascii="宋体" w:hAnsi="宋体" w:eastAsia="宋体" w:cs="Times New Roman"/>
                <w:color w:val="auto"/>
                <w:sz w:val="24"/>
                <w:szCs w:val="24"/>
                <w:highlight w:val="none"/>
              </w:rPr>
            </w:pPr>
            <w:r>
              <w:rPr>
                <w:rFonts w:hint="eastAsia" w:cs="宋体"/>
                <w:color w:val="auto"/>
                <w:sz w:val="24"/>
                <w:szCs w:val="24"/>
                <w:highlight w:val="none"/>
                <w:lang w:eastAsia="zh-CN" w:bidi="ar"/>
              </w:rPr>
              <w:t>渑池县原种场配套粮库建设项目（设备部分）</w:t>
            </w:r>
          </w:p>
        </w:tc>
        <w:tc>
          <w:tcPr>
            <w:tcW w:w="1575" w:type="dxa"/>
            <w:noWrap/>
            <w:vAlign w:val="center"/>
          </w:tcPr>
          <w:p w14:paraId="216A5CF4">
            <w:pPr>
              <w:widowControl/>
              <w:spacing w:line="360" w:lineRule="auto"/>
              <w:jc w:val="center"/>
              <w:rPr>
                <w:rFonts w:hint="default" w:ascii="宋体" w:hAnsi="宋体" w:eastAsia="宋体" w:cs="宋体"/>
                <w:color w:val="auto"/>
                <w:kern w:val="0"/>
                <w:sz w:val="24"/>
                <w:szCs w:val="24"/>
                <w:highlight w:val="none"/>
                <w:lang w:val="en-US"/>
              </w:rPr>
            </w:pPr>
            <w:r>
              <w:rPr>
                <w:rFonts w:hint="eastAsia" w:cs="宋体"/>
                <w:bCs/>
                <w:color w:val="auto"/>
                <w:kern w:val="0"/>
                <w:sz w:val="24"/>
                <w:highlight w:val="none"/>
                <w:u w:val="none"/>
                <w:lang w:val="en-US" w:eastAsia="zh-CN"/>
              </w:rPr>
              <w:t>1279420</w:t>
            </w:r>
            <w:r>
              <w:rPr>
                <w:rFonts w:hint="eastAsia" w:ascii="宋体" w:hAnsi="宋体" w:eastAsia="宋体" w:cs="Times New Roman"/>
                <w:color w:val="auto"/>
                <w:sz w:val="24"/>
                <w:szCs w:val="24"/>
                <w:highlight w:val="none"/>
                <w:lang w:val="en-US" w:eastAsia="zh-CN"/>
              </w:rPr>
              <w:t xml:space="preserve"> </w:t>
            </w:r>
          </w:p>
        </w:tc>
        <w:tc>
          <w:tcPr>
            <w:tcW w:w="1305" w:type="dxa"/>
            <w:noWrap/>
            <w:vAlign w:val="center"/>
          </w:tcPr>
          <w:p w14:paraId="1B42EC87">
            <w:pPr>
              <w:widowControl/>
              <w:spacing w:line="360" w:lineRule="auto"/>
              <w:jc w:val="center"/>
              <w:rPr>
                <w:rFonts w:hint="eastAsia" w:ascii="宋体" w:hAnsi="宋体" w:eastAsia="宋体" w:cs="宋体"/>
                <w:color w:val="auto"/>
                <w:kern w:val="0"/>
                <w:sz w:val="24"/>
                <w:szCs w:val="24"/>
                <w:highlight w:val="none"/>
                <w:lang w:val="en-US" w:eastAsia="zh-CN"/>
              </w:rPr>
            </w:pPr>
            <w:r>
              <w:rPr>
                <w:rFonts w:hint="eastAsia" w:cs="宋体"/>
                <w:bCs/>
                <w:color w:val="auto"/>
                <w:kern w:val="0"/>
                <w:sz w:val="24"/>
                <w:highlight w:val="none"/>
                <w:u w:val="none"/>
                <w:lang w:val="en-US" w:eastAsia="zh-CN"/>
              </w:rPr>
              <w:t>1279420</w:t>
            </w:r>
          </w:p>
        </w:tc>
      </w:tr>
    </w:tbl>
    <w:p w14:paraId="683FDDA1">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5、采购需求（包括但不限于标的的名称、数量、简要技术需求或服务要求等）</w:t>
      </w:r>
    </w:p>
    <w:p w14:paraId="731A5AB1">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5.1、采购内容：主要内容为提升机、烘干塔、地磅、铲车、包装称等设备。</w:t>
      </w:r>
    </w:p>
    <w:p w14:paraId="7E1B37BA">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5.2、资金来源：财政资金，已落实</w:t>
      </w:r>
    </w:p>
    <w:p w14:paraId="44910360">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5.3、交货地点：渑池县境内</w:t>
      </w:r>
    </w:p>
    <w:p w14:paraId="006BAA4F">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5.4、交货期：20日历天</w:t>
      </w:r>
    </w:p>
    <w:p w14:paraId="24B02F25">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5.5、质量要求：合格，符合国家或行业相关现行标准并满足采购人要求</w:t>
      </w:r>
    </w:p>
    <w:p w14:paraId="2DB68C23">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5.6、质保期：1年，终身维修。</w:t>
      </w:r>
    </w:p>
    <w:p w14:paraId="792A611C">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6、合同履行期限：20日历天</w:t>
      </w:r>
    </w:p>
    <w:p w14:paraId="2B1C4C80">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7、本项目是否接受联合体投标：否</w:t>
      </w:r>
    </w:p>
    <w:p w14:paraId="5C14B18B">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8、是否接受进口产品：否</w:t>
      </w:r>
    </w:p>
    <w:p w14:paraId="75192927">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9、是否专门面向中小企业：否</w:t>
      </w:r>
    </w:p>
    <w:p w14:paraId="15863FCA">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二、申请人资格要求：</w:t>
      </w:r>
    </w:p>
    <w:p w14:paraId="34DA8187">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1、满足《中华人民共和国政府采购法》第二十二条规定；</w:t>
      </w:r>
    </w:p>
    <w:p w14:paraId="00F23990">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2、落实政府采购政策满足的资格要求：</w:t>
      </w:r>
    </w:p>
    <w:p w14:paraId="3A862713">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本项目执行促进中小微型企业发展政策、优先采购节能环保产品等政府采购政策；</w:t>
      </w:r>
    </w:p>
    <w:p w14:paraId="7B1D6B64">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3、本项目的特定资格要求</w:t>
      </w:r>
    </w:p>
    <w:p w14:paraId="74E3DF81">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3.1响应人须具有有效的法人或者其他组织的营业执照等证明文件或自然人的身份证明，提供具有履行合同所必需的设备和专业技术能力（自行承诺，格式自拟）；</w:t>
      </w:r>
    </w:p>
    <w:p w14:paraId="27A15FC3">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3.2响应人须提供本企业无商业贿赂及不正当行为承诺书；</w:t>
      </w:r>
    </w:p>
    <w:p w14:paraId="343F9F83">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3.3根据《关于在政府采购活动中查询及使用信用记录有关问题的通知》(财库[2016]125号)和豫财购【2016】15号的规定，对列入失信被执行人和重大税收违法失信主体、政府采购严重违法失信行为记录名单的响应人，拒绝其参与本招标项目；（（①通过“信用中国”网站（http://www.creditchina.gov.cn/）“信用服务”-“失信被执行人”会跳转至“中国执行信息公开网”网站（http://zxgk.court.gov.cn/shixin/）查询企业（省份默认全部）②通过“信用中国”网站（http://www.creditchina.gov.cn/）“信用服务”-“重大税收违法失信主体”查询企业③通过“中国政府采购”网（www.ccgp.gov.cn）-“政府采购严重违法失信行为记录名单”查询企业），提供网站的查询结果截图，查询时间自公告发布之日起至投标截止时间止。</w:t>
      </w:r>
    </w:p>
    <w:p w14:paraId="275EDFB6">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3.4单位负责人为同一人或者存在直接控股、管理关系的不同供应商，不得参加同一合同项下的采购活动；（提供“国家企业信用信息公示系统”中查询打印的相关信息并加盖公章或响应人自行出具的承诺书，查询信息需包含公司基本信息、股东信息及股权变更信息等相关信息，查询时间自公告发布之日起至投标截止时间止）。</w:t>
      </w:r>
    </w:p>
    <w:p w14:paraId="52EB08CF">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3.5本项目不接受联合体磋商，不允许转包、分包，提供承诺书，格式自拟。</w:t>
      </w:r>
    </w:p>
    <w:p w14:paraId="330CD8AC">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3.6本项目实行资格后审，资格审查的具体要求见竞争性磋商文件。</w:t>
      </w:r>
    </w:p>
    <w:p w14:paraId="6C5EB174">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三、获取采购文件</w:t>
      </w:r>
    </w:p>
    <w:p w14:paraId="3DE42621">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1.时间：2026年09月30日 至 2026年10月19日，每天上午00:00至12:00，下午12:00至23:59（北京时间，法定节假日除外。）</w:t>
      </w:r>
    </w:p>
    <w:p w14:paraId="24C4246F">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2.地点：三门峡市公共资源交易中心网（网址：http://gzjy.smx.gov.cn/）</w:t>
      </w:r>
    </w:p>
    <w:p w14:paraId="15C5E184">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3.方式：本项目没有报名环节，供应商凭CA数字证书通过三门峡市公共资源交易中心网（网址：http://gzjy.smx.gov.cn/），点击公共资源交易平台选择“交易主体登录”，在所参与项目右侧点击参与投标，即可直接下载本项目磋商文件。</w:t>
      </w:r>
    </w:p>
    <w:p w14:paraId="33ED64FA">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注：根据《关于进一步加强公共资源交易管理持续优化营商环境的通知》（三公管办〔2020〕2号）文件的要求,招标（磋商）文件费用不再收取。</w:t>
      </w:r>
    </w:p>
    <w:p w14:paraId="1969F26A">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4.售价：0元</w:t>
      </w:r>
    </w:p>
    <w:p w14:paraId="0DC4E726">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四、响应文件提交</w:t>
      </w:r>
    </w:p>
    <w:p w14:paraId="1F274217">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1.截止时间：2026年10月19日08时20分（北京时间）</w:t>
      </w:r>
    </w:p>
    <w:p w14:paraId="1912512C">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2.地点：三门峡市公共资源交易中心网（网址：http://gzjy.smx.gov.cn/）</w:t>
      </w:r>
    </w:p>
    <w:p w14:paraId="25B631FC">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五、响应文件开启</w:t>
      </w:r>
    </w:p>
    <w:p w14:paraId="68E6EE20">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1.时间：2026年10月19日08时20分（北京时间）</w:t>
      </w:r>
    </w:p>
    <w:p w14:paraId="4EBA9616">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2.地点：渑池县公共资源交易中心开标室（网址：http://gzjy.smx.gov.cn/）</w:t>
      </w:r>
    </w:p>
    <w:p w14:paraId="40FC5D65">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六、发布公告的媒介及招标公告期限</w:t>
      </w:r>
    </w:p>
    <w:p w14:paraId="6825873E">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本次招标公告在《河南省政府采购网》、《中国采购与招标网》、《三门峡市公共资源交易中心网》上发布， 招标公告期限为三个工作日 。</w:t>
      </w:r>
    </w:p>
    <w:p w14:paraId="55C4999B">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七、其他补充事宜</w:t>
      </w:r>
    </w:p>
    <w:p w14:paraId="2790CA06">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1、供应商应仔细阅读操作手册，在本公告中要求的截止时间前完成竞争性磋商响应文件的上传工作，并充分考虑人为操作等因素，因供应商操作不当造成的无法投标等一切后果，由供应商自行承担。</w:t>
      </w:r>
    </w:p>
    <w:p w14:paraId="3F852AC0">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2、磋商所发生一切费用由各供应商自行承担，并承担相应的风险和责任。</w:t>
      </w:r>
    </w:p>
    <w:p w14:paraId="3989A275">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3、本项目不组织供应商踏勘现场。</w:t>
      </w:r>
    </w:p>
    <w:p w14:paraId="4903559D">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4、本项目无论中标与否，均不退还响应文件。</w:t>
      </w:r>
    </w:p>
    <w:p w14:paraId="3740BEF8">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5、本项目资格评审和业绩以响应文件为准，响应人可使用电子营业执照。</w:t>
      </w:r>
    </w:p>
    <w:p w14:paraId="664D1B60">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（1）资格评（预）审部分：资格评（预）审以响应文件为准，其上传资料真实性由响应人自行承担，同时，响应人要完善主体库。</w:t>
      </w:r>
    </w:p>
    <w:p w14:paraId="46CE6FDD">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（2）评标打分部分：评标打分部分仍按照100分制原则进行，涉及到资格审查、企业荣誉、人员业绩、企业业绩等计分部分时，以投标单位自行上传到响应文件中的相应内容为准。</w:t>
      </w:r>
    </w:p>
    <w:p w14:paraId="1DC2CDFE">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3）响应文件编制部分：在磋商文件中要求响应人按照响应文件格式进行响应文件编制，在响应文件编制时，应明确将投标单位企业基本情况、资质人员情况、财务情况、业绩情况编入响应文件，便于进行资格审查及评标打分。</w:t>
      </w:r>
    </w:p>
    <w:p w14:paraId="77DCACD4">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温馨提示：本项目为电子化、无纸化交易项目，开标时不再接受任何纸质资料，为保证您能投标成功，请需仔细阅读竞争性磋商文件和三门峡市公共资源交易中心官网业务办理指南。</w:t>
      </w:r>
    </w:p>
    <w:p w14:paraId="6B10AD85">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八、凡对本次招标提出询问，请按照以下方式联系</w:t>
      </w:r>
    </w:p>
    <w:p w14:paraId="464FB8B3">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1. 采购人信息</w:t>
      </w:r>
    </w:p>
    <w:p w14:paraId="36B5468B">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名称：渑池县农业农村局</w:t>
      </w:r>
    </w:p>
    <w:p w14:paraId="605E6ADA">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地址：渑池县会盟路西段</w:t>
      </w:r>
    </w:p>
    <w:p w14:paraId="1BC90DEB">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联系人：武先生</w:t>
      </w:r>
    </w:p>
    <w:p w14:paraId="42F89827">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联系方式：13803988007</w:t>
      </w:r>
    </w:p>
    <w:p w14:paraId="7125970C">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2.采购代理机构信息（如有）</w:t>
      </w:r>
    </w:p>
    <w:p w14:paraId="55CBBA19">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名称：中豫建设工程咨询有限公司</w:t>
      </w:r>
    </w:p>
    <w:p w14:paraId="52EAB9C3">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地址：河南自贸试验区郑州片区（郑东）榆林北路36号1号楼15层1516号</w:t>
      </w:r>
    </w:p>
    <w:p w14:paraId="6E80E9E5">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联系人：杜女士</w:t>
      </w:r>
    </w:p>
    <w:p w14:paraId="30BC56B0">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联系方式：15139805557</w:t>
      </w:r>
    </w:p>
    <w:p w14:paraId="27146746">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3.监督单位信息</w:t>
      </w:r>
    </w:p>
    <w:p w14:paraId="2B5D5D79">
      <w:pPr>
        <w:spacing w:line="360" w:lineRule="auto"/>
        <w:ind w:left="0" w:leftChars="0" w:firstLine="878" w:firstLineChars="366"/>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监督单位：渑池县政府采购办公室</w:t>
      </w:r>
    </w:p>
    <w:p w14:paraId="61E05F02">
      <w:pPr>
        <w:spacing w:line="360" w:lineRule="auto"/>
        <w:ind w:left="0" w:leftChars="0" w:firstLine="878" w:firstLineChars="36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联系方式：0398-4818677</w:t>
      </w:r>
    </w:p>
    <w:p w14:paraId="5E7B8341">
      <w:pPr>
        <w:numPr>
          <w:ilvl w:val="0"/>
          <w:numId w:val="0"/>
        </w:numPr>
        <w:snapToGrid w:val="0"/>
        <w:spacing w:before="156" w:beforeLines="50" w:after="156" w:afterLines="50" w:line="540" w:lineRule="exact"/>
        <w:jc w:val="center"/>
        <w:textAlignment w:val="baseline"/>
        <w:outlineLvl w:val="0"/>
        <w:rPr>
          <w:rFonts w:hint="eastAsia" w:ascii="宋体" w:hAnsi="宋体" w:eastAsia="宋体" w:cs="宋体"/>
          <w:b/>
          <w:color w:val="auto"/>
          <w:sz w:val="40"/>
          <w:szCs w:val="21"/>
          <w:highlight w:val="none"/>
        </w:rPr>
      </w:pPr>
      <w:r>
        <w:rPr>
          <w:rFonts w:hint="eastAsia" w:ascii="宋体" w:hAnsi="宋体" w:eastAsia="宋体" w:cs="宋体"/>
          <w:color w:val="auto"/>
          <w:highlight w:val="none"/>
        </w:rPr>
        <w:br w:type="page"/>
      </w:r>
      <w:bookmarkStart w:id="3" w:name="_Toc10515"/>
      <w:r>
        <w:rPr>
          <w:rFonts w:hint="eastAsia" w:ascii="宋体" w:hAnsi="宋体" w:eastAsia="宋体" w:cs="宋体"/>
          <w:b/>
          <w:bCs/>
          <w:color w:val="auto"/>
          <w:sz w:val="48"/>
          <w:szCs w:val="48"/>
          <w:highlight w:val="none"/>
          <w:lang w:val="en-US" w:eastAsia="zh-CN"/>
        </w:rPr>
        <w:t xml:space="preserve">第二章  </w:t>
      </w:r>
      <w:r>
        <w:rPr>
          <w:rFonts w:hint="eastAsia" w:eastAsia="宋体" w:cs="宋体"/>
          <w:b/>
          <w:bCs/>
          <w:color w:val="auto"/>
          <w:sz w:val="48"/>
          <w:szCs w:val="48"/>
          <w:highlight w:val="none"/>
          <w:lang w:eastAsia="zh-CN"/>
        </w:rPr>
        <w:t>响应人</w:t>
      </w:r>
      <w:r>
        <w:rPr>
          <w:rFonts w:hint="eastAsia" w:ascii="宋体" w:hAnsi="宋体" w:eastAsia="宋体" w:cs="宋体"/>
          <w:b/>
          <w:bCs/>
          <w:color w:val="auto"/>
          <w:sz w:val="48"/>
          <w:szCs w:val="48"/>
          <w:highlight w:val="none"/>
        </w:rPr>
        <w:t>须知</w:t>
      </w:r>
      <w:bookmarkEnd w:id="1"/>
      <w:bookmarkEnd w:id="3"/>
    </w:p>
    <w:p w14:paraId="355E70DD">
      <w:pPr>
        <w:spacing w:line="360" w:lineRule="auto"/>
        <w:jc w:val="center"/>
        <w:rPr>
          <w:rFonts w:hint="eastAsia" w:ascii="宋体" w:hAnsi="宋体" w:eastAsia="宋体" w:cs="宋体"/>
          <w:b/>
          <w:color w:val="auto"/>
          <w:sz w:val="24"/>
          <w:szCs w:val="20"/>
          <w:highlight w:val="none"/>
        </w:rPr>
      </w:pPr>
      <w:r>
        <w:rPr>
          <w:rFonts w:hint="eastAsia" w:eastAsia="宋体" w:cs="宋体"/>
          <w:b/>
          <w:color w:val="auto"/>
          <w:sz w:val="24"/>
          <w:szCs w:val="20"/>
          <w:highlight w:val="none"/>
          <w:lang w:eastAsia="zh-CN"/>
        </w:rPr>
        <w:t>响应人</w:t>
      </w:r>
      <w:r>
        <w:rPr>
          <w:rFonts w:hint="eastAsia" w:ascii="宋体" w:hAnsi="宋体" w:eastAsia="宋体" w:cs="宋体"/>
          <w:b/>
          <w:color w:val="auto"/>
          <w:sz w:val="24"/>
          <w:szCs w:val="20"/>
          <w:highlight w:val="none"/>
        </w:rPr>
        <w:t>须知前附表</w:t>
      </w:r>
    </w:p>
    <w:p w14:paraId="5397FB44">
      <w:pPr>
        <w:spacing w:line="360" w:lineRule="auto"/>
        <w:ind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本表是对“</w:t>
      </w:r>
      <w:r>
        <w:rPr>
          <w:rFonts w:hint="eastAsia" w:eastAsia="宋体" w:cs="宋体"/>
          <w:color w:val="auto"/>
          <w:sz w:val="24"/>
          <w:szCs w:val="20"/>
          <w:highlight w:val="none"/>
          <w:lang w:eastAsia="zh-CN"/>
        </w:rPr>
        <w:t>响应人</w:t>
      </w:r>
      <w:r>
        <w:rPr>
          <w:rFonts w:hint="eastAsia" w:ascii="宋体" w:hAnsi="宋体" w:eastAsia="宋体" w:cs="宋体"/>
          <w:color w:val="auto"/>
          <w:sz w:val="24"/>
          <w:szCs w:val="20"/>
          <w:highlight w:val="none"/>
        </w:rPr>
        <w:t>须知”的具体补充和修改，如有矛盾，应以本前附表为准。本表中没有涉及到的条款，仍以</w:t>
      </w:r>
      <w:r>
        <w:rPr>
          <w:rFonts w:hint="eastAsia" w:eastAsia="宋体" w:cs="宋体"/>
          <w:color w:val="auto"/>
          <w:sz w:val="24"/>
          <w:szCs w:val="20"/>
          <w:highlight w:val="none"/>
          <w:lang w:eastAsia="zh-CN"/>
        </w:rPr>
        <w:t>响应人</w:t>
      </w:r>
      <w:r>
        <w:rPr>
          <w:rFonts w:hint="eastAsia" w:ascii="宋体" w:hAnsi="宋体" w:eastAsia="宋体" w:cs="宋体"/>
          <w:color w:val="auto"/>
          <w:sz w:val="24"/>
          <w:szCs w:val="20"/>
          <w:highlight w:val="none"/>
        </w:rPr>
        <w:t>须知的相应条款为准。</w:t>
      </w:r>
    </w:p>
    <w:tbl>
      <w:tblPr>
        <w:tblStyle w:val="17"/>
        <w:tblW w:w="96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45" w:type="dxa"/>
          <w:bottom w:w="0" w:type="dxa"/>
          <w:right w:w="45" w:type="dxa"/>
        </w:tblCellMar>
      </w:tblPr>
      <w:tblGrid>
        <w:gridCol w:w="979"/>
        <w:gridCol w:w="1973"/>
        <w:gridCol w:w="6738"/>
      </w:tblGrid>
      <w:tr w14:paraId="753D0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tblHeader/>
          <w:jc w:val="center"/>
        </w:trPr>
        <w:tc>
          <w:tcPr>
            <w:tcW w:w="979" w:type="dxa"/>
            <w:noWrap w:val="0"/>
            <w:vAlign w:val="center"/>
          </w:tcPr>
          <w:p w14:paraId="7D815824">
            <w:pPr>
              <w:spacing w:line="240" w:lineRule="auto"/>
              <w:jc w:val="both"/>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1973" w:type="dxa"/>
            <w:noWrap w:val="0"/>
            <w:vAlign w:val="center"/>
          </w:tcPr>
          <w:p w14:paraId="42A0C9D2">
            <w:pPr>
              <w:spacing w:line="240" w:lineRule="auto"/>
              <w:jc w:val="both"/>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 款 名 称</w:t>
            </w:r>
          </w:p>
        </w:tc>
        <w:tc>
          <w:tcPr>
            <w:tcW w:w="6738" w:type="dxa"/>
            <w:noWrap w:val="0"/>
            <w:vAlign w:val="center"/>
          </w:tcPr>
          <w:p w14:paraId="2598C791">
            <w:pPr>
              <w:spacing w:line="240" w:lineRule="auto"/>
              <w:jc w:val="both"/>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编  列  内  容</w:t>
            </w:r>
          </w:p>
        </w:tc>
      </w:tr>
      <w:tr w14:paraId="3C059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3D07407D">
            <w:pPr>
              <w:numPr>
                <w:ilvl w:val="0"/>
                <w:numId w:val="1"/>
              </w:numPr>
              <w:spacing w:line="240" w:lineRule="auto"/>
              <w:ind w:left="0" w:firstLine="0"/>
              <w:jc w:val="both"/>
              <w:rPr>
                <w:rFonts w:hint="eastAsia" w:ascii="宋体" w:hAnsi="宋体" w:eastAsia="宋体" w:cs="宋体"/>
                <w:color w:val="auto"/>
                <w:sz w:val="24"/>
                <w:szCs w:val="24"/>
                <w:highlight w:val="none"/>
              </w:rPr>
            </w:pPr>
          </w:p>
        </w:tc>
        <w:tc>
          <w:tcPr>
            <w:tcW w:w="1973" w:type="dxa"/>
            <w:noWrap w:val="0"/>
            <w:vAlign w:val="center"/>
          </w:tcPr>
          <w:p w14:paraId="3BF1CAE6">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采购人</w:t>
            </w:r>
          </w:p>
        </w:tc>
        <w:tc>
          <w:tcPr>
            <w:tcW w:w="6738" w:type="dxa"/>
            <w:noWrap w:val="0"/>
            <w:vAlign w:val="center"/>
          </w:tcPr>
          <w:p w14:paraId="56FF434C">
            <w:pPr>
              <w:spacing w:line="240" w:lineRule="auto"/>
              <w:jc w:val="both"/>
              <w:rPr>
                <w:rFonts w:hint="eastAsia" w:ascii="宋体" w:hAnsi="宋体" w:eastAsia="宋体" w:cs="宋体"/>
                <w:bCs/>
                <w:color w:val="auto"/>
                <w:sz w:val="24"/>
                <w:szCs w:val="24"/>
                <w:highlight w:val="none"/>
                <w:lang w:eastAsia="zh-CN"/>
              </w:rPr>
            </w:pPr>
            <w:r>
              <w:rPr>
                <w:rFonts w:hint="eastAsia" w:cs="宋体"/>
                <w:bCs/>
                <w:color w:val="auto"/>
                <w:sz w:val="24"/>
                <w:szCs w:val="24"/>
                <w:highlight w:val="none"/>
                <w:lang w:eastAsia="zh-CN"/>
              </w:rPr>
              <w:t>渑池县农业农村局</w:t>
            </w:r>
          </w:p>
        </w:tc>
      </w:tr>
      <w:tr w14:paraId="09716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6B9AF49C">
            <w:pPr>
              <w:numPr>
                <w:ilvl w:val="0"/>
                <w:numId w:val="1"/>
              </w:numPr>
              <w:spacing w:line="240" w:lineRule="auto"/>
              <w:ind w:left="0" w:firstLine="0"/>
              <w:jc w:val="both"/>
              <w:rPr>
                <w:rFonts w:hint="eastAsia" w:ascii="宋体" w:hAnsi="宋体" w:eastAsia="宋体" w:cs="宋体"/>
                <w:color w:val="auto"/>
                <w:sz w:val="24"/>
                <w:szCs w:val="24"/>
                <w:highlight w:val="none"/>
              </w:rPr>
            </w:pPr>
          </w:p>
        </w:tc>
        <w:tc>
          <w:tcPr>
            <w:tcW w:w="1973" w:type="dxa"/>
            <w:noWrap w:val="0"/>
            <w:vAlign w:val="center"/>
          </w:tcPr>
          <w:p w14:paraId="446FD088">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采购代理机构</w:t>
            </w:r>
          </w:p>
        </w:tc>
        <w:tc>
          <w:tcPr>
            <w:tcW w:w="6738" w:type="dxa"/>
            <w:noWrap w:val="0"/>
            <w:vAlign w:val="center"/>
          </w:tcPr>
          <w:p w14:paraId="4991FB7A">
            <w:pPr>
              <w:spacing w:line="240" w:lineRule="auto"/>
              <w:ind w:left="0" w:firstLine="0"/>
              <w:jc w:val="both"/>
              <w:rPr>
                <w:rFonts w:hint="eastAsia" w:ascii="宋体" w:hAnsi="宋体" w:eastAsia="宋体" w:cs="宋体"/>
                <w:color w:val="auto"/>
                <w:sz w:val="24"/>
                <w:szCs w:val="24"/>
                <w:highlight w:val="none"/>
                <w:lang w:eastAsia="zh-CN"/>
              </w:rPr>
            </w:pPr>
            <w:r>
              <w:rPr>
                <w:rFonts w:hint="eastAsia" w:cs="宋体"/>
                <w:color w:val="auto"/>
                <w:sz w:val="24"/>
                <w:szCs w:val="24"/>
                <w:highlight w:val="none"/>
                <w:lang w:eastAsia="zh-CN"/>
              </w:rPr>
              <w:t>中豫建设工程咨询有限公司</w:t>
            </w:r>
          </w:p>
        </w:tc>
      </w:tr>
      <w:tr w14:paraId="48B2A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3186DA3A">
            <w:pPr>
              <w:numPr>
                <w:ilvl w:val="0"/>
                <w:numId w:val="1"/>
              </w:numPr>
              <w:spacing w:line="360" w:lineRule="auto"/>
              <w:jc w:val="both"/>
              <w:rPr>
                <w:rFonts w:hint="eastAsia" w:ascii="宋体" w:hAnsi="宋体" w:eastAsia="宋体" w:cs="宋体"/>
                <w:color w:val="auto"/>
                <w:sz w:val="24"/>
                <w:szCs w:val="24"/>
                <w:highlight w:val="none"/>
              </w:rPr>
            </w:pPr>
          </w:p>
        </w:tc>
        <w:tc>
          <w:tcPr>
            <w:tcW w:w="1973" w:type="dxa"/>
            <w:noWrap w:val="0"/>
            <w:vAlign w:val="center"/>
          </w:tcPr>
          <w:p w14:paraId="3AD32940">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采购项目名称</w:t>
            </w:r>
          </w:p>
        </w:tc>
        <w:tc>
          <w:tcPr>
            <w:tcW w:w="6738" w:type="dxa"/>
            <w:noWrap w:val="0"/>
            <w:vAlign w:val="center"/>
          </w:tcPr>
          <w:p w14:paraId="63CD130D">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bidi="ar"/>
              </w:rPr>
              <w:t>渑池县原种场配套粮库建设项目（设备部分）</w:t>
            </w:r>
          </w:p>
        </w:tc>
      </w:tr>
      <w:tr w14:paraId="5B00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58FAEF25">
            <w:pPr>
              <w:numPr>
                <w:ilvl w:val="0"/>
                <w:numId w:val="1"/>
              </w:numPr>
              <w:spacing w:line="240" w:lineRule="auto"/>
              <w:ind w:left="0" w:firstLine="0"/>
              <w:jc w:val="both"/>
              <w:rPr>
                <w:rFonts w:hint="eastAsia" w:ascii="宋体" w:hAnsi="宋体" w:eastAsia="宋体" w:cs="宋体"/>
                <w:color w:val="auto"/>
                <w:sz w:val="24"/>
                <w:szCs w:val="24"/>
                <w:highlight w:val="none"/>
              </w:rPr>
            </w:pPr>
          </w:p>
        </w:tc>
        <w:tc>
          <w:tcPr>
            <w:tcW w:w="1973" w:type="dxa"/>
            <w:noWrap w:val="0"/>
            <w:vAlign w:val="center"/>
          </w:tcPr>
          <w:p w14:paraId="1DCCFA04">
            <w:pPr>
              <w:spacing w:line="240" w:lineRule="auto"/>
              <w:ind w:left="0" w:firstLine="0"/>
              <w:jc w:val="both"/>
              <w:rPr>
                <w:rFonts w:hint="default" w:ascii="宋体" w:hAnsi="宋体" w:eastAsia="宋体" w:cs="宋体"/>
                <w:color w:val="auto"/>
                <w:kern w:val="2"/>
                <w:sz w:val="24"/>
                <w:szCs w:val="24"/>
                <w:highlight w:val="none"/>
                <w:lang w:val="en-US" w:eastAsia="zh-CN"/>
              </w:rPr>
            </w:pPr>
            <w:r>
              <w:rPr>
                <w:rFonts w:hint="eastAsia" w:cs="宋体"/>
                <w:color w:val="auto"/>
                <w:kern w:val="2"/>
                <w:sz w:val="24"/>
                <w:szCs w:val="24"/>
                <w:highlight w:val="none"/>
                <w:lang w:eastAsia="zh-CN"/>
              </w:rPr>
              <w:t>资金来源</w:t>
            </w:r>
          </w:p>
        </w:tc>
        <w:tc>
          <w:tcPr>
            <w:tcW w:w="6738" w:type="dxa"/>
            <w:noWrap w:val="0"/>
            <w:vAlign w:val="center"/>
          </w:tcPr>
          <w:p w14:paraId="2023C586">
            <w:pPr>
              <w:spacing w:line="240" w:lineRule="auto"/>
              <w:ind w:left="0" w:firstLine="0"/>
              <w:jc w:val="both"/>
              <w:rPr>
                <w:rFonts w:hint="eastAsia" w:eastAsia="宋体" w:cs="宋体"/>
                <w:color w:val="auto"/>
                <w:sz w:val="24"/>
                <w:szCs w:val="24"/>
                <w:highlight w:val="none"/>
                <w:lang w:val="en-US" w:eastAsia="zh-CN"/>
              </w:rPr>
            </w:pPr>
            <w:r>
              <w:rPr>
                <w:rFonts w:hint="eastAsia" w:cs="宋体"/>
                <w:color w:val="auto"/>
                <w:sz w:val="24"/>
                <w:szCs w:val="24"/>
                <w:highlight w:val="none"/>
                <w:lang w:val="en-US" w:eastAsia="zh-CN"/>
              </w:rPr>
              <w:t>财政资金，已落实</w:t>
            </w:r>
          </w:p>
        </w:tc>
      </w:tr>
      <w:tr w14:paraId="6DE6D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66BC8AF4">
            <w:pPr>
              <w:numPr>
                <w:ilvl w:val="0"/>
                <w:numId w:val="1"/>
              </w:numPr>
              <w:spacing w:line="240" w:lineRule="auto"/>
              <w:ind w:left="0" w:firstLine="0"/>
              <w:jc w:val="both"/>
              <w:rPr>
                <w:rFonts w:hint="eastAsia" w:ascii="宋体" w:hAnsi="宋体" w:eastAsia="宋体" w:cs="宋体"/>
                <w:color w:val="auto"/>
                <w:sz w:val="24"/>
                <w:szCs w:val="24"/>
                <w:highlight w:val="none"/>
              </w:rPr>
            </w:pPr>
          </w:p>
        </w:tc>
        <w:tc>
          <w:tcPr>
            <w:tcW w:w="1973" w:type="dxa"/>
            <w:noWrap w:val="0"/>
            <w:vAlign w:val="center"/>
          </w:tcPr>
          <w:p w14:paraId="71C7C8B0">
            <w:pPr>
              <w:spacing w:line="240" w:lineRule="auto"/>
              <w:ind w:left="0" w:firstLine="0"/>
              <w:jc w:val="both"/>
              <w:rPr>
                <w:rFonts w:hint="eastAsia" w:ascii="宋体" w:hAnsi="宋体" w:eastAsia="宋体" w:cs="宋体"/>
                <w:color w:val="auto"/>
                <w:kern w:val="2"/>
                <w:sz w:val="24"/>
                <w:szCs w:val="24"/>
                <w:highlight w:val="none"/>
                <w:lang w:eastAsia="zh-CN"/>
              </w:rPr>
            </w:pPr>
            <w:r>
              <w:rPr>
                <w:rFonts w:hint="eastAsia" w:cs="宋体"/>
                <w:color w:val="auto"/>
                <w:kern w:val="2"/>
                <w:sz w:val="24"/>
                <w:szCs w:val="24"/>
                <w:highlight w:val="none"/>
                <w:lang w:eastAsia="zh-CN"/>
              </w:rPr>
              <w:t>采购预算价</w:t>
            </w:r>
          </w:p>
        </w:tc>
        <w:tc>
          <w:tcPr>
            <w:tcW w:w="6738" w:type="dxa"/>
            <w:noWrap w:val="0"/>
            <w:vAlign w:val="center"/>
          </w:tcPr>
          <w:p w14:paraId="1EDE7DA0">
            <w:pPr>
              <w:spacing w:line="240" w:lineRule="auto"/>
              <w:ind w:left="0" w:firstLine="0"/>
              <w:jc w:val="both"/>
              <w:rPr>
                <w:rFonts w:hint="default" w:eastAsia="宋体" w:cs="宋体"/>
                <w:color w:val="auto"/>
                <w:sz w:val="24"/>
                <w:szCs w:val="24"/>
                <w:highlight w:val="none"/>
                <w:lang w:val="en-US" w:eastAsia="zh-CN"/>
              </w:rPr>
            </w:pPr>
            <w:r>
              <w:rPr>
                <w:rFonts w:hint="eastAsia" w:cs="宋体"/>
                <w:color w:val="auto"/>
                <w:sz w:val="24"/>
                <w:szCs w:val="24"/>
                <w:highlight w:val="none"/>
                <w:lang w:val="en-US" w:eastAsia="zh-CN"/>
              </w:rPr>
              <w:t>1279420.00元</w:t>
            </w:r>
          </w:p>
        </w:tc>
      </w:tr>
      <w:tr w14:paraId="3A4D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7EBC1272">
            <w:pPr>
              <w:numPr>
                <w:ilvl w:val="0"/>
                <w:numId w:val="1"/>
              </w:numPr>
              <w:spacing w:line="240" w:lineRule="auto"/>
              <w:ind w:left="0" w:firstLine="0"/>
              <w:jc w:val="both"/>
              <w:rPr>
                <w:rFonts w:hint="eastAsia" w:ascii="宋体" w:hAnsi="宋体" w:eastAsia="宋体" w:cs="宋体"/>
                <w:color w:val="auto"/>
                <w:sz w:val="24"/>
                <w:szCs w:val="24"/>
                <w:highlight w:val="none"/>
              </w:rPr>
            </w:pPr>
          </w:p>
        </w:tc>
        <w:tc>
          <w:tcPr>
            <w:tcW w:w="1973" w:type="dxa"/>
            <w:noWrap w:val="0"/>
            <w:vAlign w:val="center"/>
          </w:tcPr>
          <w:p w14:paraId="1EDB24E3">
            <w:pPr>
              <w:spacing w:line="240" w:lineRule="auto"/>
              <w:ind w:left="0" w:firstLine="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采购</w:t>
            </w:r>
            <w:r>
              <w:rPr>
                <w:rFonts w:hint="eastAsia" w:ascii="宋体" w:hAnsi="宋体" w:eastAsia="宋体" w:cs="宋体"/>
                <w:color w:val="auto"/>
                <w:sz w:val="24"/>
                <w:szCs w:val="24"/>
                <w:highlight w:val="none"/>
                <w:lang w:val="en-US" w:eastAsia="zh-CN"/>
              </w:rPr>
              <w:t>内容</w:t>
            </w:r>
          </w:p>
        </w:tc>
        <w:tc>
          <w:tcPr>
            <w:tcW w:w="6738" w:type="dxa"/>
            <w:noWrap w:val="0"/>
            <w:vAlign w:val="center"/>
          </w:tcPr>
          <w:p w14:paraId="4238E4D1">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bidi="ar"/>
              </w:rPr>
              <w:t>主要内容为提升机、烘干塔、地磅、铲车、包装称等设备。</w:t>
            </w:r>
          </w:p>
        </w:tc>
      </w:tr>
      <w:tr w14:paraId="4BF61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67C1F6D9">
            <w:pPr>
              <w:numPr>
                <w:ilvl w:val="0"/>
                <w:numId w:val="1"/>
              </w:numPr>
              <w:spacing w:line="240" w:lineRule="auto"/>
              <w:ind w:left="0" w:firstLine="0"/>
              <w:jc w:val="both"/>
              <w:rPr>
                <w:rFonts w:hint="eastAsia" w:ascii="宋体" w:hAnsi="宋体" w:eastAsia="宋体" w:cs="宋体"/>
                <w:color w:val="auto"/>
                <w:sz w:val="24"/>
                <w:szCs w:val="24"/>
                <w:highlight w:val="none"/>
              </w:rPr>
            </w:pPr>
          </w:p>
        </w:tc>
        <w:tc>
          <w:tcPr>
            <w:tcW w:w="1973" w:type="dxa"/>
            <w:noWrap w:val="0"/>
            <w:vAlign w:val="center"/>
          </w:tcPr>
          <w:p w14:paraId="649D88C8">
            <w:pPr>
              <w:spacing w:line="240" w:lineRule="auto"/>
              <w:ind w:left="0" w:firstLine="0"/>
              <w:jc w:val="both"/>
              <w:rPr>
                <w:rFonts w:hint="eastAsia" w:ascii="宋体" w:hAnsi="宋体" w:eastAsia="宋体" w:cs="宋体"/>
                <w:color w:val="auto"/>
                <w:sz w:val="24"/>
                <w:szCs w:val="24"/>
                <w:highlight w:val="none"/>
                <w:lang w:eastAsia="zh-CN"/>
              </w:rPr>
            </w:pPr>
            <w:r>
              <w:rPr>
                <w:rFonts w:hint="eastAsia" w:cs="宋体"/>
                <w:color w:val="auto"/>
                <w:sz w:val="24"/>
                <w:szCs w:val="24"/>
                <w:highlight w:val="none"/>
                <w:lang w:eastAsia="zh-CN"/>
              </w:rPr>
              <w:t>质量要求</w:t>
            </w:r>
          </w:p>
        </w:tc>
        <w:tc>
          <w:tcPr>
            <w:tcW w:w="6738" w:type="dxa"/>
            <w:noWrap w:val="0"/>
            <w:vAlign w:val="center"/>
          </w:tcPr>
          <w:p w14:paraId="2AFA01B7">
            <w:pPr>
              <w:pStyle w:val="6"/>
              <w:spacing w:line="240" w:lineRule="auto"/>
              <w:ind w:left="0" w:firstLine="0"/>
              <w:jc w:val="both"/>
              <w:rPr>
                <w:rFonts w:hint="eastAsia"/>
                <w:color w:val="auto"/>
                <w:sz w:val="24"/>
                <w:szCs w:val="24"/>
                <w:highlight w:val="none"/>
                <w:lang w:val="en-US" w:eastAsia="zh-CN" w:bidi="ar"/>
              </w:rPr>
            </w:pPr>
            <w:r>
              <w:rPr>
                <w:rFonts w:hint="eastAsia"/>
                <w:color w:val="auto"/>
                <w:sz w:val="24"/>
                <w:szCs w:val="24"/>
                <w:highlight w:val="none"/>
                <w:lang w:val="en-US" w:eastAsia="zh-CN" w:bidi="ar"/>
              </w:rPr>
              <w:t>合格，符合国家或行业相关现行标准并满足采购人要求</w:t>
            </w:r>
          </w:p>
        </w:tc>
      </w:tr>
      <w:tr w14:paraId="134A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653173F8">
            <w:pPr>
              <w:numPr>
                <w:ilvl w:val="0"/>
                <w:numId w:val="1"/>
              </w:numPr>
              <w:spacing w:line="240" w:lineRule="auto"/>
              <w:ind w:left="0" w:firstLine="0"/>
              <w:jc w:val="both"/>
              <w:rPr>
                <w:rFonts w:hint="eastAsia" w:ascii="宋体" w:hAnsi="宋体" w:eastAsia="宋体" w:cs="宋体"/>
                <w:color w:val="auto"/>
                <w:sz w:val="24"/>
                <w:szCs w:val="24"/>
                <w:highlight w:val="none"/>
              </w:rPr>
            </w:pPr>
          </w:p>
        </w:tc>
        <w:tc>
          <w:tcPr>
            <w:tcW w:w="1973" w:type="dxa"/>
            <w:noWrap w:val="0"/>
            <w:vAlign w:val="center"/>
          </w:tcPr>
          <w:p w14:paraId="62DD0618">
            <w:pPr>
              <w:spacing w:line="240" w:lineRule="auto"/>
              <w:ind w:left="0" w:firstLine="0"/>
              <w:jc w:val="both"/>
              <w:rPr>
                <w:rFonts w:hint="eastAsia" w:cs="宋体"/>
                <w:color w:val="auto"/>
                <w:sz w:val="24"/>
                <w:szCs w:val="24"/>
                <w:highlight w:val="none"/>
                <w:lang w:eastAsia="zh-CN"/>
              </w:rPr>
            </w:pPr>
            <w:r>
              <w:rPr>
                <w:rFonts w:hint="eastAsia" w:cs="宋体"/>
                <w:color w:val="auto"/>
                <w:sz w:val="24"/>
                <w:szCs w:val="24"/>
                <w:highlight w:val="none"/>
                <w:lang w:eastAsia="zh-CN"/>
              </w:rPr>
              <w:t>交货地点</w:t>
            </w:r>
          </w:p>
        </w:tc>
        <w:tc>
          <w:tcPr>
            <w:tcW w:w="6738" w:type="dxa"/>
            <w:noWrap w:val="0"/>
            <w:vAlign w:val="center"/>
          </w:tcPr>
          <w:p w14:paraId="114B0ABD">
            <w:pPr>
              <w:pStyle w:val="6"/>
              <w:spacing w:line="240" w:lineRule="auto"/>
              <w:ind w:left="0" w:firstLine="0"/>
              <w:jc w:val="both"/>
              <w:rPr>
                <w:rFonts w:hint="default" w:eastAsia="宋体" w:cs="宋体"/>
                <w:color w:val="auto"/>
                <w:kern w:val="2"/>
                <w:sz w:val="24"/>
                <w:szCs w:val="24"/>
                <w:highlight w:val="none"/>
                <w:lang w:val="en-US" w:eastAsia="zh-CN"/>
              </w:rPr>
            </w:pPr>
            <w:r>
              <w:rPr>
                <w:rFonts w:hint="eastAsia" w:cs="宋体"/>
                <w:color w:val="auto"/>
                <w:kern w:val="2"/>
                <w:sz w:val="24"/>
                <w:szCs w:val="24"/>
                <w:highlight w:val="none"/>
                <w:lang w:val="en-US" w:eastAsia="zh-CN"/>
              </w:rPr>
              <w:t>渑池县境内</w:t>
            </w:r>
          </w:p>
        </w:tc>
      </w:tr>
      <w:tr w14:paraId="2C849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1C13E9FC">
            <w:pPr>
              <w:numPr>
                <w:ilvl w:val="0"/>
                <w:numId w:val="1"/>
              </w:numPr>
              <w:spacing w:line="240" w:lineRule="auto"/>
              <w:ind w:left="0" w:firstLine="0"/>
              <w:jc w:val="both"/>
              <w:rPr>
                <w:rFonts w:hint="eastAsia" w:ascii="宋体" w:hAnsi="宋体" w:eastAsia="宋体" w:cs="宋体"/>
                <w:color w:val="auto"/>
                <w:sz w:val="24"/>
                <w:szCs w:val="24"/>
                <w:highlight w:val="none"/>
              </w:rPr>
            </w:pPr>
          </w:p>
        </w:tc>
        <w:tc>
          <w:tcPr>
            <w:tcW w:w="1973" w:type="dxa"/>
            <w:shd w:val="clear" w:color="auto" w:fill="auto"/>
            <w:noWrap w:val="0"/>
            <w:vAlign w:val="center"/>
          </w:tcPr>
          <w:p w14:paraId="5532E525">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合同履行期限</w:t>
            </w:r>
          </w:p>
          <w:p w14:paraId="3EBF32E7">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lang w:val="zh-CN" w:eastAsia="zh-CN" w:bidi="zh-CN"/>
              </w:rPr>
            </w:pPr>
            <w:r>
              <w:rPr>
                <w:rFonts w:hint="eastAsia" w:ascii="宋体" w:hAnsi="宋体" w:eastAsia="宋体" w:cs="宋体"/>
                <w:color w:val="auto"/>
                <w:sz w:val="24"/>
                <w:szCs w:val="24"/>
                <w:highlight w:val="none"/>
                <w:lang w:val="en-US" w:eastAsia="zh-CN"/>
              </w:rPr>
              <w:t>（交货期）</w:t>
            </w:r>
          </w:p>
        </w:tc>
        <w:tc>
          <w:tcPr>
            <w:tcW w:w="6738" w:type="dxa"/>
            <w:shd w:val="clear" w:color="auto" w:fill="auto"/>
            <w:noWrap w:val="0"/>
            <w:vAlign w:val="center"/>
          </w:tcPr>
          <w:p w14:paraId="0B7C22DD">
            <w:pPr>
              <w:spacing w:line="240" w:lineRule="auto"/>
              <w:jc w:val="both"/>
              <w:rPr>
                <w:rFonts w:hint="eastAsia" w:ascii="宋体" w:hAnsi="宋体" w:eastAsia="宋体" w:cs="宋体"/>
                <w:color w:val="auto"/>
                <w:sz w:val="24"/>
                <w:szCs w:val="24"/>
                <w:highlight w:val="none"/>
                <w:lang w:val="en-US" w:eastAsia="zh-CN" w:bidi="zh-CN"/>
              </w:rPr>
            </w:pPr>
            <w:r>
              <w:rPr>
                <w:rFonts w:hint="eastAsia" w:cs="宋体"/>
                <w:color w:val="auto"/>
                <w:sz w:val="24"/>
                <w:szCs w:val="24"/>
                <w:highlight w:val="none"/>
                <w:lang w:val="en-US" w:eastAsia="zh-CN"/>
              </w:rPr>
              <w:t>20日</w:t>
            </w:r>
            <w:r>
              <w:rPr>
                <w:rFonts w:hint="eastAsia" w:eastAsia="宋体" w:cs="宋体"/>
                <w:color w:val="auto"/>
                <w:sz w:val="24"/>
                <w:szCs w:val="24"/>
                <w:highlight w:val="none"/>
                <w:lang w:val="en-US" w:eastAsia="zh-CN"/>
              </w:rPr>
              <w:t>历天</w:t>
            </w:r>
          </w:p>
        </w:tc>
      </w:tr>
      <w:tr w14:paraId="4C7D6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32A18C02">
            <w:pPr>
              <w:numPr>
                <w:ilvl w:val="0"/>
                <w:numId w:val="1"/>
              </w:numPr>
              <w:spacing w:line="240" w:lineRule="auto"/>
              <w:ind w:left="0" w:firstLine="0" w:firstLineChars="0"/>
              <w:jc w:val="both"/>
              <w:rPr>
                <w:rFonts w:hint="eastAsia" w:ascii="宋体" w:hAnsi="宋体" w:eastAsia="宋体" w:cs="宋体"/>
                <w:color w:val="auto"/>
                <w:sz w:val="24"/>
                <w:szCs w:val="24"/>
                <w:highlight w:val="none"/>
              </w:rPr>
            </w:pPr>
          </w:p>
        </w:tc>
        <w:tc>
          <w:tcPr>
            <w:tcW w:w="1973" w:type="dxa"/>
            <w:noWrap w:val="0"/>
            <w:vAlign w:val="center"/>
          </w:tcPr>
          <w:p w14:paraId="2EA05F81">
            <w:pPr>
              <w:spacing w:line="240" w:lineRule="auto"/>
              <w:ind w:left="0" w:firstLine="0" w:firstLineChars="0"/>
              <w:jc w:val="both"/>
              <w:rPr>
                <w:rFonts w:hint="eastAsia" w:eastAsia="宋体" w:cs="宋体"/>
                <w:color w:val="auto"/>
                <w:sz w:val="24"/>
                <w:szCs w:val="24"/>
                <w:highlight w:val="none"/>
                <w:lang w:eastAsia="zh-CN"/>
              </w:rPr>
            </w:pPr>
            <w:r>
              <w:rPr>
                <w:rFonts w:hint="eastAsia" w:cs="宋体"/>
                <w:color w:val="auto"/>
                <w:sz w:val="24"/>
                <w:szCs w:val="24"/>
                <w:highlight w:val="none"/>
                <w:lang w:eastAsia="zh-CN"/>
              </w:rPr>
              <w:t>质保期</w:t>
            </w:r>
          </w:p>
        </w:tc>
        <w:tc>
          <w:tcPr>
            <w:tcW w:w="6738" w:type="dxa"/>
            <w:noWrap w:val="0"/>
            <w:vAlign w:val="center"/>
          </w:tcPr>
          <w:p w14:paraId="5570A28D">
            <w:pPr>
              <w:snapToGrid w:val="0"/>
              <w:spacing w:line="240" w:lineRule="auto"/>
              <w:ind w:left="0" w:firstLine="0" w:firstLineChars="0"/>
              <w:jc w:val="both"/>
              <w:rPr>
                <w:rFonts w:hint="default" w:cs="宋体"/>
                <w:color w:val="auto"/>
                <w:kern w:val="2"/>
                <w:sz w:val="24"/>
                <w:szCs w:val="24"/>
                <w:highlight w:val="none"/>
                <w:lang w:val="en-US" w:eastAsia="zh-CN"/>
              </w:rPr>
            </w:pPr>
            <w:r>
              <w:rPr>
                <w:rFonts w:hint="eastAsia" w:cs="宋体"/>
                <w:color w:val="auto"/>
                <w:kern w:val="2"/>
                <w:sz w:val="24"/>
                <w:szCs w:val="24"/>
                <w:highlight w:val="none"/>
                <w:lang w:eastAsia="zh-CN"/>
              </w:rPr>
              <w:t>一年，</w:t>
            </w:r>
            <w:r>
              <w:rPr>
                <w:rFonts w:hint="eastAsia" w:cs="宋体"/>
                <w:color w:val="auto"/>
                <w:kern w:val="2"/>
                <w:sz w:val="24"/>
                <w:szCs w:val="24"/>
                <w:highlight w:val="none"/>
                <w:lang w:val="en-US" w:eastAsia="zh-CN"/>
              </w:rPr>
              <w:t>终身维修。</w:t>
            </w:r>
          </w:p>
        </w:tc>
      </w:tr>
      <w:tr w14:paraId="56AC9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2E17C9E2">
            <w:pPr>
              <w:numPr>
                <w:ilvl w:val="0"/>
                <w:numId w:val="1"/>
              </w:numPr>
              <w:spacing w:line="240" w:lineRule="auto"/>
              <w:ind w:left="0" w:firstLine="0" w:firstLineChars="0"/>
              <w:jc w:val="both"/>
              <w:rPr>
                <w:rFonts w:hint="eastAsia" w:ascii="宋体" w:hAnsi="宋体" w:eastAsia="宋体" w:cs="宋体"/>
                <w:color w:val="auto"/>
                <w:sz w:val="24"/>
                <w:szCs w:val="24"/>
                <w:highlight w:val="none"/>
              </w:rPr>
            </w:pPr>
          </w:p>
        </w:tc>
        <w:tc>
          <w:tcPr>
            <w:tcW w:w="1973" w:type="dxa"/>
            <w:noWrap w:val="0"/>
            <w:vAlign w:val="center"/>
          </w:tcPr>
          <w:p w14:paraId="63E162C7">
            <w:pPr>
              <w:spacing w:line="240" w:lineRule="auto"/>
              <w:ind w:left="0" w:firstLine="0" w:firstLineChars="0"/>
              <w:jc w:val="both"/>
              <w:rPr>
                <w:rFonts w:hint="eastAsia" w:ascii="宋体" w:hAnsi="宋体" w:eastAsia="宋体" w:cs="宋体"/>
                <w:color w:val="auto"/>
                <w:sz w:val="24"/>
                <w:szCs w:val="24"/>
                <w:highlight w:val="none"/>
              </w:rPr>
            </w:pP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条件</w:t>
            </w:r>
          </w:p>
        </w:tc>
        <w:tc>
          <w:tcPr>
            <w:tcW w:w="6738" w:type="dxa"/>
            <w:noWrap w:val="0"/>
            <w:vAlign w:val="center"/>
          </w:tcPr>
          <w:p w14:paraId="071B9B39">
            <w:pPr>
              <w:snapToGrid w:val="0"/>
              <w:spacing w:line="240" w:lineRule="auto"/>
              <w:ind w:left="0" w:firstLine="0" w:firstLineChars="0"/>
              <w:jc w:val="both"/>
              <w:rPr>
                <w:rFonts w:hint="eastAsia" w:ascii="宋体" w:hAnsi="宋体" w:eastAsia="宋体" w:cs="宋体"/>
                <w:color w:val="auto"/>
                <w:kern w:val="2"/>
                <w:sz w:val="24"/>
                <w:szCs w:val="24"/>
                <w:highlight w:val="none"/>
                <w:lang w:eastAsia="zh-CN"/>
              </w:rPr>
            </w:pPr>
            <w:r>
              <w:rPr>
                <w:rFonts w:hint="eastAsia" w:cs="宋体"/>
                <w:color w:val="auto"/>
                <w:kern w:val="2"/>
                <w:sz w:val="24"/>
                <w:szCs w:val="24"/>
                <w:highlight w:val="none"/>
                <w:lang w:eastAsia="zh-CN"/>
              </w:rPr>
              <w:t>详见公告</w:t>
            </w:r>
          </w:p>
        </w:tc>
      </w:tr>
      <w:tr w14:paraId="3A7E5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590" w:hRule="atLeast"/>
          <w:jc w:val="center"/>
        </w:trPr>
        <w:tc>
          <w:tcPr>
            <w:tcW w:w="979" w:type="dxa"/>
            <w:noWrap w:val="0"/>
            <w:vAlign w:val="center"/>
          </w:tcPr>
          <w:p w14:paraId="7D18171E">
            <w:pPr>
              <w:numPr>
                <w:ilvl w:val="0"/>
                <w:numId w:val="1"/>
              </w:numPr>
              <w:spacing w:line="240" w:lineRule="auto"/>
              <w:ind w:left="0" w:firstLine="0"/>
              <w:jc w:val="both"/>
              <w:rPr>
                <w:rFonts w:hint="eastAsia" w:ascii="宋体" w:hAnsi="宋体" w:eastAsia="宋体" w:cs="宋体"/>
                <w:color w:val="auto"/>
                <w:sz w:val="24"/>
                <w:szCs w:val="24"/>
                <w:highlight w:val="none"/>
              </w:rPr>
            </w:pPr>
          </w:p>
        </w:tc>
        <w:tc>
          <w:tcPr>
            <w:tcW w:w="1973" w:type="dxa"/>
            <w:noWrap w:val="0"/>
            <w:vAlign w:val="center"/>
          </w:tcPr>
          <w:p w14:paraId="6829C364">
            <w:pPr>
              <w:spacing w:line="24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是否接受联合体</w:t>
            </w:r>
          </w:p>
        </w:tc>
        <w:tc>
          <w:tcPr>
            <w:tcW w:w="6738" w:type="dxa"/>
            <w:noWrap w:val="0"/>
            <w:vAlign w:val="center"/>
          </w:tcPr>
          <w:p w14:paraId="25B134D9">
            <w:pPr>
              <w:spacing w:line="24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不接受</w:t>
            </w:r>
          </w:p>
        </w:tc>
      </w:tr>
      <w:tr w14:paraId="61816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48760D97">
            <w:pPr>
              <w:numPr>
                <w:ilvl w:val="0"/>
                <w:numId w:val="1"/>
              </w:numPr>
              <w:spacing w:line="240" w:lineRule="auto"/>
              <w:ind w:left="0" w:firstLine="0"/>
              <w:jc w:val="both"/>
              <w:rPr>
                <w:rFonts w:hint="eastAsia" w:ascii="宋体" w:hAnsi="宋体" w:eastAsia="宋体" w:cs="宋体"/>
                <w:color w:val="auto"/>
                <w:sz w:val="24"/>
                <w:szCs w:val="24"/>
                <w:highlight w:val="none"/>
              </w:rPr>
            </w:pPr>
          </w:p>
        </w:tc>
        <w:tc>
          <w:tcPr>
            <w:tcW w:w="1973" w:type="dxa"/>
            <w:noWrap w:val="0"/>
            <w:vAlign w:val="center"/>
          </w:tcPr>
          <w:p w14:paraId="15B9C13F">
            <w:pPr>
              <w:spacing w:line="24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踏勘现场</w:t>
            </w:r>
          </w:p>
        </w:tc>
        <w:tc>
          <w:tcPr>
            <w:tcW w:w="6738" w:type="dxa"/>
            <w:noWrap w:val="0"/>
            <w:vAlign w:val="center"/>
          </w:tcPr>
          <w:p w14:paraId="5E767C97">
            <w:pPr>
              <w:spacing w:line="24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不组织</w:t>
            </w:r>
          </w:p>
        </w:tc>
      </w:tr>
      <w:tr w14:paraId="16890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60F6B42C">
            <w:pPr>
              <w:numPr>
                <w:ilvl w:val="0"/>
                <w:numId w:val="1"/>
              </w:numPr>
              <w:spacing w:line="240" w:lineRule="auto"/>
              <w:ind w:left="0" w:firstLine="0"/>
              <w:jc w:val="both"/>
              <w:rPr>
                <w:rFonts w:hint="eastAsia" w:ascii="宋体" w:hAnsi="宋体" w:eastAsia="宋体" w:cs="宋体"/>
                <w:color w:val="auto"/>
                <w:sz w:val="24"/>
                <w:szCs w:val="24"/>
                <w:highlight w:val="none"/>
              </w:rPr>
            </w:pPr>
          </w:p>
        </w:tc>
        <w:tc>
          <w:tcPr>
            <w:tcW w:w="1973" w:type="dxa"/>
            <w:noWrap w:val="0"/>
            <w:vAlign w:val="center"/>
          </w:tcPr>
          <w:p w14:paraId="1A28B467">
            <w:pPr>
              <w:spacing w:line="24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投标预备会</w:t>
            </w:r>
          </w:p>
        </w:tc>
        <w:tc>
          <w:tcPr>
            <w:tcW w:w="6738" w:type="dxa"/>
            <w:noWrap w:val="0"/>
            <w:vAlign w:val="center"/>
          </w:tcPr>
          <w:p w14:paraId="692788CB">
            <w:pPr>
              <w:spacing w:line="24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不召开</w:t>
            </w:r>
          </w:p>
        </w:tc>
      </w:tr>
      <w:tr w14:paraId="329A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2D2D24FF">
            <w:pPr>
              <w:numPr>
                <w:ilvl w:val="0"/>
                <w:numId w:val="1"/>
              </w:numPr>
              <w:spacing w:line="240" w:lineRule="auto"/>
              <w:ind w:left="0" w:firstLine="0"/>
              <w:jc w:val="both"/>
              <w:rPr>
                <w:rFonts w:hint="eastAsia" w:ascii="宋体" w:hAnsi="宋体" w:eastAsia="宋体" w:cs="宋体"/>
                <w:color w:val="auto"/>
                <w:sz w:val="24"/>
                <w:szCs w:val="24"/>
                <w:highlight w:val="none"/>
              </w:rPr>
            </w:pPr>
          </w:p>
        </w:tc>
        <w:tc>
          <w:tcPr>
            <w:tcW w:w="1973" w:type="dxa"/>
            <w:noWrap w:val="0"/>
            <w:vAlign w:val="center"/>
          </w:tcPr>
          <w:p w14:paraId="3F83BFC2">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lang w:val="zh-CN" w:eastAsia="zh-CN" w:bidi="zh-CN"/>
              </w:rPr>
            </w:pPr>
            <w:r>
              <w:rPr>
                <w:rFonts w:hint="eastAsia" w:ascii="宋体" w:hAnsi="宋体" w:eastAsia="宋体" w:cs="宋体"/>
                <w:color w:val="auto"/>
                <w:sz w:val="24"/>
                <w:szCs w:val="24"/>
                <w:highlight w:val="none"/>
                <w:lang w:val="en-US" w:eastAsia="zh-CN"/>
              </w:rPr>
              <w:t>响应人提出问题的截止时间</w:t>
            </w:r>
          </w:p>
        </w:tc>
        <w:tc>
          <w:tcPr>
            <w:tcW w:w="6738" w:type="dxa"/>
            <w:noWrap w:val="0"/>
            <w:vAlign w:val="center"/>
          </w:tcPr>
          <w:p w14:paraId="1B7D0EAD">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响应人应仔细阅读和检查磋商文件的全部内容，若有异议请在文件获取截止5日前向采购代理机构提出书面质疑函（须加盖单位公章且由法定代表人签字，注明联系方式，并附经办被授权人授权书及加盖公章的法定代表人和被授权人身份证复印件）、送达采购代理机构及采购单位（邮寄、传真件不予受理）或上传交易系统并告知代理机构。依据法规规定，质疑函中应当有明确的请求和必要的证明材料。</w:t>
            </w:r>
          </w:p>
        </w:tc>
      </w:tr>
      <w:tr w14:paraId="123D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32A4FDD6">
            <w:pPr>
              <w:numPr>
                <w:ilvl w:val="0"/>
                <w:numId w:val="1"/>
              </w:numPr>
              <w:spacing w:line="240" w:lineRule="auto"/>
              <w:ind w:left="0" w:firstLine="0"/>
              <w:jc w:val="both"/>
              <w:rPr>
                <w:rFonts w:hint="eastAsia" w:ascii="宋体" w:hAnsi="宋体" w:eastAsia="宋体" w:cs="宋体"/>
                <w:color w:val="auto"/>
                <w:sz w:val="24"/>
                <w:szCs w:val="24"/>
                <w:highlight w:val="none"/>
              </w:rPr>
            </w:pPr>
          </w:p>
        </w:tc>
        <w:tc>
          <w:tcPr>
            <w:tcW w:w="1973" w:type="dxa"/>
            <w:noWrap w:val="0"/>
            <w:vAlign w:val="center"/>
          </w:tcPr>
          <w:p w14:paraId="1FF30C4D">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采购人澄清、答疑的截止时间</w:t>
            </w:r>
          </w:p>
        </w:tc>
        <w:tc>
          <w:tcPr>
            <w:tcW w:w="6738" w:type="dxa"/>
            <w:noWrap w:val="0"/>
            <w:vAlign w:val="center"/>
          </w:tcPr>
          <w:p w14:paraId="4AFAFAE8">
            <w:pPr>
              <w:spacing w:line="24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采购人将在收到质疑函第二个工作日以书面形式回复</w:t>
            </w:r>
          </w:p>
        </w:tc>
      </w:tr>
      <w:tr w14:paraId="71A96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3F06ECCF">
            <w:pPr>
              <w:numPr>
                <w:ilvl w:val="0"/>
                <w:numId w:val="1"/>
              </w:numPr>
              <w:spacing w:line="240" w:lineRule="auto"/>
              <w:ind w:left="0" w:firstLine="0"/>
              <w:jc w:val="both"/>
              <w:rPr>
                <w:rFonts w:hint="eastAsia" w:ascii="宋体" w:hAnsi="宋体" w:eastAsia="宋体" w:cs="宋体"/>
                <w:color w:val="auto"/>
                <w:sz w:val="24"/>
                <w:szCs w:val="24"/>
                <w:highlight w:val="none"/>
              </w:rPr>
            </w:pPr>
          </w:p>
        </w:tc>
        <w:tc>
          <w:tcPr>
            <w:tcW w:w="1973" w:type="dxa"/>
            <w:noWrap w:val="0"/>
            <w:vAlign w:val="center"/>
          </w:tcPr>
          <w:p w14:paraId="16346274">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磋商</w:t>
            </w:r>
            <w:r>
              <w:rPr>
                <w:rFonts w:hint="eastAsia" w:ascii="宋体" w:hAnsi="宋体" w:eastAsia="宋体" w:cs="宋体"/>
                <w:color w:val="auto"/>
                <w:sz w:val="24"/>
                <w:szCs w:val="24"/>
                <w:highlight w:val="none"/>
                <w:lang w:val="en-US" w:eastAsia="zh-CN"/>
              </w:rPr>
              <w:t>有效期</w:t>
            </w:r>
          </w:p>
        </w:tc>
        <w:tc>
          <w:tcPr>
            <w:tcW w:w="6738" w:type="dxa"/>
            <w:noWrap w:val="0"/>
            <w:vAlign w:val="center"/>
          </w:tcPr>
          <w:p w14:paraId="1392C0C9">
            <w:pPr>
              <w:spacing w:line="240" w:lineRule="auto"/>
              <w:ind w:left="0" w:firstLine="0"/>
              <w:jc w:val="both"/>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60日历天</w:t>
            </w:r>
            <w:r>
              <w:rPr>
                <w:rFonts w:hint="eastAsia" w:ascii="宋体" w:hAnsi="宋体" w:eastAsia="宋体" w:cs="宋体"/>
                <w:color w:val="auto"/>
                <w:sz w:val="24"/>
                <w:szCs w:val="24"/>
                <w:highlight w:val="none"/>
              </w:rPr>
              <w:t>（</w:t>
            </w:r>
            <w:r>
              <w:rPr>
                <w:rFonts w:hint="eastAsia" w:cs="宋体"/>
                <w:color w:val="auto"/>
                <w:sz w:val="24"/>
                <w:szCs w:val="24"/>
                <w:highlight w:val="none"/>
                <w:lang w:eastAsia="zh-CN"/>
              </w:rPr>
              <w:t>磋商文件递交截止之日起</w:t>
            </w:r>
            <w:r>
              <w:rPr>
                <w:rFonts w:hint="eastAsia" w:ascii="宋体" w:hAnsi="宋体" w:eastAsia="宋体" w:cs="宋体"/>
                <w:color w:val="auto"/>
                <w:sz w:val="24"/>
                <w:szCs w:val="24"/>
                <w:highlight w:val="none"/>
              </w:rPr>
              <w:t>）</w:t>
            </w:r>
          </w:p>
        </w:tc>
      </w:tr>
      <w:tr w14:paraId="4C1B5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521136F1">
            <w:pPr>
              <w:numPr>
                <w:ilvl w:val="0"/>
                <w:numId w:val="1"/>
              </w:numPr>
              <w:spacing w:line="240" w:lineRule="auto"/>
              <w:ind w:left="0" w:firstLine="0"/>
              <w:jc w:val="both"/>
              <w:rPr>
                <w:rFonts w:hint="eastAsia" w:ascii="宋体" w:hAnsi="宋体" w:eastAsia="宋体" w:cs="宋体"/>
                <w:color w:val="auto"/>
                <w:sz w:val="24"/>
                <w:szCs w:val="24"/>
                <w:highlight w:val="none"/>
              </w:rPr>
            </w:pPr>
          </w:p>
        </w:tc>
        <w:tc>
          <w:tcPr>
            <w:tcW w:w="1973" w:type="dxa"/>
            <w:noWrap w:val="0"/>
            <w:vAlign w:val="center"/>
          </w:tcPr>
          <w:p w14:paraId="4505F96B">
            <w:pPr>
              <w:keepNext w:val="0"/>
              <w:keepLines w:val="0"/>
              <w:pageBreakBefore w:val="0"/>
              <w:widowControl w:val="0"/>
              <w:kinsoku/>
              <w:wordWrap/>
              <w:overflowPunct/>
              <w:topLinePunct w:val="0"/>
              <w:autoSpaceDE/>
              <w:autoSpaceDN/>
              <w:bidi w:val="0"/>
              <w:adjustRightInd/>
              <w:spacing w:line="460" w:lineRule="exact"/>
              <w:jc w:val="both"/>
              <w:textAlignment w:val="auto"/>
              <w:rPr>
                <w:rFonts w:hint="default" w:cs="宋体"/>
                <w:color w:val="auto"/>
                <w:sz w:val="24"/>
                <w:szCs w:val="24"/>
                <w:highlight w:val="none"/>
                <w:lang w:val="en-US" w:eastAsia="zh-CN"/>
              </w:rPr>
            </w:pPr>
            <w:r>
              <w:rPr>
                <w:rFonts w:hint="eastAsia" w:cs="宋体"/>
                <w:color w:val="auto"/>
                <w:sz w:val="24"/>
                <w:szCs w:val="24"/>
                <w:highlight w:val="none"/>
                <w:lang w:val="en-US" w:eastAsia="zh-CN"/>
              </w:rPr>
              <w:t>磋商保证金</w:t>
            </w:r>
          </w:p>
        </w:tc>
        <w:tc>
          <w:tcPr>
            <w:tcW w:w="6738" w:type="dxa"/>
            <w:noWrap w:val="0"/>
            <w:vAlign w:val="center"/>
          </w:tcPr>
          <w:p w14:paraId="12ED40EB">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color w:val="auto"/>
                <w:highlight w:val="none"/>
                <w:lang w:val="en-US" w:eastAsia="zh-CN"/>
              </w:rPr>
            </w:pPr>
            <w:r>
              <w:rPr>
                <w:rFonts w:hint="eastAsia" w:ascii="宋体" w:hAnsi="宋体" w:eastAsia="宋体" w:cs="宋体"/>
                <w:color w:val="auto"/>
                <w:sz w:val="24"/>
                <w:szCs w:val="24"/>
                <w:highlight w:val="none"/>
                <w:lang w:val="en-US" w:eastAsia="zh-CN" w:bidi="ar"/>
              </w:rPr>
              <w:t>按照《河南省财政厅关于优化政府采购营商环境有关问题的通知》（豫财购[2020]4号文）的要求本项目不再收取保证金。</w:t>
            </w:r>
          </w:p>
        </w:tc>
      </w:tr>
      <w:tr w14:paraId="3584D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35C6C2E2">
            <w:pPr>
              <w:numPr>
                <w:ilvl w:val="0"/>
                <w:numId w:val="1"/>
              </w:numPr>
              <w:spacing w:line="360" w:lineRule="auto"/>
              <w:jc w:val="both"/>
              <w:rPr>
                <w:rFonts w:hint="eastAsia" w:ascii="宋体" w:hAnsi="宋体" w:eastAsia="宋体" w:cs="宋体"/>
                <w:color w:val="auto"/>
                <w:sz w:val="24"/>
                <w:szCs w:val="24"/>
                <w:highlight w:val="none"/>
              </w:rPr>
            </w:pPr>
          </w:p>
        </w:tc>
        <w:tc>
          <w:tcPr>
            <w:tcW w:w="1973" w:type="dxa"/>
            <w:noWrap w:val="0"/>
            <w:vAlign w:val="center"/>
          </w:tcPr>
          <w:p w14:paraId="01CED8F2">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签字和（或）盖章要求</w:t>
            </w:r>
          </w:p>
        </w:tc>
        <w:tc>
          <w:tcPr>
            <w:tcW w:w="6738" w:type="dxa"/>
            <w:noWrap w:val="0"/>
            <w:vAlign w:val="center"/>
          </w:tcPr>
          <w:p w14:paraId="0CD683BB">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电子化响应文件的签章：</w:t>
            </w:r>
          </w:p>
          <w:p w14:paraId="16C2F230">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1、响应人在生成电子化响应文件后，应对电子化响应文件进行签章，未进行签章的视为无效投标。</w:t>
            </w:r>
          </w:p>
          <w:p w14:paraId="71538360">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2、磋商文件中要求法定代表人或授权委托人签字或盖章的，响应人在进行电子化响应文件签章时，以签盖法定代表人签章为准。</w:t>
            </w:r>
          </w:p>
          <w:p w14:paraId="5529E460">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3、电子化响应文件工具请点击：</w:t>
            </w:r>
          </w:p>
          <w:p w14:paraId="437538BB">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bookmarkStart w:id="4" w:name="OLE_LINK29"/>
            <w:r>
              <w:rPr>
                <w:rFonts w:hint="eastAsia" w:ascii="宋体" w:hAnsi="宋体" w:eastAsia="宋体" w:cs="宋体"/>
                <w:color w:val="auto"/>
                <w:sz w:val="24"/>
                <w:szCs w:val="24"/>
                <w:highlight w:val="none"/>
                <w:lang w:val="en-US" w:eastAsia="zh-CN" w:bidi="ar"/>
              </w:rPr>
              <w:t>https://download.bqpoint.com/download/downloaddetail.html?SourceFrom=Ztb&amp;ZtbSoftXiaQuCode=1506&amp;ZtbSoftType=tballinclusive</w:t>
            </w:r>
            <w:bookmarkEnd w:id="4"/>
            <w:r>
              <w:rPr>
                <w:rFonts w:hint="eastAsia" w:ascii="宋体" w:hAnsi="宋体" w:eastAsia="宋体" w:cs="宋体"/>
                <w:color w:val="auto"/>
                <w:sz w:val="24"/>
                <w:szCs w:val="24"/>
                <w:highlight w:val="none"/>
                <w:lang w:val="en-US" w:eastAsia="zh-CN" w:bidi="ar"/>
              </w:rPr>
              <w:t>进行下载。</w:t>
            </w:r>
          </w:p>
        </w:tc>
      </w:tr>
      <w:tr w14:paraId="0C988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25702F4A">
            <w:pPr>
              <w:numPr>
                <w:ilvl w:val="0"/>
                <w:numId w:val="1"/>
              </w:numPr>
              <w:spacing w:line="240" w:lineRule="auto"/>
              <w:ind w:left="0" w:firstLine="0"/>
              <w:jc w:val="both"/>
              <w:rPr>
                <w:rFonts w:hint="eastAsia" w:ascii="宋体" w:hAnsi="宋体" w:eastAsia="宋体" w:cs="宋体"/>
                <w:color w:val="auto"/>
                <w:sz w:val="24"/>
                <w:szCs w:val="24"/>
                <w:highlight w:val="none"/>
              </w:rPr>
            </w:pPr>
          </w:p>
        </w:tc>
        <w:tc>
          <w:tcPr>
            <w:tcW w:w="1973" w:type="dxa"/>
            <w:noWrap w:val="0"/>
            <w:vAlign w:val="center"/>
          </w:tcPr>
          <w:p w14:paraId="5F934C91">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响应文件上传的截止时间</w:t>
            </w:r>
          </w:p>
        </w:tc>
        <w:tc>
          <w:tcPr>
            <w:tcW w:w="6738" w:type="dxa"/>
            <w:noWrap w:val="0"/>
            <w:vAlign w:val="center"/>
          </w:tcPr>
          <w:p w14:paraId="5F1E8DB0">
            <w:pPr>
              <w:spacing w:line="240" w:lineRule="auto"/>
              <w:ind w:left="0" w:firstLine="0"/>
              <w:jc w:val="both"/>
              <w:rPr>
                <w:rFonts w:hint="eastAsia" w:ascii="宋体" w:hAnsi="宋体" w:eastAsia="宋体" w:cs="宋体"/>
                <w:b/>
                <w:color w:val="auto"/>
                <w:sz w:val="24"/>
                <w:szCs w:val="24"/>
                <w:highlight w:val="none"/>
                <w:lang w:eastAsia="zh-CN"/>
              </w:rPr>
            </w:pPr>
            <w:r>
              <w:rPr>
                <w:rFonts w:hint="eastAsia" w:eastAsia="宋体" w:cs="宋体"/>
                <w:color w:val="auto"/>
                <w:kern w:val="2"/>
                <w:sz w:val="24"/>
                <w:szCs w:val="24"/>
                <w:highlight w:val="none"/>
                <w:lang w:eastAsia="zh-CN"/>
              </w:rPr>
              <w:t>2026年</w:t>
            </w:r>
            <w:r>
              <w:rPr>
                <w:rFonts w:hint="eastAsia" w:cs="宋体"/>
                <w:color w:val="auto"/>
                <w:kern w:val="2"/>
                <w:sz w:val="24"/>
                <w:szCs w:val="24"/>
                <w:highlight w:val="none"/>
                <w:lang w:val="en-US" w:eastAsia="zh-CN"/>
              </w:rPr>
              <w:t>10</w:t>
            </w:r>
            <w:r>
              <w:rPr>
                <w:rFonts w:hint="eastAsia" w:eastAsia="宋体" w:cs="宋体"/>
                <w:color w:val="auto"/>
                <w:kern w:val="2"/>
                <w:sz w:val="24"/>
                <w:szCs w:val="24"/>
                <w:highlight w:val="none"/>
                <w:lang w:eastAsia="zh-CN"/>
              </w:rPr>
              <w:t>月</w:t>
            </w:r>
            <w:r>
              <w:rPr>
                <w:rFonts w:hint="eastAsia" w:cs="宋体"/>
                <w:color w:val="auto"/>
                <w:kern w:val="2"/>
                <w:sz w:val="24"/>
                <w:szCs w:val="24"/>
                <w:highlight w:val="none"/>
                <w:lang w:val="en-US" w:eastAsia="zh-CN"/>
              </w:rPr>
              <w:t>19</w:t>
            </w:r>
            <w:r>
              <w:rPr>
                <w:rFonts w:hint="eastAsia" w:eastAsia="宋体" w:cs="宋体"/>
                <w:color w:val="auto"/>
                <w:kern w:val="2"/>
                <w:sz w:val="24"/>
                <w:szCs w:val="24"/>
                <w:highlight w:val="none"/>
                <w:lang w:eastAsia="zh-CN"/>
              </w:rPr>
              <w:t>日08时20分</w:t>
            </w:r>
          </w:p>
        </w:tc>
      </w:tr>
      <w:tr w14:paraId="0C65B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5F77B802">
            <w:pPr>
              <w:numPr>
                <w:ilvl w:val="0"/>
                <w:numId w:val="1"/>
              </w:numPr>
              <w:spacing w:line="240" w:lineRule="auto"/>
              <w:ind w:left="0" w:firstLine="0"/>
              <w:jc w:val="both"/>
              <w:rPr>
                <w:rFonts w:hint="eastAsia" w:ascii="宋体" w:hAnsi="宋体" w:eastAsia="宋体" w:cs="宋体"/>
                <w:color w:val="auto"/>
                <w:sz w:val="24"/>
                <w:szCs w:val="24"/>
                <w:highlight w:val="none"/>
              </w:rPr>
            </w:pPr>
          </w:p>
        </w:tc>
        <w:tc>
          <w:tcPr>
            <w:tcW w:w="1973" w:type="dxa"/>
            <w:noWrap w:val="0"/>
            <w:vAlign w:val="center"/>
          </w:tcPr>
          <w:p w14:paraId="6DFDD447">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递交响应文件的地点</w:t>
            </w:r>
          </w:p>
        </w:tc>
        <w:tc>
          <w:tcPr>
            <w:tcW w:w="6738" w:type="dxa"/>
            <w:noWrap w:val="0"/>
            <w:vAlign w:val="center"/>
          </w:tcPr>
          <w:p w14:paraId="3727ECB4">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highlight w:val="none"/>
                <w:lang w:val="en-US" w:eastAsia="zh-CN" w:bidi="ar"/>
              </w:rPr>
              <w:t>于三门峡市公共资源交易平台网上上传递交、并由响应人在规定时间远程解密。</w:t>
            </w:r>
          </w:p>
        </w:tc>
      </w:tr>
      <w:tr w14:paraId="59520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443D790D">
            <w:pPr>
              <w:numPr>
                <w:ilvl w:val="0"/>
                <w:numId w:val="1"/>
              </w:numPr>
              <w:spacing w:line="240" w:lineRule="auto"/>
              <w:ind w:left="0" w:firstLine="0"/>
              <w:jc w:val="both"/>
              <w:rPr>
                <w:rFonts w:hint="eastAsia" w:ascii="宋体" w:hAnsi="宋体" w:eastAsia="宋体" w:cs="宋体"/>
                <w:color w:val="auto"/>
                <w:sz w:val="24"/>
                <w:szCs w:val="24"/>
                <w:highlight w:val="none"/>
              </w:rPr>
            </w:pPr>
          </w:p>
        </w:tc>
        <w:tc>
          <w:tcPr>
            <w:tcW w:w="1973" w:type="dxa"/>
            <w:noWrap w:val="0"/>
            <w:vAlign w:val="center"/>
          </w:tcPr>
          <w:p w14:paraId="56DF3DCA">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是否退还响应文件</w:t>
            </w:r>
          </w:p>
        </w:tc>
        <w:tc>
          <w:tcPr>
            <w:tcW w:w="6738" w:type="dxa"/>
            <w:noWrap w:val="0"/>
            <w:vAlign w:val="center"/>
          </w:tcPr>
          <w:p w14:paraId="39F47F79">
            <w:pPr>
              <w:spacing w:line="24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r w14:paraId="4E9C5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05E8E843">
            <w:pPr>
              <w:numPr>
                <w:ilvl w:val="0"/>
                <w:numId w:val="1"/>
              </w:numPr>
              <w:spacing w:line="240" w:lineRule="auto"/>
              <w:ind w:left="0" w:firstLine="0"/>
              <w:jc w:val="both"/>
              <w:rPr>
                <w:rFonts w:hint="eastAsia" w:ascii="宋体" w:hAnsi="宋体" w:eastAsia="宋体" w:cs="宋体"/>
                <w:color w:val="auto"/>
                <w:sz w:val="24"/>
                <w:szCs w:val="24"/>
                <w:highlight w:val="none"/>
              </w:rPr>
            </w:pPr>
          </w:p>
        </w:tc>
        <w:tc>
          <w:tcPr>
            <w:tcW w:w="1973" w:type="dxa"/>
            <w:shd w:val="clear" w:color="auto" w:fill="auto"/>
            <w:noWrap w:val="0"/>
            <w:vAlign w:val="center"/>
          </w:tcPr>
          <w:p w14:paraId="0A1DF6DA">
            <w:pPr>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磋商时间和</w:t>
            </w:r>
          </w:p>
          <w:p w14:paraId="0E086B8A">
            <w:pPr>
              <w:jc w:val="left"/>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rPr>
              <w:t>地点</w:t>
            </w:r>
          </w:p>
        </w:tc>
        <w:tc>
          <w:tcPr>
            <w:tcW w:w="6738" w:type="dxa"/>
            <w:shd w:val="clear" w:color="auto" w:fill="auto"/>
            <w:noWrap w:val="0"/>
            <w:vAlign w:val="center"/>
          </w:tcPr>
          <w:p w14:paraId="79648984">
            <w:pPr>
              <w:spacing w:line="40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磋</w:t>
            </w:r>
            <w:r>
              <w:rPr>
                <w:rFonts w:hint="eastAsia" w:ascii="宋体" w:hAnsi="宋体" w:eastAsia="宋体" w:cs="宋体"/>
                <w:b w:val="0"/>
                <w:bCs w:val="0"/>
                <w:color w:val="auto"/>
                <w:sz w:val="24"/>
                <w:szCs w:val="24"/>
                <w:highlight w:val="none"/>
              </w:rPr>
              <w:t>商时间：</w:t>
            </w:r>
            <w:r>
              <w:rPr>
                <w:rFonts w:hint="eastAsia" w:ascii="宋体" w:hAnsi="宋体" w:eastAsia="宋体" w:cs="宋体"/>
                <w:bCs/>
                <w:color w:val="auto"/>
                <w:kern w:val="0"/>
                <w:sz w:val="24"/>
                <w:szCs w:val="24"/>
                <w:highlight w:val="none"/>
                <w:lang w:eastAsia="zh-CN"/>
              </w:rPr>
              <w:t>2026年</w:t>
            </w:r>
            <w:r>
              <w:rPr>
                <w:rFonts w:hint="eastAsia" w:cs="宋体"/>
                <w:bCs/>
                <w:color w:val="auto"/>
                <w:kern w:val="0"/>
                <w:sz w:val="24"/>
                <w:szCs w:val="24"/>
                <w:highlight w:val="none"/>
                <w:lang w:val="en-US" w:eastAsia="zh-CN"/>
              </w:rPr>
              <w:t>10</w:t>
            </w:r>
            <w:r>
              <w:rPr>
                <w:rFonts w:hint="eastAsia" w:ascii="宋体" w:hAnsi="宋体" w:eastAsia="宋体" w:cs="宋体"/>
                <w:bCs/>
                <w:color w:val="auto"/>
                <w:kern w:val="0"/>
                <w:sz w:val="24"/>
                <w:szCs w:val="24"/>
                <w:highlight w:val="none"/>
                <w:lang w:eastAsia="zh-CN"/>
              </w:rPr>
              <w:t>月</w:t>
            </w:r>
            <w:r>
              <w:rPr>
                <w:rFonts w:hint="eastAsia" w:cs="宋体"/>
                <w:bCs/>
                <w:color w:val="auto"/>
                <w:kern w:val="0"/>
                <w:sz w:val="24"/>
                <w:szCs w:val="24"/>
                <w:highlight w:val="none"/>
                <w:lang w:val="en-US" w:eastAsia="zh-CN"/>
              </w:rPr>
              <w:t>19</w:t>
            </w:r>
            <w:r>
              <w:rPr>
                <w:rFonts w:hint="eastAsia" w:ascii="宋体" w:hAnsi="宋体" w:eastAsia="宋体" w:cs="宋体"/>
                <w:bCs/>
                <w:color w:val="auto"/>
                <w:kern w:val="0"/>
                <w:sz w:val="24"/>
                <w:szCs w:val="24"/>
                <w:highlight w:val="none"/>
                <w:lang w:eastAsia="zh-CN"/>
              </w:rPr>
              <w:t>日08时20分</w:t>
            </w:r>
          </w:p>
          <w:p w14:paraId="43C5E5B5">
            <w:pPr>
              <w:spacing w:line="400" w:lineRule="exact"/>
              <w:rPr>
                <w:rFonts w:hint="eastAsia" w:ascii="宋体" w:hAnsi="宋体" w:eastAsia="宋体" w:cs="宋体"/>
                <w:color w:val="auto"/>
                <w:sz w:val="24"/>
                <w:szCs w:val="24"/>
                <w:highlight w:val="none"/>
                <w:lang w:val="zh-CN" w:eastAsia="zh-CN" w:bidi="zh-CN"/>
              </w:rPr>
            </w:pPr>
            <w:r>
              <w:rPr>
                <w:rFonts w:hint="eastAsia" w:ascii="宋体" w:hAnsi="宋体" w:eastAsia="宋体" w:cs="宋体"/>
                <w:color w:val="auto"/>
                <w:sz w:val="24"/>
                <w:szCs w:val="24"/>
                <w:highlight w:val="none"/>
              </w:rPr>
              <w:t>磋商地点：</w:t>
            </w:r>
            <w:r>
              <w:rPr>
                <w:rFonts w:hint="eastAsia" w:cs="宋体"/>
                <w:bCs/>
                <w:color w:val="auto"/>
                <w:kern w:val="0"/>
                <w:sz w:val="24"/>
                <w:szCs w:val="24"/>
                <w:highlight w:val="none"/>
                <w:lang w:val="en-US" w:eastAsia="zh-CN"/>
              </w:rPr>
              <w:t>渑池县</w:t>
            </w:r>
            <w:r>
              <w:rPr>
                <w:rFonts w:hint="eastAsia" w:ascii="宋体" w:hAnsi="宋体" w:eastAsia="宋体" w:cs="宋体"/>
                <w:bCs/>
                <w:color w:val="auto"/>
                <w:kern w:val="0"/>
                <w:sz w:val="24"/>
                <w:szCs w:val="24"/>
                <w:highlight w:val="none"/>
              </w:rPr>
              <w:t>公共资源交易中心开标室</w:t>
            </w:r>
          </w:p>
        </w:tc>
      </w:tr>
      <w:tr w14:paraId="1FB35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28FA512D">
            <w:pPr>
              <w:numPr>
                <w:ilvl w:val="0"/>
                <w:numId w:val="1"/>
              </w:numPr>
              <w:spacing w:line="240" w:lineRule="auto"/>
              <w:ind w:left="0" w:firstLine="0"/>
              <w:jc w:val="both"/>
              <w:rPr>
                <w:rFonts w:hint="eastAsia" w:ascii="宋体" w:hAnsi="宋体" w:eastAsia="宋体" w:cs="宋体"/>
                <w:color w:val="auto"/>
                <w:sz w:val="24"/>
                <w:szCs w:val="24"/>
                <w:highlight w:val="none"/>
              </w:rPr>
            </w:pPr>
          </w:p>
        </w:tc>
        <w:tc>
          <w:tcPr>
            <w:tcW w:w="1973" w:type="dxa"/>
            <w:shd w:val="clear" w:color="auto" w:fill="auto"/>
            <w:noWrap w:val="0"/>
            <w:vAlign w:val="center"/>
          </w:tcPr>
          <w:p w14:paraId="17F1D773">
            <w:pPr>
              <w:jc w:val="left"/>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rPr>
              <w:t>开标顺序</w:t>
            </w:r>
          </w:p>
        </w:tc>
        <w:tc>
          <w:tcPr>
            <w:tcW w:w="6738" w:type="dxa"/>
            <w:shd w:val="clear" w:color="auto" w:fill="auto"/>
            <w:noWrap w:val="0"/>
            <w:vAlign w:val="center"/>
          </w:tcPr>
          <w:p w14:paraId="5422B2A0">
            <w:pPr>
              <w:jc w:val="left"/>
              <w:rPr>
                <w:rFonts w:hint="eastAsia" w:ascii="宋体" w:hAnsi="宋体" w:eastAsia="宋体" w:cs="宋体"/>
                <w:color w:val="auto"/>
                <w:sz w:val="24"/>
                <w:szCs w:val="24"/>
                <w:highlight w:val="none"/>
                <w:lang w:val="zh-CN" w:eastAsia="zh-CN" w:bidi="zh-CN"/>
              </w:rPr>
            </w:pPr>
            <w:r>
              <w:rPr>
                <w:rFonts w:hint="eastAsia" w:ascii="宋体" w:hAnsi="宋体" w:eastAsia="宋体" w:cs="宋体"/>
                <w:color w:val="auto"/>
                <w:sz w:val="24"/>
                <w:szCs w:val="24"/>
                <w:highlight w:val="none"/>
              </w:rPr>
              <w:t>按电子响应文件上传的顺序开标。</w:t>
            </w:r>
          </w:p>
        </w:tc>
      </w:tr>
      <w:tr w14:paraId="12D72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90" w:hRule="atLeast"/>
          <w:jc w:val="center"/>
        </w:trPr>
        <w:tc>
          <w:tcPr>
            <w:tcW w:w="979" w:type="dxa"/>
            <w:noWrap w:val="0"/>
            <w:vAlign w:val="center"/>
          </w:tcPr>
          <w:p w14:paraId="71E0E2F3">
            <w:pPr>
              <w:numPr>
                <w:ilvl w:val="0"/>
                <w:numId w:val="1"/>
              </w:numPr>
              <w:spacing w:line="240" w:lineRule="auto"/>
              <w:ind w:left="0" w:firstLine="0"/>
              <w:jc w:val="both"/>
              <w:rPr>
                <w:rFonts w:hint="eastAsia" w:ascii="宋体" w:hAnsi="宋体" w:eastAsia="宋体" w:cs="宋体"/>
                <w:color w:val="auto"/>
                <w:sz w:val="24"/>
                <w:szCs w:val="24"/>
                <w:highlight w:val="none"/>
              </w:rPr>
            </w:pPr>
          </w:p>
        </w:tc>
        <w:tc>
          <w:tcPr>
            <w:tcW w:w="1973" w:type="dxa"/>
            <w:noWrap w:val="0"/>
            <w:vAlign w:val="center"/>
          </w:tcPr>
          <w:p w14:paraId="7A6B9327">
            <w:pPr>
              <w:spacing w:line="24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磋商小组人数</w:t>
            </w:r>
          </w:p>
        </w:tc>
        <w:tc>
          <w:tcPr>
            <w:tcW w:w="6738" w:type="dxa"/>
            <w:noWrap w:val="0"/>
            <w:vAlign w:val="center"/>
          </w:tcPr>
          <w:p w14:paraId="0CF0C985">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color w:val="auto"/>
                <w:highlight w:val="none"/>
                <w:lang w:val="en-US" w:eastAsia="zh-CN"/>
              </w:rPr>
            </w:pPr>
            <w:r>
              <w:rPr>
                <w:rFonts w:hint="eastAsia" w:ascii="宋体" w:hAnsi="宋体" w:eastAsia="宋体" w:cs="宋体"/>
                <w:color w:val="auto"/>
                <w:sz w:val="24"/>
                <w:szCs w:val="24"/>
                <w:highlight w:val="none"/>
                <w:lang w:val="en-US" w:eastAsia="zh-CN" w:bidi="ar"/>
              </w:rPr>
              <w:t>磋商小组构成：由采购人代表1人，经济、技术评审专家2人，共3人组成。</w:t>
            </w:r>
            <w:r>
              <w:rPr>
                <w:rFonts w:hint="eastAsia" w:ascii="宋体" w:hAnsi="宋体" w:eastAsia="宋体" w:cs="宋体"/>
                <w:color w:val="auto"/>
                <w:sz w:val="24"/>
                <w:szCs w:val="24"/>
                <w:highlight w:val="none"/>
              </w:rPr>
              <w:t>2名专家确定方式：通过相关专家库随机抽取。</w:t>
            </w:r>
          </w:p>
          <w:p w14:paraId="598B70BF">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eastAsia="zh-CN" w:bidi="ar"/>
              </w:rPr>
              <w:t>根据省政府关于评标专家的有关管理规定，业主评委不能获取评标劳务费。</w:t>
            </w:r>
          </w:p>
        </w:tc>
      </w:tr>
      <w:tr w14:paraId="0BB0E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292DE73E">
            <w:pPr>
              <w:numPr>
                <w:ilvl w:val="0"/>
                <w:numId w:val="1"/>
              </w:numPr>
              <w:spacing w:line="360" w:lineRule="auto"/>
              <w:jc w:val="both"/>
              <w:rPr>
                <w:rFonts w:hint="eastAsia" w:ascii="宋体" w:hAnsi="宋体" w:eastAsia="宋体" w:cs="宋体"/>
                <w:color w:val="auto"/>
                <w:sz w:val="24"/>
                <w:szCs w:val="24"/>
                <w:highlight w:val="none"/>
              </w:rPr>
            </w:pPr>
          </w:p>
        </w:tc>
        <w:tc>
          <w:tcPr>
            <w:tcW w:w="1973" w:type="dxa"/>
            <w:noWrap w:val="0"/>
            <w:vAlign w:val="center"/>
          </w:tcPr>
          <w:p w14:paraId="488CD9CB">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是否授权磋商小组确定成交人</w:t>
            </w:r>
          </w:p>
        </w:tc>
        <w:tc>
          <w:tcPr>
            <w:tcW w:w="6738" w:type="dxa"/>
            <w:noWrap w:val="0"/>
            <w:vAlign w:val="center"/>
          </w:tcPr>
          <w:p w14:paraId="7418447B">
            <w:pPr>
              <w:adjustRightInd w:val="0"/>
              <w:snapToGrid w:val="0"/>
              <w:spacing w:before="156" w:beforeLines="50" w:line="360" w:lineRule="auto"/>
              <w:jc w:val="both"/>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否，推荐3名成交候选人。</w:t>
            </w:r>
          </w:p>
        </w:tc>
      </w:tr>
      <w:tr w14:paraId="7DCDE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5A6870BC">
            <w:pPr>
              <w:numPr>
                <w:ilvl w:val="0"/>
                <w:numId w:val="1"/>
              </w:numPr>
              <w:spacing w:line="240" w:lineRule="auto"/>
              <w:ind w:left="0" w:leftChars="0" w:firstLine="0" w:firstLineChars="0"/>
              <w:jc w:val="left"/>
              <w:rPr>
                <w:rFonts w:hint="eastAsia" w:ascii="宋体" w:hAnsi="宋体" w:eastAsia="宋体" w:cs="宋体"/>
                <w:color w:val="auto"/>
                <w:sz w:val="24"/>
                <w:szCs w:val="24"/>
                <w:highlight w:val="none"/>
              </w:rPr>
            </w:pPr>
          </w:p>
        </w:tc>
        <w:tc>
          <w:tcPr>
            <w:tcW w:w="1973" w:type="dxa"/>
            <w:noWrap w:val="0"/>
            <w:vAlign w:val="center"/>
          </w:tcPr>
          <w:p w14:paraId="5FB43DFF">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付款方式</w:t>
            </w:r>
          </w:p>
        </w:tc>
        <w:tc>
          <w:tcPr>
            <w:tcW w:w="6738" w:type="dxa"/>
            <w:noWrap w:val="0"/>
            <w:vAlign w:val="center"/>
          </w:tcPr>
          <w:p w14:paraId="79C09911">
            <w:pPr>
              <w:rPr>
                <w:color w:val="auto"/>
                <w:highlight w:val="none"/>
              </w:rPr>
            </w:pPr>
            <w:r>
              <w:rPr>
                <w:rFonts w:hint="eastAsia" w:ascii="宋体" w:hAnsi="宋体" w:eastAsia="宋体" w:cs="宋体"/>
                <w:color w:val="auto"/>
                <w:sz w:val="24"/>
                <w:szCs w:val="24"/>
                <w:highlight w:val="none"/>
                <w:lang w:val="en-US" w:eastAsia="zh-CN"/>
              </w:rPr>
              <w:t>中标后由</w:t>
            </w:r>
            <w:r>
              <w:rPr>
                <w:rFonts w:hint="eastAsia" w:cs="宋体"/>
                <w:color w:val="auto"/>
                <w:sz w:val="24"/>
                <w:szCs w:val="24"/>
                <w:highlight w:val="none"/>
                <w:lang w:val="en-US" w:eastAsia="zh-CN"/>
              </w:rPr>
              <w:t>招标人</w:t>
            </w:r>
            <w:r>
              <w:rPr>
                <w:rFonts w:hint="eastAsia" w:ascii="宋体" w:hAnsi="宋体" w:eastAsia="宋体" w:cs="宋体"/>
                <w:color w:val="auto"/>
                <w:sz w:val="24"/>
                <w:szCs w:val="24"/>
                <w:highlight w:val="none"/>
                <w:lang w:val="en-US" w:eastAsia="zh-CN"/>
              </w:rPr>
              <w:t>和</w:t>
            </w:r>
            <w:r>
              <w:rPr>
                <w:rFonts w:hint="eastAsia" w:cs="宋体"/>
                <w:color w:val="auto"/>
                <w:sz w:val="24"/>
                <w:szCs w:val="24"/>
                <w:highlight w:val="none"/>
                <w:lang w:val="en-US" w:eastAsia="zh-CN"/>
              </w:rPr>
              <w:t>成交</w:t>
            </w:r>
            <w:r>
              <w:rPr>
                <w:rFonts w:hint="eastAsia" w:ascii="宋体" w:hAnsi="宋体" w:eastAsia="宋体" w:cs="宋体"/>
                <w:color w:val="auto"/>
                <w:sz w:val="24"/>
                <w:szCs w:val="24"/>
                <w:highlight w:val="none"/>
                <w:lang w:val="en-US" w:eastAsia="zh-CN"/>
              </w:rPr>
              <w:t>单位协商</w:t>
            </w:r>
          </w:p>
          <w:p w14:paraId="6E8E9A20">
            <w:pPr>
              <w:rPr>
                <w:color w:val="auto"/>
                <w:highlight w:val="none"/>
              </w:rPr>
            </w:pPr>
          </w:p>
          <w:p w14:paraId="276608A0">
            <w:pPr>
              <w:rPr>
                <w:color w:val="auto"/>
                <w:highlight w:val="none"/>
              </w:rPr>
            </w:pPr>
          </w:p>
          <w:p w14:paraId="55EB62BC">
            <w:pPr>
              <w:spacing w:line="240" w:lineRule="auto"/>
              <w:ind w:left="0" w:firstLine="0"/>
              <w:jc w:val="left"/>
              <w:rPr>
                <w:rFonts w:hint="eastAsia" w:ascii="宋体" w:hAnsi="宋体" w:eastAsia="宋体" w:cs="宋体"/>
                <w:color w:val="auto"/>
                <w:sz w:val="24"/>
                <w:szCs w:val="24"/>
                <w:highlight w:val="none"/>
                <w:lang w:val="en-US" w:eastAsia="zh-CN"/>
              </w:rPr>
            </w:pPr>
          </w:p>
        </w:tc>
      </w:tr>
      <w:tr w14:paraId="6B03E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19715872">
            <w:pPr>
              <w:numPr>
                <w:ilvl w:val="0"/>
                <w:numId w:val="1"/>
              </w:numPr>
              <w:spacing w:line="240" w:lineRule="auto"/>
              <w:ind w:left="0" w:leftChars="0" w:firstLine="0" w:firstLineChars="0"/>
              <w:jc w:val="left"/>
              <w:rPr>
                <w:rFonts w:hint="eastAsia" w:ascii="宋体" w:hAnsi="宋体" w:eastAsia="宋体" w:cs="宋体"/>
                <w:color w:val="auto"/>
                <w:sz w:val="24"/>
                <w:szCs w:val="24"/>
                <w:highlight w:val="none"/>
              </w:rPr>
            </w:pPr>
          </w:p>
        </w:tc>
        <w:tc>
          <w:tcPr>
            <w:tcW w:w="1973" w:type="dxa"/>
            <w:noWrap w:val="0"/>
            <w:vAlign w:val="center"/>
          </w:tcPr>
          <w:p w14:paraId="7DFD5494">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履约保证金</w:t>
            </w:r>
          </w:p>
        </w:tc>
        <w:tc>
          <w:tcPr>
            <w:tcW w:w="6738" w:type="dxa"/>
            <w:noWrap w:val="0"/>
            <w:vAlign w:val="center"/>
          </w:tcPr>
          <w:p w14:paraId="2C1A14E6">
            <w:pPr>
              <w:spacing w:line="240" w:lineRule="auto"/>
              <w:ind w:left="0" w:firstLine="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根据三门峡市财政局《关于进一步优化提升政府采购营商环境有关事项通知》三财购【2021】14号文件，该项目不收取履约保证金。</w:t>
            </w:r>
          </w:p>
        </w:tc>
      </w:tr>
      <w:tr w14:paraId="700D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79B89986">
            <w:pPr>
              <w:numPr>
                <w:ilvl w:val="0"/>
                <w:numId w:val="1"/>
              </w:numPr>
              <w:spacing w:line="360" w:lineRule="auto"/>
              <w:ind w:left="420" w:leftChars="0" w:hanging="420" w:firstLineChars="0"/>
              <w:jc w:val="left"/>
              <w:rPr>
                <w:rFonts w:hint="eastAsia" w:ascii="宋体" w:hAnsi="宋体" w:eastAsia="宋体" w:cs="宋体"/>
                <w:color w:val="auto"/>
                <w:sz w:val="24"/>
                <w:szCs w:val="24"/>
                <w:highlight w:val="none"/>
              </w:rPr>
            </w:pPr>
          </w:p>
        </w:tc>
        <w:tc>
          <w:tcPr>
            <w:tcW w:w="1973" w:type="dxa"/>
            <w:noWrap w:val="0"/>
            <w:vAlign w:val="center"/>
          </w:tcPr>
          <w:p w14:paraId="64CF3D05">
            <w:pPr>
              <w:spacing w:line="360" w:lineRule="auto"/>
              <w:jc w:val="left"/>
              <w:rPr>
                <w:rFonts w:hint="eastAsia" w:ascii="宋体" w:hAnsi="宋体" w:eastAsia="宋体" w:cs="宋体"/>
                <w:color w:val="auto"/>
                <w:sz w:val="24"/>
                <w:szCs w:val="24"/>
                <w:highlight w:val="none"/>
              </w:rPr>
            </w:pPr>
            <w:r>
              <w:rPr>
                <w:rFonts w:hint="eastAsia" w:eastAsia="宋体" w:cs="宋体"/>
                <w:color w:val="auto"/>
                <w:sz w:val="24"/>
                <w:szCs w:val="24"/>
                <w:highlight w:val="none"/>
                <w:lang w:val="en-US" w:eastAsia="zh-CN"/>
              </w:rPr>
              <w:t>代理服务费</w:t>
            </w:r>
          </w:p>
        </w:tc>
        <w:tc>
          <w:tcPr>
            <w:tcW w:w="6738" w:type="dxa"/>
            <w:noWrap w:val="0"/>
            <w:vAlign w:val="center"/>
          </w:tcPr>
          <w:p w14:paraId="3D4638F5">
            <w:pPr>
              <w:numPr>
                <w:ilvl w:val="0"/>
                <w:numId w:val="2"/>
              </w:numPr>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代理服务费参照《河南省招标代理服务收费指导意见》（豫招协【2023】002号）计取，由</w:t>
            </w:r>
            <w:r>
              <w:rPr>
                <w:rFonts w:hint="eastAsia" w:ascii="宋体" w:hAnsi="宋体" w:cs="宋体"/>
                <w:color w:val="auto"/>
                <w:sz w:val="24"/>
                <w:highlight w:val="none"/>
                <w:lang w:val="en-US" w:eastAsia="zh-CN"/>
              </w:rPr>
              <w:t>成交</w:t>
            </w:r>
            <w:r>
              <w:rPr>
                <w:rFonts w:hint="eastAsia" w:ascii="宋体" w:hAnsi="宋体" w:cs="宋体"/>
                <w:color w:val="auto"/>
                <w:sz w:val="24"/>
                <w:highlight w:val="none"/>
              </w:rPr>
              <w:t>人支付。</w:t>
            </w:r>
          </w:p>
          <w:p w14:paraId="537F0EE6">
            <w:pPr>
              <w:numPr>
                <w:ilvl w:val="0"/>
                <w:numId w:val="2"/>
              </w:numPr>
              <w:spacing w:line="360" w:lineRule="auto"/>
              <w:jc w:val="left"/>
              <w:rPr>
                <w:rFonts w:hint="eastAsia" w:ascii="宋体" w:hAnsi="宋体" w:cs="宋体"/>
                <w:color w:val="auto"/>
                <w:sz w:val="24"/>
                <w:highlight w:val="none"/>
              </w:rPr>
            </w:pPr>
            <w:r>
              <w:rPr>
                <w:rFonts w:hint="eastAsia" w:ascii="宋体" w:hAnsi="宋体" w:eastAsia="宋体" w:cs="宋体"/>
                <w:color w:val="auto"/>
                <w:sz w:val="24"/>
                <w:szCs w:val="24"/>
                <w:highlight w:val="none"/>
              </w:rPr>
              <w:t>收取方式：</w:t>
            </w:r>
            <w:r>
              <w:rPr>
                <w:rFonts w:hint="eastAsia" w:ascii="宋体" w:hAnsi="宋体" w:eastAsia="宋体" w:cs="宋体"/>
                <w:color w:val="auto"/>
                <w:sz w:val="24"/>
                <w:szCs w:val="24"/>
                <w:highlight w:val="none"/>
                <w:lang w:val="en-US" w:eastAsia="zh-CN"/>
              </w:rPr>
              <w:t>成交人</w:t>
            </w:r>
            <w:r>
              <w:rPr>
                <w:rFonts w:hint="eastAsia" w:ascii="宋体" w:hAnsi="宋体" w:eastAsia="宋体" w:cs="宋体"/>
                <w:color w:val="auto"/>
                <w:sz w:val="24"/>
                <w:szCs w:val="24"/>
                <w:highlight w:val="none"/>
              </w:rPr>
              <w:t>在领取成交通知书时，以现金或转账的方式一次性向代理机构缴纳代理服务费。</w:t>
            </w:r>
          </w:p>
          <w:p w14:paraId="57A379C5">
            <w:pPr>
              <w:numPr>
                <w:ilvl w:val="0"/>
                <w:numId w:val="2"/>
              </w:numPr>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lang w:val="en-US" w:eastAsia="zh-CN"/>
              </w:rPr>
              <w:t>成交单位领取成交通知书时将贰份与</w:t>
            </w:r>
            <w:r>
              <w:rPr>
                <w:rFonts w:hint="eastAsia" w:ascii="宋体" w:hAnsi="宋体" w:eastAsia="宋体" w:cs="宋体"/>
                <w:b w:val="0"/>
                <w:bCs w:val="0"/>
                <w:color w:val="auto"/>
                <w:sz w:val="24"/>
                <w:highlight w:val="none"/>
              </w:rPr>
              <w:t>电子化投标</w:t>
            </w:r>
            <w:r>
              <w:rPr>
                <w:rFonts w:hint="eastAsia" w:ascii="宋体" w:hAnsi="宋体" w:eastAsia="宋体" w:cs="宋体"/>
                <w:b w:val="0"/>
                <w:bCs w:val="0"/>
                <w:color w:val="auto"/>
                <w:sz w:val="24"/>
                <w:highlight w:val="none"/>
                <w:lang w:eastAsia="zh-CN"/>
              </w:rPr>
              <w:t>（响应）</w:t>
            </w:r>
            <w:r>
              <w:rPr>
                <w:rFonts w:hint="eastAsia" w:ascii="宋体" w:hAnsi="宋体" w:eastAsia="宋体" w:cs="宋体"/>
                <w:b w:val="0"/>
                <w:bCs w:val="0"/>
                <w:color w:val="auto"/>
                <w:sz w:val="24"/>
                <w:highlight w:val="none"/>
              </w:rPr>
              <w:t>文件</w:t>
            </w:r>
            <w:r>
              <w:rPr>
                <w:rFonts w:hint="eastAsia" w:ascii="宋体" w:hAnsi="宋体" w:eastAsia="宋体" w:cs="宋体"/>
                <w:color w:val="auto"/>
                <w:sz w:val="24"/>
                <w:highlight w:val="none"/>
                <w:lang w:eastAsia="zh-CN"/>
              </w:rPr>
              <w:t>相同</w:t>
            </w:r>
            <w:r>
              <w:rPr>
                <w:rFonts w:hint="eastAsia" w:ascii="宋体" w:hAnsi="宋体" w:eastAsia="宋体" w:cs="宋体"/>
                <w:color w:val="auto"/>
                <w:sz w:val="24"/>
                <w:highlight w:val="none"/>
                <w:lang w:val="en-US" w:eastAsia="zh-CN"/>
              </w:rPr>
              <w:t>的纸质磋商响应文件提交至采购代理机构，磋商响应文件应按以下要求装订：胶装（不得采用活页装订），应有目录，并逐页标注连续页码，需加盖公章。</w:t>
            </w:r>
          </w:p>
        </w:tc>
      </w:tr>
      <w:tr w14:paraId="32DE4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4D5D5B3D">
            <w:pPr>
              <w:numPr>
                <w:ilvl w:val="0"/>
                <w:numId w:val="1"/>
              </w:numPr>
              <w:spacing w:line="360" w:lineRule="auto"/>
              <w:ind w:left="420" w:leftChars="0" w:hanging="420" w:firstLineChars="0"/>
              <w:jc w:val="left"/>
              <w:rPr>
                <w:rFonts w:hint="eastAsia" w:ascii="宋体" w:hAnsi="宋体" w:eastAsia="宋体" w:cs="宋体"/>
                <w:color w:val="auto"/>
                <w:sz w:val="24"/>
                <w:szCs w:val="24"/>
                <w:highlight w:val="none"/>
                <w:lang w:val="en-US" w:eastAsia="zh-CN"/>
              </w:rPr>
            </w:pPr>
          </w:p>
        </w:tc>
        <w:tc>
          <w:tcPr>
            <w:tcW w:w="1973" w:type="dxa"/>
            <w:noWrap w:val="0"/>
            <w:vAlign w:val="center"/>
          </w:tcPr>
          <w:p w14:paraId="1685324C">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rPr>
              <w:t>合同签订</w:t>
            </w:r>
          </w:p>
        </w:tc>
        <w:tc>
          <w:tcPr>
            <w:tcW w:w="6738" w:type="dxa"/>
            <w:noWrap w:val="0"/>
            <w:vAlign w:val="center"/>
          </w:tcPr>
          <w:p w14:paraId="4A69EA84">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我单位与成交供应商按照采购文件确定的事项与供应商签订采购合同。</w:t>
            </w:r>
          </w:p>
        </w:tc>
      </w:tr>
      <w:tr w14:paraId="249AF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71F24F9C">
            <w:pPr>
              <w:numPr>
                <w:ilvl w:val="0"/>
                <w:numId w:val="1"/>
              </w:numPr>
              <w:spacing w:line="360" w:lineRule="auto"/>
              <w:ind w:left="420" w:leftChars="0" w:hanging="420" w:firstLineChars="0"/>
              <w:jc w:val="left"/>
              <w:rPr>
                <w:rFonts w:hint="eastAsia" w:ascii="宋体" w:hAnsi="宋体" w:eastAsia="宋体" w:cs="宋体"/>
                <w:color w:val="auto"/>
                <w:sz w:val="24"/>
                <w:szCs w:val="24"/>
                <w:highlight w:val="none"/>
                <w:lang w:val="en-US" w:eastAsia="zh-CN"/>
              </w:rPr>
            </w:pPr>
          </w:p>
        </w:tc>
        <w:tc>
          <w:tcPr>
            <w:tcW w:w="1973" w:type="dxa"/>
            <w:noWrap w:val="0"/>
            <w:vAlign w:val="center"/>
          </w:tcPr>
          <w:p w14:paraId="459CFC58">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lang w:val="en-US" w:eastAsia="zh-CN"/>
              </w:rPr>
              <w:t>相同品牌产品投标</w:t>
            </w:r>
            <w:r>
              <w:rPr>
                <w:rFonts w:hint="eastAsia" w:ascii="宋体" w:hAnsi="宋体" w:eastAsia="宋体" w:cs="宋体"/>
                <w:color w:val="auto"/>
                <w:sz w:val="24"/>
                <w:szCs w:val="24"/>
                <w:highlight w:val="none"/>
                <w:shd w:val="clear" w:color="auto" w:fill="FFFFFF"/>
                <w:lang w:bidi="ar"/>
              </w:rPr>
              <w:t>的处理</w:t>
            </w:r>
          </w:p>
        </w:tc>
        <w:tc>
          <w:tcPr>
            <w:tcW w:w="6738" w:type="dxa"/>
            <w:noWrap w:val="0"/>
            <w:vAlign w:val="center"/>
          </w:tcPr>
          <w:p w14:paraId="48D54173">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提供相同品牌产品且通过资格审查、符合性审查的不同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参加同一合同项下投标的，按一家</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计算，评审后得分最高的同品牌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获得</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人推荐资格；评审得分相同的，投标报价最低的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获得</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人推荐资格，其他同品牌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不作为</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候选人。</w:t>
            </w:r>
          </w:p>
          <w:p w14:paraId="21FEA956">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非单一产品采购项目，采购人应当根据采购项目技术构成、产品价格比重等合理确定核心产品，并在</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文件中载明。多家</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提供的核心产品品牌相同的，视为提供相同品牌产品。</w:t>
            </w:r>
          </w:p>
          <w:p w14:paraId="00E5CC59">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lang w:val="en-US" w:eastAsia="zh-CN"/>
              </w:rPr>
              <w:t>本项目核心产品为</w:t>
            </w:r>
            <w:r>
              <w:rPr>
                <w:rFonts w:hint="eastAsia" w:cs="宋体"/>
                <w:color w:val="auto"/>
                <w:sz w:val="24"/>
                <w:szCs w:val="24"/>
                <w:highlight w:val="none"/>
                <w:lang w:val="en-US" w:eastAsia="zh-CN"/>
              </w:rPr>
              <w:t>：烘干塔</w:t>
            </w:r>
          </w:p>
        </w:tc>
      </w:tr>
      <w:tr w14:paraId="76EFB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2B4795AA">
            <w:pPr>
              <w:numPr>
                <w:ilvl w:val="0"/>
                <w:numId w:val="1"/>
              </w:numPr>
              <w:spacing w:line="360" w:lineRule="auto"/>
              <w:ind w:left="420" w:leftChars="0" w:hanging="420" w:firstLineChars="0"/>
              <w:jc w:val="left"/>
              <w:rPr>
                <w:rFonts w:hint="default" w:ascii="宋体" w:hAnsi="宋体" w:eastAsia="宋体" w:cs="宋体"/>
                <w:color w:val="auto"/>
                <w:sz w:val="24"/>
                <w:szCs w:val="24"/>
                <w:highlight w:val="none"/>
                <w:lang w:val="en-US" w:eastAsia="zh-CN"/>
              </w:rPr>
            </w:pPr>
          </w:p>
        </w:tc>
        <w:tc>
          <w:tcPr>
            <w:tcW w:w="1973" w:type="dxa"/>
            <w:noWrap w:val="0"/>
            <w:vAlign w:val="center"/>
          </w:tcPr>
          <w:p w14:paraId="371F0BDB">
            <w:pPr>
              <w:autoSpaceDE w:val="0"/>
              <w:autoSpaceDN w:val="0"/>
              <w:adjustRightIn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重新采购</w:t>
            </w:r>
          </w:p>
        </w:tc>
        <w:tc>
          <w:tcPr>
            <w:tcW w:w="6738" w:type="dxa"/>
            <w:noWrap w:val="0"/>
            <w:vAlign w:val="center"/>
          </w:tcPr>
          <w:p w14:paraId="1B24E840">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有下列情形之一的，采购人将重新采购：</w:t>
            </w:r>
          </w:p>
          <w:p w14:paraId="3DFBC6DA">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（1）投标截止时间止，供应商少于3个的；</w:t>
            </w:r>
          </w:p>
          <w:p w14:paraId="5DAAB14F">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（2）经</w:t>
            </w:r>
            <w:r>
              <w:rPr>
                <w:rFonts w:hint="eastAsia" w:ascii="宋体" w:hAnsi="宋体" w:eastAsia="宋体" w:cs="宋体"/>
                <w:color w:val="auto"/>
                <w:sz w:val="24"/>
                <w:szCs w:val="24"/>
                <w:highlight w:val="none"/>
                <w:lang w:val="en-US" w:eastAsia="zh-CN"/>
              </w:rPr>
              <w:t>磋商小组</w:t>
            </w:r>
            <w:r>
              <w:rPr>
                <w:rFonts w:hint="eastAsia" w:ascii="宋体" w:hAnsi="宋体" w:eastAsia="宋体" w:cs="宋体"/>
                <w:color w:val="auto"/>
                <w:sz w:val="24"/>
                <w:szCs w:val="24"/>
                <w:highlight w:val="none"/>
              </w:rPr>
              <w:t>评审后否决所有投标的；</w:t>
            </w:r>
          </w:p>
          <w:p w14:paraId="373CE69B">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color w:val="auto"/>
                <w:highlight w:val="none"/>
              </w:rPr>
            </w:pPr>
            <w:r>
              <w:rPr>
                <w:rFonts w:hint="eastAsia" w:ascii="宋体" w:hAnsi="宋体" w:eastAsia="宋体" w:cs="宋体"/>
                <w:color w:val="auto"/>
                <w:sz w:val="24"/>
                <w:szCs w:val="24"/>
                <w:highlight w:val="none"/>
              </w:rPr>
              <w:t>（3）中标或者成交供应商拒绝与采购人签订合同的，采购人可以按照</w:t>
            </w:r>
            <w:r>
              <w:rPr>
                <w:rFonts w:hint="eastAsia" w:ascii="宋体" w:hAnsi="宋体" w:eastAsia="宋体" w:cs="宋体"/>
                <w:color w:val="auto"/>
                <w:sz w:val="24"/>
                <w:szCs w:val="24"/>
                <w:highlight w:val="none"/>
                <w:lang w:eastAsia="zh-CN"/>
              </w:rPr>
              <w:t>评标报告</w:t>
            </w:r>
            <w:r>
              <w:rPr>
                <w:rFonts w:hint="eastAsia" w:ascii="宋体" w:hAnsi="宋体" w:eastAsia="宋体" w:cs="宋体"/>
                <w:color w:val="auto"/>
                <w:sz w:val="24"/>
                <w:szCs w:val="24"/>
                <w:highlight w:val="none"/>
              </w:rPr>
              <w:t>推荐的中标或者成交候选人名单排序，确定下一候选人为中标或者成交供应商，也可以重新</w:t>
            </w:r>
            <w:r>
              <w:rPr>
                <w:rFonts w:hint="eastAsia" w:ascii="宋体" w:hAnsi="宋体" w:eastAsia="宋体" w:cs="宋体"/>
                <w:color w:val="auto"/>
                <w:kern w:val="0"/>
                <w:sz w:val="24"/>
                <w:szCs w:val="24"/>
                <w:highlight w:val="none"/>
              </w:rPr>
              <w:t>开展政府采购活动。</w:t>
            </w:r>
          </w:p>
        </w:tc>
      </w:tr>
      <w:tr w14:paraId="0A693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55CD9916">
            <w:pPr>
              <w:numPr>
                <w:ilvl w:val="0"/>
                <w:numId w:val="1"/>
              </w:numPr>
              <w:spacing w:line="360" w:lineRule="auto"/>
              <w:ind w:left="420" w:leftChars="0" w:hanging="420" w:firstLineChars="0"/>
              <w:jc w:val="left"/>
              <w:rPr>
                <w:rFonts w:hint="default" w:ascii="宋体" w:hAnsi="宋体" w:eastAsia="宋体" w:cs="宋体"/>
                <w:color w:val="auto"/>
                <w:sz w:val="24"/>
                <w:szCs w:val="24"/>
                <w:highlight w:val="none"/>
                <w:lang w:val="en-US" w:eastAsia="zh-CN"/>
              </w:rPr>
            </w:pPr>
          </w:p>
        </w:tc>
        <w:tc>
          <w:tcPr>
            <w:tcW w:w="1973" w:type="dxa"/>
            <w:noWrap w:val="0"/>
            <w:vAlign w:val="center"/>
          </w:tcPr>
          <w:p w14:paraId="0BA34B64">
            <w:pPr>
              <w:spacing w:line="360" w:lineRule="auto"/>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电子化</w:t>
            </w:r>
            <w:r>
              <w:rPr>
                <w:rFonts w:hint="eastAsia" w:cs="宋体"/>
                <w:color w:val="auto"/>
                <w:sz w:val="24"/>
                <w:szCs w:val="24"/>
                <w:highlight w:val="none"/>
                <w:lang w:eastAsia="zh-CN"/>
              </w:rPr>
              <w:t>投标</w:t>
            </w:r>
          </w:p>
          <w:p w14:paraId="35410151">
            <w:pPr>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注意事项</w:t>
            </w:r>
          </w:p>
        </w:tc>
        <w:tc>
          <w:tcPr>
            <w:tcW w:w="6738" w:type="dxa"/>
            <w:noWrap w:val="0"/>
            <w:vAlign w:val="center"/>
          </w:tcPr>
          <w:p w14:paraId="33DEF6D5">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电子化交易注意事项</w:t>
            </w:r>
          </w:p>
          <w:p w14:paraId="01A1429A">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具体要求：本项目为电子化、无纸化交易项目，</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是</w:t>
            </w:r>
            <w:r>
              <w:rPr>
                <w:rFonts w:hint="eastAsia" w:ascii="宋体" w:hAnsi="宋体" w:eastAsia="宋体" w:cs="宋体"/>
                <w:color w:val="auto"/>
                <w:sz w:val="24"/>
                <w:szCs w:val="24"/>
                <w:highlight w:val="none"/>
                <w:lang w:eastAsia="zh-CN"/>
              </w:rPr>
              <w:t>响应人</w:t>
            </w:r>
            <w:r>
              <w:rPr>
                <w:rFonts w:hint="eastAsia" w:ascii="宋体" w:hAnsi="宋体" w:eastAsia="宋体" w:cs="宋体"/>
                <w:color w:val="auto"/>
                <w:sz w:val="24"/>
                <w:szCs w:val="24"/>
                <w:highlight w:val="none"/>
              </w:rPr>
              <w:t>（以下简称“</w:t>
            </w:r>
            <w:r>
              <w:rPr>
                <w:rFonts w:hint="eastAsia" w:ascii="宋体" w:hAnsi="宋体" w:eastAsia="宋体" w:cs="宋体"/>
                <w:color w:val="auto"/>
                <w:sz w:val="24"/>
                <w:szCs w:val="24"/>
                <w:highlight w:val="none"/>
                <w:lang w:eastAsia="zh-CN"/>
              </w:rPr>
              <w:t>响应人</w:t>
            </w:r>
            <w:r>
              <w:rPr>
                <w:rFonts w:hint="eastAsia" w:ascii="宋体" w:hAnsi="宋体" w:eastAsia="宋体" w:cs="宋体"/>
                <w:color w:val="auto"/>
                <w:sz w:val="24"/>
                <w:szCs w:val="24"/>
                <w:highlight w:val="none"/>
              </w:rPr>
              <w:t>”）通过中心</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制作系统制作，并经过签章和加密后生成的电子版</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w:t>
            </w:r>
          </w:p>
          <w:p w14:paraId="2A04D7BA">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 xml:space="preserve">具体制作文件请点击 </w:t>
            </w:r>
            <w:bookmarkStart w:id="5" w:name="OLE_LINK30"/>
            <w:r>
              <w:rPr>
                <w:rFonts w:hint="eastAsia" w:ascii="宋体" w:hAnsi="宋体" w:eastAsia="宋体" w:cs="宋体"/>
                <w:color w:val="auto"/>
                <w:sz w:val="24"/>
                <w:szCs w:val="24"/>
                <w:highlight w:val="none"/>
              </w:rPr>
              <w:t>https://download.bqpoint.com/download/downloaddetail.html?SourceFrom=Ztb&amp;ZtbSoftXiaQuCode=1506&amp;ZtbSoftType=tballinclusive</w:t>
            </w:r>
            <w:bookmarkEnd w:id="5"/>
            <w:r>
              <w:rPr>
                <w:rFonts w:hint="eastAsia" w:ascii="宋体" w:hAnsi="宋体" w:eastAsia="宋体" w:cs="宋体"/>
                <w:color w:val="auto"/>
                <w:sz w:val="24"/>
                <w:szCs w:val="24"/>
                <w:highlight w:val="none"/>
              </w:rPr>
              <w:t>进行下载。</w:t>
            </w:r>
          </w:p>
          <w:p w14:paraId="4E022F1A">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温馨提示：本项目为电子化、无纸化交易项目，为保证您能投标成功，请需仔细阅读以下条款。</w:t>
            </w:r>
          </w:p>
          <w:p w14:paraId="153316BF">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电子化投标</w:t>
            </w:r>
          </w:p>
          <w:p w14:paraId="6831CA3E">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的签章</w:t>
            </w:r>
          </w:p>
          <w:p w14:paraId="0B9264E2">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响应人</w:t>
            </w:r>
            <w:r>
              <w:rPr>
                <w:rFonts w:hint="eastAsia" w:ascii="宋体" w:hAnsi="宋体" w:eastAsia="宋体" w:cs="宋体"/>
                <w:color w:val="auto"/>
                <w:sz w:val="24"/>
                <w:szCs w:val="24"/>
                <w:highlight w:val="none"/>
              </w:rPr>
              <w:t>在生成电子化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后，应对电子化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进行签章，未进行签章的视为无效投标。</w:t>
            </w:r>
          </w:p>
          <w:p w14:paraId="2CF855B0">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中要求法定代表人或授权委托人签字或盖章的，</w:t>
            </w:r>
            <w:r>
              <w:rPr>
                <w:rFonts w:hint="eastAsia" w:ascii="宋体" w:hAnsi="宋体" w:eastAsia="宋体" w:cs="宋体"/>
                <w:color w:val="auto"/>
                <w:sz w:val="24"/>
                <w:szCs w:val="24"/>
                <w:highlight w:val="none"/>
                <w:lang w:eastAsia="zh-CN"/>
              </w:rPr>
              <w:t>响应人</w:t>
            </w:r>
            <w:r>
              <w:rPr>
                <w:rFonts w:hint="eastAsia" w:ascii="宋体" w:hAnsi="宋体" w:eastAsia="宋体" w:cs="宋体"/>
                <w:color w:val="auto"/>
                <w:sz w:val="24"/>
                <w:szCs w:val="24"/>
                <w:highlight w:val="none"/>
              </w:rPr>
              <w:t>在进行电子化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签章时，以签盖法定代表人章为准。</w:t>
            </w:r>
          </w:p>
          <w:p w14:paraId="0F40CBAC">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的格式及上传投标</w:t>
            </w:r>
          </w:p>
          <w:p w14:paraId="60A860F0">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响应人</w:t>
            </w:r>
            <w:r>
              <w:rPr>
                <w:rFonts w:hint="eastAsia" w:ascii="宋体" w:hAnsi="宋体" w:eastAsia="宋体" w:cs="宋体"/>
                <w:color w:val="auto"/>
                <w:sz w:val="24"/>
                <w:szCs w:val="24"/>
                <w:highlight w:val="none"/>
              </w:rPr>
              <w:t>所上传的电子化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，应是通过中心</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制作系统制作的（</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制作工具下载地址：https://download.bqpoint.com/download/downloaddetail.html?SourceFrom=Ztb&amp;ZtbSoftXiaQuCode=1506&amp;ZtbSoftType=tballinclusive），经过签章和加密后生成的电子版</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其中包含用于</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上传的主文件（后缀为.smxtf）和用于应急补救的</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备份文件（后缀为.nsmxtf）。备份文件主要用于电子化开标出现技术问题后的补救，请</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随身携带。</w:t>
            </w:r>
          </w:p>
          <w:p w14:paraId="45FBB633">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投报多个标段的，需要每个标段单独制作电子</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w:t>
            </w:r>
          </w:p>
          <w:p w14:paraId="0DB6CA10">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应在投标截止时间前成功上传至三门峡市公共资源电子化交易系统。至投标截止时间止，仍未上传成功的电子化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将不予接收。</w:t>
            </w:r>
          </w:p>
          <w:p w14:paraId="40809268">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注：如按照电子化投标操作教材制作完成的电子化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无法上传的，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应在投标截止时间前尽早的联系中心技术人员，以便有充分的时间进行处理。</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应充分考虑到处理技术问题和上传数据等工作所需的时间问题，</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未在投标截止时间前成功上传的，其</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不予接收。</w:t>
            </w:r>
          </w:p>
          <w:p w14:paraId="0C755EB6">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标书制作技术联系电话：0398-3117095、3117871、4009980000</w:t>
            </w:r>
          </w:p>
          <w:p w14:paraId="651BA48F">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主体库上传技术联系电话：0398-3117815</w:t>
            </w:r>
          </w:p>
          <w:p w14:paraId="7E8695EB">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（三）电子化项目开标、解密、唱标、评标</w:t>
            </w:r>
          </w:p>
          <w:p w14:paraId="4A743012">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1、本项目采用电子化、无纸化进行招标，开标当日，</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无需到开标现场参加开标会议，</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应当在投标截止时间前，登陆不见面开标大厅选择登陆三门峡市公共资源电子招投标系统进行登陆（网址为http://120.194.249.36:10094/BidOpening/bidopeninghallaction/hall/login）,在线准时参加开标活动并进行</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解密等</w:t>
            </w:r>
          </w:p>
          <w:p w14:paraId="20D59B09">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采用一次加密方式。开标时，由</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使用CA证书，在规定时间内对其电子化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进行解密。每位</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的解密时间为开标时间起30分钟内，如在规定时间内未完成解密的，其</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不予开标、唱标。</w:t>
            </w:r>
          </w:p>
          <w:p w14:paraId="3B33E62C">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解密异常的处理</w:t>
            </w:r>
          </w:p>
          <w:p w14:paraId="5F5CB7DC">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如出现</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的电子</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无法解密等异常情况，</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应及时致电中介服务机构说明。</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异常，按以下步骤进行处理：</w:t>
            </w:r>
          </w:p>
          <w:p w14:paraId="75E8E151">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首先由技术人员进行问题排查。</w:t>
            </w:r>
          </w:p>
          <w:p w14:paraId="15E822E0">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经技术人员排查后，是</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文件自身问题导致</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无法解密的，该</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将不予接收、解密和唱标。开标会议继续进行。</w:t>
            </w:r>
          </w:p>
          <w:p w14:paraId="61E71C88">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经技术人员排查后，如果是电子化交易系统问题造成</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无法解密的，将由技术人员对问题进行处理。如短时间内问题无法解决的，将由中介服务机构向监督部门申请经监督部门同意后，暂停开标会议，待问题解决后继续开标。</w:t>
            </w:r>
          </w:p>
          <w:p w14:paraId="3AACD6E0">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4、待所有</w:t>
            </w:r>
            <w:r>
              <w:rPr>
                <w:rFonts w:hint="eastAsia" w:ascii="宋体" w:hAnsi="宋体" w:eastAsia="宋体" w:cs="宋体"/>
                <w:color w:val="auto"/>
                <w:sz w:val="24"/>
                <w:szCs w:val="24"/>
                <w:highlight w:val="none"/>
                <w:lang w:eastAsia="zh-CN"/>
              </w:rPr>
              <w:t>供应商响应文件</w:t>
            </w:r>
            <w:r>
              <w:rPr>
                <w:rFonts w:hint="eastAsia" w:ascii="宋体" w:hAnsi="宋体" w:eastAsia="宋体" w:cs="宋体"/>
                <w:color w:val="auto"/>
                <w:sz w:val="24"/>
                <w:szCs w:val="24"/>
                <w:highlight w:val="none"/>
              </w:rPr>
              <w:t>解密完成后，由中介服务机构操作，对所有已解密</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进行唱标。</w:t>
            </w:r>
          </w:p>
          <w:p w14:paraId="26B28B50">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应保证在开标期间电话、电脑、网络能够正常工作，</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因停电、电脑病毒网络堵塞等原因，未在规定的解密时间内对</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进行解密的，其</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不予接收、唱标。</w:t>
            </w:r>
          </w:p>
          <w:p w14:paraId="190FBEDF">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5、开标时</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可登录到交易系统中在开标解密栏中点击报价一览表查看自己的投标报价。如对自己的唱标内容有异议的，应在</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解密成功后10分钟内向中介服务机构电话质疑。中介服务机构应在监督人员的监督下进行免提通话接受</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的质疑并做好书面记录。</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未在规定时间内提出质疑的，视为认可唱标内容。</w:t>
            </w:r>
          </w:p>
          <w:p w14:paraId="28A737D4">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6、评标时，</w:t>
            </w: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对电子化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有质疑的，将通过电子化交易系统对</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发起质疑，并在监督人员的监督下，用免提模式致电需要答复的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对质疑进行回复。</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的回复文件必须以经过</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和其法定代表人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自然人或者经营者</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签章的PDF格式文件为准，并通过电子化交易系统提交至</w:t>
            </w: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w:t>
            </w:r>
          </w:p>
          <w:p w14:paraId="3A496157">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7、如</w:t>
            </w: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对需要回复的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连续三次致电未接通的，视为</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放弃回复，</w:t>
            </w: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将自行对需要回复的内容进行认定。</w:t>
            </w:r>
          </w:p>
          <w:p w14:paraId="2E906EA2">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二、相关证书原件的提交</w:t>
            </w:r>
          </w:p>
          <w:p w14:paraId="1F2B59E5">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本项目实行资格后审，</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中要求</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提交相关资料原件的，根据优化营商环境的要求，评标时以</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为准：</w:t>
            </w:r>
          </w:p>
          <w:p w14:paraId="555E29D2">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1、资格评（预）审部分：资格评（预）以</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为准，其上传资料真实性由</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自行承担。</w:t>
            </w:r>
          </w:p>
          <w:p w14:paraId="36B2AC07">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2、评标打分部分：评标打分部分仍按照100分制原则进行，涉及到资格审查、企业荣誉、人员业绩、企业业绩等计分部分时，以</w:t>
            </w:r>
            <w:r>
              <w:rPr>
                <w:rFonts w:hint="eastAsia" w:ascii="宋体" w:hAnsi="宋体" w:eastAsia="宋体" w:cs="宋体"/>
                <w:color w:val="auto"/>
                <w:sz w:val="24"/>
                <w:szCs w:val="24"/>
                <w:highlight w:val="none"/>
                <w:lang w:eastAsia="zh-CN"/>
              </w:rPr>
              <w:t>响应单位</w:t>
            </w:r>
            <w:r>
              <w:rPr>
                <w:rFonts w:hint="eastAsia" w:ascii="宋体" w:hAnsi="宋体" w:eastAsia="宋体" w:cs="宋体"/>
                <w:color w:val="auto"/>
                <w:sz w:val="24"/>
                <w:szCs w:val="24"/>
                <w:highlight w:val="none"/>
              </w:rPr>
              <w:t>自行上传到</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中的相应内容为准。</w:t>
            </w:r>
          </w:p>
          <w:p w14:paraId="38CE9C65">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编制部分：在</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中要求</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按照</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格式进行</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编制，在</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编制时，应明确将</w:t>
            </w:r>
            <w:r>
              <w:rPr>
                <w:rFonts w:hint="eastAsia" w:ascii="宋体" w:hAnsi="宋体" w:eastAsia="宋体" w:cs="宋体"/>
                <w:color w:val="auto"/>
                <w:sz w:val="24"/>
                <w:szCs w:val="24"/>
                <w:highlight w:val="none"/>
                <w:lang w:eastAsia="zh-CN"/>
              </w:rPr>
              <w:t>响应单位</w:t>
            </w:r>
            <w:r>
              <w:rPr>
                <w:rFonts w:hint="eastAsia" w:ascii="宋体" w:hAnsi="宋体" w:eastAsia="宋体" w:cs="宋体"/>
                <w:color w:val="auto"/>
                <w:sz w:val="24"/>
                <w:szCs w:val="24"/>
                <w:highlight w:val="none"/>
              </w:rPr>
              <w:t>企业基本情况、资质情况、人员情况、财务情况、业绩情况编入</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，便于进行资格审查及评标打分。</w:t>
            </w:r>
          </w:p>
          <w:p w14:paraId="215205DE">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rPr>
              <w:t>4、</w:t>
            </w:r>
            <w:r>
              <w:rPr>
                <w:rFonts w:hint="eastAsia" w:ascii="宋体" w:hAnsi="宋体" w:eastAsia="宋体" w:cs="宋体"/>
                <w:color w:val="auto"/>
                <w:sz w:val="24"/>
                <w:szCs w:val="24"/>
                <w:highlight w:val="none"/>
              </w:rPr>
              <w:t>本项目可使用电子营业执照。</w:t>
            </w:r>
          </w:p>
          <w:p w14:paraId="458D98D4">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rPr>
              <w:t>5、</w:t>
            </w:r>
            <w:r>
              <w:rPr>
                <w:rFonts w:hint="eastAsia" w:ascii="宋体" w:hAnsi="宋体" w:eastAsia="宋体" w:cs="宋体"/>
                <w:color w:val="auto"/>
                <w:sz w:val="24"/>
                <w:szCs w:val="24"/>
                <w:highlight w:val="none"/>
              </w:rPr>
              <w:t>我单位（采购人）</w:t>
            </w:r>
            <w:r>
              <w:rPr>
                <w:rFonts w:hint="eastAsia" w:ascii="宋体" w:hAnsi="宋体" w:eastAsia="宋体" w:cs="宋体"/>
                <w:color w:val="auto"/>
                <w:sz w:val="24"/>
                <w:szCs w:val="24"/>
                <w:highlight w:val="none"/>
                <w:lang w:val="en-US" w:eastAsia="zh-CN"/>
              </w:rPr>
              <w:t>按</w:t>
            </w:r>
            <w:r>
              <w:rPr>
                <w:rFonts w:hint="eastAsia" w:ascii="宋体" w:hAnsi="宋体" w:eastAsia="宋体" w:cs="宋体"/>
                <w:color w:val="auto"/>
                <w:sz w:val="24"/>
                <w:szCs w:val="24"/>
                <w:highlight w:val="none"/>
              </w:rPr>
              <w:t>要求的时限发布</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结果公告，发出</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通知书，签订采购合同，上传采购合同。</w:t>
            </w:r>
          </w:p>
          <w:p w14:paraId="4178519E">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rPr>
              <w:t>6、</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应仔细阅读操作手册，在本公告中要求的截止时间前完成磋商文件下载等工作。因</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操作不当等问题造成的无法下载磋商文件、无法磋商等一切后果，由</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自行承担。</w:t>
            </w:r>
          </w:p>
          <w:p w14:paraId="709C7024">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rPr>
              <w:t>7、</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递交的响应文件不论</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与否均不予退还。</w:t>
            </w:r>
          </w:p>
          <w:p w14:paraId="40DB4CF0">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rPr>
              <w:t>8、</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应仔细阅读操作手册，在本公告中要求的截止时间前完成竞争性磋商文件下载等工作。因</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操作不当造成无法下载竞争性磋商文件、无法磋商等一切后果，由</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自行承担。</w:t>
            </w:r>
          </w:p>
          <w:p w14:paraId="316E4D09">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rPr>
              <w:t>9、</w:t>
            </w:r>
            <w:r>
              <w:rPr>
                <w:rFonts w:hint="eastAsia" w:ascii="宋体" w:hAnsi="宋体" w:eastAsia="宋体" w:cs="宋体"/>
                <w:color w:val="auto"/>
                <w:sz w:val="24"/>
                <w:szCs w:val="24"/>
                <w:highlight w:val="none"/>
              </w:rPr>
              <w:t>磋商所发生一切费用由各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自行承担，并承担相应的风险和责任。</w:t>
            </w:r>
          </w:p>
          <w:p w14:paraId="148D9290">
            <w:pPr>
              <w:autoSpaceDE/>
              <w:autoSpaceDN/>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rPr>
              <w:t>10、</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递交的资料和响应文件不论</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与否均不予退还。</w:t>
            </w:r>
          </w:p>
          <w:p w14:paraId="56F7D9DA">
            <w:pPr>
              <w:autoSpaceDE/>
              <w:autoSpaceDN/>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提示：本项目为电子化、无纸化交易项目，为保证您能投标成功，请需仔细阅读以上条款。</w:t>
            </w:r>
          </w:p>
        </w:tc>
      </w:tr>
      <w:tr w14:paraId="41BDF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7F1F4F26">
            <w:pPr>
              <w:numPr>
                <w:ilvl w:val="0"/>
                <w:numId w:val="1"/>
              </w:numPr>
              <w:spacing w:line="360" w:lineRule="auto"/>
              <w:ind w:left="420" w:leftChars="0" w:hanging="420" w:firstLineChars="0"/>
              <w:jc w:val="left"/>
              <w:rPr>
                <w:rFonts w:hint="default" w:ascii="宋体" w:hAnsi="宋体" w:eastAsia="宋体" w:cs="宋体"/>
                <w:color w:val="auto"/>
                <w:sz w:val="24"/>
                <w:szCs w:val="24"/>
                <w:highlight w:val="none"/>
                <w:lang w:val="en-US" w:eastAsia="zh-CN"/>
              </w:rPr>
            </w:pPr>
          </w:p>
        </w:tc>
        <w:tc>
          <w:tcPr>
            <w:tcW w:w="1973" w:type="dxa"/>
            <w:noWrap w:val="0"/>
            <w:vAlign w:val="center"/>
          </w:tcPr>
          <w:p w14:paraId="732EF882">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政府采购合同融资政策</w:t>
            </w:r>
          </w:p>
        </w:tc>
        <w:tc>
          <w:tcPr>
            <w:tcW w:w="6738" w:type="dxa"/>
            <w:noWrap w:val="0"/>
            <w:vAlign w:val="center"/>
          </w:tcPr>
          <w:p w14:paraId="63CAFAC3">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lang w:val="en-US" w:eastAsia="zh-CN"/>
              </w:rPr>
              <w:t>中标投标人中标后，如需融资，参照《河南省政府采购合同融资工作实施方案》（豫财购〔2017〕10 号）执行。</w:t>
            </w:r>
          </w:p>
        </w:tc>
      </w:tr>
      <w:tr w14:paraId="5F9E3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3E85C21A">
            <w:pPr>
              <w:numPr>
                <w:ilvl w:val="0"/>
                <w:numId w:val="1"/>
              </w:numPr>
              <w:spacing w:line="360" w:lineRule="auto"/>
              <w:ind w:left="420" w:leftChars="0" w:hanging="420" w:firstLineChars="0"/>
              <w:jc w:val="left"/>
              <w:rPr>
                <w:rFonts w:hint="default" w:ascii="宋体" w:hAnsi="宋体" w:eastAsia="宋体" w:cs="宋体"/>
                <w:color w:val="auto"/>
                <w:sz w:val="24"/>
                <w:szCs w:val="24"/>
                <w:highlight w:val="none"/>
                <w:lang w:val="en-US" w:eastAsia="zh-CN"/>
              </w:rPr>
            </w:pPr>
          </w:p>
        </w:tc>
        <w:tc>
          <w:tcPr>
            <w:tcW w:w="1973" w:type="dxa"/>
            <w:noWrap w:val="0"/>
            <w:vAlign w:val="center"/>
          </w:tcPr>
          <w:p w14:paraId="1C698359">
            <w:pPr>
              <w:spacing w:line="360" w:lineRule="auto"/>
              <w:jc w:val="left"/>
              <w:rPr>
                <w:rFonts w:hint="eastAsia" w:ascii="宋体" w:hAnsi="宋体" w:eastAsia="宋体" w:cs="宋体"/>
                <w:color w:val="auto"/>
                <w:sz w:val="24"/>
                <w:szCs w:val="24"/>
                <w:highlight w:val="none"/>
              </w:rPr>
            </w:pPr>
            <w:r>
              <w:rPr>
                <w:rFonts w:hint="eastAsia" w:ascii="宋体" w:hAnsi="宋体" w:eastAsia="宋体" w:cs="Times New Roman"/>
                <w:color w:val="auto"/>
                <w:sz w:val="24"/>
                <w:szCs w:val="24"/>
                <w:highlight w:val="none"/>
                <w:lang w:val="en-US" w:eastAsia="zh-CN"/>
              </w:rPr>
              <w:t>政府采购政策</w:t>
            </w:r>
          </w:p>
        </w:tc>
        <w:tc>
          <w:tcPr>
            <w:tcW w:w="6738" w:type="dxa"/>
            <w:noWrap w:val="0"/>
            <w:vAlign w:val="center"/>
          </w:tcPr>
          <w:p w14:paraId="07E42F88">
            <w:pPr>
              <w:widowControl/>
              <w:spacing w:line="460" w:lineRule="exact"/>
              <w:jc w:val="left"/>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1、投标人应优先采购“节能产品政府采购清单”中的产品，投标人应当列明本项目中所投的“节能产品清单”并提供相关有效证明材料,否则不予认可。评标时涉及节能产品的将按《节能产品政府采购实施意见》(财库【2004】185号)的规定执行。“节能产品政府采购清单”在中国政府采购网、中国环境资源信息网、中国节能节水认证网发布，属于清单内的产品，投标人优先采用该产品。</w:t>
            </w:r>
          </w:p>
          <w:p w14:paraId="0631787D">
            <w:pPr>
              <w:widowControl/>
              <w:spacing w:line="460" w:lineRule="exact"/>
              <w:jc w:val="left"/>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2、关于计算机办公设备，必须执行国家版权局、信息产业部、财政部等部门规定，投标人所投货物必须是国家信息部、版权局、商务部等部门认可的预装正版操作系统软件的计算机产品。</w:t>
            </w:r>
          </w:p>
          <w:p w14:paraId="73085935">
            <w:pPr>
              <w:widowControl/>
              <w:spacing w:line="460" w:lineRule="exact"/>
              <w:jc w:val="left"/>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3、优先采购本国产品。采购进口产品应符合《中华人民共和国政府采购法》并依法办理论证、公示、审批手续。</w:t>
            </w:r>
          </w:p>
          <w:p w14:paraId="161608CF">
            <w:pPr>
              <w:widowControl/>
              <w:spacing w:line="460" w:lineRule="exact"/>
              <w:jc w:val="left"/>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4、投标人应优先采购“环境标志产品政府采购清单”中的产品时，投标人应当列明本项目中所投的“环境标志产品清单”并提供相关有效证明材料，否则不予认可。评标时涉及环境标志产品的将按《环境标志产品政府采购实施意见》(财库【2006】90号）的规定执行。“环境标志产品政府采购清单”在中国政府采购网、中国绿色采购网、国家环境保护总局网发布，属于清单内的产品，投标人优先采用该产品。</w:t>
            </w:r>
          </w:p>
          <w:p w14:paraId="5425DFED">
            <w:pPr>
              <w:widowControl/>
              <w:spacing w:line="460" w:lineRule="exact"/>
              <w:jc w:val="left"/>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5、落实政府采购政策，对小型、微型企业、监狱企业及残疾人福利性单位产品价格给予20%的扣除（同一投标人，中小微企业产品和监狱企业产品价格扣除优惠只享受一次，不得重复享受），用扣除后的价格参与评审，参加政府采购活动的中小企业应当提供《中小企业声明函》并提供证明材料，未填写中小企业声明函的在评标过程中不予认可；参加政府采购活动的残疾人福利性企业应当提供《残疾人福利性单位声明函》并提供证明材料，未填写残疾人福利性单位声明函的在评标过程中不予认可。中标人如为小型和微型企业的，并在投标时填写了中小企业声明函，若不能提供或提供的材料与投标时做出的声明不符，招标人有权取消该中标人的中标资格，并对因其造成的损失进行追责。</w:t>
            </w:r>
          </w:p>
          <w:p w14:paraId="2AFCAE00">
            <w:pPr>
              <w:autoSpaceDE/>
              <w:autoSpaceDN/>
              <w:spacing w:line="360" w:lineRule="auto"/>
              <w:jc w:val="left"/>
              <w:rPr>
                <w:rFonts w:hint="eastAsia" w:ascii="宋体" w:hAnsi="宋体" w:eastAsia="宋体" w:cs="宋体"/>
                <w:b/>
                <w:bCs/>
                <w:color w:val="auto"/>
                <w:sz w:val="24"/>
                <w:szCs w:val="24"/>
                <w:highlight w:val="none"/>
              </w:rPr>
            </w:pPr>
            <w:r>
              <w:rPr>
                <w:rFonts w:hint="eastAsia" w:ascii="宋体" w:hAnsi="宋体" w:eastAsia="宋体" w:cs="Times New Roman"/>
                <w:color w:val="auto"/>
                <w:sz w:val="24"/>
                <w:szCs w:val="24"/>
                <w:highlight w:val="none"/>
                <w:lang w:val="en-US" w:eastAsia="zh-CN"/>
              </w:rPr>
              <w:t>本项目采购</w:t>
            </w:r>
            <w:r>
              <w:rPr>
                <w:rFonts w:hint="eastAsia" w:cs="Times New Roman"/>
                <w:color w:val="auto"/>
                <w:sz w:val="24"/>
                <w:szCs w:val="24"/>
                <w:highlight w:val="none"/>
                <w:lang w:val="en-US" w:eastAsia="zh-CN"/>
              </w:rPr>
              <w:t>所属行业</w:t>
            </w:r>
            <w:r>
              <w:rPr>
                <w:rFonts w:hint="eastAsia" w:ascii="宋体" w:hAnsi="宋体" w:eastAsia="宋体" w:cs="Times New Roman"/>
                <w:color w:val="auto"/>
                <w:sz w:val="24"/>
                <w:szCs w:val="24"/>
                <w:highlight w:val="none"/>
                <w:lang w:val="en-US" w:eastAsia="zh-CN"/>
              </w:rPr>
              <w:t>：</w:t>
            </w:r>
            <w:r>
              <w:rPr>
                <w:rFonts w:hint="eastAsia" w:ascii="宋体" w:hAnsi="宋体" w:eastAsia="宋体" w:cs="Times New Roman"/>
                <w:b/>
                <w:bCs/>
                <w:color w:val="auto"/>
                <w:sz w:val="24"/>
                <w:szCs w:val="24"/>
                <w:highlight w:val="none"/>
                <w:lang w:val="en-US" w:eastAsia="zh-CN"/>
              </w:rPr>
              <w:t>工业</w:t>
            </w:r>
            <w:r>
              <w:rPr>
                <w:rFonts w:hint="eastAsia" w:ascii="宋体" w:hAnsi="宋体" w:eastAsia="宋体" w:cs="Times New Roman"/>
                <w:color w:val="auto"/>
                <w:sz w:val="24"/>
                <w:szCs w:val="24"/>
                <w:highlight w:val="none"/>
                <w:lang w:val="en-US" w:eastAsia="zh-CN"/>
              </w:rPr>
              <w:t>。</w:t>
            </w:r>
          </w:p>
        </w:tc>
      </w:tr>
    </w:tbl>
    <w:p w14:paraId="634D39DE">
      <w:pPr>
        <w:spacing w:line="360" w:lineRule="auto"/>
        <w:jc w:val="both"/>
        <w:outlineLvl w:val="1"/>
        <w:rPr>
          <w:rFonts w:hint="eastAsia" w:ascii="宋体" w:hAnsi="宋体" w:eastAsia="宋体" w:cs="宋体"/>
          <w:b/>
          <w:bCs/>
          <w:snapToGrid w:val="0"/>
          <w:color w:val="auto"/>
          <w:sz w:val="24"/>
          <w:szCs w:val="24"/>
          <w:highlight w:val="none"/>
        </w:rPr>
      </w:pPr>
    </w:p>
    <w:p w14:paraId="0BE7C901">
      <w:pPr>
        <w:spacing w:line="360" w:lineRule="auto"/>
        <w:jc w:val="center"/>
        <w:outlineLvl w:val="1"/>
        <w:rPr>
          <w:rFonts w:hint="eastAsia" w:ascii="宋体" w:hAnsi="宋体" w:eastAsia="宋体" w:cs="宋体"/>
          <w:b/>
          <w:bCs/>
          <w:snapToGrid w:val="0"/>
          <w:color w:val="auto"/>
          <w:sz w:val="24"/>
          <w:szCs w:val="24"/>
          <w:highlight w:val="none"/>
        </w:rPr>
      </w:pPr>
      <w:r>
        <w:rPr>
          <w:rFonts w:hint="eastAsia" w:ascii="宋体" w:hAnsi="宋体" w:eastAsia="宋体" w:cs="宋体"/>
          <w:color w:val="auto"/>
          <w:sz w:val="24"/>
          <w:szCs w:val="24"/>
          <w:highlight w:val="none"/>
        </w:rPr>
        <mc:AlternateContent>
          <mc:Choice Requires="wps">
            <w:drawing>
              <wp:anchor distT="0" distB="0" distL="114300" distR="114300" simplePos="0" relativeHeight="251659264" behindDoc="1" locked="0" layoutInCell="0" allowOverlap="1">
                <wp:simplePos x="0" y="0"/>
                <wp:positionH relativeFrom="column">
                  <wp:posOffset>1007110</wp:posOffset>
                </wp:positionH>
                <wp:positionV relativeFrom="paragraph">
                  <wp:posOffset>-7227570</wp:posOffset>
                </wp:positionV>
                <wp:extent cx="8890" cy="0"/>
                <wp:effectExtent l="0" t="4445" r="0" b="5080"/>
                <wp:wrapNone/>
                <wp:docPr id="7" name="直接连接符 7"/>
                <wp:cNvGraphicFramePr/>
                <a:graphic xmlns:a="http://schemas.openxmlformats.org/drawingml/2006/main">
                  <a:graphicData uri="http://schemas.microsoft.com/office/word/2010/wordprocessingShape">
                    <wps:wsp>
                      <wps:cNvCnPr>
                        <a:cxnSpLocks noChangeShapeType="1"/>
                      </wps:cNvCnPr>
                      <wps:spPr bwMode="auto">
                        <a:xfrm>
                          <a:off x="0" y="0"/>
                          <a:ext cx="8890" cy="0"/>
                        </a:xfrm>
                        <a:prstGeom prst="line">
                          <a:avLst/>
                        </a:prstGeom>
                        <a:noFill/>
                        <a:ln w="1524">
                          <a:solidFill>
                            <a:srgbClr val="000000"/>
                          </a:solidFill>
                          <a:round/>
                        </a:ln>
                        <a:effectLst/>
                      </wps:spPr>
                      <wps:bodyPr/>
                    </wps:wsp>
                  </a:graphicData>
                </a:graphic>
              </wp:anchor>
            </w:drawing>
          </mc:Choice>
          <mc:Fallback>
            <w:pict>
              <v:line id="_x0000_s1026" o:spid="_x0000_s1026" o:spt="20" style="position:absolute;left:0pt;margin-left:79.3pt;margin-top:-569.1pt;height:0pt;width:0.7pt;z-index:-251657216;mso-width-relative:page;mso-height-relative:page;" filled="f" stroked="t" coordsize="21600,21600" o:allowincell="f" o:gfxdata="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R2PDftgA&#10;AAAPAQAADwAAAAAAAAABACAAAAAiAAAAZHJzL2Rvd25yZXYueG1sUEsBAhQAFAAAAAgAh07iQK4T&#10;ZT3mAQAAtQMAAA4AAAAAAAAAAQAgAAAAJwEAAGRycy9lMm9Eb2MueG1sUEsFBgAAAAAGAAYAWQEA&#10;AH8FAAAAAA==&#10;">
                <v:fill on="f" focussize="0,0"/>
                <v:stroke weight="0.12pt" color="#000000" joinstyle="round"/>
                <v:imagedata o:title=""/>
                <o:lock v:ext="edit" aspectratio="f"/>
              </v:line>
            </w:pict>
          </mc:Fallback>
        </mc:AlternateContent>
      </w:r>
      <w:bookmarkStart w:id="6" w:name="page8"/>
      <w:bookmarkEnd w:id="6"/>
      <w:bookmarkStart w:id="7" w:name="page6"/>
      <w:bookmarkEnd w:id="7"/>
      <w:bookmarkStart w:id="8" w:name="page7"/>
      <w:bookmarkEnd w:id="8"/>
      <w:bookmarkStart w:id="9" w:name="_Toc510994106"/>
      <w:r>
        <w:rPr>
          <w:rFonts w:hint="eastAsia" w:ascii="宋体" w:hAnsi="宋体" w:eastAsia="宋体" w:cs="宋体"/>
          <w:b/>
          <w:bCs/>
          <w:snapToGrid w:val="0"/>
          <w:color w:val="auto"/>
          <w:sz w:val="24"/>
          <w:szCs w:val="24"/>
          <w:highlight w:val="none"/>
        </w:rPr>
        <w:t>一、总则</w:t>
      </w:r>
      <w:bookmarkEnd w:id="9"/>
    </w:p>
    <w:p w14:paraId="2E6CDC74">
      <w:pPr>
        <w:tabs>
          <w:tab w:val="left" w:pos="737"/>
        </w:tabs>
        <w:overflowPunct w:val="0"/>
        <w:topLinePunct/>
        <w:adjustRightInd w:val="0"/>
        <w:snapToGrid w:val="0"/>
        <w:spacing w:line="360" w:lineRule="auto"/>
        <w:ind w:firstLine="482" w:firstLineChars="200"/>
        <w:rPr>
          <w:rFonts w:hint="eastAsia" w:ascii="宋体" w:hAnsi="宋体" w:eastAsia="宋体" w:cs="宋体"/>
          <w:b/>
          <w:snapToGrid w:val="0"/>
          <w:color w:val="auto"/>
          <w:position w:val="1"/>
          <w:sz w:val="24"/>
          <w:szCs w:val="24"/>
          <w:highlight w:val="none"/>
        </w:rPr>
      </w:pPr>
      <w:r>
        <w:rPr>
          <w:rFonts w:hint="eastAsia" w:ascii="宋体" w:hAnsi="宋体" w:eastAsia="宋体" w:cs="宋体"/>
          <w:b/>
          <w:snapToGrid w:val="0"/>
          <w:color w:val="auto"/>
          <w:sz w:val="24"/>
          <w:szCs w:val="24"/>
          <w:highlight w:val="none"/>
        </w:rPr>
        <w:t>1.</w:t>
      </w:r>
      <w:r>
        <w:rPr>
          <w:rFonts w:hint="eastAsia" w:ascii="宋体" w:hAnsi="宋体" w:eastAsia="宋体" w:cs="宋体"/>
          <w:b/>
          <w:snapToGrid w:val="0"/>
          <w:color w:val="auto"/>
          <w:position w:val="1"/>
          <w:sz w:val="24"/>
          <w:szCs w:val="24"/>
          <w:highlight w:val="none"/>
        </w:rPr>
        <w:t>适用范围</w:t>
      </w:r>
    </w:p>
    <w:p w14:paraId="14A3B8ED">
      <w:pPr>
        <w:overflowPunct w:val="0"/>
        <w:topLinePunct/>
        <w:adjustRightInd w:val="0"/>
        <w:snapToGrid w:val="0"/>
        <w:spacing w:line="360" w:lineRule="auto"/>
        <w:ind w:firstLine="482" w:firstLineChars="200"/>
        <w:rPr>
          <w:rFonts w:hint="eastAsia" w:ascii="宋体" w:hAnsi="宋体" w:eastAsia="宋体" w:cs="宋体"/>
          <w:b/>
          <w:snapToGrid w:val="0"/>
          <w:color w:val="auto"/>
          <w:position w:val="1"/>
          <w:sz w:val="24"/>
          <w:szCs w:val="24"/>
          <w:highlight w:val="none"/>
        </w:rPr>
      </w:pPr>
      <w:r>
        <w:rPr>
          <w:rFonts w:hint="eastAsia" w:ascii="宋体" w:hAnsi="宋体" w:eastAsia="宋体" w:cs="宋体"/>
          <w:b/>
          <w:snapToGrid w:val="0"/>
          <w:color w:val="auto"/>
          <w:position w:val="1"/>
          <w:sz w:val="24"/>
          <w:szCs w:val="24"/>
          <w:highlight w:val="none"/>
        </w:rPr>
        <w:t>1.1本磋商文件适用于本次采购活动的全过程。</w:t>
      </w:r>
    </w:p>
    <w:p w14:paraId="355EDCB2">
      <w:pPr>
        <w:tabs>
          <w:tab w:val="left" w:pos="0"/>
        </w:tabs>
        <w:topLinePunct/>
        <w:adjustRightInd w:val="0"/>
        <w:snapToGrid w:val="0"/>
        <w:spacing w:line="360" w:lineRule="auto"/>
        <w:ind w:firstLine="482" w:firstLineChars="200"/>
        <w:rPr>
          <w:rFonts w:hint="eastAsia" w:ascii="宋体" w:hAnsi="宋体" w:eastAsia="宋体" w:cs="宋体"/>
          <w:b/>
          <w:snapToGrid w:val="0"/>
          <w:color w:val="auto"/>
          <w:position w:val="1"/>
          <w:sz w:val="24"/>
          <w:szCs w:val="24"/>
          <w:highlight w:val="none"/>
        </w:rPr>
      </w:pPr>
      <w:r>
        <w:rPr>
          <w:rFonts w:hint="eastAsia" w:ascii="宋体" w:hAnsi="宋体" w:eastAsia="宋体" w:cs="宋体"/>
          <w:b/>
          <w:snapToGrid w:val="0"/>
          <w:color w:val="auto"/>
          <w:position w:val="1"/>
          <w:sz w:val="24"/>
          <w:szCs w:val="24"/>
          <w:highlight w:val="none"/>
        </w:rPr>
        <w:t>2.定义</w:t>
      </w:r>
    </w:p>
    <w:p w14:paraId="55A2792E">
      <w:pPr>
        <w:overflowPunct w:val="0"/>
        <w:topLinePunct/>
        <w:adjustRightInd w:val="0"/>
        <w:spacing w:line="360" w:lineRule="auto"/>
        <w:ind w:firstLine="479" w:firstLineChars="199"/>
        <w:rPr>
          <w:rFonts w:hint="eastAsia" w:ascii="宋体" w:hAnsi="宋体" w:eastAsia="宋体" w:cs="宋体"/>
          <w:b/>
          <w:snapToGrid w:val="0"/>
          <w:color w:val="auto"/>
          <w:position w:val="1"/>
          <w:sz w:val="24"/>
          <w:szCs w:val="24"/>
          <w:highlight w:val="none"/>
        </w:rPr>
      </w:pPr>
      <w:r>
        <w:rPr>
          <w:rFonts w:hint="eastAsia" w:ascii="宋体" w:hAnsi="宋体" w:eastAsia="宋体" w:cs="宋体"/>
          <w:b/>
          <w:snapToGrid w:val="0"/>
          <w:color w:val="auto"/>
          <w:position w:val="1"/>
          <w:sz w:val="24"/>
          <w:szCs w:val="24"/>
          <w:highlight w:val="none"/>
        </w:rPr>
        <w:t>“</w:t>
      </w:r>
      <w:r>
        <w:rPr>
          <w:rFonts w:hint="eastAsia" w:ascii="宋体" w:hAnsi="宋体" w:eastAsia="宋体" w:cs="宋体"/>
          <w:b/>
          <w:snapToGrid w:val="0"/>
          <w:color w:val="auto"/>
          <w:position w:val="1"/>
          <w:sz w:val="24"/>
          <w:szCs w:val="24"/>
          <w:highlight w:val="none"/>
          <w:lang w:val="en-US" w:eastAsia="zh-CN"/>
        </w:rPr>
        <w:t>货物</w:t>
      </w:r>
      <w:r>
        <w:rPr>
          <w:rFonts w:hint="eastAsia" w:ascii="宋体" w:hAnsi="宋体" w:eastAsia="宋体" w:cs="宋体"/>
          <w:b/>
          <w:snapToGrid w:val="0"/>
          <w:color w:val="auto"/>
          <w:position w:val="1"/>
          <w:sz w:val="24"/>
          <w:szCs w:val="24"/>
          <w:highlight w:val="none"/>
        </w:rPr>
        <w:t>”指本磋商文件所述</w:t>
      </w:r>
      <w:r>
        <w:rPr>
          <w:rFonts w:hint="eastAsia" w:eastAsia="宋体" w:cs="宋体"/>
          <w:b/>
          <w:snapToGrid w:val="0"/>
          <w:color w:val="auto"/>
          <w:position w:val="1"/>
          <w:sz w:val="24"/>
          <w:szCs w:val="24"/>
          <w:highlight w:val="none"/>
          <w:lang w:eastAsia="zh-CN"/>
        </w:rPr>
        <w:t>响应人</w:t>
      </w:r>
      <w:r>
        <w:rPr>
          <w:rFonts w:hint="eastAsia" w:ascii="宋体" w:hAnsi="宋体" w:eastAsia="宋体" w:cs="宋体"/>
          <w:b/>
          <w:snapToGrid w:val="0"/>
          <w:color w:val="auto"/>
          <w:position w:val="1"/>
          <w:sz w:val="24"/>
          <w:szCs w:val="24"/>
          <w:highlight w:val="none"/>
        </w:rPr>
        <w:t>应该</w:t>
      </w:r>
      <w:r>
        <w:rPr>
          <w:rFonts w:hint="eastAsia" w:ascii="宋体" w:hAnsi="宋体" w:eastAsia="宋体" w:cs="宋体"/>
          <w:b/>
          <w:snapToGrid w:val="0"/>
          <w:color w:val="auto"/>
          <w:position w:val="1"/>
          <w:sz w:val="24"/>
          <w:szCs w:val="24"/>
          <w:highlight w:val="none"/>
          <w:lang w:val="en-US" w:eastAsia="zh-CN"/>
        </w:rPr>
        <w:t>提供的产品</w:t>
      </w:r>
      <w:r>
        <w:rPr>
          <w:rFonts w:hint="eastAsia" w:ascii="宋体" w:hAnsi="宋体" w:eastAsia="宋体" w:cs="宋体"/>
          <w:b/>
          <w:snapToGrid w:val="0"/>
          <w:color w:val="auto"/>
          <w:position w:val="1"/>
          <w:sz w:val="24"/>
          <w:szCs w:val="24"/>
          <w:highlight w:val="none"/>
        </w:rPr>
        <w:t>。</w:t>
      </w:r>
    </w:p>
    <w:p w14:paraId="2ACD5C86">
      <w:pPr>
        <w:tabs>
          <w:tab w:val="left" w:pos="0"/>
        </w:tabs>
        <w:topLinePunct/>
        <w:adjustRightInd w:val="0"/>
        <w:snapToGrid w:val="0"/>
        <w:spacing w:line="360" w:lineRule="auto"/>
        <w:ind w:firstLine="482" w:firstLineChars="200"/>
        <w:rPr>
          <w:rFonts w:hint="eastAsia" w:ascii="宋体" w:hAnsi="宋体" w:eastAsia="宋体" w:cs="宋体"/>
          <w:b/>
          <w:snapToGrid w:val="0"/>
          <w:color w:val="auto"/>
          <w:position w:val="1"/>
          <w:sz w:val="24"/>
          <w:szCs w:val="24"/>
          <w:highlight w:val="none"/>
        </w:rPr>
      </w:pPr>
      <w:r>
        <w:rPr>
          <w:rFonts w:hint="eastAsia" w:ascii="宋体" w:hAnsi="宋体" w:eastAsia="宋体" w:cs="宋体"/>
          <w:b/>
          <w:snapToGrid w:val="0"/>
          <w:color w:val="auto"/>
          <w:position w:val="1"/>
          <w:sz w:val="24"/>
          <w:szCs w:val="24"/>
          <w:highlight w:val="none"/>
        </w:rPr>
        <w:t>3.合格</w:t>
      </w:r>
      <w:r>
        <w:rPr>
          <w:rFonts w:hint="eastAsia" w:eastAsia="宋体" w:cs="宋体"/>
          <w:b/>
          <w:snapToGrid w:val="0"/>
          <w:color w:val="auto"/>
          <w:position w:val="1"/>
          <w:sz w:val="24"/>
          <w:szCs w:val="24"/>
          <w:highlight w:val="none"/>
          <w:lang w:eastAsia="zh-CN"/>
        </w:rPr>
        <w:t>响应人</w:t>
      </w:r>
      <w:r>
        <w:rPr>
          <w:rFonts w:hint="eastAsia" w:ascii="宋体" w:hAnsi="宋体" w:eastAsia="宋体" w:cs="宋体"/>
          <w:b/>
          <w:snapToGrid w:val="0"/>
          <w:color w:val="auto"/>
          <w:position w:val="1"/>
          <w:sz w:val="24"/>
          <w:szCs w:val="24"/>
          <w:highlight w:val="none"/>
        </w:rPr>
        <w:t>的条件</w:t>
      </w:r>
    </w:p>
    <w:p w14:paraId="2CCFAECC">
      <w:pPr>
        <w:overflowPunct w:val="0"/>
        <w:topLinePunct/>
        <w:adjustRightInd w:val="0"/>
        <w:snapToGrid w:val="0"/>
        <w:spacing w:line="360" w:lineRule="auto"/>
        <w:ind w:firstLine="482" w:firstLineChars="200"/>
        <w:rPr>
          <w:rFonts w:hint="eastAsia" w:ascii="宋体" w:hAnsi="宋体" w:eastAsia="宋体" w:cs="宋体"/>
          <w:b/>
          <w:snapToGrid w:val="0"/>
          <w:color w:val="auto"/>
          <w:position w:val="1"/>
          <w:sz w:val="24"/>
          <w:szCs w:val="24"/>
          <w:highlight w:val="none"/>
        </w:rPr>
      </w:pPr>
      <w:r>
        <w:rPr>
          <w:rFonts w:hint="eastAsia" w:ascii="宋体" w:hAnsi="宋体" w:eastAsia="宋体" w:cs="宋体"/>
          <w:b/>
          <w:snapToGrid w:val="0"/>
          <w:color w:val="auto"/>
          <w:position w:val="1"/>
          <w:sz w:val="24"/>
          <w:szCs w:val="24"/>
          <w:highlight w:val="none"/>
        </w:rPr>
        <w:t>合格的</w:t>
      </w:r>
      <w:r>
        <w:rPr>
          <w:rFonts w:hint="eastAsia" w:eastAsia="宋体" w:cs="宋体"/>
          <w:b/>
          <w:snapToGrid w:val="0"/>
          <w:color w:val="auto"/>
          <w:position w:val="1"/>
          <w:sz w:val="24"/>
          <w:szCs w:val="24"/>
          <w:highlight w:val="none"/>
          <w:lang w:eastAsia="zh-CN"/>
        </w:rPr>
        <w:t>响应人</w:t>
      </w:r>
      <w:r>
        <w:rPr>
          <w:rFonts w:hint="eastAsia" w:ascii="宋体" w:hAnsi="宋体" w:eastAsia="宋体" w:cs="宋体"/>
          <w:b/>
          <w:snapToGrid w:val="0"/>
          <w:color w:val="auto"/>
          <w:position w:val="1"/>
          <w:sz w:val="24"/>
          <w:szCs w:val="24"/>
          <w:highlight w:val="none"/>
        </w:rPr>
        <w:t>应满足条件详见“前附表”。</w:t>
      </w:r>
    </w:p>
    <w:p w14:paraId="1E720DF6">
      <w:pPr>
        <w:tabs>
          <w:tab w:val="left" w:pos="0"/>
        </w:tabs>
        <w:topLinePunct/>
        <w:adjustRightInd w:val="0"/>
        <w:snapToGrid w:val="0"/>
        <w:spacing w:line="360" w:lineRule="auto"/>
        <w:ind w:firstLine="482" w:firstLineChars="200"/>
        <w:rPr>
          <w:rFonts w:hint="default" w:ascii="宋体" w:hAnsi="宋体" w:eastAsia="宋体" w:cs="宋体"/>
          <w:b/>
          <w:snapToGrid w:val="0"/>
          <w:color w:val="auto"/>
          <w:sz w:val="24"/>
          <w:szCs w:val="24"/>
          <w:highlight w:val="none"/>
          <w:lang w:val="en-US" w:eastAsia="zh-CN"/>
        </w:rPr>
      </w:pPr>
      <w:bookmarkStart w:id="10" w:name="_Toc2025"/>
      <w:bookmarkStart w:id="11" w:name="_Toc510994107"/>
      <w:bookmarkStart w:id="12" w:name="_Toc24376"/>
      <w:bookmarkStart w:id="13" w:name="_Toc5871"/>
      <w:bookmarkStart w:id="14" w:name="_Toc175644017"/>
      <w:r>
        <w:rPr>
          <w:rFonts w:hint="eastAsia" w:ascii="宋体" w:hAnsi="宋体" w:eastAsia="宋体" w:cs="宋体"/>
          <w:b/>
          <w:snapToGrid w:val="0"/>
          <w:color w:val="auto"/>
          <w:sz w:val="24"/>
          <w:szCs w:val="24"/>
          <w:highlight w:val="none"/>
          <w:lang w:val="en-US"/>
        </w:rPr>
        <w:t>4.</w:t>
      </w:r>
      <w:r>
        <w:rPr>
          <w:rFonts w:hint="eastAsia" w:ascii="宋体" w:hAnsi="宋体" w:eastAsia="宋体" w:cs="宋体"/>
          <w:b/>
          <w:snapToGrid w:val="0"/>
          <w:color w:val="auto"/>
          <w:sz w:val="24"/>
          <w:szCs w:val="24"/>
          <w:highlight w:val="none"/>
        </w:rPr>
        <w:t>磋商报价组成</w:t>
      </w:r>
      <w:r>
        <w:rPr>
          <w:rFonts w:hint="eastAsia" w:eastAsia="宋体" w:cs="宋体"/>
          <w:b/>
          <w:snapToGrid w:val="0"/>
          <w:color w:val="auto"/>
          <w:sz w:val="24"/>
          <w:szCs w:val="24"/>
          <w:highlight w:val="none"/>
          <w:lang w:val="en-US" w:eastAsia="zh-CN"/>
        </w:rPr>
        <w:t>及投标费用</w:t>
      </w:r>
    </w:p>
    <w:p w14:paraId="06DA2C6E">
      <w:pPr>
        <w:tabs>
          <w:tab w:val="left" w:pos="0"/>
        </w:tabs>
        <w:topLinePunct/>
        <w:adjustRightInd w:val="0"/>
        <w:snapToGrid w:val="0"/>
        <w:spacing w:line="360" w:lineRule="auto"/>
        <w:ind w:firstLine="480" w:firstLineChars="200"/>
        <w:rPr>
          <w:rFonts w:hint="eastAsia" w:ascii="宋体" w:hAnsi="宋体" w:eastAsia="宋体" w:cs="宋体"/>
          <w:bCs/>
          <w:snapToGrid w:val="0"/>
          <w:color w:val="auto"/>
          <w:sz w:val="24"/>
          <w:szCs w:val="24"/>
          <w:highlight w:val="none"/>
        </w:rPr>
      </w:pPr>
      <w:r>
        <w:rPr>
          <w:rFonts w:hint="eastAsia" w:eastAsia="宋体" w:cs="宋体"/>
          <w:bCs/>
          <w:snapToGrid w:val="0"/>
          <w:color w:val="auto"/>
          <w:sz w:val="24"/>
          <w:szCs w:val="24"/>
          <w:highlight w:val="none"/>
          <w:lang w:val="en-US" w:eastAsia="zh-CN"/>
        </w:rPr>
        <w:t>4.1</w:t>
      </w:r>
      <w:r>
        <w:rPr>
          <w:rFonts w:hint="eastAsia" w:eastAsia="宋体" w:cs="宋体"/>
          <w:bCs/>
          <w:snapToGrid w:val="0"/>
          <w:color w:val="auto"/>
          <w:sz w:val="24"/>
          <w:szCs w:val="24"/>
          <w:highlight w:val="none"/>
          <w:lang w:eastAsia="zh-CN"/>
        </w:rPr>
        <w:t>响应人</w:t>
      </w:r>
      <w:r>
        <w:rPr>
          <w:rFonts w:hint="eastAsia" w:ascii="宋体" w:hAnsi="宋体" w:eastAsia="宋体" w:cs="宋体"/>
          <w:bCs/>
          <w:snapToGrid w:val="0"/>
          <w:color w:val="auto"/>
          <w:sz w:val="24"/>
          <w:szCs w:val="24"/>
          <w:highlight w:val="none"/>
        </w:rPr>
        <w:t>应根据自身情况进行合理报价，报价应包括人工费、设备费、材料费、交通费、技术服务费、验收费、相关税款等与招标项目相关的、必须的款项及费用（包括未列明而完成交验所必须的所有设备、材料、工具、费用）。</w:t>
      </w:r>
    </w:p>
    <w:p w14:paraId="7B840273">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eastAsia="宋体" w:cs="宋体"/>
          <w:snapToGrid w:val="0"/>
          <w:color w:val="auto"/>
          <w:sz w:val="24"/>
          <w:szCs w:val="24"/>
          <w:highlight w:val="none"/>
          <w:lang w:val="en-US" w:eastAsia="zh-CN"/>
        </w:rPr>
        <w:t>4.2</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应承担所有与准备和参加投标有关的费用，采购代理机构（或采购人）在任何情况下均无义务和责任承担这些费用。</w:t>
      </w:r>
    </w:p>
    <w:p w14:paraId="00A9B8CB">
      <w:pPr>
        <w:topLinePunct/>
        <w:adjustRightInd w:val="0"/>
        <w:snapToGrid w:val="0"/>
        <w:spacing w:line="360" w:lineRule="auto"/>
        <w:jc w:val="center"/>
        <w:outlineLvl w:val="1"/>
        <w:rPr>
          <w:rFonts w:hint="eastAsia" w:ascii="宋体" w:hAnsi="宋体" w:eastAsia="宋体" w:cs="宋体"/>
          <w:b/>
          <w:bCs/>
          <w:snapToGrid w:val="0"/>
          <w:color w:val="auto"/>
          <w:sz w:val="24"/>
          <w:szCs w:val="24"/>
          <w:highlight w:val="none"/>
        </w:rPr>
      </w:pPr>
      <w:r>
        <w:rPr>
          <w:rFonts w:hint="eastAsia" w:ascii="宋体" w:hAnsi="宋体" w:eastAsia="宋体" w:cs="宋体"/>
          <w:b/>
          <w:bCs/>
          <w:snapToGrid w:val="0"/>
          <w:color w:val="auto"/>
          <w:sz w:val="24"/>
          <w:szCs w:val="24"/>
          <w:highlight w:val="none"/>
        </w:rPr>
        <w:t>二、磋商文件</w:t>
      </w:r>
      <w:bookmarkEnd w:id="10"/>
      <w:bookmarkEnd w:id="11"/>
      <w:bookmarkEnd w:id="12"/>
      <w:bookmarkEnd w:id="13"/>
      <w:bookmarkEnd w:id="14"/>
    </w:p>
    <w:p w14:paraId="78F1A2FE">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rPr>
        <w:t>5.磋商文件的构成</w:t>
      </w:r>
    </w:p>
    <w:p w14:paraId="7B324509">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5.1磋商文件由下列六章内容组成：</w:t>
      </w:r>
    </w:p>
    <w:p w14:paraId="40DBBCA7">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第一章 竞争性磋商公告；</w:t>
      </w:r>
    </w:p>
    <w:p w14:paraId="65DBD060">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第二章 </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须知；</w:t>
      </w:r>
    </w:p>
    <w:p w14:paraId="1B31BB26">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第三章 采购内容及参数要求；</w:t>
      </w:r>
    </w:p>
    <w:p w14:paraId="1088AB88">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第四章 </w:t>
      </w:r>
      <w:r>
        <w:rPr>
          <w:rFonts w:hint="eastAsia" w:ascii="宋体" w:hAnsi="宋体" w:eastAsia="宋体" w:cs="宋体"/>
          <w:snapToGrid w:val="0"/>
          <w:color w:val="auto"/>
          <w:sz w:val="24"/>
          <w:szCs w:val="24"/>
          <w:highlight w:val="none"/>
          <w:lang w:val="en-US"/>
        </w:rPr>
        <w:t>评审办法</w:t>
      </w:r>
      <w:r>
        <w:rPr>
          <w:rFonts w:hint="eastAsia" w:ascii="宋体" w:hAnsi="宋体" w:eastAsia="宋体" w:cs="宋体"/>
          <w:snapToGrid w:val="0"/>
          <w:color w:val="auto"/>
          <w:sz w:val="24"/>
          <w:szCs w:val="24"/>
          <w:highlight w:val="none"/>
        </w:rPr>
        <w:t>；</w:t>
      </w:r>
    </w:p>
    <w:p w14:paraId="49941F60">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第五章 合同格式；</w:t>
      </w:r>
    </w:p>
    <w:p w14:paraId="3FCB08F2">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第六章 响应文件格式。</w:t>
      </w:r>
    </w:p>
    <w:p w14:paraId="01B87FA4">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5.2磋商文件以中文文字编写。电子介质磋商文件具有同等法律效力。</w:t>
      </w:r>
    </w:p>
    <w:p w14:paraId="4D34BE81">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5.3 </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应认真阅读磋商文件中所有的事项、格式、条款和磋商内容及要求等，并按照磋商文件的要求编制响应文件。若</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不按照磋商文件要求编制响应文件，由此产生的风险和责任将由</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自己承担。</w:t>
      </w:r>
    </w:p>
    <w:p w14:paraId="58A1BB5E">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rPr>
        <w:t>6.竞争性磋商文件的澄清</w:t>
      </w:r>
    </w:p>
    <w:p w14:paraId="3AB21ECC">
      <w:pPr>
        <w:tabs>
          <w:tab w:val="left" w:pos="567"/>
        </w:tabs>
        <w:overflowPunct w:val="0"/>
        <w:topLinePunct/>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 无论是采购人根据需要主动对竞争性磋商文件进行必要的澄清，或是根据</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的要求对竞争性磋商文件做出澄清，采购人都将于投标截止时间5日前以书面形式予以澄清，同时将澄清文件向所有</w:t>
      </w:r>
      <w:r>
        <w:rPr>
          <w:rFonts w:hint="eastAsia" w:ascii="宋体" w:hAnsi="宋体" w:eastAsia="宋体" w:cs="宋体"/>
          <w:color w:val="auto"/>
          <w:sz w:val="24"/>
          <w:szCs w:val="24"/>
          <w:highlight w:val="none"/>
          <w:lang w:val="en-US" w:eastAsia="zh-CN"/>
        </w:rPr>
        <w:t>潜在</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发送。该澄清作为竞争性磋商文件的组成部分，具有约束作用。</w:t>
      </w:r>
    </w:p>
    <w:p w14:paraId="0BDA703D">
      <w:pPr>
        <w:tabs>
          <w:tab w:val="left" w:pos="567"/>
        </w:tabs>
        <w:overflowPunct w:val="0"/>
        <w:topLinePunct/>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 竞争性磋商文件的澄清将以书面形式发给所有潜在竞争性</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，但不指明澄清问题的来源。</w:t>
      </w:r>
    </w:p>
    <w:p w14:paraId="313D536A">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rPr>
        <w:t>7.竞争性磋商文件的修改</w:t>
      </w:r>
    </w:p>
    <w:p w14:paraId="23571E5E">
      <w:pPr>
        <w:tabs>
          <w:tab w:val="left" w:pos="567"/>
        </w:tabs>
        <w:overflowPunct w:val="0"/>
        <w:topLinePunct/>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7.1提交首次响应文件截止之日前，采购人可以对已发出的磋商文件进行必要的澄清或者修改，澄清或者修改的内容作为磋商文件的组成部分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详见前附表。</w:t>
      </w:r>
    </w:p>
    <w:p w14:paraId="6D4C690E">
      <w:pPr>
        <w:tabs>
          <w:tab w:val="left" w:pos="567"/>
        </w:tabs>
        <w:overflowPunct w:val="0"/>
        <w:topLinePunct/>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7.2竞争性磋商文件的修改将以网站发布形式通知所有</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，竞争性磋商文件的修改作为竞争性磋商文件的组成部分并具有约束力。</w:t>
      </w:r>
    </w:p>
    <w:p w14:paraId="16431DD5">
      <w:pPr>
        <w:tabs>
          <w:tab w:val="left" w:pos="567"/>
        </w:tabs>
        <w:overflowPunct w:val="0"/>
        <w:topLinePunct/>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竞争性磋商文件、竞争性磋商文件澄清(答疑)、纪要、竞争性磋商文件修改补充通知内容均以书面明确的内容为准。当竞争性磋商文件、修改补充通知、澄清（答疑）纪要内容相互矛盾时，以最后发出的通知（或纪要）或修改文件为准。</w:t>
      </w:r>
    </w:p>
    <w:p w14:paraId="5A44F29D">
      <w:pPr>
        <w:tabs>
          <w:tab w:val="left" w:pos="567"/>
        </w:tabs>
        <w:overflowPunct w:val="0"/>
        <w:topLinePunct/>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7.4如遇特殊情况时，采购人可以改变递交响应文件的截止日期和开评标地点等不影响</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实质性利益的内容，并以网站发布形式通知所有</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w:t>
      </w:r>
    </w:p>
    <w:p w14:paraId="56200529">
      <w:pPr>
        <w:overflowPunct w:val="0"/>
        <w:topLinePunct/>
        <w:adjustRightInd w:val="0"/>
        <w:snapToGrid w:val="0"/>
        <w:spacing w:line="360" w:lineRule="auto"/>
        <w:jc w:val="center"/>
        <w:outlineLvl w:val="1"/>
        <w:rPr>
          <w:rFonts w:hint="eastAsia" w:ascii="宋体" w:hAnsi="宋体" w:eastAsia="宋体" w:cs="宋体"/>
          <w:b/>
          <w:bCs/>
          <w:snapToGrid w:val="0"/>
          <w:color w:val="auto"/>
          <w:sz w:val="24"/>
          <w:szCs w:val="24"/>
          <w:highlight w:val="none"/>
        </w:rPr>
      </w:pPr>
      <w:bookmarkStart w:id="15" w:name="_Toc510994108"/>
      <w:bookmarkStart w:id="16" w:name="_Toc175644018"/>
      <w:bookmarkStart w:id="17" w:name="_Toc8557"/>
      <w:bookmarkStart w:id="18" w:name="_Toc27236"/>
      <w:bookmarkStart w:id="19" w:name="_Toc608"/>
      <w:r>
        <w:rPr>
          <w:rFonts w:hint="eastAsia" w:ascii="宋体" w:hAnsi="宋体" w:eastAsia="宋体" w:cs="宋体"/>
          <w:b/>
          <w:bCs/>
          <w:snapToGrid w:val="0"/>
          <w:color w:val="auto"/>
          <w:sz w:val="24"/>
          <w:szCs w:val="24"/>
          <w:highlight w:val="none"/>
        </w:rPr>
        <w:t>三、响应文件</w:t>
      </w:r>
      <w:bookmarkEnd w:id="15"/>
      <w:bookmarkEnd w:id="16"/>
      <w:bookmarkEnd w:id="17"/>
      <w:bookmarkEnd w:id="18"/>
      <w:bookmarkEnd w:id="19"/>
    </w:p>
    <w:p w14:paraId="1C5F8F1B">
      <w:pPr>
        <w:numPr>
          <w:ilvl w:val="0"/>
          <w:numId w:val="3"/>
        </w:num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rPr>
        <w:t>语言及计量单位</w:t>
      </w:r>
    </w:p>
    <w:p w14:paraId="75A1D20C">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8.1 </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递交的响应文件以及</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与采购代理机构就有关投标的所有来往函电均应使用中文书写。</w:t>
      </w:r>
    </w:p>
    <w:p w14:paraId="67B36A92">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8.2 除在竞争性磋商文件的技术规范中另有规定外，计量单位应使用中华人民共和国法</w:t>
      </w:r>
      <w:bookmarkStart w:id="20" w:name="page11"/>
      <w:bookmarkEnd w:id="20"/>
      <w:r>
        <w:rPr>
          <w:rFonts w:hint="eastAsia" w:ascii="宋体" w:hAnsi="宋体" w:eastAsia="宋体" w:cs="宋体"/>
          <w:snapToGrid w:val="0"/>
          <w:color w:val="auto"/>
          <w:sz w:val="24"/>
          <w:szCs w:val="24"/>
          <w:highlight w:val="none"/>
        </w:rPr>
        <w:t>定计量单位。</w:t>
      </w:r>
    </w:p>
    <w:p w14:paraId="75499532">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rPr>
        <w:t>9.响应文件的组成</w:t>
      </w:r>
    </w:p>
    <w:p w14:paraId="1CC944EA">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详见响应文件格式。</w:t>
      </w:r>
    </w:p>
    <w:p w14:paraId="5D1738CD">
      <w:pPr>
        <w:tabs>
          <w:tab w:val="left" w:pos="567"/>
        </w:tabs>
        <w:overflowPunct w:val="0"/>
        <w:topLinePunct/>
        <w:adjustRightInd w:val="0"/>
        <w:snapToGrid w:val="0"/>
        <w:spacing w:line="360" w:lineRule="auto"/>
        <w:ind w:firstLine="482" w:firstLineChars="200"/>
        <w:rPr>
          <w:rFonts w:hint="eastAsia" w:ascii="宋体" w:hAnsi="宋体" w:eastAsia="宋体" w:cs="宋体"/>
          <w:b/>
          <w:bCs/>
          <w:snapToGrid w:val="0"/>
          <w:color w:val="auto"/>
          <w:sz w:val="24"/>
          <w:szCs w:val="24"/>
          <w:highlight w:val="none"/>
        </w:rPr>
      </w:pPr>
      <w:r>
        <w:rPr>
          <w:rFonts w:hint="eastAsia" w:ascii="宋体" w:hAnsi="宋体" w:eastAsia="宋体" w:cs="宋体"/>
          <w:b/>
          <w:bCs/>
          <w:snapToGrid w:val="0"/>
          <w:color w:val="auto"/>
          <w:sz w:val="24"/>
          <w:szCs w:val="24"/>
          <w:highlight w:val="none"/>
        </w:rPr>
        <w:t>10.磋商有效期</w:t>
      </w:r>
    </w:p>
    <w:p w14:paraId="3DF20D74">
      <w:pPr>
        <w:overflowPunct w:val="0"/>
        <w:topLinePunct/>
        <w:adjustRightInd w:val="0"/>
        <w:snapToGrid w:val="0"/>
        <w:spacing w:line="360" w:lineRule="auto"/>
        <w:ind w:firstLine="480" w:firstLineChars="200"/>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10.1响应文件应自</w:t>
      </w:r>
      <w:r>
        <w:rPr>
          <w:rFonts w:hint="eastAsia" w:eastAsia="宋体" w:cs="宋体"/>
          <w:bCs/>
          <w:snapToGrid w:val="0"/>
          <w:color w:val="auto"/>
          <w:sz w:val="24"/>
          <w:szCs w:val="24"/>
          <w:highlight w:val="none"/>
          <w:lang w:eastAsia="zh-CN"/>
        </w:rPr>
        <w:t>响应人</w:t>
      </w:r>
      <w:r>
        <w:rPr>
          <w:rFonts w:hint="eastAsia" w:ascii="宋体" w:hAnsi="宋体" w:eastAsia="宋体" w:cs="宋体"/>
          <w:bCs/>
          <w:snapToGrid w:val="0"/>
          <w:color w:val="auto"/>
          <w:sz w:val="24"/>
          <w:szCs w:val="24"/>
          <w:highlight w:val="none"/>
        </w:rPr>
        <w:t>须知前附表中规定的提交响应文件的截止之日起，并在</w:t>
      </w:r>
      <w:r>
        <w:rPr>
          <w:rFonts w:hint="eastAsia" w:eastAsia="宋体" w:cs="宋体"/>
          <w:bCs/>
          <w:snapToGrid w:val="0"/>
          <w:color w:val="auto"/>
          <w:sz w:val="24"/>
          <w:szCs w:val="24"/>
          <w:highlight w:val="none"/>
          <w:lang w:eastAsia="zh-CN"/>
        </w:rPr>
        <w:t>响应人</w:t>
      </w:r>
      <w:r>
        <w:rPr>
          <w:rFonts w:hint="eastAsia" w:ascii="宋体" w:hAnsi="宋体" w:eastAsia="宋体" w:cs="宋体"/>
          <w:bCs/>
          <w:snapToGrid w:val="0"/>
          <w:color w:val="auto"/>
          <w:sz w:val="24"/>
          <w:szCs w:val="24"/>
          <w:highlight w:val="none"/>
        </w:rPr>
        <w:t xml:space="preserve">须知前附表中所述期限内保持有效。磋商有效期不足的响应文件将被视为非实质性响应，其响应将被拒绝。 </w:t>
      </w:r>
    </w:p>
    <w:p w14:paraId="58D3266D">
      <w:pPr>
        <w:overflowPunct w:val="0"/>
        <w:topLinePunct/>
        <w:adjustRightInd w:val="0"/>
        <w:snapToGrid w:val="0"/>
        <w:spacing w:line="360" w:lineRule="auto"/>
        <w:ind w:firstLine="480" w:firstLineChars="200"/>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10.2特殊情况下，在原磋商有效期截止之前，采购人可要求</w:t>
      </w:r>
      <w:r>
        <w:rPr>
          <w:rFonts w:hint="eastAsia" w:eastAsia="宋体" w:cs="宋体"/>
          <w:bCs/>
          <w:snapToGrid w:val="0"/>
          <w:color w:val="auto"/>
          <w:sz w:val="24"/>
          <w:szCs w:val="24"/>
          <w:highlight w:val="none"/>
          <w:lang w:eastAsia="zh-CN"/>
        </w:rPr>
        <w:t>响应人</w:t>
      </w:r>
      <w:r>
        <w:rPr>
          <w:rFonts w:hint="eastAsia" w:ascii="宋体" w:hAnsi="宋体" w:eastAsia="宋体" w:cs="宋体"/>
          <w:bCs/>
          <w:snapToGrid w:val="0"/>
          <w:color w:val="auto"/>
          <w:sz w:val="24"/>
          <w:szCs w:val="24"/>
          <w:highlight w:val="none"/>
        </w:rPr>
        <w:t>延长磋商有效期。这种要求与答复均应以书面形式提交。</w:t>
      </w:r>
      <w:r>
        <w:rPr>
          <w:rFonts w:hint="eastAsia" w:eastAsia="宋体" w:cs="宋体"/>
          <w:bCs/>
          <w:snapToGrid w:val="0"/>
          <w:color w:val="auto"/>
          <w:sz w:val="24"/>
          <w:szCs w:val="24"/>
          <w:highlight w:val="none"/>
          <w:lang w:eastAsia="zh-CN"/>
        </w:rPr>
        <w:t>响应人</w:t>
      </w:r>
      <w:r>
        <w:rPr>
          <w:rFonts w:hint="eastAsia" w:ascii="宋体" w:hAnsi="宋体" w:eastAsia="宋体" w:cs="宋体"/>
          <w:bCs/>
          <w:snapToGrid w:val="0"/>
          <w:color w:val="auto"/>
          <w:sz w:val="24"/>
          <w:szCs w:val="24"/>
          <w:highlight w:val="none"/>
        </w:rPr>
        <w:t>可以拒绝采购人的这种要求，但其响应文件在原磋商有效期期满后将不再有效。同意延长磋商有效期的</w:t>
      </w:r>
      <w:r>
        <w:rPr>
          <w:rFonts w:hint="eastAsia" w:eastAsia="宋体" w:cs="宋体"/>
          <w:bCs/>
          <w:snapToGrid w:val="0"/>
          <w:color w:val="auto"/>
          <w:sz w:val="24"/>
          <w:szCs w:val="24"/>
          <w:highlight w:val="none"/>
          <w:lang w:eastAsia="zh-CN"/>
        </w:rPr>
        <w:t>响应人</w:t>
      </w:r>
      <w:r>
        <w:rPr>
          <w:rFonts w:hint="eastAsia" w:ascii="宋体" w:hAnsi="宋体" w:eastAsia="宋体" w:cs="宋体"/>
          <w:bCs/>
          <w:snapToGrid w:val="0"/>
          <w:color w:val="auto"/>
          <w:sz w:val="24"/>
          <w:szCs w:val="24"/>
          <w:highlight w:val="none"/>
        </w:rPr>
        <w:t>将不会被要求和允许修正其磋商响应。</w:t>
      </w:r>
    </w:p>
    <w:p w14:paraId="386D542F">
      <w:pPr>
        <w:overflowPunct w:val="0"/>
        <w:topLinePunct/>
        <w:adjustRightInd w:val="0"/>
        <w:snapToGrid w:val="0"/>
        <w:spacing w:line="360" w:lineRule="auto"/>
        <w:jc w:val="center"/>
        <w:outlineLvl w:val="1"/>
        <w:rPr>
          <w:rFonts w:hint="eastAsia" w:ascii="宋体" w:hAnsi="宋体" w:eastAsia="宋体" w:cs="宋体"/>
          <w:b/>
          <w:bCs/>
          <w:snapToGrid w:val="0"/>
          <w:color w:val="auto"/>
          <w:sz w:val="24"/>
          <w:szCs w:val="24"/>
          <w:highlight w:val="none"/>
        </w:rPr>
      </w:pPr>
      <w:bookmarkStart w:id="21" w:name="_Toc510994109"/>
      <w:bookmarkStart w:id="22" w:name="_Toc23842"/>
      <w:bookmarkStart w:id="23" w:name="_Toc175644019"/>
      <w:bookmarkStart w:id="24" w:name="_Toc25180"/>
      <w:bookmarkStart w:id="25" w:name="_Toc32716"/>
      <w:r>
        <w:rPr>
          <w:rFonts w:hint="eastAsia" w:ascii="宋体" w:hAnsi="宋体" w:eastAsia="宋体" w:cs="宋体"/>
          <w:b/>
          <w:bCs/>
          <w:snapToGrid w:val="0"/>
          <w:color w:val="auto"/>
          <w:sz w:val="24"/>
          <w:szCs w:val="24"/>
          <w:highlight w:val="none"/>
        </w:rPr>
        <w:t>四、响应文件的递交</w:t>
      </w:r>
      <w:bookmarkEnd w:id="21"/>
      <w:bookmarkEnd w:id="22"/>
      <w:bookmarkEnd w:id="23"/>
      <w:bookmarkEnd w:id="24"/>
      <w:bookmarkEnd w:id="25"/>
    </w:p>
    <w:p w14:paraId="623A9323">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rPr>
        <w:t>11.响应文件的递交</w:t>
      </w:r>
    </w:p>
    <w:p w14:paraId="77E08B34">
      <w:pPr>
        <w:tabs>
          <w:tab w:val="left" w:pos="0"/>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11.1 </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须在响应文件递交截止时间前制作并提交加密电子响应文件。加密的电子响应文件</w:t>
      </w:r>
      <w:r>
        <w:rPr>
          <w:rFonts w:hint="eastAsia" w:ascii="宋体" w:hAnsi="宋体" w:eastAsia="宋体" w:cs="宋体"/>
          <w:snapToGrid w:val="0"/>
          <w:color w:val="auto"/>
          <w:sz w:val="24"/>
          <w:szCs w:val="24"/>
          <w:highlight w:val="none"/>
          <w:lang w:eastAsia="zh-CN"/>
        </w:rPr>
        <w:t>，</w:t>
      </w:r>
      <w:r>
        <w:rPr>
          <w:rFonts w:hint="eastAsia" w:ascii="宋体" w:hAnsi="宋体" w:eastAsia="宋体" w:cs="宋体"/>
          <w:snapToGrid w:val="0"/>
          <w:color w:val="auto"/>
          <w:sz w:val="24"/>
          <w:szCs w:val="24"/>
          <w:highlight w:val="none"/>
        </w:rPr>
        <w:t>应在响应文件递交截止时间前通过三门峡市公共资源交易中心（投标方）电子交易平台上传，</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应在上传时认真检查上传响应文件是否完整、正确。</w:t>
      </w:r>
    </w:p>
    <w:p w14:paraId="62E13296">
      <w:pPr>
        <w:tabs>
          <w:tab w:val="left" w:pos="0"/>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11.2 提交响应文件截止时间后，电子响应文件将无法通过网上投标系统进行上传，采购代理机构将无法接受</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提交响应文件。</w:t>
      </w:r>
    </w:p>
    <w:p w14:paraId="0D144F9C">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rPr>
        <w:t>12.递交响应文件的截止日期和地点</w:t>
      </w:r>
    </w:p>
    <w:p w14:paraId="5D364E7A">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12.1所有响应文件都必须按采购代理机构在竞争性磋商公告中规定的投标截止时间之前上传至投标系统。</w:t>
      </w:r>
    </w:p>
    <w:p w14:paraId="098EBC3D">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12.2</w:t>
      </w:r>
      <w:r>
        <w:rPr>
          <w:rFonts w:hint="eastAsia" w:eastAsia="宋体" w:cs="宋体"/>
          <w:snapToGrid w:val="0"/>
          <w:color w:val="auto"/>
          <w:sz w:val="24"/>
          <w:szCs w:val="24"/>
          <w:highlight w:val="none"/>
          <w:lang w:val="en-US" w:eastAsia="zh-CN"/>
        </w:rPr>
        <w:t>根</w:t>
      </w:r>
      <w:r>
        <w:rPr>
          <w:rFonts w:hint="eastAsia" w:ascii="宋体" w:hAnsi="宋体" w:eastAsia="宋体" w:cs="宋体"/>
          <w:snapToGrid w:val="0"/>
          <w:color w:val="auto"/>
          <w:sz w:val="24"/>
          <w:szCs w:val="24"/>
          <w:highlight w:val="none"/>
        </w:rPr>
        <w:t>据网上电子交易系统设定，响应文件提交截止时间后，系统将自动锁定已经提交的电子响应文件，拒绝再次提交。</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将无法通过网上电子交易系统进行上传，采购代理机构将无法接受并拒绝接受投标截止时间以后提交的响应文件。</w:t>
      </w:r>
    </w:p>
    <w:p w14:paraId="0AB1296C">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rPr>
        <w:t>13.响应文件的补充、修改和撤回</w:t>
      </w:r>
    </w:p>
    <w:p w14:paraId="256E4BEF">
      <w:pPr>
        <w:tabs>
          <w:tab w:val="left" w:pos="1086"/>
        </w:tabs>
        <w:spacing w:line="360" w:lineRule="auto"/>
        <w:ind w:right="24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于提交响应文件截止时间前如对响应文件进行补充、修改，可以上传新的响应文件进行覆盖。</w:t>
      </w:r>
    </w:p>
    <w:p w14:paraId="4DA5ADBD">
      <w:pPr>
        <w:tabs>
          <w:tab w:val="left" w:pos="1086"/>
        </w:tabs>
        <w:spacing w:line="360" w:lineRule="auto"/>
        <w:ind w:right="24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13.1.2</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在响应文件提交截止时间后不得自行修改或撤回其投标，否则其需承担相应的法律责任。</w:t>
      </w:r>
    </w:p>
    <w:p w14:paraId="23A867E3">
      <w:pPr>
        <w:overflowPunct w:val="0"/>
        <w:topLinePunct/>
        <w:adjustRightInd w:val="0"/>
        <w:snapToGrid w:val="0"/>
        <w:spacing w:line="360" w:lineRule="auto"/>
        <w:jc w:val="center"/>
        <w:outlineLvl w:val="1"/>
        <w:rPr>
          <w:rFonts w:hint="eastAsia" w:ascii="宋体" w:hAnsi="宋体" w:eastAsia="宋体" w:cs="宋体"/>
          <w:b/>
          <w:bCs/>
          <w:snapToGrid w:val="0"/>
          <w:color w:val="auto"/>
          <w:sz w:val="24"/>
          <w:szCs w:val="24"/>
          <w:highlight w:val="none"/>
        </w:rPr>
      </w:pPr>
      <w:bookmarkStart w:id="26" w:name="_Toc175644020"/>
      <w:bookmarkStart w:id="27" w:name="_Toc11695"/>
      <w:bookmarkStart w:id="28" w:name="_Toc510994110"/>
      <w:bookmarkStart w:id="29" w:name="_Toc29898"/>
      <w:bookmarkStart w:id="30" w:name="_Toc3097"/>
      <w:r>
        <w:rPr>
          <w:rFonts w:hint="eastAsia" w:ascii="宋体" w:hAnsi="宋体" w:eastAsia="宋体" w:cs="宋体"/>
          <w:b/>
          <w:bCs/>
          <w:snapToGrid w:val="0"/>
          <w:color w:val="auto"/>
          <w:sz w:val="24"/>
          <w:szCs w:val="24"/>
          <w:highlight w:val="none"/>
        </w:rPr>
        <w:t>五、</w:t>
      </w:r>
      <w:bookmarkEnd w:id="26"/>
      <w:r>
        <w:rPr>
          <w:rFonts w:hint="eastAsia" w:ascii="宋体" w:hAnsi="宋体" w:eastAsia="宋体" w:cs="宋体"/>
          <w:b/>
          <w:bCs/>
          <w:snapToGrid w:val="0"/>
          <w:color w:val="auto"/>
          <w:sz w:val="24"/>
          <w:szCs w:val="24"/>
          <w:highlight w:val="none"/>
        </w:rPr>
        <w:t>磋商开启仪式</w:t>
      </w:r>
      <w:bookmarkEnd w:id="27"/>
      <w:bookmarkEnd w:id="28"/>
      <w:bookmarkEnd w:id="29"/>
      <w:bookmarkEnd w:id="30"/>
    </w:p>
    <w:p w14:paraId="4D801691">
      <w:pPr>
        <w:adjustRightInd w:val="0"/>
        <w:snapToGrid w:val="0"/>
        <w:spacing w:before="156" w:beforeLines="50" w:line="360" w:lineRule="auto"/>
        <w:ind w:firstLine="539"/>
        <w:rPr>
          <w:rFonts w:hint="eastAsia" w:ascii="宋体" w:hAnsi="宋体" w:eastAsia="宋体" w:cs="宋体"/>
          <w:b/>
          <w:color w:val="auto"/>
          <w:sz w:val="24"/>
          <w:szCs w:val="24"/>
          <w:highlight w:val="none"/>
        </w:rPr>
      </w:pPr>
      <w:bookmarkStart w:id="31" w:name="_Toc511036351"/>
      <w:bookmarkStart w:id="32" w:name="_Toc504125554"/>
      <w:bookmarkStart w:id="33" w:name="_Toc515882128"/>
      <w:bookmarkStart w:id="34" w:name="_Toc513045029"/>
      <w:bookmarkStart w:id="35" w:name="_Toc510994111"/>
      <w:bookmarkStart w:id="36" w:name="_Toc30841"/>
      <w:bookmarkStart w:id="37" w:name="_Toc175644021"/>
      <w:bookmarkStart w:id="38" w:name="_Toc29428"/>
      <w:bookmarkStart w:id="39" w:name="_Toc14432"/>
      <w:r>
        <w:rPr>
          <w:rFonts w:hint="eastAsia" w:ascii="宋体" w:hAnsi="宋体" w:eastAsia="宋体" w:cs="宋体"/>
          <w:b/>
          <w:bCs/>
          <w:color w:val="auto"/>
          <w:sz w:val="24"/>
          <w:szCs w:val="24"/>
          <w:highlight w:val="none"/>
        </w:rPr>
        <w:t>14.开标（响应文件的开启）</w:t>
      </w:r>
      <w:bookmarkEnd w:id="31"/>
      <w:bookmarkEnd w:id="32"/>
      <w:bookmarkEnd w:id="33"/>
      <w:bookmarkEnd w:id="34"/>
    </w:p>
    <w:p w14:paraId="6E053B57">
      <w:pPr>
        <w:adjustRightInd w:val="0"/>
        <w:snapToGrid w:val="0"/>
        <w:spacing w:before="156" w:beforeLines="50" w:line="360" w:lineRule="auto"/>
        <w:ind w:firstLine="53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14.1 开标时间和地点</w:t>
      </w:r>
    </w:p>
    <w:p w14:paraId="001C7673">
      <w:pPr>
        <w:adjustRightInd w:val="0"/>
        <w:snapToGrid w:val="0"/>
        <w:spacing w:before="156" w:beforeLines="50" w:line="360" w:lineRule="auto"/>
        <w:ind w:firstLine="5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14.1.1 采购单位和采购代理机构按磋商公告规定的时间和地点磋商。</w:t>
      </w:r>
    </w:p>
    <w:p w14:paraId="4A65201F">
      <w:pPr>
        <w:adjustRightInd w:val="0"/>
        <w:snapToGrid w:val="0"/>
        <w:spacing w:before="156" w:beforeLines="50" w:line="360" w:lineRule="auto"/>
        <w:ind w:firstLine="5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14.1.2</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需在开标前打开三门峡市公共资源交易中心网站，凭企业数字证书登录</w:t>
      </w:r>
      <w:r>
        <w:rPr>
          <w:rFonts w:hint="eastAsia" w:ascii="宋体" w:hAnsi="宋体" w:eastAsia="宋体" w:cs="宋体"/>
          <w:color w:val="auto"/>
          <w:sz w:val="24"/>
          <w:szCs w:val="24"/>
          <w:highlight w:val="none"/>
          <w:lang w:val="en-US" w:eastAsia="zh-CN"/>
        </w:rPr>
        <w:t>不见面开标大厅</w:t>
      </w:r>
      <w:r>
        <w:rPr>
          <w:rFonts w:hint="eastAsia" w:ascii="宋体" w:hAnsi="宋体" w:eastAsia="宋体" w:cs="宋体"/>
          <w:color w:val="auto"/>
          <w:sz w:val="24"/>
          <w:szCs w:val="24"/>
          <w:highlight w:val="none"/>
        </w:rPr>
        <w:t>系统，并进入本项目相匹配的网上开标室。</w:t>
      </w:r>
    </w:p>
    <w:p w14:paraId="163BEF57">
      <w:pPr>
        <w:adjustRightInd w:val="0"/>
        <w:snapToGrid w:val="0"/>
        <w:spacing w:before="156" w:beforeLines="50" w:line="360" w:lineRule="auto"/>
        <w:ind w:firstLine="53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14.2 开标程序</w:t>
      </w:r>
    </w:p>
    <w:p w14:paraId="6FD09923">
      <w:pPr>
        <w:adjustRightInd w:val="0"/>
        <w:snapToGrid w:val="0"/>
        <w:spacing w:before="156" w:beforeLines="50" w:line="360" w:lineRule="auto"/>
        <w:ind w:firstLine="5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14.2.1</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应在规定时限内完成对本单位的加密响应文件解密。由于</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的自身原因，在规定时间内解密不成功的，作为无效处理。解密完成后，</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的报价将在系统界面上显示。</w:t>
      </w:r>
    </w:p>
    <w:p w14:paraId="714995DB">
      <w:pPr>
        <w:adjustRightInd w:val="0"/>
        <w:snapToGrid w:val="0"/>
        <w:spacing w:before="156" w:beforeLines="50" w:line="360" w:lineRule="auto"/>
        <w:ind w:firstLine="5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14.2.2</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代表对开标过程和开标记录有疑义，以及认为采购单位、采购代理机构相关工作人员有需要回避的情形的，应在系统中提出询问或者回避申请，否则，视为对开标无异议</w:t>
      </w:r>
    </w:p>
    <w:p w14:paraId="4D2BF2BF">
      <w:pPr>
        <w:adjustRightInd w:val="0"/>
        <w:snapToGrid w:val="0"/>
        <w:spacing w:before="156" w:beforeLines="50" w:line="360" w:lineRule="auto"/>
        <w:ind w:firstLine="5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14.2.3 在开标过程中，有效投标应在三家以上（包括三家）；有效投标不足三家的应予终止（废标）。</w:t>
      </w:r>
    </w:p>
    <w:p w14:paraId="60E784B5">
      <w:pPr>
        <w:overflowPunct w:val="0"/>
        <w:topLinePunct/>
        <w:adjustRightInd w:val="0"/>
        <w:snapToGrid w:val="0"/>
        <w:spacing w:line="360" w:lineRule="auto"/>
        <w:jc w:val="center"/>
        <w:outlineLvl w:val="1"/>
        <w:rPr>
          <w:rFonts w:hint="eastAsia" w:ascii="宋体" w:hAnsi="宋体" w:eastAsia="宋体" w:cs="宋体"/>
          <w:b/>
          <w:bCs/>
          <w:snapToGrid w:val="0"/>
          <w:color w:val="auto"/>
          <w:sz w:val="24"/>
          <w:szCs w:val="24"/>
          <w:highlight w:val="none"/>
        </w:rPr>
      </w:pPr>
      <w:r>
        <w:rPr>
          <w:rFonts w:hint="eastAsia" w:ascii="宋体" w:hAnsi="宋体" w:eastAsia="宋体" w:cs="宋体"/>
          <w:b/>
          <w:bCs/>
          <w:snapToGrid w:val="0"/>
          <w:color w:val="auto"/>
          <w:sz w:val="24"/>
          <w:szCs w:val="24"/>
          <w:highlight w:val="none"/>
        </w:rPr>
        <w:t>六、评标程序和要求</w:t>
      </w:r>
      <w:bookmarkEnd w:id="35"/>
      <w:bookmarkEnd w:id="36"/>
      <w:bookmarkEnd w:id="37"/>
      <w:bookmarkEnd w:id="38"/>
      <w:bookmarkEnd w:id="39"/>
    </w:p>
    <w:p w14:paraId="3EDCB390">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rPr>
        <w:t>15.磋商小组和评审方法</w:t>
      </w:r>
    </w:p>
    <w:p w14:paraId="4C7B9747">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15.1磋商和评审由采购人依法组建的磋商小组负责。磋商小组的组成详见</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须知前附表。</w:t>
      </w:r>
    </w:p>
    <w:p w14:paraId="14199D26">
      <w:pPr>
        <w:tabs>
          <w:tab w:val="left" w:pos="0"/>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15.2 磋商小组成员应当按照客观、公正、审慎的原则，根据磋商文件规定的评审程序、评审方法和评审标准进行独立评审。未实质性响应磋商文件的响应文件按无效响应处理，磋商小组应当告知提交响应文件的</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。磋商文件内容违反国家有关强制性规定的，磋商小组应当停止评审并向采购人或者采购代理机构说明情况。</w:t>
      </w:r>
    </w:p>
    <w:p w14:paraId="28E681C1">
      <w:pPr>
        <w:tabs>
          <w:tab w:val="left" w:pos="0"/>
        </w:tabs>
        <w:overflowPunct w:val="0"/>
        <w:topLinePunct/>
        <w:adjustRightInd w:val="0"/>
        <w:snapToGrid w:val="0"/>
        <w:spacing w:line="360" w:lineRule="auto"/>
        <w:ind w:firstLine="360" w:firstLineChars="15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15.3 磋商小组将首先按照第四章对响应文件进行初审。对初审合格的响应文件将按照本文件第四章进行磋商和评审。</w:t>
      </w:r>
    </w:p>
    <w:p w14:paraId="36330B78">
      <w:pPr>
        <w:tabs>
          <w:tab w:val="left" w:pos="0"/>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15.4在磋商期间，磋商小组可要求</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对其响应文件进行澄清，但不得寻求、提供或允许对磋商价格等实质性内容做任何更改。有关澄清的要求和答复均应以书面形式提交。磋商小组不接受</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主动提出的澄清、说明。</w:t>
      </w:r>
    </w:p>
    <w:p w14:paraId="0A2A66B0">
      <w:pPr>
        <w:tabs>
          <w:tab w:val="left" w:pos="0"/>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15.5采购人、采购代理机构不得向磋商小组中的评审专家作倾向性、误导性的解释或者说明。</w:t>
      </w:r>
    </w:p>
    <w:p w14:paraId="25CC89DF">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rPr>
        <w:t>16.评审程序</w:t>
      </w:r>
    </w:p>
    <w:p w14:paraId="473BECD1">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16.1 响应文件的初审包含资格性检查、符合性检查和</w:t>
      </w:r>
      <w:r>
        <w:rPr>
          <w:rFonts w:hint="eastAsia" w:ascii="宋体" w:hAnsi="宋体" w:eastAsia="宋体" w:cs="宋体"/>
          <w:snapToGrid w:val="0"/>
          <w:color w:val="auto"/>
          <w:sz w:val="24"/>
          <w:szCs w:val="24"/>
          <w:highlight w:val="none"/>
          <w:lang w:val="en-US" w:eastAsia="zh-CN"/>
        </w:rPr>
        <w:t>实质</w:t>
      </w:r>
      <w:r>
        <w:rPr>
          <w:rFonts w:hint="eastAsia" w:ascii="宋体" w:hAnsi="宋体" w:eastAsia="宋体" w:cs="宋体"/>
          <w:snapToGrid w:val="0"/>
          <w:color w:val="auto"/>
          <w:sz w:val="24"/>
          <w:szCs w:val="24"/>
          <w:highlight w:val="none"/>
        </w:rPr>
        <w:t>性审查。</w:t>
      </w:r>
    </w:p>
    <w:p w14:paraId="1DDEC027">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16.1.1资格性检查</w:t>
      </w:r>
    </w:p>
    <w:p w14:paraId="63344C4B">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依据法律法规和磋商文件的规定，对响应文件中的资格证明等进行检查，以确定</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 xml:space="preserve">是否具备磋商资格。 </w:t>
      </w:r>
    </w:p>
    <w:p w14:paraId="384EFBF3">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16.1.2符合性检查</w:t>
      </w:r>
    </w:p>
    <w:p w14:paraId="75EB403C">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依据磋商文件的规定，从响应文件的有效性、完整性和对磋商文件的响应程度进行检查，以确定是否对磋商文件的实质性要求作出响应。</w:t>
      </w:r>
    </w:p>
    <w:p w14:paraId="13D65AA4">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16.1.3</w:t>
      </w:r>
      <w:r>
        <w:rPr>
          <w:rFonts w:hint="eastAsia" w:ascii="宋体" w:hAnsi="宋体" w:eastAsia="宋体" w:cs="宋体"/>
          <w:snapToGrid w:val="0"/>
          <w:color w:val="auto"/>
          <w:sz w:val="24"/>
          <w:szCs w:val="24"/>
          <w:highlight w:val="none"/>
          <w:lang w:val="en-US" w:eastAsia="zh-CN"/>
        </w:rPr>
        <w:t>实质</w:t>
      </w:r>
      <w:r>
        <w:rPr>
          <w:rFonts w:hint="eastAsia" w:ascii="宋体" w:hAnsi="宋体" w:eastAsia="宋体" w:cs="宋体"/>
          <w:snapToGrid w:val="0"/>
          <w:color w:val="auto"/>
          <w:sz w:val="24"/>
          <w:szCs w:val="24"/>
          <w:highlight w:val="none"/>
        </w:rPr>
        <w:t>性审查</w:t>
      </w:r>
    </w:p>
    <w:p w14:paraId="04F079C6">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依据磋商文件的规定，从响应文件的</w:t>
      </w:r>
      <w:r>
        <w:rPr>
          <w:rFonts w:hint="eastAsia" w:ascii="宋体" w:hAnsi="宋体" w:eastAsia="宋体" w:cs="宋体"/>
          <w:snapToGrid w:val="0"/>
          <w:color w:val="auto"/>
          <w:sz w:val="24"/>
          <w:szCs w:val="24"/>
          <w:highlight w:val="none"/>
          <w:lang w:val="en-US" w:eastAsia="zh-CN"/>
        </w:rPr>
        <w:t>实质</w:t>
      </w:r>
      <w:r>
        <w:rPr>
          <w:rFonts w:hint="eastAsia" w:ascii="宋体" w:hAnsi="宋体" w:eastAsia="宋体" w:cs="宋体"/>
          <w:snapToGrid w:val="0"/>
          <w:color w:val="auto"/>
          <w:sz w:val="24"/>
          <w:szCs w:val="24"/>
          <w:highlight w:val="none"/>
        </w:rPr>
        <w:t>响应程度进行检查，以确定是否对磋商文件的实质性要求作出响应。</w:t>
      </w:r>
    </w:p>
    <w:p w14:paraId="65366F34">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16.1.4没有实质性响应磋商文件要求的响应文件将被否决。</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不得通过修正、补充或撤销不合要求的偏离或保留从而使其响应文件成为实质上响应的磋商文件。有下列情形之一者视为未实质性响应磋商文件，其响应文件将被否决：</w:t>
      </w:r>
    </w:p>
    <w:p w14:paraId="2BFF1288">
      <w:pPr>
        <w:tabs>
          <w:tab w:val="left" w:pos="567"/>
        </w:tabs>
        <w:overflowPunct w:val="0"/>
        <w:topLinePunct/>
        <w:adjustRightInd w:val="0"/>
        <w:snapToGrid w:val="0"/>
        <w:spacing w:line="360" w:lineRule="auto"/>
        <w:ind w:firstLine="360" w:firstLineChars="15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（1）未按磋商文件要求提供资料的； </w:t>
      </w:r>
    </w:p>
    <w:p w14:paraId="3CE88DF1">
      <w:pPr>
        <w:tabs>
          <w:tab w:val="left" w:pos="567"/>
        </w:tabs>
        <w:overflowPunct w:val="0"/>
        <w:topLinePunct/>
        <w:adjustRightInd w:val="0"/>
        <w:snapToGrid w:val="0"/>
        <w:spacing w:line="360" w:lineRule="auto"/>
        <w:ind w:firstLine="360" w:firstLineChars="15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（2）不同</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 xml:space="preserve">法定代表人为同一人或者存在控股、管理关系的； </w:t>
      </w:r>
    </w:p>
    <w:p w14:paraId="4FEB1754">
      <w:pPr>
        <w:tabs>
          <w:tab w:val="left" w:pos="567"/>
        </w:tabs>
        <w:overflowPunct w:val="0"/>
        <w:topLinePunct/>
        <w:adjustRightInd w:val="0"/>
        <w:snapToGrid w:val="0"/>
        <w:spacing w:line="360" w:lineRule="auto"/>
        <w:ind w:firstLine="360" w:firstLineChars="15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（3）响应文件未按磋商文件的要求签署的； </w:t>
      </w:r>
    </w:p>
    <w:p w14:paraId="0890DF1A">
      <w:pPr>
        <w:tabs>
          <w:tab w:val="left" w:pos="567"/>
        </w:tabs>
        <w:overflowPunct w:val="0"/>
        <w:topLinePunct/>
        <w:adjustRightInd w:val="0"/>
        <w:snapToGrid w:val="0"/>
        <w:spacing w:line="360" w:lineRule="auto"/>
        <w:ind w:firstLine="360" w:firstLineChars="15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（4）响应联合体没有提交联合体协议或联合体协议不符合要求的； </w:t>
      </w:r>
    </w:p>
    <w:p w14:paraId="21D18C96">
      <w:pPr>
        <w:tabs>
          <w:tab w:val="left" w:pos="567"/>
        </w:tabs>
        <w:overflowPunct w:val="0"/>
        <w:topLinePunct/>
        <w:adjustRightInd w:val="0"/>
        <w:snapToGrid w:val="0"/>
        <w:spacing w:line="360" w:lineRule="auto"/>
        <w:ind w:firstLine="360" w:firstLineChars="15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（5）</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 xml:space="preserve">的磋商函、资格证明材料未提供，或不符合国家规定或者磋商文件要求的； </w:t>
      </w:r>
    </w:p>
    <w:p w14:paraId="6C95B91D">
      <w:pPr>
        <w:tabs>
          <w:tab w:val="left" w:pos="567"/>
        </w:tabs>
        <w:overflowPunct w:val="0"/>
        <w:topLinePunct/>
        <w:adjustRightInd w:val="0"/>
        <w:snapToGrid w:val="0"/>
        <w:spacing w:line="360" w:lineRule="auto"/>
        <w:ind w:firstLine="360" w:firstLineChars="15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（6）同一</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 xml:space="preserve">提交两个以上不同的方案或者磋商价格的，但磋商文件有要求的除外； </w:t>
      </w:r>
    </w:p>
    <w:p w14:paraId="756056C2">
      <w:pPr>
        <w:tabs>
          <w:tab w:val="left" w:pos="567"/>
        </w:tabs>
        <w:overflowPunct w:val="0"/>
        <w:topLinePunct/>
        <w:adjustRightInd w:val="0"/>
        <w:snapToGrid w:val="0"/>
        <w:spacing w:line="360" w:lineRule="auto"/>
        <w:ind w:firstLine="360" w:firstLineChars="15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（7）磋商价格高于磋商文件设定的控制价的； </w:t>
      </w:r>
    </w:p>
    <w:p w14:paraId="0C566ECB">
      <w:pPr>
        <w:tabs>
          <w:tab w:val="left" w:pos="567"/>
        </w:tabs>
        <w:overflowPunct w:val="0"/>
        <w:topLinePunct/>
        <w:adjustRightInd w:val="0"/>
        <w:snapToGrid w:val="0"/>
        <w:spacing w:line="360" w:lineRule="auto"/>
        <w:ind w:firstLine="360" w:firstLineChars="15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（8）不接受磋商有效期要求的； </w:t>
      </w:r>
    </w:p>
    <w:p w14:paraId="37821AC5">
      <w:pPr>
        <w:tabs>
          <w:tab w:val="left" w:pos="567"/>
        </w:tabs>
        <w:overflowPunct w:val="0"/>
        <w:topLinePunct/>
        <w:adjustRightInd w:val="0"/>
        <w:snapToGrid w:val="0"/>
        <w:spacing w:line="360" w:lineRule="auto"/>
        <w:ind w:firstLine="360" w:firstLineChars="15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（9）</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 xml:space="preserve">有串通磋商、弄虚作假、行贿等违法行为的； </w:t>
      </w:r>
    </w:p>
    <w:p w14:paraId="4091C3F5">
      <w:pPr>
        <w:tabs>
          <w:tab w:val="left" w:pos="567"/>
        </w:tabs>
        <w:overflowPunct w:val="0"/>
        <w:topLinePunct/>
        <w:adjustRightInd w:val="0"/>
        <w:snapToGrid w:val="0"/>
        <w:spacing w:line="360" w:lineRule="auto"/>
        <w:ind w:firstLine="360" w:firstLineChars="15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（10）存在磋商文件中规定的否决响应的其他条款的。</w:t>
      </w:r>
    </w:p>
    <w:p w14:paraId="67D15905">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16.2澄清有关问题</w:t>
      </w:r>
    </w:p>
    <w:p w14:paraId="2A136625">
      <w:pPr>
        <w:tabs>
          <w:tab w:val="left" w:pos="567"/>
        </w:tabs>
        <w:overflowPunct w:val="0"/>
        <w:topLinePunct/>
        <w:adjustRightInd w:val="0"/>
        <w:snapToGrid w:val="0"/>
        <w:spacing w:line="360" w:lineRule="auto"/>
        <w:ind w:firstLine="482" w:firstLineChars="200"/>
        <w:rPr>
          <w:rFonts w:hint="eastAsia" w:ascii="宋体" w:hAnsi="宋体" w:eastAsia="宋体" w:cs="宋体"/>
          <w:b/>
          <w:bCs/>
          <w:snapToGrid w:val="0"/>
          <w:color w:val="auto"/>
          <w:sz w:val="24"/>
          <w:szCs w:val="24"/>
          <w:highlight w:val="none"/>
        </w:rPr>
      </w:pPr>
      <w:r>
        <w:rPr>
          <w:rFonts w:hint="eastAsia" w:ascii="宋体" w:hAnsi="宋体" w:eastAsia="宋体" w:cs="宋体"/>
          <w:b/>
          <w:bCs/>
          <w:snapToGrid w:val="0"/>
          <w:color w:val="auto"/>
          <w:sz w:val="24"/>
          <w:szCs w:val="24"/>
          <w:highlight w:val="none"/>
        </w:rPr>
        <w:t>响应文件的澄清在采购公告所述网上电子交易系统进行。</w:t>
      </w:r>
    </w:p>
    <w:p w14:paraId="5C9F5453">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评审期间，</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须时刻关注电子</w:t>
      </w:r>
      <w:r>
        <w:rPr>
          <w:rFonts w:hint="eastAsia" w:ascii="宋体" w:hAnsi="宋体" w:eastAsia="宋体" w:cs="宋体"/>
          <w:snapToGrid w:val="0"/>
          <w:color w:val="auto"/>
          <w:sz w:val="24"/>
          <w:szCs w:val="24"/>
          <w:highlight w:val="none"/>
          <w:lang w:val="en-US" w:eastAsia="zh-CN"/>
        </w:rPr>
        <w:t>评</w:t>
      </w:r>
      <w:r>
        <w:rPr>
          <w:rFonts w:hint="eastAsia" w:ascii="宋体" w:hAnsi="宋体" w:eastAsia="宋体" w:cs="宋体"/>
          <w:snapToGrid w:val="0"/>
          <w:color w:val="auto"/>
          <w:sz w:val="24"/>
          <w:szCs w:val="24"/>
          <w:highlight w:val="none"/>
        </w:rPr>
        <w:t>标室并保持通讯畅通。如因通讯不畅导致</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无法及时澄清而被认定为无效响应等后果的，由</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自行承担。</w:t>
      </w:r>
    </w:p>
    <w:p w14:paraId="3ABC58F0">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16.2.1为有助于对响应文件进行审查、评估和比较，磋商小组有权个别的向</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提出质疑，请</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澄清其投标内容。</w:t>
      </w:r>
    </w:p>
    <w:p w14:paraId="192264D1">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16.2.2磋商小组可以要求</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对响应文件中含义不明确、同类问题表述不一致或者有明显文字和计算错误的内容等作出必要的澄清、说明或者更正。</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的澄清、说明或者更正不得超出响应文件的范围或者改变响应文件的实质性内容。</w:t>
      </w:r>
    </w:p>
    <w:p w14:paraId="060AEEBD">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16.2.3</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的澄清、说明或者更正应当采用书面形式，应加盖</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电子签章或其法定代表人电子签名，并将澄清等内容作为附件上传至系统中。</w:t>
      </w:r>
    </w:p>
    <w:p w14:paraId="13C97DD1">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16.2.4</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的澄清文件是响应文件的组成部分，并取代响应文件中被澄清的部分。</w:t>
      </w:r>
    </w:p>
    <w:p w14:paraId="12A1C955">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16.2.5澄清文件应按磋商小组规定的时间提交。</w:t>
      </w:r>
    </w:p>
    <w:p w14:paraId="6B86374C">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16.3 算术更正</w:t>
      </w:r>
    </w:p>
    <w:p w14:paraId="615F6BE2">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响应文件的大写金额和小写金额不一致的，以大写金额为准；磋商总价金额与按分项报价汇总金额不一致的，以分项报价金额计算结果为准；分项报价金额小数点有明显错位的，应以磋商总价为准，并修改分项报价。如果</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 xml:space="preserve">不接受对其算术错误的更正，其响应文件可能被否决。 </w:t>
      </w:r>
    </w:p>
    <w:p w14:paraId="716C43FE">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16.4 对于响应文件中不构成实质性偏差的不正规、不一致或不规则，磋商小组可以接受，但这种接受不能损害或影响任何</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的相对排序。</w:t>
      </w:r>
    </w:p>
    <w:p w14:paraId="4A47ABC2">
      <w:pPr>
        <w:tabs>
          <w:tab w:val="left" w:pos="737"/>
          <w:tab w:val="left" w:pos="1200"/>
        </w:tabs>
        <w:overflowPunct w:val="0"/>
        <w:topLinePunct/>
        <w:adjustRightInd w:val="0"/>
        <w:snapToGrid w:val="0"/>
        <w:spacing w:line="360" w:lineRule="auto"/>
        <w:ind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rPr>
        <w:t>17.磋商</w:t>
      </w:r>
    </w:p>
    <w:p w14:paraId="0059F8E6">
      <w:pPr>
        <w:tabs>
          <w:tab w:val="left" w:pos="737"/>
          <w:tab w:val="left" w:pos="1200"/>
        </w:tabs>
        <w:overflowPunct w:val="0"/>
        <w:topLinePunct/>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snapToGrid w:val="0"/>
          <w:color w:val="auto"/>
          <w:sz w:val="24"/>
          <w:szCs w:val="24"/>
          <w:highlight w:val="none"/>
        </w:rPr>
        <w:t>17.1</w:t>
      </w:r>
      <w:r>
        <w:rPr>
          <w:rFonts w:hint="eastAsia" w:ascii="宋体" w:hAnsi="宋体" w:eastAsia="宋体" w:cs="宋体"/>
          <w:color w:val="auto"/>
          <w:sz w:val="24"/>
          <w:szCs w:val="24"/>
          <w:highlight w:val="none"/>
        </w:rPr>
        <w:t>磋商小组所有成员应当集中与单一</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分别进行磋商，并给予所有参加磋商的</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平等的磋商机会。</w:t>
      </w:r>
    </w:p>
    <w:p w14:paraId="3548F73F">
      <w:pPr>
        <w:tabs>
          <w:tab w:val="left" w:pos="737"/>
          <w:tab w:val="left" w:pos="1200"/>
        </w:tabs>
        <w:overflowPunct w:val="0"/>
        <w:topLinePunct/>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17.2在磋商过程中，磋商小组可以根据磋商文件和磋商情况实质性变动</w:t>
      </w:r>
      <w:r>
        <w:rPr>
          <w:rFonts w:hint="eastAsia" w:ascii="宋体" w:hAnsi="宋体" w:eastAsia="宋体" w:cs="宋体"/>
          <w:color w:val="auto"/>
          <w:sz w:val="24"/>
          <w:szCs w:val="24"/>
          <w:highlight w:val="none"/>
          <w:lang w:eastAsia="zh-CN"/>
        </w:rPr>
        <w:t>采购内容及技术参数</w:t>
      </w:r>
      <w:r>
        <w:rPr>
          <w:rFonts w:hint="eastAsia" w:ascii="宋体" w:hAnsi="宋体" w:eastAsia="宋体" w:cs="宋体"/>
          <w:color w:val="auto"/>
          <w:sz w:val="24"/>
          <w:szCs w:val="24"/>
          <w:highlight w:val="none"/>
        </w:rPr>
        <w:t>中的技术、要求以及合同草案条款，但不得变动磋商文件中的其他内容。实质性变动的内容，须经采购人代表确认。</w:t>
      </w:r>
    </w:p>
    <w:p w14:paraId="3681B842">
      <w:pPr>
        <w:tabs>
          <w:tab w:val="left" w:pos="737"/>
          <w:tab w:val="left" w:pos="1200"/>
        </w:tabs>
        <w:overflowPunct w:val="0"/>
        <w:topLinePunct/>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对磋商文件作出的实质性变动是磋商文件的有效组成部分，磋商小组应当及时以书面形式同时通知所有参加磋商的</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w:t>
      </w:r>
    </w:p>
    <w:p w14:paraId="75FF4427">
      <w:pPr>
        <w:tabs>
          <w:tab w:val="left" w:pos="737"/>
          <w:tab w:val="left" w:pos="1200"/>
        </w:tabs>
        <w:overflowPunct w:val="0"/>
        <w:topLinePunct/>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应当按照磋商文件的变动情况和磋商小组的要求重新提交响应文件或相应承诺，</w:t>
      </w:r>
      <w:r>
        <w:rPr>
          <w:rFonts w:hint="eastAsia" w:ascii="宋体" w:hAnsi="宋体" w:eastAsia="宋体" w:cs="宋体"/>
          <w:snapToGrid w:val="0"/>
          <w:color w:val="auto"/>
          <w:sz w:val="24"/>
          <w:szCs w:val="24"/>
          <w:highlight w:val="none"/>
        </w:rPr>
        <w:t>应加盖</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电子签章或其法定代表人电子签名。</w:t>
      </w:r>
    </w:p>
    <w:p w14:paraId="353998EF">
      <w:pPr>
        <w:tabs>
          <w:tab w:val="left" w:pos="737"/>
          <w:tab w:val="left" w:pos="1200"/>
        </w:tabs>
        <w:overflowPunct w:val="0"/>
        <w:topLinePunct/>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17.3磋商文件能够详细列明采购标的的技术、服务要求的，磋商结束后，磋商小组应当要求所有实质性响应的</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在规定时间内提交最后报价</w:t>
      </w:r>
      <w:r>
        <w:rPr>
          <w:rFonts w:hint="eastAsia" w:ascii="宋体" w:hAnsi="宋体" w:eastAsia="宋体" w:cs="宋体"/>
          <w:b/>
          <w:bCs/>
          <w:color w:val="auto"/>
          <w:sz w:val="24"/>
          <w:szCs w:val="24"/>
          <w:highlight w:val="none"/>
        </w:rPr>
        <w:t>（这里指第二次报价）</w:t>
      </w:r>
      <w:r>
        <w:rPr>
          <w:rFonts w:hint="eastAsia" w:ascii="宋体" w:hAnsi="宋体" w:eastAsia="宋体" w:cs="宋体"/>
          <w:color w:val="auto"/>
          <w:sz w:val="24"/>
          <w:szCs w:val="24"/>
          <w:highlight w:val="none"/>
        </w:rPr>
        <w:t>。</w:t>
      </w:r>
    </w:p>
    <w:p w14:paraId="7C945538">
      <w:pPr>
        <w:tabs>
          <w:tab w:val="left" w:pos="0"/>
        </w:tabs>
        <w:overflowPunct w:val="0"/>
        <w:topLinePunct/>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17.4已提交响应文件的</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，在提交最后报价之前，可以根据磋商情况退出磋商。</w:t>
      </w:r>
    </w:p>
    <w:p w14:paraId="532F6D2F">
      <w:pPr>
        <w:keepNext/>
        <w:adjustRightInd w:val="0"/>
        <w:snapToGrid w:val="0"/>
        <w:spacing w:line="360" w:lineRule="auto"/>
        <w:ind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rPr>
        <w:t>18.评审</w:t>
      </w:r>
    </w:p>
    <w:p w14:paraId="0B423BA0">
      <w:pPr>
        <w:tabs>
          <w:tab w:val="left" w:pos="0"/>
        </w:tabs>
        <w:overflowPunct w:val="0"/>
        <w:topLinePunct/>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经磋商确定最终</w:t>
      </w:r>
      <w:r>
        <w:rPr>
          <w:rFonts w:hint="eastAsia" w:ascii="宋体" w:hAnsi="宋体" w:eastAsia="宋体" w:cs="宋体"/>
          <w:color w:val="auto"/>
          <w:sz w:val="24"/>
          <w:szCs w:val="24"/>
          <w:highlight w:val="none"/>
          <w:lang w:eastAsia="zh-CN"/>
        </w:rPr>
        <w:t>采购内容及技术参数</w:t>
      </w:r>
      <w:r>
        <w:rPr>
          <w:rFonts w:hint="eastAsia" w:ascii="宋体" w:hAnsi="宋体" w:eastAsia="宋体" w:cs="宋体"/>
          <w:color w:val="auto"/>
          <w:sz w:val="24"/>
          <w:szCs w:val="24"/>
          <w:highlight w:val="none"/>
        </w:rPr>
        <w:t>和提交最后报价的</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后，由磋商小组采用综合评分法对提交最后报价的</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的响应文件和最后报价进行综合评分。评分的标准详见第四章评审办法。</w:t>
      </w:r>
    </w:p>
    <w:p w14:paraId="448481C9">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rPr>
        <w:t>19.推荐成交候选</w:t>
      </w:r>
      <w:r>
        <w:rPr>
          <w:rFonts w:hint="eastAsia" w:ascii="宋体" w:hAnsi="宋体" w:eastAsia="宋体" w:cs="宋体"/>
          <w:b/>
          <w:snapToGrid w:val="0"/>
          <w:color w:val="auto"/>
          <w:sz w:val="24"/>
          <w:szCs w:val="24"/>
          <w:highlight w:val="none"/>
          <w:lang w:eastAsia="zh-CN"/>
        </w:rPr>
        <w:t>人</w:t>
      </w:r>
      <w:r>
        <w:rPr>
          <w:rFonts w:hint="eastAsia" w:ascii="宋体" w:hAnsi="宋体" w:eastAsia="宋体" w:cs="宋体"/>
          <w:b/>
          <w:snapToGrid w:val="0"/>
          <w:color w:val="auto"/>
          <w:sz w:val="24"/>
          <w:szCs w:val="24"/>
          <w:highlight w:val="none"/>
        </w:rPr>
        <w:t>名单</w:t>
      </w:r>
    </w:p>
    <w:p w14:paraId="56527601">
      <w:pPr>
        <w:tabs>
          <w:tab w:val="left" w:pos="7655"/>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19.1磋商小组将根据综合评分情况，按照评审得分由高到低顺序推荐得分最高的前三名为成交候选人，并编写</w:t>
      </w:r>
      <w:r>
        <w:rPr>
          <w:rFonts w:hint="eastAsia" w:eastAsia="宋体" w:cs="宋体"/>
          <w:snapToGrid w:val="0"/>
          <w:color w:val="auto"/>
          <w:sz w:val="24"/>
          <w:szCs w:val="24"/>
          <w:highlight w:val="none"/>
          <w:lang w:eastAsia="zh-CN"/>
        </w:rPr>
        <w:t>评标报告</w:t>
      </w:r>
      <w:r>
        <w:rPr>
          <w:rFonts w:hint="eastAsia" w:ascii="宋体" w:hAnsi="宋体" w:eastAsia="宋体" w:cs="宋体"/>
          <w:snapToGrid w:val="0"/>
          <w:color w:val="auto"/>
          <w:sz w:val="24"/>
          <w:szCs w:val="24"/>
          <w:highlight w:val="none"/>
        </w:rPr>
        <w:t>。评审得分相同的，按照最后报价由低到高的顺序推荐。评审得分且最后报价相同的，按照技术</w:t>
      </w:r>
      <w:r>
        <w:rPr>
          <w:rFonts w:hint="eastAsia" w:ascii="宋体" w:hAnsi="宋体" w:eastAsia="宋体" w:cs="宋体"/>
          <w:snapToGrid w:val="0"/>
          <w:color w:val="auto"/>
          <w:sz w:val="24"/>
          <w:szCs w:val="24"/>
          <w:highlight w:val="none"/>
          <w:lang w:val="en-US" w:eastAsia="zh-CN"/>
        </w:rPr>
        <w:t>部分</w:t>
      </w:r>
      <w:r>
        <w:rPr>
          <w:rFonts w:hint="eastAsia" w:ascii="宋体" w:hAnsi="宋体" w:eastAsia="宋体" w:cs="宋体"/>
          <w:snapToGrid w:val="0"/>
          <w:color w:val="auto"/>
          <w:sz w:val="24"/>
          <w:szCs w:val="24"/>
          <w:highlight w:val="none"/>
        </w:rPr>
        <w:t>优劣顺序推荐。</w:t>
      </w:r>
    </w:p>
    <w:p w14:paraId="5A5D4FDB">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19.2</w:t>
      </w:r>
      <w:r>
        <w:rPr>
          <w:rFonts w:hint="eastAsia" w:eastAsia="宋体" w:cs="宋体"/>
          <w:snapToGrid w:val="0"/>
          <w:color w:val="auto"/>
          <w:sz w:val="24"/>
          <w:szCs w:val="24"/>
          <w:highlight w:val="none"/>
          <w:lang w:eastAsia="zh-CN"/>
        </w:rPr>
        <w:t>评标报告</w:t>
      </w:r>
      <w:r>
        <w:rPr>
          <w:rFonts w:hint="eastAsia" w:ascii="宋体" w:hAnsi="宋体" w:eastAsia="宋体" w:cs="宋体"/>
          <w:snapToGrid w:val="0"/>
          <w:color w:val="auto"/>
          <w:sz w:val="24"/>
          <w:szCs w:val="24"/>
          <w:highlight w:val="none"/>
        </w:rPr>
        <w:t>将由磋商小组全体人员签字认可。磋商小组成员对</w:t>
      </w:r>
      <w:r>
        <w:rPr>
          <w:rFonts w:hint="eastAsia" w:eastAsia="宋体" w:cs="宋体"/>
          <w:snapToGrid w:val="0"/>
          <w:color w:val="auto"/>
          <w:sz w:val="24"/>
          <w:szCs w:val="24"/>
          <w:highlight w:val="none"/>
          <w:lang w:eastAsia="zh-CN"/>
        </w:rPr>
        <w:t>评标报告</w:t>
      </w:r>
      <w:r>
        <w:rPr>
          <w:rFonts w:hint="eastAsia" w:ascii="宋体" w:hAnsi="宋体" w:eastAsia="宋体" w:cs="宋体"/>
          <w:snapToGrid w:val="0"/>
          <w:color w:val="auto"/>
          <w:sz w:val="24"/>
          <w:szCs w:val="24"/>
          <w:highlight w:val="none"/>
        </w:rPr>
        <w:t>有异议的，磋商小组按照少数服从多数的原则推荐</w:t>
      </w:r>
      <w:r>
        <w:rPr>
          <w:rFonts w:hint="eastAsia" w:ascii="宋体" w:hAnsi="宋体" w:eastAsia="宋体" w:cs="宋体"/>
          <w:snapToGrid w:val="0"/>
          <w:color w:val="auto"/>
          <w:sz w:val="24"/>
          <w:szCs w:val="24"/>
          <w:highlight w:val="none"/>
          <w:lang w:eastAsia="zh-CN"/>
        </w:rPr>
        <w:t>成交候选人</w:t>
      </w:r>
      <w:r>
        <w:rPr>
          <w:rFonts w:hint="eastAsia" w:ascii="宋体" w:hAnsi="宋体" w:eastAsia="宋体" w:cs="宋体"/>
          <w:snapToGrid w:val="0"/>
          <w:color w:val="auto"/>
          <w:sz w:val="24"/>
          <w:szCs w:val="24"/>
          <w:highlight w:val="none"/>
        </w:rPr>
        <w:t>，采购程序继续进行。对</w:t>
      </w:r>
      <w:r>
        <w:rPr>
          <w:rFonts w:hint="eastAsia" w:eastAsia="宋体" w:cs="宋体"/>
          <w:snapToGrid w:val="0"/>
          <w:color w:val="auto"/>
          <w:sz w:val="24"/>
          <w:szCs w:val="24"/>
          <w:highlight w:val="none"/>
          <w:lang w:eastAsia="zh-CN"/>
        </w:rPr>
        <w:t>评标报告</w:t>
      </w:r>
      <w:r>
        <w:rPr>
          <w:rFonts w:hint="eastAsia" w:ascii="宋体" w:hAnsi="宋体" w:eastAsia="宋体" w:cs="宋体"/>
          <w:snapToGrid w:val="0"/>
          <w:color w:val="auto"/>
          <w:sz w:val="24"/>
          <w:szCs w:val="24"/>
          <w:highlight w:val="none"/>
        </w:rPr>
        <w:t>有异议的磋商小组成员，应当在报告上签署不同意见并说明理由，由磋商小组书面记录相关情况。磋商小组成员拒绝在报告上签字又不书面说明其不同意见和理由的，视为同意</w:t>
      </w:r>
      <w:r>
        <w:rPr>
          <w:rFonts w:hint="eastAsia" w:eastAsia="宋体" w:cs="宋体"/>
          <w:snapToGrid w:val="0"/>
          <w:color w:val="auto"/>
          <w:sz w:val="24"/>
          <w:szCs w:val="24"/>
          <w:highlight w:val="none"/>
          <w:lang w:eastAsia="zh-CN"/>
        </w:rPr>
        <w:t>评标报告</w:t>
      </w:r>
      <w:r>
        <w:rPr>
          <w:rFonts w:hint="eastAsia" w:ascii="宋体" w:hAnsi="宋体" w:eastAsia="宋体" w:cs="宋体"/>
          <w:snapToGrid w:val="0"/>
          <w:color w:val="auto"/>
          <w:sz w:val="24"/>
          <w:szCs w:val="24"/>
          <w:highlight w:val="none"/>
        </w:rPr>
        <w:t>。</w:t>
      </w:r>
    </w:p>
    <w:p w14:paraId="0862637D">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auto"/>
          <w:sz w:val="24"/>
          <w:szCs w:val="24"/>
          <w:highlight w:val="none"/>
          <w:lang w:eastAsia="zh-CN"/>
        </w:rPr>
      </w:pPr>
      <w:r>
        <w:rPr>
          <w:rFonts w:hint="eastAsia" w:ascii="宋体" w:hAnsi="宋体" w:eastAsia="宋体" w:cs="宋体"/>
          <w:b/>
          <w:snapToGrid w:val="0"/>
          <w:color w:val="auto"/>
          <w:sz w:val="24"/>
          <w:szCs w:val="24"/>
          <w:highlight w:val="none"/>
        </w:rPr>
        <w:t>20.</w:t>
      </w:r>
      <w:r>
        <w:rPr>
          <w:rFonts w:hint="eastAsia" w:ascii="宋体" w:hAnsi="宋体" w:eastAsia="宋体" w:cs="宋体"/>
          <w:b/>
          <w:snapToGrid w:val="0"/>
          <w:color w:val="auto"/>
          <w:sz w:val="24"/>
          <w:szCs w:val="24"/>
          <w:highlight w:val="none"/>
          <w:lang w:eastAsia="zh-CN"/>
        </w:rPr>
        <w:t>成交人</w:t>
      </w:r>
    </w:p>
    <w:p w14:paraId="7D7D0E50">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20.1 采购代理机构将在评审结束后2个工作日内将</w:t>
      </w:r>
      <w:r>
        <w:rPr>
          <w:rFonts w:hint="eastAsia" w:eastAsia="宋体" w:cs="宋体"/>
          <w:snapToGrid w:val="0"/>
          <w:color w:val="auto"/>
          <w:sz w:val="24"/>
          <w:szCs w:val="24"/>
          <w:highlight w:val="none"/>
          <w:lang w:eastAsia="zh-CN"/>
        </w:rPr>
        <w:t>评标报告</w:t>
      </w:r>
      <w:r>
        <w:rPr>
          <w:rFonts w:hint="eastAsia" w:ascii="宋体" w:hAnsi="宋体" w:eastAsia="宋体" w:cs="宋体"/>
          <w:snapToGrid w:val="0"/>
          <w:color w:val="auto"/>
          <w:sz w:val="24"/>
          <w:szCs w:val="24"/>
          <w:highlight w:val="none"/>
        </w:rPr>
        <w:t>送采购人确认。</w:t>
      </w:r>
    </w:p>
    <w:p w14:paraId="1B756EA1">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20.2采购人应当在收到</w:t>
      </w:r>
      <w:r>
        <w:rPr>
          <w:rFonts w:hint="eastAsia" w:eastAsia="宋体" w:cs="宋体"/>
          <w:snapToGrid w:val="0"/>
          <w:color w:val="auto"/>
          <w:sz w:val="24"/>
          <w:szCs w:val="24"/>
          <w:highlight w:val="none"/>
          <w:lang w:eastAsia="zh-CN"/>
        </w:rPr>
        <w:t>评标报告</w:t>
      </w:r>
      <w:r>
        <w:rPr>
          <w:rFonts w:hint="eastAsia" w:ascii="宋体" w:hAnsi="宋体" w:eastAsia="宋体" w:cs="宋体"/>
          <w:snapToGrid w:val="0"/>
          <w:color w:val="auto"/>
          <w:sz w:val="24"/>
          <w:szCs w:val="24"/>
          <w:highlight w:val="none"/>
        </w:rPr>
        <w:t>后</w:t>
      </w:r>
      <w:r>
        <w:rPr>
          <w:rFonts w:hint="eastAsia" w:ascii="宋体" w:hAnsi="宋体" w:eastAsia="宋体" w:cs="宋体"/>
          <w:snapToGrid w:val="0"/>
          <w:color w:val="auto"/>
          <w:sz w:val="24"/>
          <w:szCs w:val="24"/>
          <w:highlight w:val="none"/>
          <w:lang w:val="en-US" w:eastAsia="zh-CN"/>
        </w:rPr>
        <w:t>5</w:t>
      </w:r>
      <w:r>
        <w:rPr>
          <w:rFonts w:hint="eastAsia" w:ascii="宋体" w:hAnsi="宋体" w:eastAsia="宋体" w:cs="宋体"/>
          <w:snapToGrid w:val="0"/>
          <w:color w:val="auto"/>
          <w:sz w:val="24"/>
          <w:szCs w:val="24"/>
          <w:highlight w:val="none"/>
        </w:rPr>
        <w:t>个工作日内，从</w:t>
      </w:r>
      <w:r>
        <w:rPr>
          <w:rFonts w:hint="eastAsia" w:eastAsia="宋体" w:cs="宋体"/>
          <w:snapToGrid w:val="0"/>
          <w:color w:val="auto"/>
          <w:sz w:val="24"/>
          <w:szCs w:val="24"/>
          <w:highlight w:val="none"/>
          <w:lang w:eastAsia="zh-CN"/>
        </w:rPr>
        <w:t>评标报告</w:t>
      </w:r>
      <w:r>
        <w:rPr>
          <w:rFonts w:hint="eastAsia" w:ascii="宋体" w:hAnsi="宋体" w:eastAsia="宋体" w:cs="宋体"/>
          <w:snapToGrid w:val="0"/>
          <w:color w:val="auto"/>
          <w:sz w:val="24"/>
          <w:szCs w:val="24"/>
          <w:highlight w:val="none"/>
        </w:rPr>
        <w:t>提出的</w:t>
      </w:r>
      <w:r>
        <w:rPr>
          <w:rFonts w:hint="eastAsia" w:ascii="宋体" w:hAnsi="宋体" w:eastAsia="宋体" w:cs="宋体"/>
          <w:snapToGrid w:val="0"/>
          <w:color w:val="auto"/>
          <w:sz w:val="24"/>
          <w:szCs w:val="24"/>
          <w:highlight w:val="none"/>
          <w:lang w:eastAsia="zh-CN"/>
        </w:rPr>
        <w:t>成交候选人</w:t>
      </w:r>
      <w:r>
        <w:rPr>
          <w:rFonts w:hint="eastAsia" w:ascii="宋体" w:hAnsi="宋体" w:eastAsia="宋体" w:cs="宋体"/>
          <w:snapToGrid w:val="0"/>
          <w:color w:val="auto"/>
          <w:sz w:val="24"/>
          <w:szCs w:val="24"/>
          <w:highlight w:val="none"/>
        </w:rPr>
        <w:t>中确定</w:t>
      </w:r>
      <w:r>
        <w:rPr>
          <w:rFonts w:hint="eastAsia" w:ascii="宋体" w:hAnsi="宋体" w:eastAsia="宋体" w:cs="宋体"/>
          <w:snapToGrid w:val="0"/>
          <w:color w:val="auto"/>
          <w:sz w:val="24"/>
          <w:szCs w:val="24"/>
          <w:highlight w:val="none"/>
          <w:lang w:eastAsia="zh-CN"/>
        </w:rPr>
        <w:t>成交人</w:t>
      </w:r>
      <w:r>
        <w:rPr>
          <w:rFonts w:hint="eastAsia" w:ascii="宋体" w:hAnsi="宋体" w:eastAsia="宋体" w:cs="宋体"/>
          <w:snapToGrid w:val="0"/>
          <w:color w:val="auto"/>
          <w:sz w:val="24"/>
          <w:szCs w:val="24"/>
          <w:highlight w:val="none"/>
        </w:rPr>
        <w:t>，也可以书面授权磋商小组直接确定</w:t>
      </w:r>
      <w:r>
        <w:rPr>
          <w:rFonts w:hint="eastAsia" w:ascii="宋体" w:hAnsi="宋体" w:eastAsia="宋体" w:cs="宋体"/>
          <w:snapToGrid w:val="0"/>
          <w:color w:val="auto"/>
          <w:sz w:val="24"/>
          <w:szCs w:val="24"/>
          <w:highlight w:val="none"/>
          <w:lang w:eastAsia="zh-CN"/>
        </w:rPr>
        <w:t>成交人</w:t>
      </w:r>
      <w:r>
        <w:rPr>
          <w:rFonts w:hint="eastAsia" w:ascii="宋体" w:hAnsi="宋体" w:eastAsia="宋体" w:cs="宋体"/>
          <w:snapToGrid w:val="0"/>
          <w:color w:val="auto"/>
          <w:sz w:val="24"/>
          <w:szCs w:val="24"/>
          <w:highlight w:val="none"/>
        </w:rPr>
        <w:t>。采购人逾期未确定</w:t>
      </w:r>
      <w:r>
        <w:rPr>
          <w:rFonts w:hint="eastAsia" w:ascii="宋体" w:hAnsi="宋体" w:eastAsia="宋体" w:cs="宋体"/>
          <w:snapToGrid w:val="0"/>
          <w:color w:val="auto"/>
          <w:sz w:val="24"/>
          <w:szCs w:val="24"/>
          <w:highlight w:val="none"/>
          <w:lang w:eastAsia="zh-CN"/>
        </w:rPr>
        <w:t>成交人</w:t>
      </w:r>
      <w:r>
        <w:rPr>
          <w:rFonts w:hint="eastAsia" w:ascii="宋体" w:hAnsi="宋体" w:eastAsia="宋体" w:cs="宋体"/>
          <w:snapToGrid w:val="0"/>
          <w:color w:val="auto"/>
          <w:sz w:val="24"/>
          <w:szCs w:val="24"/>
          <w:highlight w:val="none"/>
        </w:rPr>
        <w:t>且不提出异议的，视为确定</w:t>
      </w:r>
      <w:r>
        <w:rPr>
          <w:rFonts w:hint="eastAsia" w:eastAsia="宋体" w:cs="宋体"/>
          <w:snapToGrid w:val="0"/>
          <w:color w:val="auto"/>
          <w:sz w:val="24"/>
          <w:szCs w:val="24"/>
          <w:highlight w:val="none"/>
          <w:lang w:eastAsia="zh-CN"/>
        </w:rPr>
        <w:t>评标报告</w:t>
      </w:r>
      <w:r>
        <w:rPr>
          <w:rFonts w:hint="eastAsia" w:ascii="宋体" w:hAnsi="宋体" w:eastAsia="宋体" w:cs="宋体"/>
          <w:snapToGrid w:val="0"/>
          <w:color w:val="auto"/>
          <w:sz w:val="24"/>
          <w:szCs w:val="24"/>
          <w:highlight w:val="none"/>
        </w:rPr>
        <w:t>提出的排序第一的</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为</w:t>
      </w:r>
      <w:r>
        <w:rPr>
          <w:rFonts w:hint="eastAsia" w:ascii="宋体" w:hAnsi="宋体" w:eastAsia="宋体" w:cs="宋体"/>
          <w:snapToGrid w:val="0"/>
          <w:color w:val="auto"/>
          <w:sz w:val="24"/>
          <w:szCs w:val="24"/>
          <w:highlight w:val="none"/>
          <w:lang w:eastAsia="zh-CN"/>
        </w:rPr>
        <w:t>成交人</w:t>
      </w:r>
      <w:r>
        <w:rPr>
          <w:rFonts w:hint="eastAsia" w:ascii="宋体" w:hAnsi="宋体" w:eastAsia="宋体" w:cs="宋体"/>
          <w:snapToGrid w:val="0"/>
          <w:color w:val="auto"/>
          <w:sz w:val="24"/>
          <w:szCs w:val="24"/>
          <w:highlight w:val="none"/>
        </w:rPr>
        <w:t>。</w:t>
      </w:r>
    </w:p>
    <w:p w14:paraId="6EF37AFC">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20.3采购人或者采购代理机构应当在</w:t>
      </w:r>
      <w:r>
        <w:rPr>
          <w:rFonts w:hint="eastAsia" w:ascii="宋体" w:hAnsi="宋体" w:eastAsia="宋体" w:cs="宋体"/>
          <w:snapToGrid w:val="0"/>
          <w:color w:val="auto"/>
          <w:sz w:val="24"/>
          <w:szCs w:val="24"/>
          <w:highlight w:val="none"/>
          <w:lang w:eastAsia="zh-CN"/>
        </w:rPr>
        <w:t>成交人</w:t>
      </w:r>
      <w:r>
        <w:rPr>
          <w:rFonts w:hint="eastAsia" w:ascii="宋体" w:hAnsi="宋体" w:eastAsia="宋体" w:cs="宋体"/>
          <w:snapToGrid w:val="0"/>
          <w:color w:val="auto"/>
          <w:sz w:val="24"/>
          <w:szCs w:val="24"/>
          <w:highlight w:val="none"/>
        </w:rPr>
        <w:t>确定后2个工作日内，在省级以上财政部门指定的政府采购信息发布媒体上公告成交结果，同时向</w:t>
      </w:r>
      <w:r>
        <w:rPr>
          <w:rFonts w:hint="eastAsia" w:ascii="宋体" w:hAnsi="宋体" w:eastAsia="宋体" w:cs="宋体"/>
          <w:snapToGrid w:val="0"/>
          <w:color w:val="auto"/>
          <w:sz w:val="24"/>
          <w:szCs w:val="24"/>
          <w:highlight w:val="none"/>
          <w:lang w:eastAsia="zh-CN"/>
        </w:rPr>
        <w:t>成交人</w:t>
      </w:r>
      <w:r>
        <w:rPr>
          <w:rFonts w:hint="eastAsia" w:ascii="宋体" w:hAnsi="宋体" w:eastAsia="宋体" w:cs="宋体"/>
          <w:snapToGrid w:val="0"/>
          <w:color w:val="auto"/>
          <w:sz w:val="24"/>
          <w:szCs w:val="24"/>
          <w:highlight w:val="none"/>
        </w:rPr>
        <w:t>发出成交通知书。</w:t>
      </w:r>
    </w:p>
    <w:p w14:paraId="27860446">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rPr>
        <w:t>21.采购项目终止或取消</w:t>
      </w:r>
    </w:p>
    <w:p w14:paraId="3774A459">
      <w:pPr>
        <w:tabs>
          <w:tab w:val="left" w:pos="0"/>
        </w:tabs>
        <w:overflowPunct w:val="0"/>
        <w:topLinePunct/>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21.1出现下列情形之一的，采购人或者采购代理机构应当终止竞争性磋商采购活动，发布项目终止公告并说明原因，重新开展采购活动：</w:t>
      </w:r>
    </w:p>
    <w:p w14:paraId="1E8A0489">
      <w:pPr>
        <w:tabs>
          <w:tab w:val="left" w:pos="0"/>
        </w:tabs>
        <w:overflowPunct w:val="0"/>
        <w:topLinePunct/>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（一）因情况变化，不再符合规定的竞争性磋商采购方式适用情形的；</w:t>
      </w:r>
    </w:p>
    <w:p w14:paraId="2D1DE9C3">
      <w:pPr>
        <w:tabs>
          <w:tab w:val="left" w:pos="0"/>
        </w:tabs>
        <w:overflowPunct w:val="0"/>
        <w:topLinePunct/>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（二）出现影响采购公正的违法、违规行为的；</w:t>
      </w:r>
    </w:p>
    <w:p w14:paraId="5B4969E0">
      <w:pPr>
        <w:tabs>
          <w:tab w:val="left" w:pos="0"/>
        </w:tabs>
        <w:overflowPunct w:val="0"/>
        <w:topLinePunct/>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（三）在采购过程中符合要求的</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或者报价未超过采购预算的</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不足3家的。</w:t>
      </w:r>
    </w:p>
    <w:p w14:paraId="6DF49191">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color w:val="auto"/>
          <w:sz w:val="24"/>
          <w:szCs w:val="24"/>
          <w:highlight w:val="none"/>
        </w:rPr>
        <w:t>21.2在采购活动中因重大变故，采购任务取消的，采购人或者采购代理机构应当终止采购活动，通知所有参加采购活动的</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，并将项目实施情况和采购任务取消原因报送本级监督部门。</w:t>
      </w:r>
    </w:p>
    <w:p w14:paraId="7359E0CB">
      <w:pPr>
        <w:overflowPunct w:val="0"/>
        <w:topLinePunct/>
        <w:adjustRightInd w:val="0"/>
        <w:snapToGrid w:val="0"/>
        <w:spacing w:line="360" w:lineRule="auto"/>
        <w:jc w:val="center"/>
        <w:outlineLvl w:val="1"/>
        <w:rPr>
          <w:rFonts w:hint="eastAsia" w:ascii="宋体" w:hAnsi="宋体" w:eastAsia="宋体" w:cs="宋体"/>
          <w:b/>
          <w:bCs/>
          <w:snapToGrid w:val="0"/>
          <w:color w:val="auto"/>
          <w:sz w:val="24"/>
          <w:szCs w:val="24"/>
          <w:highlight w:val="none"/>
        </w:rPr>
      </w:pPr>
      <w:bookmarkStart w:id="40" w:name="_Toc1576"/>
      <w:bookmarkStart w:id="41" w:name="_Toc510994112"/>
      <w:bookmarkStart w:id="42" w:name="_Toc175644022"/>
      <w:bookmarkStart w:id="43" w:name="_Toc10672"/>
      <w:bookmarkStart w:id="44" w:name="_Toc10907"/>
      <w:r>
        <w:rPr>
          <w:rFonts w:hint="eastAsia" w:ascii="宋体" w:hAnsi="宋体" w:eastAsia="宋体" w:cs="宋体"/>
          <w:b/>
          <w:bCs/>
          <w:snapToGrid w:val="0"/>
          <w:color w:val="auto"/>
          <w:sz w:val="24"/>
          <w:szCs w:val="24"/>
          <w:highlight w:val="none"/>
        </w:rPr>
        <w:t>七、签订合同</w:t>
      </w:r>
      <w:bookmarkEnd w:id="40"/>
      <w:bookmarkEnd w:id="41"/>
      <w:bookmarkEnd w:id="42"/>
      <w:bookmarkEnd w:id="43"/>
      <w:bookmarkEnd w:id="44"/>
    </w:p>
    <w:p w14:paraId="31CD6A3D">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rPr>
        <w:t>22.成交通知</w:t>
      </w:r>
    </w:p>
    <w:p w14:paraId="739D8DDA">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22.1</w:t>
      </w:r>
      <w:r>
        <w:rPr>
          <w:rFonts w:hint="eastAsia" w:ascii="宋体" w:hAnsi="宋体" w:eastAsia="宋体" w:cs="宋体"/>
          <w:snapToGrid w:val="0"/>
          <w:color w:val="auto"/>
          <w:sz w:val="24"/>
          <w:szCs w:val="24"/>
          <w:highlight w:val="none"/>
          <w:lang w:eastAsia="zh-CN"/>
        </w:rPr>
        <w:t>成交人</w:t>
      </w:r>
      <w:r>
        <w:rPr>
          <w:rFonts w:hint="eastAsia" w:ascii="宋体" w:hAnsi="宋体" w:eastAsia="宋体" w:cs="宋体"/>
          <w:snapToGrid w:val="0"/>
          <w:color w:val="auto"/>
          <w:sz w:val="24"/>
          <w:szCs w:val="24"/>
          <w:highlight w:val="none"/>
        </w:rPr>
        <w:t>确定后，采购代理机构（或采购人）将在刊登本次磋商公告的媒体上发布成交公告，并以书面形式向</w:t>
      </w:r>
      <w:r>
        <w:rPr>
          <w:rFonts w:hint="eastAsia" w:ascii="宋体" w:hAnsi="宋体" w:eastAsia="宋体" w:cs="宋体"/>
          <w:snapToGrid w:val="0"/>
          <w:color w:val="auto"/>
          <w:sz w:val="24"/>
          <w:szCs w:val="24"/>
          <w:highlight w:val="none"/>
          <w:lang w:eastAsia="zh-CN"/>
        </w:rPr>
        <w:t>成交人</w:t>
      </w:r>
      <w:r>
        <w:rPr>
          <w:rFonts w:hint="eastAsia" w:ascii="宋体" w:hAnsi="宋体" w:eastAsia="宋体" w:cs="宋体"/>
          <w:snapToGrid w:val="0"/>
          <w:color w:val="auto"/>
          <w:sz w:val="24"/>
          <w:szCs w:val="24"/>
          <w:highlight w:val="none"/>
        </w:rPr>
        <w:t>发出成交通知书，但该成交结果的有效性不依赖于未成交的</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是否知道成交结果。成交通知书对采购人和</w:t>
      </w:r>
      <w:r>
        <w:rPr>
          <w:rFonts w:hint="eastAsia" w:ascii="宋体" w:hAnsi="宋体" w:eastAsia="宋体" w:cs="宋体"/>
          <w:snapToGrid w:val="0"/>
          <w:color w:val="auto"/>
          <w:sz w:val="24"/>
          <w:szCs w:val="24"/>
          <w:highlight w:val="none"/>
          <w:lang w:eastAsia="zh-CN"/>
        </w:rPr>
        <w:t>成交人</w:t>
      </w:r>
      <w:r>
        <w:rPr>
          <w:rFonts w:hint="eastAsia" w:ascii="宋体" w:hAnsi="宋体" w:eastAsia="宋体" w:cs="宋体"/>
          <w:snapToGrid w:val="0"/>
          <w:color w:val="auto"/>
          <w:sz w:val="24"/>
          <w:szCs w:val="24"/>
          <w:highlight w:val="none"/>
        </w:rPr>
        <w:t>具有同等法律效力。成交通知书发出以后，采购人改变成交结果或者</w:t>
      </w:r>
      <w:r>
        <w:rPr>
          <w:rFonts w:hint="eastAsia" w:ascii="宋体" w:hAnsi="宋体" w:eastAsia="宋体" w:cs="宋体"/>
          <w:snapToGrid w:val="0"/>
          <w:color w:val="auto"/>
          <w:sz w:val="24"/>
          <w:szCs w:val="24"/>
          <w:highlight w:val="none"/>
          <w:lang w:eastAsia="zh-CN"/>
        </w:rPr>
        <w:t>成交人</w:t>
      </w:r>
      <w:r>
        <w:rPr>
          <w:rFonts w:hint="eastAsia" w:ascii="宋体" w:hAnsi="宋体" w:eastAsia="宋体" w:cs="宋体"/>
          <w:snapToGrid w:val="0"/>
          <w:color w:val="auto"/>
          <w:sz w:val="24"/>
          <w:szCs w:val="24"/>
          <w:highlight w:val="none"/>
        </w:rPr>
        <w:t>放弃成交，应当承担相应的法律责任。</w:t>
      </w:r>
    </w:p>
    <w:p w14:paraId="50CFE3DA">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22.2采购代理机构（或采购人）对未成交的</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不做未成交原因的解释。</w:t>
      </w:r>
    </w:p>
    <w:p w14:paraId="5AD7A10D">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22.3成交通知书是合同的组成部分。</w:t>
      </w:r>
    </w:p>
    <w:p w14:paraId="63984C15">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rPr>
        <w:t>24.签订合同</w:t>
      </w:r>
    </w:p>
    <w:p w14:paraId="75EEA9DA">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24.1</w:t>
      </w:r>
      <w:r>
        <w:rPr>
          <w:rFonts w:hint="eastAsia" w:ascii="宋体" w:hAnsi="宋体" w:eastAsia="宋体" w:cs="宋体"/>
          <w:snapToGrid w:val="0"/>
          <w:color w:val="auto"/>
          <w:sz w:val="24"/>
          <w:szCs w:val="24"/>
          <w:highlight w:val="none"/>
          <w:lang w:eastAsia="zh-CN"/>
        </w:rPr>
        <w:t>成交人</w:t>
      </w:r>
      <w:r>
        <w:rPr>
          <w:rFonts w:hint="eastAsia" w:ascii="宋体" w:hAnsi="宋体" w:eastAsia="宋体" w:cs="宋体"/>
          <w:snapToGrid w:val="0"/>
          <w:color w:val="auto"/>
          <w:sz w:val="24"/>
          <w:szCs w:val="24"/>
          <w:highlight w:val="none"/>
        </w:rPr>
        <w:t>应在成交结果公告发布后尽快到采购代理机构领取成交通知书，并在本项目成交结果公告发布之日起2</w:t>
      </w:r>
      <w:r>
        <w:rPr>
          <w:rFonts w:hint="eastAsia" w:ascii="宋体" w:hAnsi="宋体" w:eastAsia="宋体" w:cs="宋体"/>
          <w:snapToGrid w:val="0"/>
          <w:color w:val="auto"/>
          <w:sz w:val="24"/>
          <w:szCs w:val="24"/>
          <w:highlight w:val="none"/>
          <w:lang w:val="en-US" w:eastAsia="zh-CN"/>
        </w:rPr>
        <w:t>个工作</w:t>
      </w:r>
      <w:r>
        <w:rPr>
          <w:rFonts w:hint="eastAsia" w:ascii="宋体" w:hAnsi="宋体" w:eastAsia="宋体" w:cs="宋体"/>
          <w:snapToGrid w:val="0"/>
          <w:color w:val="auto"/>
          <w:sz w:val="24"/>
          <w:szCs w:val="24"/>
          <w:highlight w:val="none"/>
        </w:rPr>
        <w:t>日内与采购人签订采购合同。</w:t>
      </w:r>
    </w:p>
    <w:p w14:paraId="13FC9168">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24.2</w:t>
      </w:r>
      <w:r>
        <w:rPr>
          <w:rFonts w:hint="eastAsia" w:ascii="宋体" w:hAnsi="宋体" w:eastAsia="宋体" w:cs="宋体"/>
          <w:snapToGrid w:val="0"/>
          <w:color w:val="auto"/>
          <w:sz w:val="24"/>
          <w:szCs w:val="24"/>
          <w:highlight w:val="none"/>
          <w:lang w:eastAsia="zh-CN"/>
        </w:rPr>
        <w:t>成交人</w:t>
      </w:r>
      <w:r>
        <w:rPr>
          <w:rFonts w:hint="eastAsia" w:ascii="宋体" w:hAnsi="宋体" w:eastAsia="宋体" w:cs="宋体"/>
          <w:snapToGrid w:val="0"/>
          <w:color w:val="auto"/>
          <w:sz w:val="24"/>
          <w:szCs w:val="24"/>
          <w:highlight w:val="none"/>
        </w:rPr>
        <w:t>应按照磋商文件、响应文件及评标过程中的有关澄清、说明或者补正文件的内容与采购人签订合同。</w:t>
      </w:r>
      <w:r>
        <w:rPr>
          <w:rFonts w:hint="eastAsia" w:ascii="宋体" w:hAnsi="宋体" w:eastAsia="宋体" w:cs="宋体"/>
          <w:snapToGrid w:val="0"/>
          <w:color w:val="auto"/>
          <w:sz w:val="24"/>
          <w:szCs w:val="24"/>
          <w:highlight w:val="none"/>
          <w:lang w:eastAsia="zh-CN"/>
        </w:rPr>
        <w:t>成交人</w:t>
      </w:r>
      <w:r>
        <w:rPr>
          <w:rFonts w:hint="eastAsia" w:ascii="宋体" w:hAnsi="宋体" w:eastAsia="宋体" w:cs="宋体"/>
          <w:snapToGrid w:val="0"/>
          <w:color w:val="auto"/>
          <w:sz w:val="24"/>
          <w:szCs w:val="24"/>
          <w:highlight w:val="none"/>
        </w:rPr>
        <w:t>不得再与采购人签订背离合同实质性内容的其它协议或声明。</w:t>
      </w:r>
    </w:p>
    <w:p w14:paraId="3CC9D8BC">
      <w:pPr>
        <w:tabs>
          <w:tab w:val="left" w:pos="567"/>
        </w:tabs>
        <w:overflowPunct w:val="0"/>
        <w:topLinePunct/>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24.3</w:t>
      </w:r>
      <w:bookmarkStart w:id="45" w:name="_Toc175644024"/>
      <w:r>
        <w:rPr>
          <w:rFonts w:hint="eastAsia" w:ascii="宋体" w:hAnsi="宋体" w:eastAsia="宋体" w:cs="宋体"/>
          <w:color w:val="auto"/>
          <w:sz w:val="24"/>
          <w:szCs w:val="24"/>
          <w:highlight w:val="none"/>
        </w:rPr>
        <w:t>如</w:t>
      </w:r>
      <w:r>
        <w:rPr>
          <w:rFonts w:hint="eastAsia" w:ascii="宋体" w:hAnsi="宋体" w:eastAsia="宋体" w:cs="宋体"/>
          <w:color w:val="auto"/>
          <w:sz w:val="24"/>
          <w:szCs w:val="24"/>
          <w:highlight w:val="none"/>
          <w:lang w:eastAsia="zh-CN"/>
        </w:rPr>
        <w:t>成交人</w:t>
      </w:r>
      <w:r>
        <w:rPr>
          <w:rFonts w:hint="eastAsia" w:ascii="宋体" w:hAnsi="宋体" w:eastAsia="宋体" w:cs="宋体"/>
          <w:color w:val="auto"/>
          <w:sz w:val="24"/>
          <w:szCs w:val="24"/>
          <w:highlight w:val="none"/>
        </w:rPr>
        <w:t>不按时签订合同、拒签合同的，取消其成交资格，视为确定</w:t>
      </w:r>
      <w:r>
        <w:rPr>
          <w:rFonts w:hint="eastAsia" w:eastAsia="宋体" w:cs="宋体"/>
          <w:color w:val="auto"/>
          <w:sz w:val="24"/>
          <w:szCs w:val="24"/>
          <w:highlight w:val="none"/>
          <w:lang w:eastAsia="zh-CN"/>
        </w:rPr>
        <w:t>评标报告</w:t>
      </w:r>
      <w:r>
        <w:rPr>
          <w:rFonts w:hint="eastAsia" w:ascii="宋体" w:hAnsi="宋体" w:eastAsia="宋体" w:cs="宋体"/>
          <w:color w:val="auto"/>
          <w:sz w:val="24"/>
          <w:szCs w:val="24"/>
          <w:highlight w:val="none"/>
        </w:rPr>
        <w:t>提出的排序第</w:t>
      </w:r>
      <w:r>
        <w:rPr>
          <w:rFonts w:hint="eastAsia" w:eastAsia="宋体" w:cs="宋体"/>
          <w:color w:val="auto"/>
          <w:sz w:val="24"/>
          <w:szCs w:val="24"/>
          <w:highlight w:val="none"/>
          <w:lang w:val="en-US" w:eastAsia="zh-CN"/>
        </w:rPr>
        <w:t>二</w:t>
      </w:r>
      <w:r>
        <w:rPr>
          <w:rFonts w:hint="eastAsia" w:ascii="宋体" w:hAnsi="宋体" w:eastAsia="宋体" w:cs="宋体"/>
          <w:color w:val="auto"/>
          <w:sz w:val="24"/>
          <w:szCs w:val="24"/>
          <w:highlight w:val="none"/>
        </w:rPr>
        <w:t>的</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为</w:t>
      </w:r>
      <w:r>
        <w:rPr>
          <w:rFonts w:hint="eastAsia" w:ascii="宋体" w:hAnsi="宋体" w:eastAsia="宋体" w:cs="宋体"/>
          <w:color w:val="auto"/>
          <w:sz w:val="24"/>
          <w:szCs w:val="24"/>
          <w:highlight w:val="none"/>
          <w:lang w:eastAsia="zh-CN"/>
        </w:rPr>
        <w:t>成交人</w:t>
      </w:r>
      <w:r>
        <w:rPr>
          <w:rFonts w:hint="eastAsia" w:eastAsia="宋体" w:cs="宋体"/>
          <w:color w:val="auto"/>
          <w:sz w:val="24"/>
          <w:szCs w:val="24"/>
          <w:highlight w:val="none"/>
          <w:lang w:eastAsia="zh-CN"/>
        </w:rPr>
        <w:t>，</w:t>
      </w:r>
      <w:r>
        <w:rPr>
          <w:rFonts w:hint="eastAsia" w:eastAsia="宋体" w:cs="宋体"/>
          <w:color w:val="auto"/>
          <w:sz w:val="24"/>
          <w:szCs w:val="24"/>
          <w:highlight w:val="none"/>
          <w:lang w:val="en-US" w:eastAsia="zh-CN"/>
        </w:rPr>
        <w:t>以此类推</w:t>
      </w:r>
      <w:r>
        <w:rPr>
          <w:rFonts w:hint="eastAsia" w:ascii="宋体" w:hAnsi="宋体" w:eastAsia="宋体" w:cs="宋体"/>
          <w:color w:val="auto"/>
          <w:sz w:val="24"/>
          <w:szCs w:val="24"/>
          <w:highlight w:val="none"/>
        </w:rPr>
        <w:t>。</w:t>
      </w:r>
    </w:p>
    <w:p w14:paraId="768A5835">
      <w:pPr>
        <w:tabs>
          <w:tab w:val="left" w:pos="567"/>
        </w:tabs>
        <w:overflowPunct w:val="0"/>
        <w:topLinePunct/>
        <w:adjustRightInd w:val="0"/>
        <w:snapToGrid w:val="0"/>
        <w:spacing w:line="360" w:lineRule="auto"/>
        <w:ind w:firstLine="482" w:firstLineChars="200"/>
        <w:rPr>
          <w:rFonts w:hint="eastAsia" w:ascii="宋体" w:hAnsi="宋体" w:eastAsia="宋体" w:cs="宋体"/>
          <w:b/>
          <w:bCs/>
          <w:snapToGrid w:val="0"/>
          <w:color w:val="auto"/>
          <w:sz w:val="24"/>
          <w:szCs w:val="24"/>
          <w:highlight w:val="none"/>
        </w:rPr>
      </w:pPr>
    </w:p>
    <w:p w14:paraId="622DC6AE">
      <w:pPr>
        <w:overflowPunct w:val="0"/>
        <w:topLinePunct/>
        <w:adjustRightInd w:val="0"/>
        <w:snapToGrid w:val="0"/>
        <w:spacing w:line="360" w:lineRule="auto"/>
        <w:jc w:val="center"/>
        <w:outlineLvl w:val="1"/>
        <w:rPr>
          <w:rFonts w:hint="eastAsia" w:ascii="宋体" w:hAnsi="宋体" w:eastAsia="宋体" w:cs="宋体"/>
          <w:b/>
          <w:bCs/>
          <w:snapToGrid w:val="0"/>
          <w:color w:val="auto"/>
          <w:sz w:val="24"/>
          <w:szCs w:val="24"/>
          <w:highlight w:val="none"/>
        </w:rPr>
      </w:pPr>
      <w:bookmarkStart w:id="46" w:name="_Toc26837"/>
      <w:bookmarkStart w:id="47" w:name="_Toc30278"/>
      <w:bookmarkStart w:id="48" w:name="_Toc13743"/>
      <w:bookmarkStart w:id="49" w:name="_Toc510994113"/>
      <w:r>
        <w:rPr>
          <w:rFonts w:hint="eastAsia" w:ascii="宋体" w:hAnsi="宋体" w:eastAsia="宋体" w:cs="宋体"/>
          <w:b/>
          <w:bCs/>
          <w:snapToGrid w:val="0"/>
          <w:color w:val="auto"/>
          <w:sz w:val="24"/>
          <w:szCs w:val="24"/>
          <w:highlight w:val="none"/>
        </w:rPr>
        <w:t>八、保密和披露</w:t>
      </w:r>
      <w:bookmarkEnd w:id="45"/>
      <w:bookmarkEnd w:id="46"/>
      <w:bookmarkEnd w:id="47"/>
      <w:bookmarkEnd w:id="48"/>
      <w:bookmarkEnd w:id="49"/>
    </w:p>
    <w:p w14:paraId="024805A9">
      <w:pPr>
        <w:overflowPunct w:val="0"/>
        <w:topLinePunct/>
        <w:adjustRightInd w:val="0"/>
        <w:snapToGrid w:val="0"/>
        <w:spacing w:line="360" w:lineRule="auto"/>
        <w:ind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rPr>
        <w:t>25.保密</w:t>
      </w:r>
    </w:p>
    <w:p w14:paraId="70AB5AD4">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25.1</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自领取磋商文件之日起，不得将因本次</w:t>
      </w:r>
      <w:r>
        <w:rPr>
          <w:rFonts w:hint="eastAsia" w:ascii="宋体" w:hAnsi="宋体" w:eastAsia="宋体" w:cs="宋体"/>
          <w:snapToGrid w:val="0"/>
          <w:color w:val="auto"/>
          <w:sz w:val="24"/>
          <w:szCs w:val="24"/>
          <w:highlight w:val="none"/>
          <w:lang w:val="en-US" w:eastAsia="zh-CN"/>
        </w:rPr>
        <w:t>此采购</w:t>
      </w:r>
      <w:r>
        <w:rPr>
          <w:rFonts w:hint="eastAsia" w:ascii="宋体" w:hAnsi="宋体" w:eastAsia="宋体" w:cs="宋体"/>
          <w:snapToGrid w:val="0"/>
          <w:color w:val="auto"/>
          <w:sz w:val="24"/>
          <w:szCs w:val="24"/>
          <w:highlight w:val="none"/>
        </w:rPr>
        <w:t>获得的信息向第三人外传。</w:t>
      </w:r>
    </w:p>
    <w:p w14:paraId="60280322">
      <w:pPr>
        <w:overflowPunct w:val="0"/>
        <w:topLinePunct/>
        <w:adjustRightInd w:val="0"/>
        <w:snapToGrid w:val="0"/>
        <w:spacing w:line="360" w:lineRule="auto"/>
        <w:ind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rPr>
        <w:t>26.披露</w:t>
      </w:r>
    </w:p>
    <w:p w14:paraId="33D17213">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26.1采购代理机构（或采购人）有权将</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提供的所有资料向有关政府部门或有关人员披露。</w:t>
      </w:r>
    </w:p>
    <w:p w14:paraId="1F35C4F9">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26.2在采购代理机构（或采购人）认为适当时、国家机关调查、审查、审计时以及其他符合法律规定的情形下，采购代理机构（或采购人）无须事先征求</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w:t>
      </w:r>
      <w:r>
        <w:rPr>
          <w:rFonts w:hint="eastAsia" w:ascii="宋体" w:hAnsi="宋体" w:eastAsia="宋体" w:cs="宋体"/>
          <w:snapToGrid w:val="0"/>
          <w:color w:val="auto"/>
          <w:sz w:val="24"/>
          <w:szCs w:val="24"/>
          <w:highlight w:val="none"/>
          <w:lang w:eastAsia="zh-CN"/>
        </w:rPr>
        <w:t>成交人</w:t>
      </w:r>
      <w:r>
        <w:rPr>
          <w:rFonts w:hint="eastAsia" w:ascii="宋体" w:hAnsi="宋体" w:eastAsia="宋体" w:cs="宋体"/>
          <w:snapToGrid w:val="0"/>
          <w:color w:val="auto"/>
          <w:sz w:val="24"/>
          <w:szCs w:val="24"/>
          <w:highlight w:val="none"/>
        </w:rPr>
        <w:t>同意而可以披露关于采购过程、合同文本、签署情况的资料、</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w:t>
      </w:r>
      <w:r>
        <w:rPr>
          <w:rFonts w:hint="eastAsia" w:ascii="宋体" w:hAnsi="宋体" w:eastAsia="宋体" w:cs="宋体"/>
          <w:snapToGrid w:val="0"/>
          <w:color w:val="auto"/>
          <w:sz w:val="24"/>
          <w:szCs w:val="24"/>
          <w:highlight w:val="none"/>
          <w:lang w:eastAsia="zh-CN"/>
        </w:rPr>
        <w:t>成交人</w:t>
      </w:r>
      <w:r>
        <w:rPr>
          <w:rFonts w:hint="eastAsia" w:ascii="宋体" w:hAnsi="宋体" w:eastAsia="宋体" w:cs="宋体"/>
          <w:snapToGrid w:val="0"/>
          <w:color w:val="auto"/>
          <w:sz w:val="24"/>
          <w:szCs w:val="24"/>
          <w:highlight w:val="none"/>
        </w:rPr>
        <w:t>的名称及地址、响应文件的有关信息以及补充条款等，但应当在合理的必要范围内。对任何已经公布过的内容或与之内容相同的资料，以及</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w:t>
      </w:r>
      <w:r>
        <w:rPr>
          <w:rFonts w:hint="eastAsia" w:ascii="宋体" w:hAnsi="宋体" w:eastAsia="宋体" w:cs="宋体"/>
          <w:snapToGrid w:val="0"/>
          <w:color w:val="auto"/>
          <w:sz w:val="24"/>
          <w:szCs w:val="24"/>
          <w:highlight w:val="none"/>
          <w:lang w:eastAsia="zh-CN"/>
        </w:rPr>
        <w:t>成交人</w:t>
      </w:r>
      <w:r>
        <w:rPr>
          <w:rFonts w:hint="eastAsia" w:ascii="宋体" w:hAnsi="宋体" w:eastAsia="宋体" w:cs="宋体"/>
          <w:snapToGrid w:val="0"/>
          <w:color w:val="auto"/>
          <w:sz w:val="24"/>
          <w:szCs w:val="24"/>
          <w:highlight w:val="none"/>
        </w:rPr>
        <w:t>已经泄露或公开的，无须再承担保密责任。</w:t>
      </w:r>
    </w:p>
    <w:p w14:paraId="0F1C75A2">
      <w:pPr>
        <w:overflowPunct w:val="0"/>
        <w:topLinePunct/>
        <w:adjustRightInd w:val="0"/>
        <w:snapToGrid w:val="0"/>
        <w:spacing w:line="360" w:lineRule="auto"/>
        <w:jc w:val="center"/>
        <w:outlineLvl w:val="1"/>
        <w:rPr>
          <w:rFonts w:hint="eastAsia" w:ascii="宋体" w:hAnsi="宋体" w:eastAsia="宋体" w:cs="宋体"/>
          <w:b/>
          <w:bCs/>
          <w:snapToGrid w:val="0"/>
          <w:color w:val="auto"/>
          <w:sz w:val="24"/>
          <w:szCs w:val="24"/>
          <w:highlight w:val="none"/>
        </w:rPr>
      </w:pPr>
      <w:bookmarkStart w:id="50" w:name="_Toc25861"/>
      <w:bookmarkStart w:id="51" w:name="_Toc23506"/>
      <w:bookmarkStart w:id="52" w:name="_Toc510994114"/>
      <w:bookmarkStart w:id="53" w:name="_Toc26152"/>
      <w:r>
        <w:rPr>
          <w:rFonts w:hint="eastAsia" w:ascii="宋体" w:hAnsi="宋体" w:eastAsia="宋体" w:cs="宋体"/>
          <w:b/>
          <w:bCs/>
          <w:snapToGrid w:val="0"/>
          <w:color w:val="auto"/>
          <w:sz w:val="24"/>
          <w:szCs w:val="24"/>
          <w:highlight w:val="none"/>
        </w:rPr>
        <w:t>九、询问和质疑</w:t>
      </w:r>
      <w:bookmarkEnd w:id="50"/>
      <w:bookmarkEnd w:id="51"/>
      <w:bookmarkEnd w:id="52"/>
      <w:bookmarkEnd w:id="53"/>
    </w:p>
    <w:p w14:paraId="7345AECF">
      <w:pPr>
        <w:overflowPunct w:val="0"/>
        <w:topLinePunct/>
        <w:adjustRightInd w:val="0"/>
        <w:snapToGrid w:val="0"/>
        <w:spacing w:line="360" w:lineRule="auto"/>
        <w:ind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rPr>
        <w:t>27.</w:t>
      </w:r>
      <w:r>
        <w:rPr>
          <w:rFonts w:hint="eastAsia" w:eastAsia="宋体" w:cs="宋体"/>
          <w:b/>
          <w:snapToGrid w:val="0"/>
          <w:color w:val="auto"/>
          <w:sz w:val="24"/>
          <w:szCs w:val="24"/>
          <w:highlight w:val="none"/>
          <w:lang w:eastAsia="zh-CN"/>
        </w:rPr>
        <w:t>响应人</w:t>
      </w:r>
      <w:r>
        <w:rPr>
          <w:rFonts w:hint="eastAsia" w:ascii="宋体" w:hAnsi="宋体" w:eastAsia="宋体" w:cs="宋体"/>
          <w:b/>
          <w:snapToGrid w:val="0"/>
          <w:color w:val="auto"/>
          <w:sz w:val="24"/>
          <w:szCs w:val="24"/>
          <w:highlight w:val="none"/>
        </w:rPr>
        <w:t>有权就</w:t>
      </w:r>
      <w:r>
        <w:rPr>
          <w:rFonts w:hint="eastAsia" w:ascii="宋体" w:hAnsi="宋体" w:eastAsia="宋体" w:cs="宋体"/>
          <w:b/>
          <w:snapToGrid w:val="0"/>
          <w:color w:val="auto"/>
          <w:sz w:val="24"/>
          <w:szCs w:val="24"/>
          <w:highlight w:val="none"/>
          <w:lang w:val="en-US" w:eastAsia="zh-CN"/>
        </w:rPr>
        <w:t>采购</w:t>
      </w:r>
      <w:r>
        <w:rPr>
          <w:rFonts w:hint="eastAsia" w:ascii="宋体" w:hAnsi="宋体" w:eastAsia="宋体" w:cs="宋体"/>
          <w:b/>
          <w:snapToGrid w:val="0"/>
          <w:color w:val="auto"/>
          <w:sz w:val="24"/>
          <w:szCs w:val="24"/>
          <w:highlight w:val="none"/>
        </w:rPr>
        <w:t>事宜提出询问和质疑</w:t>
      </w:r>
    </w:p>
    <w:p w14:paraId="7EAC2000">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27.1招标程序受到严格的内部监督，以确保授予合同过程的公平公正。</w:t>
      </w:r>
    </w:p>
    <w:p w14:paraId="1CC51732">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27.2</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对磋商文件条款或技术、商务参数有异议的，应当在开标前通过澄清或修改程序提出。</w:t>
      </w:r>
    </w:p>
    <w:p w14:paraId="0B224EFD">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27.3</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对采购事项有疑问的，可以向采购代理机构（或采购人）提出询问。</w:t>
      </w:r>
    </w:p>
    <w:p w14:paraId="0B54C46E">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27.4</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认为其投标未获公平评审或采购过程和成交结果使自己的合法权益受到损害的，应当在知道或者应知其权益受到损害之日起7个工作日内提出质疑。</w:t>
      </w:r>
    </w:p>
    <w:p w14:paraId="721E55C4">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27.5质疑应当以书面形式向采购代理机构（或采购人）提出，经法定代表人签字并加盖公章；如遇特殊情况，按相关文件要求执行。</w:t>
      </w:r>
    </w:p>
    <w:p w14:paraId="1E303190">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27.6质疑书应当包括以下主要内容：被质疑项目名称、项目编号、包号、磋商公告发布时间、质疑事项、法律依据（具体条款）、质疑人全称、法定代表人签字、盖章、有效联系方式（包括手机、传真号码）。</w:t>
      </w:r>
    </w:p>
    <w:p w14:paraId="01CC1DDA">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27.7质疑应按照“谁主张、谁举证”的原则，质疑书应当附相关证明材料。质疑材料应为简体中文，一式二份，并当面办理接收手续。</w:t>
      </w:r>
    </w:p>
    <w:p w14:paraId="5CE654B3">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27.8有下列情形之一的，属于无效质疑，采购代理机构（或采购人）可不予受理：</w:t>
      </w:r>
    </w:p>
    <w:p w14:paraId="2A001678">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（1）未在有效期限内提出质疑的；</w:t>
      </w:r>
    </w:p>
    <w:p w14:paraId="49D8F267">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（2）质疑未以书面形式提出的（如遇特殊情况，按相关文件要求执行）；</w:t>
      </w:r>
    </w:p>
    <w:p w14:paraId="6E9E4214">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（3）所提交材料未明示属于质疑材料的；</w:t>
      </w:r>
    </w:p>
    <w:p w14:paraId="58036A21">
      <w:pPr>
        <w:overflowPunct w:val="0"/>
        <w:topLinePunct/>
        <w:adjustRightInd w:val="0"/>
        <w:snapToGrid w:val="0"/>
        <w:spacing w:line="360" w:lineRule="auto"/>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（4）质疑书没有法定代表人签署本人姓名或印盖本人姓名章并加</w:t>
      </w:r>
      <w:r>
        <w:rPr>
          <w:rFonts w:hint="eastAsia" w:ascii="宋体" w:hAnsi="宋体" w:eastAsia="宋体" w:cs="宋体"/>
          <w:snapToGrid w:val="0"/>
          <w:color w:val="auto"/>
          <w:sz w:val="24"/>
          <w:szCs w:val="24"/>
          <w:highlight w:val="none"/>
          <w:lang w:eastAsia="zh-CN"/>
        </w:rPr>
        <w:t>单位电子公章</w:t>
      </w:r>
      <w:r>
        <w:rPr>
          <w:rFonts w:hint="eastAsia" w:ascii="宋体" w:hAnsi="宋体" w:eastAsia="宋体" w:cs="宋体"/>
          <w:snapToGrid w:val="0"/>
          <w:color w:val="auto"/>
          <w:sz w:val="24"/>
          <w:szCs w:val="24"/>
          <w:highlight w:val="none"/>
        </w:rPr>
        <w:t>的；质疑书由参加采购项目的授权代表签署本人姓名或印盖本人姓名章，但没有法定代表人特别授权的；</w:t>
      </w:r>
    </w:p>
    <w:p w14:paraId="1A131871">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（5）质疑书未提供有效联系人或联系方式的；</w:t>
      </w:r>
    </w:p>
    <w:p w14:paraId="35845907">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（6）质疑事项已经进入投诉或者行政复议或者诉讼程序的；</w:t>
      </w:r>
    </w:p>
    <w:p w14:paraId="2A9F207B">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（7）质疑书未附相关证明材料，被视为无有效证据支持的；</w:t>
      </w:r>
    </w:p>
    <w:p w14:paraId="645A42E7">
      <w:pPr>
        <w:overflowPunct w:val="0"/>
        <w:topLinePunct/>
        <w:adjustRightInd w:val="0"/>
        <w:snapToGrid w:val="0"/>
        <w:spacing w:line="360" w:lineRule="auto"/>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（8）</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对磋商文件条款或技术参数有异议，未在开标前通过澄清或修改程序提出，并且</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已经参与投标，而于开标后对磋商文件提出质疑的；</w:t>
      </w:r>
    </w:p>
    <w:p w14:paraId="629BCFF0">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（9）在提出本次质疑前半年内连续三次质疑而无事实依据的；</w:t>
      </w:r>
    </w:p>
    <w:p w14:paraId="6CB416FA">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（10）其它不符合受理条件的情形。</w:t>
      </w:r>
    </w:p>
    <w:p w14:paraId="2A500004">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27.9采购代理机构（或采购人）将在收到书面质疑后7个工作日内审查质疑事项，做出答复或相关处理决定，并以书面形式通知质疑</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和其他有关</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，但答复的内容不涉及商业秘密。</w:t>
      </w:r>
    </w:p>
    <w:p w14:paraId="20C5211D">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27.10质疑</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对采购代理机构（或采购人）的答复不满意以及采购代理机构（或采购人）未在规定的时间内做出答复的，可以在答复期满后15个工作日内向相关部门投诉。</w:t>
      </w:r>
    </w:p>
    <w:p w14:paraId="462CB8F8">
      <w:pPr>
        <w:overflowPunct w:val="0"/>
        <w:topLinePunct/>
        <w:adjustRightInd w:val="0"/>
        <w:snapToGrid w:val="0"/>
        <w:spacing w:line="360" w:lineRule="auto"/>
        <w:jc w:val="center"/>
        <w:outlineLvl w:val="1"/>
        <w:rPr>
          <w:rFonts w:hint="eastAsia" w:ascii="宋体" w:hAnsi="宋体" w:eastAsia="宋体" w:cs="宋体"/>
          <w:b/>
          <w:bCs/>
          <w:snapToGrid w:val="0"/>
          <w:color w:val="auto"/>
          <w:sz w:val="24"/>
          <w:szCs w:val="24"/>
          <w:highlight w:val="none"/>
          <w:lang w:eastAsia="zh-CN"/>
        </w:rPr>
      </w:pPr>
      <w:bookmarkStart w:id="54" w:name="_Toc12294"/>
      <w:bookmarkStart w:id="55" w:name="_Toc14145"/>
      <w:bookmarkStart w:id="56" w:name="_Toc28989"/>
      <w:bookmarkStart w:id="57" w:name="_Toc510994115"/>
      <w:r>
        <w:rPr>
          <w:rFonts w:hint="eastAsia" w:ascii="宋体" w:hAnsi="宋体" w:eastAsia="宋体" w:cs="宋体"/>
          <w:b/>
          <w:bCs/>
          <w:snapToGrid w:val="0"/>
          <w:color w:val="auto"/>
          <w:sz w:val="24"/>
          <w:szCs w:val="24"/>
          <w:highlight w:val="none"/>
        </w:rPr>
        <w:t>十、</w:t>
      </w:r>
      <w:bookmarkEnd w:id="54"/>
      <w:bookmarkEnd w:id="55"/>
      <w:bookmarkEnd w:id="56"/>
      <w:bookmarkEnd w:id="57"/>
      <w:r>
        <w:rPr>
          <w:rFonts w:hint="eastAsia" w:eastAsia="宋体" w:cs="宋体"/>
          <w:b/>
          <w:bCs/>
          <w:snapToGrid w:val="0"/>
          <w:color w:val="auto"/>
          <w:sz w:val="24"/>
          <w:szCs w:val="24"/>
          <w:highlight w:val="none"/>
          <w:lang w:val="en-US" w:eastAsia="zh-CN"/>
        </w:rPr>
        <w:t>其他</w:t>
      </w:r>
    </w:p>
    <w:p w14:paraId="047A5110">
      <w:pPr>
        <w:overflowPunct w:val="0"/>
        <w:topLinePunct/>
        <w:adjustRightInd w:val="0"/>
        <w:snapToGrid w:val="0"/>
        <w:spacing w:line="360" w:lineRule="auto"/>
        <w:ind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rPr>
        <w:t>28.违约处罚</w:t>
      </w:r>
    </w:p>
    <w:p w14:paraId="729CDF09">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28.1发生下列情况之一，</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可能被列入不良记录名单，</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今后参与同类采购项目的机会可能会受到影响：</w:t>
      </w:r>
    </w:p>
    <w:p w14:paraId="0DC27CD7">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（1）开标后在投标有效期内，</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撤回其投标；</w:t>
      </w:r>
    </w:p>
    <w:p w14:paraId="61EEFAAE">
      <w:pPr>
        <w:overflowPunct w:val="0"/>
        <w:topLinePunct/>
        <w:adjustRightInd w:val="0"/>
        <w:snapToGrid w:val="0"/>
        <w:spacing w:line="360" w:lineRule="auto"/>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（2）在评标期间，</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企图影响采购机构或磋商小组的任何活动，将导致投标被拒绝，并由其承担相应的法律责任；</w:t>
      </w:r>
    </w:p>
    <w:p w14:paraId="0E508218">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（3）</w:t>
      </w:r>
      <w:r>
        <w:rPr>
          <w:rFonts w:hint="eastAsia" w:ascii="宋体" w:hAnsi="宋体" w:eastAsia="宋体" w:cs="宋体"/>
          <w:snapToGrid w:val="0"/>
          <w:color w:val="auto"/>
          <w:sz w:val="24"/>
          <w:szCs w:val="24"/>
          <w:highlight w:val="none"/>
          <w:lang w:eastAsia="zh-CN"/>
        </w:rPr>
        <w:t>成交人</w:t>
      </w:r>
      <w:r>
        <w:rPr>
          <w:rFonts w:hint="eastAsia" w:ascii="宋体" w:hAnsi="宋体" w:eastAsia="宋体" w:cs="宋体"/>
          <w:snapToGrid w:val="0"/>
          <w:color w:val="auto"/>
          <w:sz w:val="24"/>
          <w:szCs w:val="24"/>
          <w:highlight w:val="none"/>
        </w:rPr>
        <w:t>未按本磋商文件规定签约；</w:t>
      </w:r>
    </w:p>
    <w:p w14:paraId="441C1D56">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（4）</w:t>
      </w:r>
      <w:r>
        <w:rPr>
          <w:rFonts w:hint="eastAsia" w:ascii="宋体" w:hAnsi="宋体" w:eastAsia="宋体" w:cs="宋体"/>
          <w:snapToGrid w:val="0"/>
          <w:color w:val="auto"/>
          <w:sz w:val="24"/>
          <w:szCs w:val="24"/>
          <w:highlight w:val="none"/>
          <w:lang w:eastAsia="zh-CN"/>
        </w:rPr>
        <w:t>成交人</w:t>
      </w:r>
      <w:r>
        <w:rPr>
          <w:rFonts w:hint="eastAsia" w:ascii="宋体" w:hAnsi="宋体" w:eastAsia="宋体" w:cs="宋体"/>
          <w:snapToGrid w:val="0"/>
          <w:color w:val="auto"/>
          <w:sz w:val="24"/>
          <w:szCs w:val="24"/>
          <w:highlight w:val="none"/>
        </w:rPr>
        <w:t>与采购人订立背离合同实质性内容的其它协议；</w:t>
      </w:r>
    </w:p>
    <w:p w14:paraId="1731FB3E">
      <w:pPr>
        <w:overflowPunct w:val="0"/>
        <w:topLinePunct/>
        <w:adjustRightInd w:val="0"/>
        <w:snapToGrid w:val="0"/>
        <w:spacing w:line="360" w:lineRule="auto"/>
        <w:ind w:firstLine="480" w:firstLineChars="20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（5）</w:t>
      </w:r>
      <w:r>
        <w:rPr>
          <w:rFonts w:hint="eastAsia" w:eastAsia="宋体" w:cs="宋体"/>
          <w:snapToGrid w:val="0"/>
          <w:color w:val="auto"/>
          <w:sz w:val="24"/>
          <w:szCs w:val="24"/>
          <w:highlight w:val="none"/>
          <w:lang w:eastAsia="zh-CN"/>
        </w:rPr>
        <w:t>响应人</w:t>
      </w:r>
      <w:r>
        <w:rPr>
          <w:rFonts w:hint="eastAsia" w:ascii="宋体" w:hAnsi="宋体" w:eastAsia="宋体" w:cs="宋体"/>
          <w:snapToGrid w:val="0"/>
          <w:color w:val="auto"/>
          <w:sz w:val="24"/>
          <w:szCs w:val="24"/>
          <w:highlight w:val="none"/>
        </w:rPr>
        <w:t>未按磋商文件规定和合同约定履行义务的。</w:t>
      </w:r>
    </w:p>
    <w:p w14:paraId="7C54AA4C">
      <w:pPr>
        <w:spacing w:line="520" w:lineRule="exact"/>
        <w:ind w:firstLine="482" w:firstLineChars="200"/>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29、异常低价审查程序</w:t>
      </w:r>
    </w:p>
    <w:p w14:paraId="1AA58FA4">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本次采购活动中出现下列情形之一的，</w:t>
      </w:r>
      <w:r>
        <w:rPr>
          <w:rFonts w:hint="eastAsia" w:ascii="宋体" w:hAnsi="宋体" w:cs="宋体"/>
          <w:color w:val="auto"/>
          <w:sz w:val="24"/>
          <w:szCs w:val="24"/>
          <w:highlight w:val="none"/>
          <w:lang w:val="en-US" w:eastAsia="zh-CN"/>
        </w:rPr>
        <w:t>磋商小组</w:t>
      </w:r>
      <w:r>
        <w:rPr>
          <w:rFonts w:hint="eastAsia" w:ascii="宋体" w:hAnsi="宋体" w:eastAsia="宋体" w:cs="宋体"/>
          <w:color w:val="auto"/>
          <w:sz w:val="24"/>
          <w:szCs w:val="24"/>
          <w:highlight w:val="none"/>
          <w:lang w:val="en-US" w:eastAsia="zh-CN"/>
        </w:rPr>
        <w:t>应当启动异常低价投标（响应）审查程序：</w:t>
      </w:r>
    </w:p>
    <w:p w14:paraId="43FB8F5D">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1.投标（响应）报价低于全部通过符合性审查</w:t>
      </w:r>
      <w:r>
        <w:rPr>
          <w:rFonts w:hint="eastAsia" w:ascii="宋体" w:hAnsi="宋体" w:cs="宋体"/>
          <w:color w:val="auto"/>
          <w:sz w:val="24"/>
          <w:szCs w:val="24"/>
          <w:highlight w:val="none"/>
          <w:lang w:val="en-US" w:eastAsia="zh-CN"/>
        </w:rPr>
        <w:t>响应人</w:t>
      </w:r>
      <w:r>
        <w:rPr>
          <w:rFonts w:hint="eastAsia" w:ascii="宋体" w:hAnsi="宋体" w:eastAsia="宋体" w:cs="宋体"/>
          <w:color w:val="auto"/>
          <w:sz w:val="24"/>
          <w:szCs w:val="24"/>
          <w:highlight w:val="none"/>
          <w:lang w:val="en-US" w:eastAsia="zh-CN"/>
        </w:rPr>
        <w:t>投标（响应）报价平均值50%的，即投标（响应）报价&lt;全部通过符合性审查</w:t>
      </w:r>
      <w:r>
        <w:rPr>
          <w:rFonts w:hint="eastAsia" w:ascii="宋体" w:hAnsi="宋体" w:cs="宋体"/>
          <w:color w:val="auto"/>
          <w:sz w:val="24"/>
          <w:szCs w:val="24"/>
          <w:highlight w:val="none"/>
          <w:lang w:val="en-US" w:eastAsia="zh-CN"/>
        </w:rPr>
        <w:t>响应人</w:t>
      </w:r>
      <w:r>
        <w:rPr>
          <w:rFonts w:hint="eastAsia" w:ascii="宋体" w:hAnsi="宋体" w:eastAsia="宋体" w:cs="宋体"/>
          <w:color w:val="auto"/>
          <w:sz w:val="24"/>
          <w:szCs w:val="24"/>
          <w:highlight w:val="none"/>
          <w:lang w:val="en-US" w:eastAsia="zh-CN"/>
        </w:rPr>
        <w:t>投标（响应）报价平均值×50%；</w:t>
      </w:r>
    </w:p>
    <w:p w14:paraId="7E469234">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2.投标（响应）报价低于通过符合性审查的次低报价</w:t>
      </w:r>
      <w:r>
        <w:rPr>
          <w:rFonts w:hint="eastAsia" w:ascii="宋体" w:hAnsi="宋体" w:cs="宋体"/>
          <w:color w:val="auto"/>
          <w:sz w:val="24"/>
          <w:szCs w:val="24"/>
          <w:highlight w:val="none"/>
          <w:lang w:val="en-US" w:eastAsia="zh-CN"/>
        </w:rPr>
        <w:t>响应人</w:t>
      </w:r>
      <w:r>
        <w:rPr>
          <w:rFonts w:hint="eastAsia" w:ascii="宋体" w:hAnsi="宋体" w:eastAsia="宋体" w:cs="宋体"/>
          <w:color w:val="auto"/>
          <w:sz w:val="24"/>
          <w:szCs w:val="24"/>
          <w:highlight w:val="none"/>
          <w:lang w:val="en-US" w:eastAsia="zh-CN"/>
        </w:rPr>
        <w:t>投标（响应）报价50%的，即投标（响应）报价&lt;通过符合性审查的次低报价</w:t>
      </w:r>
      <w:r>
        <w:rPr>
          <w:rFonts w:hint="eastAsia" w:ascii="宋体" w:hAnsi="宋体" w:cs="宋体"/>
          <w:color w:val="auto"/>
          <w:sz w:val="24"/>
          <w:szCs w:val="24"/>
          <w:highlight w:val="none"/>
          <w:lang w:val="en-US" w:eastAsia="zh-CN"/>
        </w:rPr>
        <w:t>响应人</w:t>
      </w:r>
      <w:r>
        <w:rPr>
          <w:rFonts w:hint="eastAsia" w:ascii="宋体" w:hAnsi="宋体" w:eastAsia="宋体" w:cs="宋体"/>
          <w:color w:val="auto"/>
          <w:sz w:val="24"/>
          <w:szCs w:val="24"/>
          <w:highlight w:val="none"/>
          <w:lang w:val="en-US" w:eastAsia="zh-CN"/>
        </w:rPr>
        <w:t>投标（响应）报价×50%；</w:t>
      </w:r>
    </w:p>
    <w:p w14:paraId="0609C65F">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3.投标（响应）报价低于采购项目最高限价45%的，即投标（响应）报价&lt;采购项目最高限价×45%；</w:t>
      </w:r>
    </w:p>
    <w:p w14:paraId="2E704091">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eastAsia" w:ascii="宋体" w:hAnsi="宋体" w:cs="宋体"/>
          <w:color w:val="auto"/>
          <w:sz w:val="24"/>
          <w:szCs w:val="24"/>
          <w:highlight w:val="none"/>
          <w:lang w:val="en-US" w:eastAsia="zh-CN"/>
        </w:rPr>
        <w:t>磋商小组</w:t>
      </w:r>
      <w:r>
        <w:rPr>
          <w:rFonts w:hint="eastAsia" w:ascii="宋体" w:hAnsi="宋体" w:eastAsia="宋体" w:cs="宋体"/>
          <w:color w:val="auto"/>
          <w:sz w:val="24"/>
          <w:szCs w:val="24"/>
          <w:highlight w:val="none"/>
          <w:lang w:val="en-US" w:eastAsia="zh-CN"/>
        </w:rPr>
        <w:t>基于专业判断，认为</w:t>
      </w:r>
      <w:r>
        <w:rPr>
          <w:rFonts w:hint="eastAsia" w:ascii="宋体" w:hAnsi="宋体" w:cs="宋体"/>
          <w:color w:val="auto"/>
          <w:sz w:val="24"/>
          <w:szCs w:val="24"/>
          <w:highlight w:val="none"/>
          <w:lang w:val="en-US" w:eastAsia="zh-CN"/>
        </w:rPr>
        <w:t>响应人</w:t>
      </w:r>
      <w:r>
        <w:rPr>
          <w:rFonts w:hint="eastAsia" w:ascii="宋体" w:hAnsi="宋体" w:eastAsia="宋体" w:cs="宋体"/>
          <w:color w:val="auto"/>
          <w:sz w:val="24"/>
          <w:szCs w:val="24"/>
          <w:highlight w:val="none"/>
          <w:lang w:val="en-US" w:eastAsia="zh-CN"/>
        </w:rPr>
        <w:t>报价过低，有可能影响产品质量或者不能诚信履约的其他情形。</w:t>
      </w:r>
    </w:p>
    <w:p w14:paraId="6DE1F17A">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相关法律法规对</w:t>
      </w:r>
      <w:r>
        <w:rPr>
          <w:rFonts w:hint="eastAsia" w:ascii="宋体" w:hAnsi="宋体" w:cs="宋体"/>
          <w:color w:val="auto"/>
          <w:sz w:val="24"/>
          <w:szCs w:val="24"/>
          <w:highlight w:val="none"/>
          <w:lang w:val="en-US" w:eastAsia="zh-CN"/>
        </w:rPr>
        <w:t>响应人</w:t>
      </w:r>
      <w:r>
        <w:rPr>
          <w:rFonts w:hint="eastAsia" w:ascii="宋体" w:hAnsi="宋体" w:eastAsia="宋体" w:cs="宋体"/>
          <w:color w:val="auto"/>
          <w:sz w:val="24"/>
          <w:szCs w:val="24"/>
          <w:highlight w:val="none"/>
          <w:lang w:val="en-US" w:eastAsia="zh-CN"/>
        </w:rPr>
        <w:t>报价有规定的，从其规定。</w:t>
      </w:r>
    </w:p>
    <w:p w14:paraId="372A31C0">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磋商小组</w:t>
      </w:r>
      <w:r>
        <w:rPr>
          <w:rFonts w:hint="eastAsia" w:ascii="宋体" w:hAnsi="宋体" w:eastAsia="宋体" w:cs="宋体"/>
          <w:color w:val="auto"/>
          <w:sz w:val="24"/>
          <w:szCs w:val="24"/>
          <w:highlight w:val="none"/>
          <w:lang w:val="en-US" w:eastAsia="zh-CN"/>
        </w:rPr>
        <w:t>启动异常低价投标（响应）审查后，属于前述第1项至第4项情形的，应当要求相关</w:t>
      </w:r>
      <w:r>
        <w:rPr>
          <w:rFonts w:hint="eastAsia" w:ascii="宋体" w:hAnsi="宋体" w:cs="宋体"/>
          <w:color w:val="auto"/>
          <w:sz w:val="24"/>
          <w:szCs w:val="24"/>
          <w:highlight w:val="none"/>
          <w:lang w:val="en-US" w:eastAsia="zh-CN"/>
        </w:rPr>
        <w:t>响应人</w:t>
      </w:r>
      <w:r>
        <w:rPr>
          <w:rFonts w:hint="eastAsia" w:ascii="宋体" w:hAnsi="宋体" w:eastAsia="宋体" w:cs="宋体"/>
          <w:color w:val="auto"/>
          <w:sz w:val="24"/>
          <w:szCs w:val="24"/>
          <w:highlight w:val="none"/>
          <w:lang w:val="en-US" w:eastAsia="zh-CN"/>
        </w:rPr>
        <w:t>在评审现场合理的时间内对投标（响应）价格作出解释，提供项目具体成本测算等与报价合理性相关的书面说明及必要的证明材料，包括但不限于原材料成本、人工成本、制造费用等，给予相关</w:t>
      </w:r>
      <w:r>
        <w:rPr>
          <w:rFonts w:hint="eastAsia" w:ascii="宋体" w:hAnsi="宋体" w:cs="宋体"/>
          <w:color w:val="auto"/>
          <w:sz w:val="24"/>
          <w:szCs w:val="24"/>
          <w:highlight w:val="none"/>
          <w:lang w:val="en-US" w:eastAsia="zh-CN"/>
        </w:rPr>
        <w:t>响应人</w:t>
      </w:r>
      <w:r>
        <w:rPr>
          <w:rFonts w:hint="eastAsia" w:ascii="宋体" w:hAnsi="宋体" w:eastAsia="宋体" w:cs="宋体"/>
          <w:color w:val="auto"/>
          <w:sz w:val="24"/>
          <w:szCs w:val="24"/>
          <w:highlight w:val="none"/>
          <w:lang w:val="en-US" w:eastAsia="zh-CN"/>
        </w:rPr>
        <w:t>的合理时间一般不少于30分钟。其中，属于第3项情形，</w:t>
      </w:r>
      <w:r>
        <w:rPr>
          <w:rFonts w:hint="eastAsia" w:ascii="宋体" w:hAnsi="宋体" w:cs="宋体"/>
          <w:color w:val="auto"/>
          <w:sz w:val="24"/>
          <w:szCs w:val="24"/>
          <w:highlight w:val="none"/>
          <w:lang w:val="en-US" w:eastAsia="zh-CN"/>
        </w:rPr>
        <w:t>响应人</w:t>
      </w:r>
      <w:r>
        <w:rPr>
          <w:rFonts w:hint="eastAsia" w:ascii="宋体" w:hAnsi="宋体" w:eastAsia="宋体" w:cs="宋体"/>
          <w:color w:val="auto"/>
          <w:sz w:val="24"/>
          <w:szCs w:val="24"/>
          <w:highlight w:val="none"/>
          <w:lang w:val="en-US" w:eastAsia="zh-CN"/>
        </w:rPr>
        <w:t>已随投标（响应）文件一并提交相关书面说明及必要的证明材料的，在评审现场可不再重复提交。</w:t>
      </w:r>
    </w:p>
    <w:p w14:paraId="3BA0CABF">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磋商小组</w:t>
      </w:r>
      <w:r>
        <w:rPr>
          <w:rFonts w:hint="eastAsia" w:ascii="宋体" w:hAnsi="宋体" w:eastAsia="宋体" w:cs="宋体"/>
          <w:color w:val="auto"/>
          <w:sz w:val="24"/>
          <w:szCs w:val="24"/>
          <w:highlight w:val="none"/>
          <w:lang w:val="en-US" w:eastAsia="zh-CN"/>
        </w:rPr>
        <w:t>依据专业经验，参考同类项目中标（成交）价格、类似产品市场价格水平、行业人工费用标准、国家有关部门指导行业协会发布的行业平均成本等情况，对报价合理性进行判断。投标（响应）</w:t>
      </w:r>
      <w:r>
        <w:rPr>
          <w:rFonts w:hint="eastAsia" w:ascii="宋体" w:hAnsi="宋体" w:cs="宋体"/>
          <w:color w:val="auto"/>
          <w:sz w:val="24"/>
          <w:szCs w:val="24"/>
          <w:highlight w:val="none"/>
          <w:lang w:val="en-US" w:eastAsia="zh-CN"/>
        </w:rPr>
        <w:t>响应人</w:t>
      </w:r>
      <w:r>
        <w:rPr>
          <w:rFonts w:hint="eastAsia" w:ascii="宋体" w:hAnsi="宋体" w:eastAsia="宋体" w:cs="宋体"/>
          <w:color w:val="auto"/>
          <w:sz w:val="24"/>
          <w:szCs w:val="24"/>
          <w:highlight w:val="none"/>
          <w:lang w:val="en-US" w:eastAsia="zh-CN"/>
        </w:rPr>
        <w:t>不能提供书面说明、证明材料，或者提供的书面说明、证明材料不能证明其报价合理性的，</w:t>
      </w:r>
      <w:r>
        <w:rPr>
          <w:rFonts w:hint="eastAsia" w:ascii="宋体" w:hAnsi="宋体" w:cs="宋体"/>
          <w:color w:val="auto"/>
          <w:sz w:val="24"/>
          <w:szCs w:val="24"/>
          <w:highlight w:val="none"/>
          <w:lang w:val="en-US" w:eastAsia="zh-CN"/>
        </w:rPr>
        <w:t>磋商小组</w:t>
      </w:r>
      <w:r>
        <w:rPr>
          <w:rFonts w:hint="eastAsia" w:ascii="宋体" w:hAnsi="宋体" w:eastAsia="宋体" w:cs="宋体"/>
          <w:color w:val="auto"/>
          <w:sz w:val="24"/>
          <w:szCs w:val="24"/>
          <w:highlight w:val="none"/>
          <w:lang w:val="en-US" w:eastAsia="zh-CN"/>
        </w:rPr>
        <w:t>应当将其作为无效投标（响应）处理。</w:t>
      </w:r>
    </w:p>
    <w:p w14:paraId="7C84104E">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采购人、采购代理机构应当为</w:t>
      </w:r>
      <w:r>
        <w:rPr>
          <w:rFonts w:hint="eastAsia" w:ascii="宋体" w:hAnsi="宋体" w:cs="宋体"/>
          <w:color w:val="auto"/>
          <w:sz w:val="24"/>
          <w:szCs w:val="24"/>
          <w:highlight w:val="none"/>
          <w:lang w:val="en-US" w:eastAsia="zh-CN"/>
        </w:rPr>
        <w:t>磋商小组</w:t>
      </w:r>
      <w:r>
        <w:rPr>
          <w:rFonts w:hint="eastAsia" w:ascii="宋体" w:hAnsi="宋体" w:eastAsia="宋体" w:cs="宋体"/>
          <w:color w:val="auto"/>
          <w:sz w:val="24"/>
          <w:szCs w:val="24"/>
          <w:highlight w:val="none"/>
          <w:lang w:val="en-US" w:eastAsia="zh-CN"/>
        </w:rPr>
        <w:t>在评审现场及时获取同类项目中标（成交）价格、类似产品市场价格水平、行业人工费用标准、国家有关部门指导行业协会发布的行业平均成本等相关信息资料提供便利。</w:t>
      </w:r>
      <w:r>
        <w:rPr>
          <w:rFonts w:hint="eastAsia" w:ascii="宋体" w:hAnsi="宋体" w:cs="宋体"/>
          <w:color w:val="auto"/>
          <w:sz w:val="24"/>
          <w:szCs w:val="24"/>
          <w:highlight w:val="none"/>
          <w:lang w:val="en-US" w:eastAsia="zh-CN"/>
        </w:rPr>
        <w:t>磋商小组</w:t>
      </w:r>
      <w:r>
        <w:rPr>
          <w:rFonts w:hint="eastAsia" w:ascii="宋体" w:hAnsi="宋体" w:eastAsia="宋体" w:cs="宋体"/>
          <w:color w:val="auto"/>
          <w:sz w:val="24"/>
          <w:szCs w:val="24"/>
          <w:highlight w:val="none"/>
          <w:lang w:val="en-US" w:eastAsia="zh-CN"/>
        </w:rPr>
        <w:t>借助互联网等渠道查询相关信息的，应当严格遵守评审工作纪律，不得实施影响评审公正的行为。</w:t>
      </w:r>
    </w:p>
    <w:p w14:paraId="06B6C3C5">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异常低价投标（响应）审查的启动原因、审查意见和审查结果应当在评标报告中记录，并随响应人提供的相关书面说明及证明材料，以及磋商小组有关互联网浏览、查询历史一并归档。</w:t>
      </w:r>
    </w:p>
    <w:p w14:paraId="03CF9D04">
      <w:pPr>
        <w:spacing w:line="360" w:lineRule="auto"/>
        <w:jc w:val="center"/>
        <w:outlineLvl w:val="0"/>
        <w:rPr>
          <w:rFonts w:hint="eastAsia" w:ascii="宋体" w:hAnsi="宋体" w:eastAsia="宋体" w:cs="宋体"/>
          <w:b/>
          <w:color w:val="auto"/>
          <w:sz w:val="40"/>
          <w:szCs w:val="21"/>
          <w:highlight w:val="none"/>
          <w:lang w:val="en-US" w:eastAsia="zh-CN"/>
        </w:rPr>
      </w:pPr>
      <w:r>
        <w:rPr>
          <w:rFonts w:hint="eastAsia" w:ascii="宋体" w:hAnsi="宋体" w:eastAsia="宋体" w:cs="宋体"/>
          <w:color w:val="auto"/>
          <w:sz w:val="21"/>
          <w:szCs w:val="21"/>
          <w:highlight w:val="none"/>
        </w:rPr>
        <w:br w:type="page"/>
      </w:r>
      <w:bookmarkStart w:id="58" w:name="_Toc510994116"/>
      <w:bookmarkStart w:id="59" w:name="_Toc20259"/>
      <w:r>
        <w:rPr>
          <w:rFonts w:hint="eastAsia" w:ascii="宋体" w:hAnsi="宋体" w:eastAsia="宋体" w:cs="宋体"/>
          <w:b/>
          <w:bCs/>
          <w:color w:val="auto"/>
          <w:sz w:val="48"/>
          <w:szCs w:val="48"/>
          <w:highlight w:val="none"/>
        </w:rPr>
        <w:t>第三章</w:t>
      </w:r>
      <w:bookmarkEnd w:id="58"/>
      <w:r>
        <w:rPr>
          <w:rFonts w:hint="eastAsia" w:ascii="宋体" w:hAnsi="宋体" w:eastAsia="宋体" w:cs="宋体"/>
          <w:b/>
          <w:bCs/>
          <w:color w:val="auto"/>
          <w:sz w:val="48"/>
          <w:szCs w:val="48"/>
          <w:highlight w:val="none"/>
          <w:lang w:val="en-US" w:eastAsia="zh-CN"/>
        </w:rPr>
        <w:t xml:space="preserve">  </w:t>
      </w:r>
      <w:r>
        <w:rPr>
          <w:rFonts w:hint="eastAsia" w:ascii="宋体" w:hAnsi="宋体" w:eastAsia="宋体" w:cs="宋体"/>
          <w:b/>
          <w:bCs/>
          <w:color w:val="auto"/>
          <w:sz w:val="44"/>
          <w:szCs w:val="44"/>
          <w:highlight w:val="none"/>
          <w:shd w:val="clear" w:color="auto" w:fill="FFFFFF"/>
        </w:rPr>
        <w:t>采购内容及参数要求</w:t>
      </w:r>
      <w:bookmarkEnd w:id="59"/>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696"/>
        <w:gridCol w:w="3410"/>
        <w:gridCol w:w="696"/>
        <w:gridCol w:w="696"/>
        <w:gridCol w:w="1416"/>
        <w:gridCol w:w="1427"/>
        <w:gridCol w:w="925"/>
      </w:tblGrid>
      <w:tr w14:paraId="3AD29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9"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FC89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序号</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DF6C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名称</w:t>
            </w:r>
          </w:p>
        </w:tc>
        <w:tc>
          <w:tcPr>
            <w:tcW w:w="1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00CF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规格、参数</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2B79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单位</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EB79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数量</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3518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单价（元）</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C7D5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合价（元）</w:t>
            </w:r>
          </w:p>
        </w:tc>
        <w:tc>
          <w:tcPr>
            <w:tcW w:w="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8F1A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备注</w:t>
            </w:r>
          </w:p>
        </w:tc>
      </w:tr>
      <w:tr w14:paraId="66E00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94BA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CCF9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卸粮地坑</w:t>
            </w:r>
          </w:p>
        </w:tc>
        <w:tc>
          <w:tcPr>
            <w:tcW w:w="19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A21CB">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带手动流量控制阀，现场制作</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地坑长4米，宽3米，高3米，夹层宽度12厘米</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地上拦板3米*1.3米</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格栅2.68米*2.3米</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内层板材3.0mm厚，外层1.0mm厚镀锌板</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格栅螺纹钢20，四周5x5的角钢</w:t>
            </w: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441A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套</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7AD5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17CD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42320</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C7B7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42320</w:t>
            </w:r>
          </w:p>
        </w:tc>
        <w:tc>
          <w:tcPr>
            <w:tcW w:w="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4740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含税及运费等所有费用</w:t>
            </w:r>
          </w:p>
        </w:tc>
      </w:tr>
      <w:tr w14:paraId="286F9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385F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FAA3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筛前、干粮提升机</w:t>
            </w:r>
          </w:p>
        </w:tc>
        <w:tc>
          <w:tcPr>
            <w:tcW w:w="19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B5C8E">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工作产量：40吨/1h</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提升高度：约12米</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电机功率：5.5kw 电压：AC380V</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设有防跑偏、防堵控制器</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配套基础</w:t>
            </w: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1020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6643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AC29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20500</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FB50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41000</w:t>
            </w:r>
          </w:p>
        </w:tc>
        <w:tc>
          <w:tcPr>
            <w:tcW w:w="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D0DC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含税及运费等所有费用</w:t>
            </w:r>
          </w:p>
        </w:tc>
      </w:tr>
      <w:tr w14:paraId="7EFDC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3FE0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DE3F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圆筒筛</w:t>
            </w:r>
          </w:p>
        </w:tc>
        <w:tc>
          <w:tcPr>
            <w:tcW w:w="19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251BB">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处理量40-50t/h</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双层筛：筛片采用2mm厚耐磨不锈钢板</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外壳采用优质钢板</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配备风选除杂装置，功率14.25kw</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配套基础</w:t>
            </w: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1B45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0F0C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7BC3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43200</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B749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43200</w:t>
            </w:r>
          </w:p>
        </w:tc>
        <w:tc>
          <w:tcPr>
            <w:tcW w:w="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EAD8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含税及运费等所有费用</w:t>
            </w:r>
          </w:p>
        </w:tc>
      </w:tr>
      <w:tr w14:paraId="0E920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51B7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7B89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湿粮仓</w:t>
            </w:r>
          </w:p>
        </w:tc>
        <w:tc>
          <w:tcPr>
            <w:tcW w:w="19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E6970">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仓顶角度25度，锥底角度45度</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仓容积：150立方米，仓容重：113吨，仓直径：4.5米，全高：12.334米，仓筒高度：7.924米</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围板材质：优质双面镀锌钢板，上锌量双面275g/㎡，第1-3层1.0mm，第4-7层1.5mm</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外置M型立柱,厚度1-4层2.0mm，5-7层3.0mm</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整个钢锥底喷漆处理，柱脚材料H148*100H型钢，拉筋材料采用40*4角钢，锥底板厚度δ3mm</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仓顶设检修人孔1套、仓筒设仓门1套，仓内设直爬梯1套，仓外设地面到下仓门直爬梯1套</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现场安装，筒仓波纹板采用冷轧型、冲孔、弯弧、剪切生产线制作，精度高，仓顶、筒体均采用8.8级高等级镀锌螺栓，关键承力部位标准件采用10.9级高强镀锌螺栓组件，使用年限30年</w:t>
            </w: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3977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座</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3320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CF74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222000</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5DC0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222000</w:t>
            </w:r>
          </w:p>
        </w:tc>
        <w:tc>
          <w:tcPr>
            <w:tcW w:w="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3472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含税及运费等所有费用</w:t>
            </w:r>
          </w:p>
        </w:tc>
      </w:tr>
      <w:tr w14:paraId="77236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F7C1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A3E1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湿粮仓配套基础</w:t>
            </w:r>
          </w:p>
        </w:tc>
        <w:tc>
          <w:tcPr>
            <w:tcW w:w="19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991FE">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湿粮仓配套基础，含基础预埋件，商砼等全部配套土建</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基础做法一圈混凝土基础，基础深度约1.5米，上部宽0.4米，下部放大脚宽2米</w:t>
            </w: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FC21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项</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DBBC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0D2D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30000</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07B4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30000</w:t>
            </w:r>
          </w:p>
        </w:tc>
        <w:tc>
          <w:tcPr>
            <w:tcW w:w="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C6A7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含税及运费等所有费用</w:t>
            </w:r>
          </w:p>
        </w:tc>
      </w:tr>
      <w:tr w14:paraId="34064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6"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BB1C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3015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配套湿粮、干粮输送机</w:t>
            </w:r>
          </w:p>
        </w:tc>
        <w:tc>
          <w:tcPr>
            <w:tcW w:w="19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51221">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输送带：带宽600mm，高强度橡胶人字纹环形输送</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覆胶层厚度：上3mm，下1.5mm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输送带速度：≤3.5m/s</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输送能力：50t/h</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电机功率：1.5kw</w:t>
            </w: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C123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条</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3FBD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046A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8600</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68A2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17200</w:t>
            </w:r>
          </w:p>
        </w:tc>
        <w:tc>
          <w:tcPr>
            <w:tcW w:w="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036A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含税及运费等所有费用</w:t>
            </w:r>
          </w:p>
        </w:tc>
      </w:tr>
      <w:tr w14:paraId="57DCE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2"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7146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7B0A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烘干塔</w:t>
            </w:r>
          </w:p>
        </w:tc>
        <w:tc>
          <w:tcPr>
            <w:tcW w:w="19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BDAF1">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ascii="仿宋" w:hAnsi="仿宋" w:eastAsia="仿宋" w:cs="仿宋"/>
                <w:color w:val="auto"/>
                <w:kern w:val="0"/>
                <w:sz w:val="24"/>
                <w:szCs w:val="24"/>
                <w:highlight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日处理原粮120吨</w:t>
            </w:r>
            <w:r>
              <w:rPr>
                <w:rFonts w:hint="eastAsia" w:ascii="宋体" w:hAnsi="宋体" w:eastAsia="宋体" w:cs="宋体"/>
                <w:i w:val="0"/>
                <w:iCs w:val="0"/>
                <w:color w:val="auto"/>
                <w:kern w:val="0"/>
                <w:sz w:val="24"/>
                <w:szCs w:val="24"/>
                <w:highlight w:val="none"/>
                <w:u w:val="none"/>
                <w:lang w:val="en-US" w:eastAsia="zh-CN" w:bidi="ar"/>
              </w:rPr>
              <w:br w:type="textWrapping"/>
            </w:r>
            <w:r>
              <w:rPr>
                <w:rFonts w:ascii="仿宋" w:hAnsi="仿宋" w:eastAsia="仿宋" w:cs="仿宋"/>
                <w:color w:val="auto"/>
                <w:kern w:val="0"/>
                <w:sz w:val="24"/>
                <w:szCs w:val="24"/>
                <w:highlight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塔体外径2.4米*3.4米*19米</w:t>
            </w:r>
            <w:r>
              <w:rPr>
                <w:rFonts w:hint="eastAsia" w:ascii="宋体" w:hAnsi="宋体" w:eastAsia="宋体" w:cs="宋体"/>
                <w:i w:val="0"/>
                <w:iCs w:val="0"/>
                <w:color w:val="auto"/>
                <w:kern w:val="0"/>
                <w:sz w:val="24"/>
                <w:szCs w:val="24"/>
                <w:highlight w:val="none"/>
                <w:u w:val="none"/>
                <w:lang w:val="en-US" w:eastAsia="zh-CN" w:bidi="ar"/>
              </w:rPr>
              <w:br w:type="textWrapping"/>
            </w:r>
            <w:r>
              <w:rPr>
                <w:rFonts w:ascii="仿宋" w:hAnsi="仿宋" w:eastAsia="仿宋" w:cs="仿宋"/>
                <w:color w:val="auto"/>
                <w:kern w:val="0"/>
                <w:sz w:val="24"/>
                <w:szCs w:val="24"/>
                <w:highlight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3段储粮，6段烘干，1段缓冲，1段冷风，1节排粮，排粮电机1.5KW</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塔体采用8.8级螺丝全组装式结构，立柱采用角钢预制，横撑用角钢。折弯工艺，螺丝连接</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塔体材质使用440高强度镀锌板，塔体镀锌板厚2.5mm</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烘干塔具有实时监测，自动控温功能，无破碎，无焦糊，无爆腰，达到烘干行业标准</w:t>
            </w: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1BD0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EF42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63F7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251000</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A72E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251000</w:t>
            </w:r>
          </w:p>
        </w:tc>
        <w:tc>
          <w:tcPr>
            <w:tcW w:w="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13D5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含税及运费等所有费用</w:t>
            </w:r>
          </w:p>
        </w:tc>
      </w:tr>
      <w:tr w14:paraId="5050A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17"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157E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489A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烘干塔配套基础</w:t>
            </w:r>
          </w:p>
        </w:tc>
        <w:tc>
          <w:tcPr>
            <w:tcW w:w="19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49180">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烘干塔配套基础，含基础预埋件，商砼等全部配套土建</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整体大开挖钢筋混凝土基础，尺寸3.2米*3.2米*1.6米，配套预埋件</w:t>
            </w: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0AE5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项</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803E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0A17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44000</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D2E7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44000</w:t>
            </w:r>
          </w:p>
        </w:tc>
        <w:tc>
          <w:tcPr>
            <w:tcW w:w="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ACB4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含税及运费等所有费用</w:t>
            </w:r>
          </w:p>
        </w:tc>
      </w:tr>
      <w:tr w14:paraId="2D253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5019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0D51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空中输送机</w:t>
            </w:r>
          </w:p>
        </w:tc>
        <w:tc>
          <w:tcPr>
            <w:tcW w:w="19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DF951">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输送带：带宽 600mm，高强度橡胶人字纹环形输送</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覆胶层厚度：上 3mm 下 1.5mm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输送带速度：≤3.5/s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输送能力：50t/h</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电机功率：1.5kw</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长度：10米</w:t>
            </w: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2ECF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条</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3269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3033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9000</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18E1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9000</w:t>
            </w:r>
          </w:p>
        </w:tc>
        <w:tc>
          <w:tcPr>
            <w:tcW w:w="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FD66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含税及运费等所有费用</w:t>
            </w:r>
          </w:p>
        </w:tc>
      </w:tr>
      <w:tr w14:paraId="09779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4C30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EB9F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空中输送机</w:t>
            </w:r>
          </w:p>
        </w:tc>
        <w:tc>
          <w:tcPr>
            <w:tcW w:w="19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00F2A">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输送带：带宽600mm，高强度橡胶人字纹环形输送</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覆胶层厚度：上3mm，下1.5mm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输送带速度：≤3.5m/s</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输送能力：50t/h</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电机功率：1.5kw</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长度：38米</w:t>
            </w: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1504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条</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8ED0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BA65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36000</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A445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36000</w:t>
            </w:r>
          </w:p>
        </w:tc>
        <w:tc>
          <w:tcPr>
            <w:tcW w:w="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FB27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含税及运费等所有费用</w:t>
            </w:r>
          </w:p>
        </w:tc>
      </w:tr>
      <w:tr w14:paraId="77783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0C36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1C35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卸粮跑车</w:t>
            </w:r>
          </w:p>
        </w:tc>
        <w:tc>
          <w:tcPr>
            <w:tcW w:w="19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FF6B0">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散装粮食（小麦、玉米、稻谷等）装车、卸车、入仓、堆垛、远距离抛粮作业</w:t>
            </w: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D839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01A4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6472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6500</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E3E7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6500</w:t>
            </w:r>
          </w:p>
        </w:tc>
        <w:tc>
          <w:tcPr>
            <w:tcW w:w="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2CA0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含税及运费等所有费用</w:t>
            </w:r>
          </w:p>
        </w:tc>
      </w:tr>
      <w:tr w14:paraId="1365F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19"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B30D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B612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烘干塔配套油罐</w:t>
            </w:r>
          </w:p>
        </w:tc>
        <w:tc>
          <w:tcPr>
            <w:tcW w:w="19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3876B">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公称容积：45m³（有效容积≥42.75m³，充装系数0.95）</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结构形式：卧式圆筒形，椭圆封头 / 碟形封头</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设计压力：常压（正压≤6kPa，负压≤0.5kPa）</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设计温度：-19℃～90℃（适配柴油/汽油/煤油）</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介质密度：≤850kg/m³（成品油）</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主体材质：Q235B/Q345R（埋地推荐Q345R+防腐）</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腐蚀裕量：≥2mm（埋地≥3mm）</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焊缝系数：≥0.85（对接焊缝100%探伤）</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配套基础</w:t>
            </w: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55CD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C01A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177B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20000</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8736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20000</w:t>
            </w:r>
          </w:p>
        </w:tc>
        <w:tc>
          <w:tcPr>
            <w:tcW w:w="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AC0A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含税及运费等所有费用</w:t>
            </w:r>
          </w:p>
        </w:tc>
      </w:tr>
      <w:tr w14:paraId="00B14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9"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2CE6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D075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移动式输送机</w:t>
            </w:r>
          </w:p>
        </w:tc>
        <w:tc>
          <w:tcPr>
            <w:tcW w:w="19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5BEDF">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移动式输送带：带宽 600mm，高强度橡胶人字纹环形输送</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覆胶层厚度：上 3mm 下 1.5mm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输送带速度：≤3.5/s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输送能力：50t/h</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电机功率：1.5kw</w:t>
            </w: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6054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条</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8E96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AAB6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17600</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0712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35200</w:t>
            </w:r>
          </w:p>
        </w:tc>
        <w:tc>
          <w:tcPr>
            <w:tcW w:w="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9A73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含税及运费等所有费用</w:t>
            </w:r>
          </w:p>
        </w:tc>
      </w:tr>
      <w:tr w14:paraId="7389F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9"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D059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828A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地磅</w:t>
            </w:r>
          </w:p>
        </w:tc>
        <w:tc>
          <w:tcPr>
            <w:tcW w:w="19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2A6B7">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100吨，长度为18000mm，宽度为3000mm</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数字全配，带大屏，打印机，电脑，称重软件，全配</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配套基础</w:t>
            </w: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C0AC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C307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396B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99000</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C12D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99000</w:t>
            </w:r>
          </w:p>
        </w:tc>
        <w:tc>
          <w:tcPr>
            <w:tcW w:w="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905A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含税及运费等所有费用</w:t>
            </w:r>
          </w:p>
        </w:tc>
      </w:tr>
      <w:tr w14:paraId="1F00B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CD36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DBE1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铲车</w:t>
            </w:r>
          </w:p>
        </w:tc>
        <w:tc>
          <w:tcPr>
            <w:tcW w:w="19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A0750">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额定载重量：2000kg</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卸载高度：4400mm</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外形尺寸：7200*2050*2950mm</w:t>
            </w: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5681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CE82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16A0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170000</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3723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170000</w:t>
            </w:r>
          </w:p>
        </w:tc>
        <w:tc>
          <w:tcPr>
            <w:tcW w:w="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A871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含税及运费等所有费用</w:t>
            </w:r>
          </w:p>
        </w:tc>
      </w:tr>
      <w:tr w14:paraId="7C969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9"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F5C1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59CF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精选筛</w:t>
            </w:r>
          </w:p>
        </w:tc>
        <w:tc>
          <w:tcPr>
            <w:tcW w:w="19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9C37A">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长6.6米，高3米</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总动力26千瓦</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处理量20~30吨</w:t>
            </w: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C761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CB28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F1B0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168000</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7975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168000</w:t>
            </w:r>
          </w:p>
        </w:tc>
        <w:tc>
          <w:tcPr>
            <w:tcW w:w="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B218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含税及运费等所有费用</w:t>
            </w:r>
          </w:p>
        </w:tc>
      </w:tr>
      <w:tr w14:paraId="16B2E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9"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844E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3C37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包装称</w:t>
            </w:r>
          </w:p>
        </w:tc>
        <w:tc>
          <w:tcPr>
            <w:tcW w:w="19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7504B">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工作效率:每分钟≥10袋(单袋重量2kg~25kg，重量差正负≤20克)</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操作形式:一人操作电动打包、双秤</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总动力要求:≥2.3kw</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外形尺寸:长2650mm*宽1300mm*高3300mm(高度可根据需求调整)</w:t>
            </w: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FB4B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EF93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0F13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45000</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51E4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45000</w:t>
            </w:r>
          </w:p>
        </w:tc>
        <w:tc>
          <w:tcPr>
            <w:tcW w:w="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2B69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含税及运费等所有费用</w:t>
            </w:r>
          </w:p>
        </w:tc>
      </w:tr>
      <w:tr w14:paraId="5A04C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9"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64371">
            <w:pPr>
              <w:jc w:val="center"/>
              <w:rPr>
                <w:rFonts w:hint="eastAsia" w:ascii="宋体" w:hAnsi="宋体" w:eastAsia="宋体" w:cs="宋体"/>
                <w:b/>
                <w:bCs/>
                <w:i w:val="0"/>
                <w:iCs w:val="0"/>
                <w:color w:val="auto"/>
                <w:sz w:val="24"/>
                <w:szCs w:val="24"/>
                <w:highlight w:val="none"/>
                <w:u w:val="none"/>
              </w:rPr>
            </w:pPr>
          </w:p>
        </w:tc>
        <w:tc>
          <w:tcPr>
            <w:tcW w:w="3417"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BBBA1">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合计</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B07F9">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 xml:space="preserve">1279420.00 </w:t>
            </w:r>
          </w:p>
        </w:tc>
        <w:tc>
          <w:tcPr>
            <w:tcW w:w="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98FF5">
            <w:pPr>
              <w:jc w:val="center"/>
              <w:rPr>
                <w:rFonts w:hint="eastAsia" w:ascii="宋体" w:hAnsi="宋体" w:eastAsia="宋体" w:cs="宋体"/>
                <w:b/>
                <w:bCs/>
                <w:i w:val="0"/>
                <w:iCs w:val="0"/>
                <w:color w:val="auto"/>
                <w:sz w:val="24"/>
                <w:szCs w:val="24"/>
                <w:highlight w:val="none"/>
                <w:u w:val="none"/>
              </w:rPr>
            </w:pPr>
          </w:p>
        </w:tc>
      </w:tr>
    </w:tbl>
    <w:p w14:paraId="6C3E1D85">
      <w:pPr>
        <w:ind w:firstLineChars="0"/>
        <w:outlineLvl w:val="0"/>
        <w:rPr>
          <w:rFonts w:hint="eastAsia" w:ascii="宋体" w:hAnsi="宋体" w:eastAsia="宋体" w:cs="宋体"/>
          <w:b/>
          <w:bCs/>
          <w:color w:val="auto"/>
          <w:sz w:val="48"/>
          <w:szCs w:val="48"/>
          <w:highlight w:val="none"/>
        </w:rPr>
      </w:pPr>
      <w:r>
        <w:rPr>
          <w:rFonts w:hint="eastAsia" w:ascii="宋体" w:hAnsi="宋体" w:eastAsia="宋体" w:cs="宋体"/>
          <w:b/>
          <w:bCs/>
          <w:color w:val="auto"/>
          <w:sz w:val="48"/>
          <w:szCs w:val="48"/>
          <w:highlight w:val="none"/>
        </w:rPr>
        <w:br w:type="page"/>
      </w:r>
    </w:p>
    <w:p w14:paraId="6F31B069">
      <w:pPr>
        <w:pStyle w:val="20"/>
        <w:spacing w:line="240" w:lineRule="auto"/>
        <w:ind w:left="0" w:leftChars="0" w:firstLine="0" w:firstLineChars="0"/>
        <w:jc w:val="center"/>
        <w:outlineLvl w:val="0"/>
        <w:rPr>
          <w:rFonts w:hint="eastAsia" w:ascii="宋体" w:hAnsi="宋体" w:eastAsia="宋体" w:cs="宋体"/>
          <w:b/>
          <w:color w:val="auto"/>
          <w:sz w:val="40"/>
          <w:szCs w:val="21"/>
          <w:highlight w:val="none"/>
        </w:rPr>
      </w:pPr>
      <w:bookmarkStart w:id="60" w:name="_Toc9564"/>
      <w:r>
        <w:rPr>
          <w:rFonts w:hint="eastAsia" w:ascii="宋体" w:hAnsi="宋体" w:eastAsia="宋体" w:cs="宋体"/>
          <w:b/>
          <w:bCs/>
          <w:color w:val="auto"/>
          <w:sz w:val="48"/>
          <w:szCs w:val="48"/>
          <w:highlight w:val="none"/>
        </w:rPr>
        <w:t>第四章</w:t>
      </w:r>
      <w:r>
        <w:rPr>
          <w:rFonts w:hint="eastAsia" w:ascii="宋体" w:hAnsi="宋体" w:eastAsia="宋体" w:cs="宋体"/>
          <w:b/>
          <w:bCs/>
          <w:color w:val="auto"/>
          <w:sz w:val="48"/>
          <w:szCs w:val="48"/>
          <w:highlight w:val="none"/>
          <w:lang w:val="en-US" w:eastAsia="zh-CN"/>
        </w:rPr>
        <w:t xml:space="preserve">  </w:t>
      </w:r>
      <w:r>
        <w:rPr>
          <w:rFonts w:hint="eastAsia" w:ascii="宋体" w:hAnsi="宋体" w:eastAsia="宋体" w:cs="宋体"/>
          <w:b/>
          <w:bCs/>
          <w:color w:val="auto"/>
          <w:sz w:val="48"/>
          <w:szCs w:val="48"/>
          <w:highlight w:val="none"/>
        </w:rPr>
        <w:t>评审办法</w:t>
      </w:r>
      <w:bookmarkEnd w:id="60"/>
    </w:p>
    <w:p w14:paraId="254A6197">
      <w:pPr>
        <w:spacing w:line="500" w:lineRule="exact"/>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一、评审方法</w:t>
      </w:r>
    </w:p>
    <w:p w14:paraId="33C00446">
      <w:pPr>
        <w:tabs>
          <w:tab w:val="left" w:pos="1086"/>
        </w:tabs>
        <w:spacing w:line="500" w:lineRule="exact"/>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1、评审方法</w:t>
      </w:r>
    </w:p>
    <w:p w14:paraId="6A2B3E44">
      <w:pPr>
        <w:tabs>
          <w:tab w:val="left" w:pos="1086"/>
        </w:tabs>
        <w:spacing w:line="500" w:lineRule="exact"/>
        <w:ind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磋商小组采用综合评分法对提交最后报价的</w:t>
      </w:r>
      <w:r>
        <w:rPr>
          <w:rFonts w:hint="eastAsia" w:eastAsia="宋体" w:cs="宋体"/>
          <w:color w:val="auto"/>
          <w:sz w:val="24"/>
          <w:szCs w:val="20"/>
          <w:highlight w:val="none"/>
          <w:lang w:eastAsia="zh-CN"/>
        </w:rPr>
        <w:t>响应人</w:t>
      </w:r>
      <w:r>
        <w:rPr>
          <w:rFonts w:hint="eastAsia" w:ascii="宋体" w:hAnsi="宋体" w:eastAsia="宋体" w:cs="宋体"/>
          <w:color w:val="auto"/>
          <w:sz w:val="24"/>
          <w:szCs w:val="20"/>
          <w:highlight w:val="none"/>
        </w:rPr>
        <w:t>的响应文件和最后报价进行综合评分。综合评分法，是指响应文件满足磋商文件全部实质性要求且按评审因素的量化指标评审得分最高的</w:t>
      </w:r>
      <w:r>
        <w:rPr>
          <w:rFonts w:hint="eastAsia" w:eastAsia="宋体" w:cs="宋体"/>
          <w:color w:val="auto"/>
          <w:sz w:val="24"/>
          <w:szCs w:val="20"/>
          <w:highlight w:val="none"/>
          <w:lang w:eastAsia="zh-CN"/>
        </w:rPr>
        <w:t>响应人</w:t>
      </w:r>
      <w:r>
        <w:rPr>
          <w:rFonts w:hint="eastAsia" w:ascii="宋体" w:hAnsi="宋体" w:eastAsia="宋体" w:cs="宋体"/>
          <w:color w:val="auto"/>
          <w:sz w:val="24"/>
          <w:szCs w:val="20"/>
          <w:highlight w:val="none"/>
        </w:rPr>
        <w:t>为</w:t>
      </w:r>
      <w:r>
        <w:rPr>
          <w:rFonts w:hint="eastAsia" w:ascii="宋体" w:hAnsi="宋体" w:eastAsia="宋体" w:cs="宋体"/>
          <w:color w:val="auto"/>
          <w:sz w:val="24"/>
          <w:szCs w:val="20"/>
          <w:highlight w:val="none"/>
          <w:lang w:eastAsia="zh-CN"/>
        </w:rPr>
        <w:t>成交候选人</w:t>
      </w:r>
      <w:r>
        <w:rPr>
          <w:rFonts w:hint="eastAsia" w:ascii="宋体" w:hAnsi="宋体" w:eastAsia="宋体" w:cs="宋体"/>
          <w:color w:val="auto"/>
          <w:sz w:val="24"/>
          <w:szCs w:val="20"/>
          <w:highlight w:val="none"/>
        </w:rPr>
        <w:t>的评审方法。</w:t>
      </w:r>
    </w:p>
    <w:p w14:paraId="4AB68696">
      <w:pPr>
        <w:tabs>
          <w:tab w:val="left" w:pos="1086"/>
        </w:tabs>
        <w:spacing w:line="500" w:lineRule="exact"/>
        <w:rPr>
          <w:rFonts w:hint="eastAsia" w:ascii="宋体" w:hAnsi="宋体" w:eastAsia="宋体" w:cs="宋体"/>
          <w:color w:val="auto"/>
          <w:sz w:val="20"/>
          <w:szCs w:val="20"/>
          <w:highlight w:val="none"/>
        </w:rPr>
      </w:pPr>
      <w:r>
        <w:rPr>
          <w:rFonts w:hint="eastAsia" w:ascii="宋体" w:hAnsi="宋体" w:eastAsia="宋体" w:cs="宋体"/>
          <w:b/>
          <w:color w:val="auto"/>
          <w:sz w:val="24"/>
          <w:szCs w:val="20"/>
          <w:highlight w:val="none"/>
        </w:rPr>
        <w:t>2、排序</w:t>
      </w:r>
    </w:p>
    <w:p w14:paraId="2229E715">
      <w:pPr>
        <w:spacing w:line="500" w:lineRule="exact"/>
        <w:ind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磋商小组应当根据综合评分情况，按照评审得分由高到低的顺序推荐</w:t>
      </w:r>
      <w:r>
        <w:rPr>
          <w:rFonts w:hint="eastAsia" w:ascii="宋体" w:hAnsi="宋体" w:eastAsia="宋体" w:cs="宋体"/>
          <w:color w:val="auto"/>
          <w:sz w:val="24"/>
          <w:szCs w:val="20"/>
          <w:highlight w:val="none"/>
          <w:lang w:eastAsia="zh-CN"/>
        </w:rPr>
        <w:t>成交候选人</w:t>
      </w:r>
      <w:r>
        <w:rPr>
          <w:rFonts w:hint="eastAsia" w:ascii="宋体" w:hAnsi="宋体" w:eastAsia="宋体" w:cs="宋体"/>
          <w:color w:val="auto"/>
          <w:sz w:val="24"/>
          <w:szCs w:val="20"/>
          <w:highlight w:val="none"/>
        </w:rPr>
        <w:t>，并编写</w:t>
      </w:r>
      <w:r>
        <w:rPr>
          <w:rFonts w:hint="eastAsia" w:eastAsia="宋体" w:cs="宋体"/>
          <w:color w:val="auto"/>
          <w:sz w:val="24"/>
          <w:szCs w:val="20"/>
          <w:highlight w:val="none"/>
          <w:lang w:eastAsia="zh-CN"/>
        </w:rPr>
        <w:t>评标报告</w:t>
      </w:r>
      <w:r>
        <w:rPr>
          <w:rFonts w:hint="eastAsia" w:ascii="宋体" w:hAnsi="宋体" w:eastAsia="宋体" w:cs="宋体"/>
          <w:color w:val="auto"/>
          <w:sz w:val="24"/>
          <w:szCs w:val="20"/>
          <w:highlight w:val="none"/>
        </w:rPr>
        <w:t>。评审得分相同的，按照最后报价由低到高的顺序推荐，评审得分且最后报价相同的，按照技术标优劣顺序推荐。</w:t>
      </w:r>
    </w:p>
    <w:p w14:paraId="7FF7ADDA">
      <w:pPr>
        <w:spacing w:line="500" w:lineRule="exact"/>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二、评审程序</w:t>
      </w:r>
    </w:p>
    <w:p w14:paraId="2882C8CF">
      <w:pPr>
        <w:tabs>
          <w:tab w:val="left" w:pos="1066"/>
        </w:tabs>
        <w:spacing w:line="500" w:lineRule="exact"/>
        <w:ind w:left="6"/>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3、评审工作按以下程序进行</w:t>
      </w:r>
    </w:p>
    <w:p w14:paraId="5309089C">
      <w:pPr>
        <w:spacing w:line="500" w:lineRule="exact"/>
        <w:ind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（1）响应文件初审；</w:t>
      </w:r>
    </w:p>
    <w:p w14:paraId="158D791B">
      <w:pPr>
        <w:spacing w:line="500" w:lineRule="exact"/>
        <w:ind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（2）澄清及算术修正；</w:t>
      </w:r>
    </w:p>
    <w:p w14:paraId="7E9EDCDF">
      <w:pPr>
        <w:spacing w:line="500" w:lineRule="exact"/>
        <w:ind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（3）磋商与最终报价；</w:t>
      </w:r>
    </w:p>
    <w:p w14:paraId="1DE8AFF9">
      <w:pPr>
        <w:spacing w:line="500" w:lineRule="exact"/>
        <w:ind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（4）比较与评价；</w:t>
      </w:r>
    </w:p>
    <w:p w14:paraId="36167F86">
      <w:pPr>
        <w:spacing w:line="500" w:lineRule="exact"/>
        <w:ind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（5）推荐</w:t>
      </w:r>
      <w:r>
        <w:rPr>
          <w:rFonts w:hint="eastAsia" w:ascii="宋体" w:hAnsi="宋体" w:eastAsia="宋体" w:cs="宋体"/>
          <w:color w:val="auto"/>
          <w:sz w:val="24"/>
          <w:szCs w:val="20"/>
          <w:highlight w:val="none"/>
          <w:lang w:eastAsia="zh-CN"/>
        </w:rPr>
        <w:t>成交候选人</w:t>
      </w:r>
      <w:r>
        <w:rPr>
          <w:rFonts w:hint="eastAsia" w:ascii="宋体" w:hAnsi="宋体" w:eastAsia="宋体" w:cs="宋体"/>
          <w:color w:val="auto"/>
          <w:sz w:val="24"/>
          <w:szCs w:val="20"/>
          <w:highlight w:val="none"/>
        </w:rPr>
        <w:t>名单；</w:t>
      </w:r>
    </w:p>
    <w:p w14:paraId="7B5C3E30">
      <w:pPr>
        <w:spacing w:line="500" w:lineRule="exact"/>
        <w:ind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（6）出具</w:t>
      </w:r>
      <w:r>
        <w:rPr>
          <w:rFonts w:hint="eastAsia" w:eastAsia="宋体" w:cs="宋体"/>
          <w:color w:val="auto"/>
          <w:sz w:val="24"/>
          <w:szCs w:val="20"/>
          <w:highlight w:val="none"/>
          <w:lang w:eastAsia="zh-CN"/>
        </w:rPr>
        <w:t>评标报告</w:t>
      </w:r>
      <w:r>
        <w:rPr>
          <w:rFonts w:hint="eastAsia" w:ascii="宋体" w:hAnsi="宋体" w:eastAsia="宋体" w:cs="宋体"/>
          <w:color w:val="auto"/>
          <w:sz w:val="24"/>
          <w:szCs w:val="20"/>
          <w:highlight w:val="none"/>
        </w:rPr>
        <w:t>。</w:t>
      </w:r>
    </w:p>
    <w:p w14:paraId="71E5857C">
      <w:pPr>
        <w:spacing w:line="500" w:lineRule="exact"/>
        <w:ind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磋商小组按照上述程序审查</w:t>
      </w:r>
      <w:r>
        <w:rPr>
          <w:rFonts w:hint="eastAsia" w:eastAsia="宋体" w:cs="宋体"/>
          <w:color w:val="auto"/>
          <w:sz w:val="24"/>
          <w:szCs w:val="20"/>
          <w:highlight w:val="none"/>
          <w:lang w:eastAsia="zh-CN"/>
        </w:rPr>
        <w:t>响应人</w:t>
      </w:r>
      <w:r>
        <w:rPr>
          <w:rFonts w:hint="eastAsia" w:ascii="宋体" w:hAnsi="宋体" w:eastAsia="宋体" w:cs="宋体"/>
          <w:color w:val="auto"/>
          <w:sz w:val="24"/>
          <w:szCs w:val="20"/>
          <w:highlight w:val="none"/>
        </w:rPr>
        <w:t>的响应文件，评审程序中的前一项程序未通过的响应文件不再进入下一程序的评审。</w:t>
      </w:r>
    </w:p>
    <w:p w14:paraId="25A5623E">
      <w:pPr>
        <w:spacing w:line="500" w:lineRule="exact"/>
        <w:rPr>
          <w:rFonts w:hint="eastAsia" w:ascii="宋体" w:hAnsi="宋体" w:eastAsia="宋体" w:cs="宋体"/>
          <w:b/>
          <w:color w:val="auto"/>
          <w:sz w:val="24"/>
          <w:szCs w:val="20"/>
          <w:highlight w:val="none"/>
        </w:rPr>
      </w:pPr>
      <w:bookmarkStart w:id="61" w:name="page20"/>
      <w:bookmarkEnd w:id="61"/>
      <w:r>
        <w:rPr>
          <w:rFonts w:hint="eastAsia" w:ascii="宋体" w:hAnsi="宋体" w:eastAsia="宋体" w:cs="宋体"/>
          <w:b/>
          <w:color w:val="auto"/>
          <w:sz w:val="24"/>
          <w:szCs w:val="20"/>
          <w:highlight w:val="none"/>
        </w:rPr>
        <w:t>三、响应文件初审</w:t>
      </w:r>
    </w:p>
    <w:p w14:paraId="0729EB58">
      <w:pPr>
        <w:tabs>
          <w:tab w:val="left" w:pos="1086"/>
        </w:tabs>
        <w:spacing w:line="500" w:lineRule="exact"/>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4、响应文件的有效性、完整性、响应程度检查。</w:t>
      </w:r>
    </w:p>
    <w:p w14:paraId="7361D36B">
      <w:pPr>
        <w:spacing w:line="500" w:lineRule="exact"/>
        <w:ind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递交响应文件后，磋商小组将审查响应文件是否完整、是否恰当的签署、有否计算错误、是否大致编排有序、对竞争性磋商文件的响应程度等方面进行审查。</w:t>
      </w:r>
    </w:p>
    <w:p w14:paraId="195A528E">
      <w:pPr>
        <w:spacing w:line="500" w:lineRule="exact"/>
        <w:ind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磋商小组将拒绝符合前附表中规定的非响应性报价，</w:t>
      </w:r>
      <w:r>
        <w:rPr>
          <w:rFonts w:hint="eastAsia" w:eastAsia="宋体" w:cs="宋体"/>
          <w:color w:val="auto"/>
          <w:sz w:val="24"/>
          <w:szCs w:val="20"/>
          <w:highlight w:val="none"/>
          <w:lang w:eastAsia="zh-CN"/>
        </w:rPr>
        <w:t>响应人</w:t>
      </w:r>
      <w:r>
        <w:rPr>
          <w:rFonts w:hint="eastAsia" w:ascii="宋体" w:hAnsi="宋体" w:eastAsia="宋体" w:cs="宋体"/>
          <w:color w:val="auto"/>
          <w:sz w:val="24"/>
          <w:szCs w:val="20"/>
          <w:highlight w:val="none"/>
        </w:rPr>
        <w:t>不能通过修正或撤销不符之处而使其报价成为响应性报价。</w:t>
      </w:r>
    </w:p>
    <w:p w14:paraId="317FBC1D">
      <w:pPr>
        <w:tabs>
          <w:tab w:val="left" w:pos="1086"/>
        </w:tabs>
        <w:spacing w:line="500" w:lineRule="exact"/>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5、响应文件初审中有下列情况之一的，按照无效应答文件处理：</w:t>
      </w:r>
    </w:p>
    <w:p w14:paraId="19F1237E">
      <w:pPr>
        <w:spacing w:line="500" w:lineRule="exact"/>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（1）响应文件未按竞争性磋商文件规定进行上传、签署、盖章的；</w:t>
      </w:r>
    </w:p>
    <w:p w14:paraId="049799C9">
      <w:pPr>
        <w:spacing w:line="500" w:lineRule="exact"/>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（2）未按照竞争性磋商文件规定提交投标承诺函的；</w:t>
      </w:r>
    </w:p>
    <w:p w14:paraId="0FFBDCA9">
      <w:pPr>
        <w:spacing w:line="500" w:lineRule="exact"/>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（3）不满足竞争性磋商文件资格要求的；</w:t>
      </w:r>
    </w:p>
    <w:p w14:paraId="5EB1C34D">
      <w:pPr>
        <w:spacing w:line="500" w:lineRule="exact"/>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（4）不满足竞争性磋商文件中实质性要求和条件的；</w:t>
      </w:r>
    </w:p>
    <w:p w14:paraId="5365665C">
      <w:pPr>
        <w:spacing w:line="500" w:lineRule="exact"/>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（5）磋商有效期不符合竞争性磋商文件要求的；</w:t>
      </w:r>
    </w:p>
    <w:p w14:paraId="039E9060">
      <w:pPr>
        <w:spacing w:line="500" w:lineRule="exact"/>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（6）报价未按照竞争性磋商文件规定填报或磋商小组确认磋商报价明显低于成本，涉嫌恶意竞争的；</w:t>
      </w:r>
    </w:p>
    <w:p w14:paraId="73AE96D6">
      <w:pPr>
        <w:tabs>
          <w:tab w:val="left" w:pos="1966"/>
        </w:tabs>
        <w:spacing w:line="500" w:lineRule="exact"/>
        <w:ind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（7）报价超过磋商文件限制的；</w:t>
      </w:r>
    </w:p>
    <w:p w14:paraId="4A73E752">
      <w:pPr>
        <w:tabs>
          <w:tab w:val="left" w:pos="1966"/>
        </w:tabs>
        <w:spacing w:line="500" w:lineRule="exact"/>
        <w:ind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（8）提供虚假文件或者失实材料的；</w:t>
      </w:r>
    </w:p>
    <w:p w14:paraId="178353B8">
      <w:pPr>
        <w:tabs>
          <w:tab w:val="left" w:pos="1966"/>
        </w:tabs>
        <w:spacing w:line="500" w:lineRule="exact"/>
        <w:ind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（9）有串通磋商、弄虚作假、行贿等违法行为的；</w:t>
      </w:r>
    </w:p>
    <w:p w14:paraId="358FF82D">
      <w:pPr>
        <w:tabs>
          <w:tab w:val="left" w:pos="1966"/>
        </w:tabs>
        <w:spacing w:line="500" w:lineRule="exact"/>
        <w:ind w:left="528" w:leftChars="24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（10）响应联合体没有提交联合体协议或联合体协议不符合要求的（如有）；</w:t>
      </w:r>
    </w:p>
    <w:p w14:paraId="5965F23B">
      <w:pPr>
        <w:tabs>
          <w:tab w:val="left" w:pos="1966"/>
        </w:tabs>
        <w:spacing w:line="500" w:lineRule="exact"/>
        <w:ind w:left="528" w:leftChars="24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（11）存在磋商文件中规定的否决响应的其他条款的。</w:t>
      </w:r>
    </w:p>
    <w:p w14:paraId="0D42DB05">
      <w:pPr>
        <w:tabs>
          <w:tab w:val="left" w:pos="1966"/>
        </w:tabs>
        <w:spacing w:line="500" w:lineRule="exact"/>
        <w:ind w:firstLine="480" w:firstLineChars="200"/>
        <w:rPr>
          <w:rFonts w:hint="eastAsia" w:ascii="宋体" w:hAnsi="宋体" w:eastAsia="宋体" w:cs="宋体"/>
          <w:color w:val="auto"/>
          <w:sz w:val="20"/>
          <w:szCs w:val="20"/>
          <w:highlight w:val="none"/>
        </w:rPr>
      </w:pPr>
      <w:r>
        <w:rPr>
          <w:rFonts w:hint="eastAsia" w:ascii="宋体" w:hAnsi="宋体" w:eastAsia="宋体" w:cs="宋体"/>
          <w:color w:val="auto"/>
          <w:sz w:val="24"/>
          <w:szCs w:val="20"/>
          <w:highlight w:val="none"/>
        </w:rPr>
        <w:t>（12）不符合法律法规和竞争性磋商文件中规定的其他实质性要求的。无效应答文件不能进入后续评审或磋商程序。</w:t>
      </w:r>
    </w:p>
    <w:p w14:paraId="7C7CFB54">
      <w:pPr>
        <w:spacing w:line="500" w:lineRule="exact"/>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四、澄清及偏差有关问题</w:t>
      </w:r>
    </w:p>
    <w:p w14:paraId="5CFAE19C">
      <w:pPr>
        <w:tabs>
          <w:tab w:val="left" w:pos="1086"/>
        </w:tabs>
        <w:spacing w:line="500" w:lineRule="exact"/>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lang w:val="en-US" w:eastAsia="zh-CN"/>
        </w:rPr>
        <w:t>6</w:t>
      </w:r>
      <w:r>
        <w:rPr>
          <w:rFonts w:hint="eastAsia" w:ascii="宋体" w:hAnsi="宋体" w:eastAsia="宋体" w:cs="宋体"/>
          <w:b/>
          <w:color w:val="auto"/>
          <w:sz w:val="24"/>
          <w:szCs w:val="20"/>
          <w:highlight w:val="none"/>
        </w:rPr>
        <w:t>、澄清</w:t>
      </w:r>
    </w:p>
    <w:p w14:paraId="6E1F7625">
      <w:pPr>
        <w:tabs>
          <w:tab w:val="left" w:pos="1966"/>
        </w:tabs>
        <w:spacing w:line="500" w:lineRule="exact"/>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lang w:val="en-US" w:eastAsia="zh-CN"/>
        </w:rPr>
        <w:t>6.1</w:t>
      </w:r>
      <w:r>
        <w:rPr>
          <w:rFonts w:hint="eastAsia" w:ascii="宋体" w:hAnsi="宋体" w:eastAsia="宋体" w:cs="宋体"/>
          <w:color w:val="auto"/>
          <w:sz w:val="24"/>
          <w:szCs w:val="22"/>
          <w:highlight w:val="none"/>
        </w:rPr>
        <w:t>评审期间，</w:t>
      </w:r>
      <w:r>
        <w:rPr>
          <w:rFonts w:hint="eastAsia" w:eastAsia="宋体" w:cs="宋体"/>
          <w:color w:val="auto"/>
          <w:sz w:val="24"/>
          <w:szCs w:val="22"/>
          <w:highlight w:val="none"/>
          <w:lang w:eastAsia="zh-CN"/>
        </w:rPr>
        <w:t>响应人</w:t>
      </w:r>
      <w:r>
        <w:rPr>
          <w:rFonts w:hint="eastAsia" w:ascii="宋体" w:hAnsi="宋体" w:eastAsia="宋体" w:cs="宋体"/>
          <w:color w:val="auto"/>
          <w:sz w:val="24"/>
          <w:szCs w:val="22"/>
          <w:highlight w:val="none"/>
        </w:rPr>
        <w:t>法定代表人或其授权代表须时刻关注电子</w:t>
      </w:r>
      <w:r>
        <w:rPr>
          <w:rFonts w:hint="eastAsia" w:eastAsia="宋体" w:cs="宋体"/>
          <w:color w:val="auto"/>
          <w:sz w:val="24"/>
          <w:szCs w:val="22"/>
          <w:highlight w:val="none"/>
          <w:lang w:val="en-US" w:eastAsia="zh-CN"/>
        </w:rPr>
        <w:t>评</w:t>
      </w:r>
      <w:r>
        <w:rPr>
          <w:rFonts w:hint="eastAsia" w:ascii="宋体" w:hAnsi="宋体" w:eastAsia="宋体" w:cs="宋体"/>
          <w:color w:val="auto"/>
          <w:sz w:val="24"/>
          <w:szCs w:val="22"/>
          <w:highlight w:val="none"/>
        </w:rPr>
        <w:t>标室并保持通讯畅通。如因通讯不畅导致</w:t>
      </w:r>
      <w:r>
        <w:rPr>
          <w:rFonts w:hint="eastAsia" w:eastAsia="宋体" w:cs="宋体"/>
          <w:color w:val="auto"/>
          <w:sz w:val="24"/>
          <w:szCs w:val="22"/>
          <w:highlight w:val="none"/>
          <w:lang w:eastAsia="zh-CN"/>
        </w:rPr>
        <w:t>响应人</w:t>
      </w:r>
      <w:r>
        <w:rPr>
          <w:rFonts w:hint="eastAsia" w:ascii="宋体" w:hAnsi="宋体" w:eastAsia="宋体" w:cs="宋体"/>
          <w:color w:val="auto"/>
          <w:sz w:val="24"/>
          <w:szCs w:val="22"/>
          <w:highlight w:val="none"/>
        </w:rPr>
        <w:t>无法及时澄清而被认定为无效响应等后果由</w:t>
      </w:r>
      <w:r>
        <w:rPr>
          <w:rFonts w:hint="eastAsia" w:eastAsia="宋体" w:cs="宋体"/>
          <w:color w:val="auto"/>
          <w:sz w:val="24"/>
          <w:szCs w:val="22"/>
          <w:highlight w:val="none"/>
          <w:lang w:eastAsia="zh-CN"/>
        </w:rPr>
        <w:t>响应人</w:t>
      </w:r>
      <w:r>
        <w:rPr>
          <w:rFonts w:hint="eastAsia" w:ascii="宋体" w:hAnsi="宋体" w:eastAsia="宋体" w:cs="宋体"/>
          <w:color w:val="auto"/>
          <w:sz w:val="24"/>
          <w:szCs w:val="22"/>
          <w:highlight w:val="none"/>
        </w:rPr>
        <w:t>自行承担。</w:t>
      </w:r>
    </w:p>
    <w:p w14:paraId="731A0C1F">
      <w:pPr>
        <w:tabs>
          <w:tab w:val="left" w:pos="1966"/>
        </w:tabs>
        <w:spacing w:line="500" w:lineRule="exact"/>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lang w:val="en-US" w:eastAsia="zh-CN"/>
        </w:rPr>
        <w:t>6</w:t>
      </w:r>
      <w:r>
        <w:rPr>
          <w:rFonts w:hint="eastAsia" w:ascii="宋体" w:hAnsi="宋体" w:eastAsia="宋体" w:cs="宋体"/>
          <w:color w:val="auto"/>
          <w:sz w:val="24"/>
          <w:szCs w:val="22"/>
          <w:highlight w:val="none"/>
        </w:rPr>
        <w:t>.2为有助于对响应文件（响应文件）进行审查、评估和比较，磋商小组有权向</w:t>
      </w:r>
      <w:r>
        <w:rPr>
          <w:rFonts w:hint="eastAsia" w:eastAsia="宋体" w:cs="宋体"/>
          <w:color w:val="auto"/>
          <w:sz w:val="24"/>
          <w:szCs w:val="22"/>
          <w:highlight w:val="none"/>
          <w:lang w:eastAsia="zh-CN"/>
        </w:rPr>
        <w:t>响应人</w:t>
      </w:r>
      <w:r>
        <w:rPr>
          <w:rFonts w:hint="eastAsia" w:ascii="宋体" w:hAnsi="宋体" w:eastAsia="宋体" w:cs="宋体"/>
          <w:color w:val="auto"/>
          <w:sz w:val="24"/>
          <w:szCs w:val="22"/>
          <w:highlight w:val="none"/>
        </w:rPr>
        <w:t>提出质疑，请</w:t>
      </w:r>
      <w:r>
        <w:rPr>
          <w:rFonts w:hint="eastAsia" w:eastAsia="宋体" w:cs="宋体"/>
          <w:color w:val="auto"/>
          <w:sz w:val="24"/>
          <w:szCs w:val="22"/>
          <w:highlight w:val="none"/>
          <w:lang w:eastAsia="zh-CN"/>
        </w:rPr>
        <w:t>响应人</w:t>
      </w:r>
      <w:r>
        <w:rPr>
          <w:rFonts w:hint="eastAsia" w:ascii="宋体" w:hAnsi="宋体" w:eastAsia="宋体" w:cs="宋体"/>
          <w:color w:val="auto"/>
          <w:sz w:val="24"/>
          <w:szCs w:val="22"/>
          <w:highlight w:val="none"/>
        </w:rPr>
        <w:t>澄清其投标内容。</w:t>
      </w:r>
    </w:p>
    <w:p w14:paraId="369C25F3">
      <w:pPr>
        <w:tabs>
          <w:tab w:val="left" w:pos="1966"/>
        </w:tabs>
        <w:spacing w:line="500" w:lineRule="exact"/>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lang w:val="en-US" w:eastAsia="zh-CN"/>
        </w:rPr>
        <w:t>6</w:t>
      </w:r>
      <w:r>
        <w:rPr>
          <w:rFonts w:hint="eastAsia" w:ascii="宋体" w:hAnsi="宋体" w:eastAsia="宋体" w:cs="宋体"/>
          <w:color w:val="auto"/>
          <w:sz w:val="24"/>
          <w:szCs w:val="22"/>
          <w:highlight w:val="none"/>
        </w:rPr>
        <w:t>.3磋商小组可以要求</w:t>
      </w:r>
      <w:r>
        <w:rPr>
          <w:rFonts w:hint="eastAsia" w:eastAsia="宋体" w:cs="宋体"/>
          <w:color w:val="auto"/>
          <w:sz w:val="24"/>
          <w:szCs w:val="22"/>
          <w:highlight w:val="none"/>
          <w:lang w:eastAsia="zh-CN"/>
        </w:rPr>
        <w:t>响应人</w:t>
      </w:r>
      <w:r>
        <w:rPr>
          <w:rFonts w:hint="eastAsia" w:ascii="宋体" w:hAnsi="宋体" w:eastAsia="宋体" w:cs="宋体"/>
          <w:color w:val="auto"/>
          <w:sz w:val="24"/>
          <w:szCs w:val="22"/>
          <w:highlight w:val="none"/>
        </w:rPr>
        <w:t>对响应文件（响应文件）中含义不明确、同类问题表述不一致或者有明显文字和计算错误的内容等作出必要的澄清、说明或者更正。</w:t>
      </w:r>
      <w:r>
        <w:rPr>
          <w:rFonts w:hint="eastAsia" w:eastAsia="宋体" w:cs="宋体"/>
          <w:color w:val="auto"/>
          <w:sz w:val="24"/>
          <w:szCs w:val="22"/>
          <w:highlight w:val="none"/>
          <w:lang w:eastAsia="zh-CN"/>
        </w:rPr>
        <w:t>响应人</w:t>
      </w:r>
      <w:r>
        <w:rPr>
          <w:rFonts w:hint="eastAsia" w:ascii="宋体" w:hAnsi="宋体" w:eastAsia="宋体" w:cs="宋体"/>
          <w:color w:val="auto"/>
          <w:sz w:val="24"/>
          <w:szCs w:val="22"/>
          <w:highlight w:val="none"/>
        </w:rPr>
        <w:t>的澄清、说明或者更正不得超出响应文件（响应文件）的范围或者改变响应文件（响应文件）的实质性内容。</w:t>
      </w:r>
    </w:p>
    <w:p w14:paraId="15FE4BCC">
      <w:pPr>
        <w:tabs>
          <w:tab w:val="left" w:pos="1966"/>
        </w:tabs>
        <w:spacing w:line="500" w:lineRule="exact"/>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lang w:val="en-US" w:eastAsia="zh-CN"/>
        </w:rPr>
        <w:t>6</w:t>
      </w:r>
      <w:r>
        <w:rPr>
          <w:rFonts w:hint="eastAsia" w:ascii="宋体" w:hAnsi="宋体" w:eastAsia="宋体" w:cs="宋体"/>
          <w:color w:val="auto"/>
          <w:sz w:val="24"/>
          <w:szCs w:val="22"/>
          <w:highlight w:val="none"/>
        </w:rPr>
        <w:t>.4</w:t>
      </w:r>
      <w:r>
        <w:rPr>
          <w:rFonts w:hint="eastAsia" w:eastAsia="宋体" w:cs="宋体"/>
          <w:color w:val="auto"/>
          <w:sz w:val="24"/>
          <w:szCs w:val="22"/>
          <w:highlight w:val="none"/>
          <w:lang w:eastAsia="zh-CN"/>
        </w:rPr>
        <w:t>响应人</w:t>
      </w:r>
      <w:r>
        <w:rPr>
          <w:rFonts w:hint="eastAsia" w:ascii="宋体" w:hAnsi="宋体" w:eastAsia="宋体" w:cs="宋体"/>
          <w:color w:val="auto"/>
          <w:sz w:val="24"/>
          <w:szCs w:val="22"/>
          <w:highlight w:val="none"/>
        </w:rPr>
        <w:t>的澄清、说明或者补正应当采用书面形式，加盖</w:t>
      </w:r>
      <w:r>
        <w:rPr>
          <w:rFonts w:hint="eastAsia" w:eastAsia="宋体" w:cs="宋体"/>
          <w:color w:val="auto"/>
          <w:sz w:val="24"/>
          <w:szCs w:val="22"/>
          <w:highlight w:val="none"/>
          <w:lang w:val="en-US" w:eastAsia="zh-CN"/>
        </w:rPr>
        <w:t>公</w:t>
      </w:r>
      <w:r>
        <w:rPr>
          <w:rFonts w:hint="eastAsia" w:ascii="宋体" w:hAnsi="宋体" w:eastAsia="宋体" w:cs="宋体"/>
          <w:color w:val="auto"/>
          <w:sz w:val="24"/>
          <w:szCs w:val="22"/>
          <w:highlight w:val="none"/>
        </w:rPr>
        <w:t>章或者由法定代表人</w:t>
      </w:r>
      <w:r>
        <w:rPr>
          <w:rFonts w:hint="eastAsia" w:eastAsia="宋体" w:cs="宋体"/>
          <w:color w:val="auto"/>
          <w:sz w:val="24"/>
          <w:szCs w:val="22"/>
          <w:highlight w:val="none"/>
          <w:lang w:val="en-US" w:eastAsia="zh-CN"/>
        </w:rPr>
        <w:t>签字并盖章</w:t>
      </w:r>
      <w:r>
        <w:rPr>
          <w:rFonts w:hint="eastAsia" w:ascii="宋体" w:hAnsi="宋体" w:eastAsia="宋体" w:cs="宋体"/>
          <w:color w:val="auto"/>
          <w:sz w:val="24"/>
          <w:szCs w:val="22"/>
          <w:highlight w:val="none"/>
        </w:rPr>
        <w:t>。并将澄清内容作为附件上传至系统中。</w:t>
      </w:r>
    </w:p>
    <w:p w14:paraId="584297B2">
      <w:pPr>
        <w:tabs>
          <w:tab w:val="left" w:pos="1966"/>
        </w:tabs>
        <w:spacing w:line="500" w:lineRule="exact"/>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lang w:val="en-US" w:eastAsia="zh-CN"/>
        </w:rPr>
        <w:t>6</w:t>
      </w:r>
      <w:r>
        <w:rPr>
          <w:rFonts w:hint="eastAsia" w:ascii="宋体" w:hAnsi="宋体" w:eastAsia="宋体" w:cs="宋体"/>
          <w:color w:val="auto"/>
          <w:sz w:val="24"/>
          <w:szCs w:val="22"/>
          <w:highlight w:val="none"/>
        </w:rPr>
        <w:t>.5</w:t>
      </w:r>
      <w:r>
        <w:rPr>
          <w:rFonts w:hint="eastAsia" w:eastAsia="宋体" w:cs="宋体"/>
          <w:color w:val="auto"/>
          <w:sz w:val="24"/>
          <w:szCs w:val="22"/>
          <w:highlight w:val="none"/>
          <w:lang w:eastAsia="zh-CN"/>
        </w:rPr>
        <w:t>响应人</w:t>
      </w:r>
      <w:r>
        <w:rPr>
          <w:rFonts w:hint="eastAsia" w:ascii="宋体" w:hAnsi="宋体" w:eastAsia="宋体" w:cs="宋体"/>
          <w:color w:val="auto"/>
          <w:sz w:val="24"/>
          <w:szCs w:val="22"/>
          <w:highlight w:val="none"/>
        </w:rPr>
        <w:t>的澄清文件是响应文件（响应文件）的组成部分，并取代响应文件（响应文件）中被澄清的部分。</w:t>
      </w:r>
    </w:p>
    <w:p w14:paraId="4858C169">
      <w:pPr>
        <w:tabs>
          <w:tab w:val="left" w:pos="1966"/>
        </w:tabs>
        <w:spacing w:line="500" w:lineRule="exact"/>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lang w:val="en-US" w:eastAsia="zh-CN"/>
        </w:rPr>
        <w:t>6</w:t>
      </w:r>
      <w:r>
        <w:rPr>
          <w:rFonts w:hint="eastAsia" w:ascii="宋体" w:hAnsi="宋体" w:eastAsia="宋体" w:cs="宋体"/>
          <w:color w:val="auto"/>
          <w:sz w:val="24"/>
          <w:szCs w:val="22"/>
          <w:highlight w:val="none"/>
        </w:rPr>
        <w:t>.6澄清文件应按磋商小组规定的时间提交。</w:t>
      </w:r>
    </w:p>
    <w:p w14:paraId="75591FD7">
      <w:pPr>
        <w:tabs>
          <w:tab w:val="left" w:pos="1966"/>
        </w:tabs>
        <w:spacing w:line="500" w:lineRule="exact"/>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lang w:val="en-US" w:eastAsia="zh-CN"/>
        </w:rPr>
        <w:t>7</w:t>
      </w:r>
      <w:r>
        <w:rPr>
          <w:rFonts w:hint="eastAsia" w:ascii="宋体" w:hAnsi="宋体" w:eastAsia="宋体" w:cs="宋体"/>
          <w:b/>
          <w:color w:val="auto"/>
          <w:sz w:val="24"/>
          <w:szCs w:val="20"/>
          <w:highlight w:val="none"/>
        </w:rPr>
        <w:t>、偏差</w:t>
      </w:r>
    </w:p>
    <w:p w14:paraId="6D69A576">
      <w:pPr>
        <w:spacing w:line="500" w:lineRule="exact"/>
        <w:ind w:right="120"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响应文件的大写金额和小写金额不一致的，以大写金额为准；磋商总价金额与按分项报价汇总金额不一致的，以分项报价金额计算结果为准；分项报价金额小数点有明显错位的，应以磋商总价为准，并修改分项报价。如果</w:t>
      </w:r>
      <w:r>
        <w:rPr>
          <w:rFonts w:hint="eastAsia" w:eastAsia="宋体" w:cs="宋体"/>
          <w:color w:val="auto"/>
          <w:sz w:val="24"/>
          <w:szCs w:val="20"/>
          <w:highlight w:val="none"/>
          <w:lang w:eastAsia="zh-CN"/>
        </w:rPr>
        <w:t>响应人</w:t>
      </w:r>
      <w:r>
        <w:rPr>
          <w:rFonts w:hint="eastAsia" w:ascii="宋体" w:hAnsi="宋体" w:eastAsia="宋体" w:cs="宋体"/>
          <w:color w:val="auto"/>
          <w:sz w:val="24"/>
          <w:szCs w:val="20"/>
          <w:highlight w:val="none"/>
        </w:rPr>
        <w:t>不接受对其算术错误的更正，其响应文件可能被否决。</w:t>
      </w:r>
    </w:p>
    <w:p w14:paraId="42ACBF26">
      <w:pPr>
        <w:spacing w:line="500" w:lineRule="exact"/>
        <w:ind w:right="120"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对于响应文件中不构成实质性偏差的不正规、不一致或不规则，磋商小组可以接受，但这种接受不能损害或影响任何</w:t>
      </w:r>
      <w:r>
        <w:rPr>
          <w:rFonts w:hint="eastAsia" w:eastAsia="宋体" w:cs="宋体"/>
          <w:color w:val="auto"/>
          <w:sz w:val="24"/>
          <w:szCs w:val="20"/>
          <w:highlight w:val="none"/>
          <w:lang w:eastAsia="zh-CN"/>
        </w:rPr>
        <w:t>响应人</w:t>
      </w:r>
      <w:r>
        <w:rPr>
          <w:rFonts w:hint="eastAsia" w:ascii="宋体" w:hAnsi="宋体" w:eastAsia="宋体" w:cs="宋体"/>
          <w:color w:val="auto"/>
          <w:sz w:val="24"/>
          <w:szCs w:val="20"/>
          <w:highlight w:val="none"/>
        </w:rPr>
        <w:t>的相对排序。</w:t>
      </w:r>
    </w:p>
    <w:p w14:paraId="0E26ACCD">
      <w:pPr>
        <w:spacing w:line="500" w:lineRule="exact"/>
        <w:rPr>
          <w:rFonts w:hint="eastAsia" w:ascii="宋体" w:hAnsi="宋体" w:eastAsia="宋体" w:cs="宋体"/>
          <w:color w:val="auto"/>
          <w:sz w:val="20"/>
          <w:szCs w:val="20"/>
          <w:highlight w:val="none"/>
        </w:rPr>
      </w:pPr>
      <w:r>
        <w:rPr>
          <w:rFonts w:hint="eastAsia" w:ascii="宋体" w:hAnsi="宋体" w:eastAsia="宋体" w:cs="宋体"/>
          <w:b/>
          <w:color w:val="auto"/>
          <w:sz w:val="24"/>
          <w:szCs w:val="20"/>
          <w:highlight w:val="none"/>
        </w:rPr>
        <w:t>五、磋商与最终报价</w:t>
      </w:r>
    </w:p>
    <w:p w14:paraId="3F1A5C3B">
      <w:pPr>
        <w:tabs>
          <w:tab w:val="left" w:pos="1086"/>
        </w:tabs>
        <w:spacing w:line="500" w:lineRule="exact"/>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lang w:val="en-US" w:eastAsia="zh-CN"/>
        </w:rPr>
        <w:t>8</w:t>
      </w:r>
      <w:r>
        <w:rPr>
          <w:rFonts w:hint="eastAsia" w:ascii="宋体" w:hAnsi="宋体" w:eastAsia="宋体" w:cs="宋体"/>
          <w:b/>
          <w:color w:val="auto"/>
          <w:sz w:val="24"/>
          <w:szCs w:val="20"/>
          <w:highlight w:val="none"/>
        </w:rPr>
        <w:t>、磋商</w:t>
      </w:r>
    </w:p>
    <w:p w14:paraId="28786833">
      <w:pPr>
        <w:spacing w:line="500" w:lineRule="exact"/>
        <w:ind w:right="120"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磋商小组将按照递交响应文件的顺序分别依次与通过响应文件初审的</w:t>
      </w:r>
      <w:r>
        <w:rPr>
          <w:rFonts w:hint="eastAsia" w:eastAsia="宋体" w:cs="宋体"/>
          <w:color w:val="auto"/>
          <w:sz w:val="24"/>
          <w:szCs w:val="20"/>
          <w:highlight w:val="none"/>
          <w:lang w:eastAsia="zh-CN"/>
        </w:rPr>
        <w:t>响应人</w:t>
      </w:r>
      <w:r>
        <w:rPr>
          <w:rFonts w:hint="eastAsia" w:ascii="宋体" w:hAnsi="宋体" w:eastAsia="宋体" w:cs="宋体"/>
          <w:color w:val="auto"/>
          <w:sz w:val="24"/>
          <w:szCs w:val="20"/>
          <w:highlight w:val="none"/>
        </w:rPr>
        <w:t>授权代表进行磋商。</w:t>
      </w:r>
      <w:bookmarkStart w:id="62" w:name="page22"/>
      <w:bookmarkEnd w:id="62"/>
    </w:p>
    <w:p w14:paraId="5B5D7C42">
      <w:pPr>
        <w:spacing w:line="500" w:lineRule="exact"/>
        <w:ind w:right="120"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在磋商过程中，磋商小组可以根据磋商文件和磋商情况变动</w:t>
      </w:r>
      <w:r>
        <w:rPr>
          <w:rFonts w:hint="eastAsia" w:ascii="宋体" w:hAnsi="宋体" w:eastAsia="宋体" w:cs="宋体"/>
          <w:color w:val="auto"/>
          <w:sz w:val="24"/>
          <w:szCs w:val="20"/>
          <w:highlight w:val="none"/>
          <w:lang w:eastAsia="zh-CN"/>
        </w:rPr>
        <w:t>采购内容及技术参数</w:t>
      </w:r>
      <w:r>
        <w:rPr>
          <w:rFonts w:hint="eastAsia" w:ascii="宋体" w:hAnsi="宋体" w:eastAsia="宋体" w:cs="宋体"/>
          <w:color w:val="auto"/>
          <w:sz w:val="24"/>
          <w:szCs w:val="20"/>
          <w:highlight w:val="none"/>
        </w:rPr>
        <w:t>中的技术、要求以及合同非实质性条款，但不得变动磋商文件中的其他内容。如果确实涉及实质性变动的内容，须经采购人代表确认。</w:t>
      </w:r>
    </w:p>
    <w:p w14:paraId="3A42A324">
      <w:pPr>
        <w:spacing w:line="500" w:lineRule="exact"/>
        <w:ind w:right="120"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对磋商文件作出的实质性变动是磋商文件的有效组成部分，磋商小组应当及时以书面形式同时通知所有参加磋商的</w:t>
      </w:r>
      <w:r>
        <w:rPr>
          <w:rFonts w:hint="eastAsia" w:eastAsia="宋体" w:cs="宋体"/>
          <w:color w:val="auto"/>
          <w:sz w:val="24"/>
          <w:szCs w:val="20"/>
          <w:highlight w:val="none"/>
          <w:lang w:eastAsia="zh-CN"/>
        </w:rPr>
        <w:t>响应人</w:t>
      </w:r>
      <w:r>
        <w:rPr>
          <w:rFonts w:hint="eastAsia" w:ascii="宋体" w:hAnsi="宋体" w:eastAsia="宋体" w:cs="宋体"/>
          <w:color w:val="auto"/>
          <w:sz w:val="24"/>
          <w:szCs w:val="20"/>
          <w:highlight w:val="none"/>
        </w:rPr>
        <w:t>。</w:t>
      </w:r>
    </w:p>
    <w:p w14:paraId="1F9D2215">
      <w:pPr>
        <w:tabs>
          <w:tab w:val="left" w:pos="1086"/>
        </w:tabs>
        <w:spacing w:line="500" w:lineRule="exact"/>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lang w:val="en-US" w:eastAsia="zh-CN"/>
        </w:rPr>
        <w:t>9</w:t>
      </w:r>
      <w:r>
        <w:rPr>
          <w:rFonts w:hint="eastAsia" w:ascii="宋体" w:hAnsi="宋体" w:eastAsia="宋体" w:cs="宋体"/>
          <w:b/>
          <w:color w:val="auto"/>
          <w:sz w:val="24"/>
          <w:szCs w:val="20"/>
          <w:highlight w:val="none"/>
        </w:rPr>
        <w:t>、最终报价</w:t>
      </w:r>
      <w:r>
        <w:rPr>
          <w:rFonts w:hint="eastAsia" w:ascii="宋体" w:hAnsi="宋体" w:eastAsia="宋体" w:cs="宋体"/>
          <w:b/>
          <w:bCs/>
          <w:color w:val="auto"/>
          <w:sz w:val="24"/>
          <w:szCs w:val="20"/>
          <w:highlight w:val="none"/>
        </w:rPr>
        <w:t>（这里指第二次报价）</w:t>
      </w:r>
    </w:p>
    <w:p w14:paraId="6E543921">
      <w:pPr>
        <w:spacing w:line="500" w:lineRule="exact"/>
        <w:ind w:right="120"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磋商结束后，磋商小组应当要求所有实质性响应的</w:t>
      </w:r>
      <w:r>
        <w:rPr>
          <w:rFonts w:hint="eastAsia" w:eastAsia="宋体" w:cs="宋体"/>
          <w:color w:val="auto"/>
          <w:sz w:val="24"/>
          <w:szCs w:val="20"/>
          <w:highlight w:val="none"/>
          <w:lang w:eastAsia="zh-CN"/>
        </w:rPr>
        <w:t>响应人</w:t>
      </w:r>
      <w:r>
        <w:rPr>
          <w:rFonts w:hint="eastAsia" w:ascii="宋体" w:hAnsi="宋体" w:eastAsia="宋体" w:cs="宋体"/>
          <w:color w:val="auto"/>
          <w:sz w:val="24"/>
          <w:szCs w:val="20"/>
          <w:highlight w:val="none"/>
        </w:rPr>
        <w:t>在规定时间内提交最后报价。超过规定时间递交的报价将被视为无效报价。最终报价是</w:t>
      </w:r>
      <w:r>
        <w:rPr>
          <w:rFonts w:hint="eastAsia" w:eastAsia="宋体" w:cs="宋体"/>
          <w:color w:val="auto"/>
          <w:sz w:val="24"/>
          <w:szCs w:val="20"/>
          <w:highlight w:val="none"/>
          <w:lang w:eastAsia="zh-CN"/>
        </w:rPr>
        <w:t>响应人</w:t>
      </w:r>
      <w:r>
        <w:rPr>
          <w:rFonts w:hint="eastAsia" w:ascii="宋体" w:hAnsi="宋体" w:eastAsia="宋体" w:cs="宋体"/>
          <w:color w:val="auto"/>
          <w:sz w:val="24"/>
          <w:szCs w:val="20"/>
          <w:highlight w:val="none"/>
        </w:rPr>
        <w:t>响应文件的有效组成部分。</w:t>
      </w:r>
    </w:p>
    <w:p w14:paraId="753EB2B6">
      <w:pPr>
        <w:spacing w:line="500" w:lineRule="exact"/>
        <w:ind w:right="120"/>
        <w:rPr>
          <w:rFonts w:hint="eastAsia" w:ascii="宋体" w:hAnsi="宋体" w:eastAsia="宋体" w:cs="宋体"/>
          <w:b/>
          <w:bCs/>
          <w:color w:val="auto"/>
          <w:sz w:val="24"/>
          <w:szCs w:val="20"/>
          <w:highlight w:val="none"/>
        </w:rPr>
      </w:pPr>
      <w:bookmarkStart w:id="63" w:name="_Toc513045040"/>
      <w:bookmarkStart w:id="64" w:name="_Toc504125565"/>
      <w:bookmarkStart w:id="65" w:name="_Toc511036362"/>
      <w:bookmarkStart w:id="66" w:name="_Toc515882139"/>
      <w:r>
        <w:rPr>
          <w:rFonts w:hint="eastAsia" w:ascii="宋体" w:hAnsi="宋体" w:eastAsia="宋体" w:cs="宋体"/>
          <w:b/>
          <w:bCs/>
          <w:color w:val="auto"/>
          <w:sz w:val="24"/>
          <w:szCs w:val="20"/>
          <w:highlight w:val="none"/>
          <w:lang w:val="en-US" w:eastAsia="zh-CN"/>
        </w:rPr>
        <w:t>10</w:t>
      </w:r>
      <w:r>
        <w:rPr>
          <w:rFonts w:hint="eastAsia" w:ascii="宋体" w:hAnsi="宋体" w:eastAsia="宋体" w:cs="宋体"/>
          <w:b/>
          <w:bCs/>
          <w:color w:val="auto"/>
          <w:sz w:val="24"/>
          <w:szCs w:val="20"/>
          <w:highlight w:val="none"/>
        </w:rPr>
        <w:t>、政府采购促进中小企业发展扶持政策</w:t>
      </w:r>
      <w:bookmarkEnd w:id="63"/>
      <w:bookmarkEnd w:id="64"/>
      <w:bookmarkEnd w:id="65"/>
      <w:bookmarkEnd w:id="66"/>
    </w:p>
    <w:p w14:paraId="771731CB">
      <w:pPr>
        <w:spacing w:line="500" w:lineRule="exact"/>
        <w:ind w:firstLine="480" w:firstLineChars="200"/>
        <w:rPr>
          <w:rFonts w:hint="eastAsia" w:ascii="宋体" w:hAnsi="宋体" w:eastAsia="宋体" w:cs="宋体"/>
          <w:b w:val="0"/>
          <w:bCs/>
          <w:color w:val="auto"/>
          <w:sz w:val="24"/>
          <w:szCs w:val="20"/>
          <w:highlight w:val="none"/>
        </w:rPr>
      </w:pPr>
      <w:r>
        <w:rPr>
          <w:rFonts w:hint="eastAsia" w:ascii="宋体" w:hAnsi="宋体" w:eastAsia="宋体" w:cs="宋体"/>
          <w:b w:val="0"/>
          <w:bCs/>
          <w:color w:val="auto"/>
          <w:sz w:val="24"/>
          <w:szCs w:val="20"/>
          <w:highlight w:val="none"/>
        </w:rPr>
        <w:t>（1）本项目执行促进中小微型企业发展政策、优先采购节能环保产品等政府采购政策；本项目对小微企业的价格给予 20%的扣除，用扣除后的价格参与报价计算。参加政府采购活动的中小微企业应当提供《中小微企业声明函》；（2）关于监狱企业：视同小微企业。须提供由省级以上监狱管理局、戒毒管理局（含新疆生产建设兵团）出具的属于监狱企业的证明文件；（3）关于残疾人福利性单位：视同小微企业。须提供完整的“残疾人福利性单位声明函”。</w:t>
      </w:r>
    </w:p>
    <w:p w14:paraId="6830797A">
      <w:pPr>
        <w:spacing w:line="500" w:lineRule="exact"/>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六、比较与评价</w:t>
      </w:r>
    </w:p>
    <w:p w14:paraId="72AB33FD">
      <w:pPr>
        <w:tabs>
          <w:tab w:val="left" w:pos="1074"/>
        </w:tabs>
        <w:spacing w:line="500" w:lineRule="exact"/>
        <w:ind w:right="120"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w:t>
      </w:r>
      <w:r>
        <w:rPr>
          <w:rFonts w:hint="eastAsia" w:ascii="宋体" w:hAnsi="宋体" w:eastAsia="宋体" w:cs="宋体"/>
          <w:color w:val="auto"/>
          <w:sz w:val="24"/>
          <w:szCs w:val="20"/>
          <w:highlight w:val="none"/>
          <w:lang w:val="en-US" w:eastAsia="zh-CN"/>
        </w:rPr>
        <w:t>1</w:t>
      </w:r>
      <w:r>
        <w:rPr>
          <w:rFonts w:hint="eastAsia" w:ascii="宋体" w:hAnsi="宋体" w:eastAsia="宋体" w:cs="宋体"/>
          <w:color w:val="auto"/>
          <w:sz w:val="24"/>
          <w:szCs w:val="20"/>
          <w:highlight w:val="none"/>
        </w:rPr>
        <w:t>、经磋商确定最终</w:t>
      </w:r>
      <w:r>
        <w:rPr>
          <w:rFonts w:hint="eastAsia" w:ascii="宋体" w:hAnsi="宋体" w:eastAsia="宋体" w:cs="宋体"/>
          <w:color w:val="auto"/>
          <w:sz w:val="24"/>
          <w:szCs w:val="20"/>
          <w:highlight w:val="none"/>
          <w:lang w:eastAsia="zh-CN"/>
        </w:rPr>
        <w:t>采购内容及技术参数</w:t>
      </w:r>
      <w:r>
        <w:rPr>
          <w:rFonts w:hint="eastAsia" w:ascii="宋体" w:hAnsi="宋体" w:eastAsia="宋体" w:cs="宋体"/>
          <w:color w:val="auto"/>
          <w:sz w:val="24"/>
          <w:szCs w:val="20"/>
          <w:highlight w:val="none"/>
        </w:rPr>
        <w:t>和提交最后报价的</w:t>
      </w:r>
      <w:r>
        <w:rPr>
          <w:rFonts w:hint="eastAsia" w:eastAsia="宋体" w:cs="宋体"/>
          <w:color w:val="auto"/>
          <w:sz w:val="24"/>
          <w:szCs w:val="20"/>
          <w:highlight w:val="none"/>
          <w:lang w:eastAsia="zh-CN"/>
        </w:rPr>
        <w:t>响应人</w:t>
      </w:r>
      <w:r>
        <w:rPr>
          <w:rFonts w:hint="eastAsia" w:ascii="宋体" w:hAnsi="宋体" w:eastAsia="宋体" w:cs="宋体"/>
          <w:color w:val="auto"/>
          <w:sz w:val="24"/>
          <w:szCs w:val="20"/>
          <w:highlight w:val="none"/>
        </w:rPr>
        <w:t>后，由磋商小组采用综合评分法对提交最后报价的</w:t>
      </w:r>
      <w:r>
        <w:rPr>
          <w:rFonts w:hint="eastAsia" w:eastAsia="宋体" w:cs="宋体"/>
          <w:color w:val="auto"/>
          <w:sz w:val="24"/>
          <w:szCs w:val="20"/>
          <w:highlight w:val="none"/>
          <w:lang w:eastAsia="zh-CN"/>
        </w:rPr>
        <w:t>响应人</w:t>
      </w:r>
      <w:r>
        <w:rPr>
          <w:rFonts w:hint="eastAsia" w:ascii="宋体" w:hAnsi="宋体" w:eastAsia="宋体" w:cs="宋体"/>
          <w:color w:val="auto"/>
          <w:sz w:val="24"/>
          <w:szCs w:val="20"/>
          <w:highlight w:val="none"/>
        </w:rPr>
        <w:t>的响应文件和最后报价进行综合评分。综合评分法，是指响应文件满足磋商文件全部实质性要求且按评审因素的量化指标评审得分最高的</w:t>
      </w:r>
      <w:r>
        <w:rPr>
          <w:rFonts w:hint="eastAsia" w:eastAsia="宋体" w:cs="宋体"/>
          <w:color w:val="auto"/>
          <w:sz w:val="24"/>
          <w:szCs w:val="20"/>
          <w:highlight w:val="none"/>
          <w:lang w:eastAsia="zh-CN"/>
        </w:rPr>
        <w:t>响应人</w:t>
      </w:r>
      <w:r>
        <w:rPr>
          <w:rFonts w:hint="eastAsia" w:ascii="宋体" w:hAnsi="宋体" w:eastAsia="宋体" w:cs="宋体"/>
          <w:color w:val="auto"/>
          <w:sz w:val="24"/>
          <w:szCs w:val="20"/>
          <w:highlight w:val="none"/>
        </w:rPr>
        <w:t>为</w:t>
      </w:r>
      <w:r>
        <w:rPr>
          <w:rFonts w:hint="eastAsia" w:ascii="宋体" w:hAnsi="宋体" w:eastAsia="宋体" w:cs="宋体"/>
          <w:color w:val="auto"/>
          <w:sz w:val="24"/>
          <w:szCs w:val="20"/>
          <w:highlight w:val="none"/>
          <w:lang w:eastAsia="zh-CN"/>
        </w:rPr>
        <w:t>成交候选人</w:t>
      </w:r>
      <w:r>
        <w:rPr>
          <w:rFonts w:hint="eastAsia" w:ascii="宋体" w:hAnsi="宋体" w:eastAsia="宋体" w:cs="宋体"/>
          <w:color w:val="auto"/>
          <w:sz w:val="24"/>
          <w:szCs w:val="20"/>
          <w:highlight w:val="none"/>
        </w:rPr>
        <w:t>的评审方法。</w:t>
      </w:r>
    </w:p>
    <w:p w14:paraId="5419989E">
      <w:pPr>
        <w:tabs>
          <w:tab w:val="left" w:pos="1074"/>
        </w:tabs>
        <w:spacing w:line="500" w:lineRule="exact"/>
        <w:ind w:right="120"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12、按磋商文件中规定的详细评审方法和标准，对资格性</w:t>
      </w:r>
      <w:r>
        <w:rPr>
          <w:rFonts w:hint="eastAsia" w:eastAsia="宋体" w:cs="宋体"/>
          <w:color w:val="auto"/>
          <w:sz w:val="24"/>
          <w:szCs w:val="20"/>
          <w:highlight w:val="none"/>
          <w:lang w:eastAsia="zh-CN"/>
        </w:rPr>
        <w:t>、</w:t>
      </w:r>
      <w:r>
        <w:rPr>
          <w:rFonts w:hint="eastAsia" w:ascii="宋体" w:hAnsi="宋体" w:eastAsia="宋体" w:cs="宋体"/>
          <w:color w:val="auto"/>
          <w:sz w:val="24"/>
          <w:szCs w:val="20"/>
          <w:highlight w:val="none"/>
        </w:rPr>
        <w:t>符合性</w:t>
      </w:r>
      <w:r>
        <w:rPr>
          <w:rFonts w:hint="eastAsia" w:eastAsia="宋体" w:cs="宋体"/>
          <w:color w:val="auto"/>
          <w:sz w:val="24"/>
          <w:szCs w:val="20"/>
          <w:highlight w:val="none"/>
          <w:lang w:val="en-US" w:eastAsia="zh-CN"/>
        </w:rPr>
        <w:t>和实质性</w:t>
      </w:r>
      <w:r>
        <w:rPr>
          <w:rFonts w:hint="eastAsia" w:ascii="宋体" w:hAnsi="宋体" w:eastAsia="宋体" w:cs="宋体"/>
          <w:color w:val="auto"/>
          <w:sz w:val="24"/>
          <w:szCs w:val="20"/>
          <w:highlight w:val="none"/>
        </w:rPr>
        <w:t>检查合格的响应文件进行详细评审。</w:t>
      </w:r>
    </w:p>
    <w:p w14:paraId="5DC1F18B">
      <w:pPr>
        <w:tabs>
          <w:tab w:val="left" w:pos="1074"/>
        </w:tabs>
        <w:spacing w:line="500" w:lineRule="exact"/>
        <w:ind w:right="120"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13、磋商小组各成员按规定的量化指标和分值独立对每个有效响应的文件进行打分，然后汇总每个</w:t>
      </w:r>
      <w:r>
        <w:rPr>
          <w:rFonts w:hint="eastAsia" w:eastAsia="宋体" w:cs="宋体"/>
          <w:color w:val="auto"/>
          <w:sz w:val="24"/>
          <w:szCs w:val="20"/>
          <w:highlight w:val="none"/>
          <w:lang w:eastAsia="zh-CN"/>
        </w:rPr>
        <w:t>响应人</w:t>
      </w:r>
      <w:r>
        <w:rPr>
          <w:rFonts w:hint="eastAsia" w:ascii="宋体" w:hAnsi="宋体" w:eastAsia="宋体" w:cs="宋体"/>
          <w:color w:val="auto"/>
          <w:sz w:val="24"/>
          <w:szCs w:val="20"/>
          <w:highlight w:val="none"/>
        </w:rPr>
        <w:t>每项评分因素的得分。</w:t>
      </w:r>
    </w:p>
    <w:p w14:paraId="38E7007C">
      <w:pPr>
        <w:tabs>
          <w:tab w:val="left" w:pos="1074"/>
        </w:tabs>
        <w:spacing w:line="500" w:lineRule="exact"/>
        <w:ind w:right="120"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14、汇总全体磋商小组对各</w:t>
      </w:r>
      <w:r>
        <w:rPr>
          <w:rFonts w:hint="eastAsia" w:eastAsia="宋体" w:cs="宋体"/>
          <w:color w:val="auto"/>
          <w:sz w:val="24"/>
          <w:szCs w:val="20"/>
          <w:highlight w:val="none"/>
          <w:lang w:eastAsia="zh-CN"/>
        </w:rPr>
        <w:t>响应人</w:t>
      </w:r>
      <w:r>
        <w:rPr>
          <w:rFonts w:hint="eastAsia" w:ascii="宋体" w:hAnsi="宋体" w:eastAsia="宋体" w:cs="宋体"/>
          <w:color w:val="auto"/>
          <w:sz w:val="24"/>
          <w:szCs w:val="20"/>
          <w:highlight w:val="none"/>
        </w:rPr>
        <w:t>的打分并计算算术平均值，即</w:t>
      </w:r>
      <w:r>
        <w:rPr>
          <w:rFonts w:hint="eastAsia" w:eastAsia="宋体" w:cs="宋体"/>
          <w:color w:val="auto"/>
          <w:sz w:val="24"/>
          <w:szCs w:val="20"/>
          <w:highlight w:val="none"/>
          <w:lang w:eastAsia="zh-CN"/>
        </w:rPr>
        <w:t>响应人</w:t>
      </w:r>
      <w:r>
        <w:rPr>
          <w:rFonts w:hint="eastAsia" w:ascii="宋体" w:hAnsi="宋体" w:eastAsia="宋体" w:cs="宋体"/>
          <w:color w:val="auto"/>
          <w:sz w:val="24"/>
          <w:szCs w:val="20"/>
          <w:highlight w:val="none"/>
        </w:rPr>
        <w:t>的最终评审得分；</w:t>
      </w:r>
    </w:p>
    <w:p w14:paraId="1C253514">
      <w:pPr>
        <w:tabs>
          <w:tab w:val="left" w:pos="1086"/>
        </w:tabs>
        <w:spacing w:line="500" w:lineRule="exact"/>
        <w:ind w:right="120" w:firstLine="480" w:firstLineChars="200"/>
        <w:rPr>
          <w:rFonts w:hint="eastAsia" w:ascii="宋体" w:hAnsi="宋体" w:eastAsia="宋体" w:cs="宋体"/>
          <w:color w:val="auto"/>
          <w:sz w:val="20"/>
          <w:szCs w:val="20"/>
          <w:highlight w:val="none"/>
        </w:rPr>
      </w:pPr>
      <w:r>
        <w:rPr>
          <w:rFonts w:hint="eastAsia" w:ascii="宋体" w:hAnsi="宋体" w:eastAsia="宋体" w:cs="宋体"/>
          <w:color w:val="auto"/>
          <w:sz w:val="24"/>
          <w:szCs w:val="20"/>
          <w:highlight w:val="none"/>
        </w:rPr>
        <w:t>15、评分分值计算保留小数点后两位，小数点后第三位“四舍五入”。</w:t>
      </w:r>
    </w:p>
    <w:p w14:paraId="7C94AA23">
      <w:pPr>
        <w:spacing w:line="500" w:lineRule="exact"/>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七、 推荐</w:t>
      </w:r>
      <w:r>
        <w:rPr>
          <w:rFonts w:hint="eastAsia" w:ascii="宋体" w:hAnsi="宋体" w:eastAsia="宋体" w:cs="宋体"/>
          <w:b/>
          <w:color w:val="auto"/>
          <w:sz w:val="24"/>
          <w:szCs w:val="20"/>
          <w:highlight w:val="none"/>
          <w:lang w:eastAsia="zh-CN"/>
        </w:rPr>
        <w:t>成交候选人</w:t>
      </w:r>
      <w:r>
        <w:rPr>
          <w:rFonts w:hint="eastAsia" w:ascii="宋体" w:hAnsi="宋体" w:eastAsia="宋体" w:cs="宋体"/>
          <w:b/>
          <w:color w:val="auto"/>
          <w:sz w:val="24"/>
          <w:szCs w:val="20"/>
          <w:highlight w:val="none"/>
        </w:rPr>
        <w:t>名单</w:t>
      </w:r>
    </w:p>
    <w:p w14:paraId="2ECFD95B">
      <w:pPr>
        <w:tabs>
          <w:tab w:val="left" w:pos="1074"/>
        </w:tabs>
        <w:spacing w:line="500" w:lineRule="exact"/>
        <w:ind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16、磋商小组按照综合评审得分由高到低的顺序推荐前3名为</w:t>
      </w:r>
      <w:r>
        <w:rPr>
          <w:rFonts w:hint="eastAsia" w:ascii="宋体" w:hAnsi="宋体" w:eastAsia="宋体" w:cs="宋体"/>
          <w:color w:val="auto"/>
          <w:sz w:val="24"/>
          <w:szCs w:val="20"/>
          <w:highlight w:val="none"/>
          <w:lang w:eastAsia="zh-CN"/>
        </w:rPr>
        <w:t>成交候选人</w:t>
      </w:r>
      <w:r>
        <w:rPr>
          <w:rFonts w:hint="eastAsia" w:ascii="宋体" w:hAnsi="宋体" w:eastAsia="宋体" w:cs="宋体"/>
          <w:color w:val="auto"/>
          <w:sz w:val="24"/>
          <w:szCs w:val="20"/>
          <w:highlight w:val="none"/>
        </w:rPr>
        <w:t>。评审得分相同的，按照最后报价由低到高的顺序推荐，评审得分且最后报价相同的，按照技术标优劣顺序推荐。</w:t>
      </w:r>
    </w:p>
    <w:p w14:paraId="16AEDCDE">
      <w:pPr>
        <w:tabs>
          <w:tab w:val="left" w:pos="1206"/>
        </w:tabs>
        <w:spacing w:line="500" w:lineRule="exact"/>
        <w:ind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17、磋商小组完成评审后，应当向采购人提交书面</w:t>
      </w:r>
      <w:r>
        <w:rPr>
          <w:rFonts w:hint="eastAsia" w:eastAsia="宋体" w:cs="宋体"/>
          <w:color w:val="auto"/>
          <w:sz w:val="24"/>
          <w:szCs w:val="20"/>
          <w:highlight w:val="none"/>
          <w:lang w:eastAsia="zh-CN"/>
        </w:rPr>
        <w:t>评标报告</w:t>
      </w:r>
      <w:r>
        <w:rPr>
          <w:rFonts w:hint="eastAsia" w:ascii="宋体" w:hAnsi="宋体" w:eastAsia="宋体" w:cs="宋体"/>
          <w:color w:val="auto"/>
          <w:sz w:val="24"/>
          <w:szCs w:val="20"/>
          <w:highlight w:val="none"/>
        </w:rPr>
        <w:t>。</w:t>
      </w:r>
    </w:p>
    <w:p w14:paraId="531FC631">
      <w:pPr>
        <w:tabs>
          <w:tab w:val="left" w:pos="1074"/>
        </w:tabs>
        <w:spacing w:line="500" w:lineRule="exact"/>
        <w:ind w:right="120"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18、</w:t>
      </w:r>
      <w:r>
        <w:rPr>
          <w:rFonts w:hint="eastAsia" w:eastAsia="宋体" w:cs="宋体"/>
          <w:color w:val="auto"/>
          <w:sz w:val="24"/>
          <w:szCs w:val="20"/>
          <w:highlight w:val="none"/>
          <w:lang w:eastAsia="zh-CN"/>
        </w:rPr>
        <w:t>评标报告</w:t>
      </w:r>
      <w:r>
        <w:rPr>
          <w:rFonts w:hint="eastAsia" w:ascii="宋体" w:hAnsi="宋体" w:eastAsia="宋体" w:cs="宋体"/>
          <w:color w:val="auto"/>
          <w:sz w:val="24"/>
          <w:szCs w:val="20"/>
          <w:highlight w:val="none"/>
        </w:rPr>
        <w:t>将由磋商小组全体人员签字认可。磋商小组成员对</w:t>
      </w:r>
      <w:r>
        <w:rPr>
          <w:rFonts w:hint="eastAsia" w:eastAsia="宋体" w:cs="宋体"/>
          <w:color w:val="auto"/>
          <w:sz w:val="24"/>
          <w:szCs w:val="20"/>
          <w:highlight w:val="none"/>
          <w:lang w:eastAsia="zh-CN"/>
        </w:rPr>
        <w:t>评标报告</w:t>
      </w:r>
      <w:r>
        <w:rPr>
          <w:rFonts w:hint="eastAsia" w:ascii="宋体" w:hAnsi="宋体" w:eastAsia="宋体" w:cs="宋体"/>
          <w:color w:val="auto"/>
          <w:sz w:val="24"/>
          <w:szCs w:val="20"/>
          <w:highlight w:val="none"/>
        </w:rPr>
        <w:t>有异议的，磋商小组按照少数服从多数的原则推荐</w:t>
      </w:r>
      <w:r>
        <w:rPr>
          <w:rFonts w:hint="eastAsia" w:ascii="宋体" w:hAnsi="宋体" w:eastAsia="宋体" w:cs="宋体"/>
          <w:color w:val="auto"/>
          <w:sz w:val="24"/>
          <w:szCs w:val="20"/>
          <w:highlight w:val="none"/>
          <w:lang w:eastAsia="zh-CN"/>
        </w:rPr>
        <w:t>成交候选人</w:t>
      </w:r>
      <w:r>
        <w:rPr>
          <w:rFonts w:hint="eastAsia" w:ascii="宋体" w:hAnsi="宋体" w:eastAsia="宋体" w:cs="宋体"/>
          <w:color w:val="auto"/>
          <w:sz w:val="24"/>
          <w:szCs w:val="20"/>
          <w:highlight w:val="none"/>
        </w:rPr>
        <w:t>，采购程序继续进行。对</w:t>
      </w:r>
      <w:r>
        <w:rPr>
          <w:rFonts w:hint="eastAsia" w:eastAsia="宋体" w:cs="宋体"/>
          <w:color w:val="auto"/>
          <w:sz w:val="24"/>
          <w:szCs w:val="20"/>
          <w:highlight w:val="none"/>
          <w:lang w:eastAsia="zh-CN"/>
        </w:rPr>
        <w:t>评标报告</w:t>
      </w:r>
      <w:r>
        <w:rPr>
          <w:rFonts w:hint="eastAsia" w:ascii="宋体" w:hAnsi="宋体" w:eastAsia="宋体" w:cs="宋体"/>
          <w:color w:val="auto"/>
          <w:sz w:val="24"/>
          <w:szCs w:val="20"/>
          <w:highlight w:val="none"/>
        </w:rPr>
        <w:t>有异议的磋商小组成员，应当在报告上签署不同意见并说明理由，由磋商小组书面记录相关情况。磋商小组成员拒绝在报告上签字又不书面说明其不同意见和理由的，视为同意</w:t>
      </w:r>
      <w:r>
        <w:rPr>
          <w:rFonts w:hint="eastAsia" w:eastAsia="宋体" w:cs="宋体"/>
          <w:color w:val="auto"/>
          <w:sz w:val="24"/>
          <w:szCs w:val="20"/>
          <w:highlight w:val="none"/>
          <w:lang w:eastAsia="zh-CN"/>
        </w:rPr>
        <w:t>评标报告</w:t>
      </w:r>
      <w:r>
        <w:rPr>
          <w:rFonts w:hint="eastAsia" w:ascii="宋体" w:hAnsi="宋体" w:eastAsia="宋体" w:cs="宋体"/>
          <w:color w:val="auto"/>
          <w:sz w:val="24"/>
          <w:szCs w:val="20"/>
          <w:highlight w:val="none"/>
        </w:rPr>
        <w:t>。</w:t>
      </w:r>
      <w:bookmarkStart w:id="67" w:name="page25"/>
      <w:bookmarkEnd w:id="67"/>
      <w:bookmarkStart w:id="68" w:name="page26"/>
      <w:bookmarkEnd w:id="68"/>
    </w:p>
    <w:tbl>
      <w:tblPr>
        <w:tblStyle w:val="17"/>
        <w:tblpPr w:leftFromText="180" w:rightFromText="180" w:vertAnchor="text" w:horzAnchor="page" w:tblpX="1207" w:tblpY="296"/>
        <w:tblOverlap w:val="never"/>
        <w:tblW w:w="9745" w:type="dxa"/>
        <w:tblInd w:w="0" w:type="dxa"/>
        <w:tblLayout w:type="fixed"/>
        <w:tblCellMar>
          <w:top w:w="0" w:type="dxa"/>
          <w:left w:w="108" w:type="dxa"/>
          <w:bottom w:w="0" w:type="dxa"/>
          <w:right w:w="108" w:type="dxa"/>
        </w:tblCellMar>
      </w:tblPr>
      <w:tblGrid>
        <w:gridCol w:w="895"/>
        <w:gridCol w:w="795"/>
        <w:gridCol w:w="2040"/>
        <w:gridCol w:w="6015"/>
      </w:tblGrid>
      <w:tr w14:paraId="68D09E01">
        <w:tblPrEx>
          <w:tblCellMar>
            <w:top w:w="0" w:type="dxa"/>
            <w:left w:w="108" w:type="dxa"/>
            <w:bottom w:w="0" w:type="dxa"/>
            <w:right w:w="108" w:type="dxa"/>
          </w:tblCellMar>
        </w:tblPrEx>
        <w:trPr>
          <w:trHeight w:val="400"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5B461612">
            <w:pPr>
              <w:spacing w:line="240" w:lineRule="auto"/>
              <w:jc w:val="center"/>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lang w:val="en-US" w:eastAsia="zh-CN"/>
              </w:rPr>
              <w:br w:type="page"/>
            </w:r>
            <w:r>
              <w:rPr>
                <w:rFonts w:hint="eastAsia" w:ascii="宋体" w:hAnsi="宋体" w:eastAsia="宋体" w:cs="宋体"/>
                <w:b/>
                <w:color w:val="auto"/>
                <w:sz w:val="24"/>
                <w:szCs w:val="24"/>
                <w:highlight w:val="none"/>
                <w:lang w:val="en-US" w:eastAsia="zh-CN"/>
              </w:rPr>
              <w:br w:type="page"/>
            </w:r>
            <w:r>
              <w:rPr>
                <w:rFonts w:hint="eastAsia" w:ascii="宋体" w:hAnsi="宋体" w:eastAsia="宋体" w:cs="宋体"/>
                <w:b/>
                <w:color w:val="auto"/>
                <w:sz w:val="24"/>
                <w:szCs w:val="24"/>
                <w:highlight w:val="none"/>
                <w:lang w:val="en-US" w:eastAsia="zh-CN"/>
              </w:rPr>
              <w:t>序号</w:t>
            </w:r>
          </w:p>
        </w:tc>
        <w:tc>
          <w:tcPr>
            <w:tcW w:w="2835" w:type="dxa"/>
            <w:gridSpan w:val="2"/>
            <w:tcBorders>
              <w:top w:val="single" w:color="auto" w:sz="4" w:space="0"/>
              <w:left w:val="nil"/>
              <w:bottom w:val="single" w:color="auto" w:sz="4" w:space="0"/>
              <w:right w:val="single" w:color="auto" w:sz="4" w:space="0"/>
            </w:tcBorders>
            <w:noWrap w:val="0"/>
            <w:vAlign w:val="center"/>
          </w:tcPr>
          <w:p w14:paraId="14F697A4">
            <w:pPr>
              <w:spacing w:line="240" w:lineRule="auto"/>
              <w:jc w:val="center"/>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lang w:eastAsia="zh-CN"/>
              </w:rPr>
              <w:t>评审因素</w:t>
            </w:r>
          </w:p>
        </w:tc>
        <w:tc>
          <w:tcPr>
            <w:tcW w:w="6015" w:type="dxa"/>
            <w:tcBorders>
              <w:top w:val="single" w:color="auto" w:sz="4" w:space="0"/>
              <w:left w:val="nil"/>
              <w:bottom w:val="single" w:color="auto" w:sz="4" w:space="0"/>
              <w:right w:val="single" w:color="auto" w:sz="4" w:space="0"/>
            </w:tcBorders>
            <w:noWrap w:val="0"/>
            <w:vAlign w:val="center"/>
          </w:tcPr>
          <w:p w14:paraId="56E6CD37">
            <w:pPr>
              <w:spacing w:line="240" w:lineRule="auto"/>
              <w:jc w:val="center"/>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lang w:eastAsia="zh-CN"/>
              </w:rPr>
              <w:t>评审标准</w:t>
            </w:r>
          </w:p>
        </w:tc>
      </w:tr>
      <w:tr w14:paraId="02DF9633">
        <w:tblPrEx>
          <w:tblCellMar>
            <w:top w:w="0" w:type="dxa"/>
            <w:left w:w="108" w:type="dxa"/>
            <w:bottom w:w="0" w:type="dxa"/>
            <w:right w:w="108" w:type="dxa"/>
          </w:tblCellMar>
        </w:tblPrEx>
        <w:trPr>
          <w:cantSplit/>
          <w:trHeight w:val="490" w:hRule="atLeast"/>
        </w:trPr>
        <w:tc>
          <w:tcPr>
            <w:tcW w:w="895" w:type="dxa"/>
            <w:vMerge w:val="restart"/>
            <w:tcBorders>
              <w:left w:val="single" w:color="auto" w:sz="4" w:space="0"/>
              <w:right w:val="single" w:color="auto" w:sz="4" w:space="0"/>
            </w:tcBorders>
            <w:noWrap w:val="0"/>
            <w:vAlign w:val="center"/>
          </w:tcPr>
          <w:p w14:paraId="77298DA1">
            <w:pPr>
              <w:spacing w:line="360" w:lineRule="auto"/>
              <w:rPr>
                <w:rFonts w:hint="default" w:eastAsia="宋体"/>
                <w:color w:val="auto"/>
                <w:sz w:val="24"/>
                <w:szCs w:val="24"/>
                <w:highlight w:val="none"/>
                <w:lang w:val="en-US" w:eastAsia="zh-CN"/>
              </w:rPr>
            </w:pPr>
            <w:r>
              <w:rPr>
                <w:rFonts w:hint="eastAsia"/>
                <w:color w:val="auto"/>
                <w:sz w:val="24"/>
                <w:szCs w:val="24"/>
                <w:highlight w:val="none"/>
                <w:lang w:val="en-US" w:eastAsia="zh-CN"/>
              </w:rPr>
              <w:t>2.1.1</w:t>
            </w:r>
          </w:p>
        </w:tc>
        <w:tc>
          <w:tcPr>
            <w:tcW w:w="795" w:type="dxa"/>
            <w:vMerge w:val="restart"/>
            <w:tcBorders>
              <w:left w:val="nil"/>
              <w:right w:val="single" w:color="auto" w:sz="4" w:space="0"/>
            </w:tcBorders>
            <w:noWrap w:val="0"/>
            <w:vAlign w:val="center"/>
          </w:tcPr>
          <w:p w14:paraId="2410B752">
            <w:pPr>
              <w:spacing w:line="360" w:lineRule="auto"/>
              <w:jc w:val="center"/>
              <w:rPr>
                <w:rFonts w:hint="eastAsia" w:eastAsia="宋体"/>
                <w:color w:val="auto"/>
                <w:sz w:val="24"/>
                <w:szCs w:val="24"/>
                <w:highlight w:val="none"/>
                <w:lang w:val="en-US" w:eastAsia="zh-CN"/>
              </w:rPr>
            </w:pPr>
            <w:r>
              <w:rPr>
                <w:rFonts w:hint="eastAsia"/>
                <w:color w:val="auto"/>
                <w:sz w:val="24"/>
                <w:szCs w:val="24"/>
                <w:highlight w:val="none"/>
                <w:lang w:val="en-US" w:eastAsia="zh-CN"/>
              </w:rPr>
              <w:t>资格评审标准</w:t>
            </w:r>
          </w:p>
        </w:tc>
        <w:tc>
          <w:tcPr>
            <w:tcW w:w="2040" w:type="dxa"/>
            <w:tcBorders>
              <w:top w:val="single" w:color="auto" w:sz="4" w:space="0"/>
              <w:left w:val="nil"/>
              <w:bottom w:val="single" w:color="auto" w:sz="4" w:space="0"/>
              <w:right w:val="single" w:color="auto" w:sz="4" w:space="0"/>
            </w:tcBorders>
            <w:noWrap w:val="0"/>
            <w:vAlign w:val="center"/>
          </w:tcPr>
          <w:p w14:paraId="29475DF6">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满足《中华人民共和国政府采购法》第二十二条规定</w:t>
            </w:r>
          </w:p>
        </w:tc>
        <w:tc>
          <w:tcPr>
            <w:tcW w:w="6015" w:type="dxa"/>
            <w:tcBorders>
              <w:top w:val="single" w:color="auto" w:sz="4" w:space="0"/>
              <w:left w:val="nil"/>
              <w:bottom w:val="single" w:color="auto" w:sz="4" w:space="0"/>
              <w:right w:val="single" w:color="auto" w:sz="4" w:space="0"/>
            </w:tcBorders>
            <w:noWrap w:val="0"/>
            <w:vAlign w:val="center"/>
          </w:tcPr>
          <w:p w14:paraId="411B1F61">
            <w:pPr>
              <w:spacing w:line="400" w:lineRule="exact"/>
              <w:rPr>
                <w:rFonts w:hint="eastAsia" w:ascii="宋体" w:hAnsi="宋体" w:eastAsia="宋体" w:cs="宋体"/>
                <w:color w:val="auto"/>
                <w:kern w:val="0"/>
                <w:sz w:val="24"/>
                <w:szCs w:val="24"/>
                <w:highlight w:val="none"/>
              </w:rPr>
            </w:pPr>
            <w:bookmarkStart w:id="69" w:name="OLE_LINK4"/>
            <w:r>
              <w:rPr>
                <w:rFonts w:hint="eastAsia" w:ascii="宋体" w:hAnsi="宋体" w:eastAsia="宋体" w:cs="宋体"/>
                <w:color w:val="auto"/>
                <w:sz w:val="24"/>
                <w:szCs w:val="24"/>
                <w:highlight w:val="none"/>
              </w:rPr>
              <w:t>满足《中华人民共和国政府采购法》第二十二条规定（相关证明资料或承诺书）。</w:t>
            </w:r>
            <w:bookmarkEnd w:id="69"/>
          </w:p>
        </w:tc>
      </w:tr>
      <w:tr w14:paraId="49718132">
        <w:tblPrEx>
          <w:tblCellMar>
            <w:top w:w="0" w:type="dxa"/>
            <w:left w:w="108" w:type="dxa"/>
            <w:bottom w:w="0" w:type="dxa"/>
            <w:right w:w="108" w:type="dxa"/>
          </w:tblCellMar>
        </w:tblPrEx>
        <w:trPr>
          <w:cantSplit/>
          <w:trHeight w:val="490" w:hRule="atLeast"/>
        </w:trPr>
        <w:tc>
          <w:tcPr>
            <w:tcW w:w="895" w:type="dxa"/>
            <w:vMerge w:val="continue"/>
            <w:tcBorders>
              <w:left w:val="single" w:color="auto" w:sz="4" w:space="0"/>
              <w:right w:val="single" w:color="auto" w:sz="4" w:space="0"/>
            </w:tcBorders>
            <w:noWrap w:val="0"/>
            <w:vAlign w:val="center"/>
          </w:tcPr>
          <w:p w14:paraId="2E03F5F1">
            <w:pPr>
              <w:spacing w:line="360" w:lineRule="auto"/>
              <w:rPr>
                <w:rFonts w:hint="eastAsia"/>
                <w:color w:val="auto"/>
                <w:sz w:val="24"/>
                <w:szCs w:val="24"/>
                <w:highlight w:val="none"/>
              </w:rPr>
            </w:pPr>
          </w:p>
        </w:tc>
        <w:tc>
          <w:tcPr>
            <w:tcW w:w="795" w:type="dxa"/>
            <w:vMerge w:val="continue"/>
            <w:tcBorders>
              <w:left w:val="nil"/>
              <w:right w:val="single" w:color="auto" w:sz="4" w:space="0"/>
            </w:tcBorders>
            <w:noWrap w:val="0"/>
            <w:vAlign w:val="center"/>
          </w:tcPr>
          <w:p w14:paraId="053F198E">
            <w:pPr>
              <w:spacing w:line="360" w:lineRule="auto"/>
              <w:jc w:val="center"/>
              <w:rPr>
                <w:rFonts w:hint="eastAsia"/>
                <w:color w:val="auto"/>
                <w:sz w:val="24"/>
                <w:szCs w:val="24"/>
                <w:highlight w:val="none"/>
              </w:rPr>
            </w:pPr>
          </w:p>
        </w:tc>
        <w:tc>
          <w:tcPr>
            <w:tcW w:w="2040" w:type="dxa"/>
            <w:tcBorders>
              <w:top w:val="single" w:color="auto" w:sz="4" w:space="0"/>
              <w:left w:val="nil"/>
              <w:bottom w:val="single" w:color="auto" w:sz="4" w:space="0"/>
              <w:right w:val="single" w:color="auto" w:sz="4" w:space="0"/>
            </w:tcBorders>
            <w:noWrap w:val="0"/>
            <w:vAlign w:val="center"/>
          </w:tcPr>
          <w:p w14:paraId="71455220">
            <w:pPr>
              <w:pStyle w:val="21"/>
              <w:pageBreakBefore w:val="0"/>
              <w:widowControl/>
              <w:wordWrap/>
              <w:overflowPunct/>
              <w:bidi w:val="0"/>
              <w:spacing w:line="360" w:lineRule="auto"/>
              <w:jc w:val="center"/>
              <w:rPr>
                <w:rFonts w:hint="default" w:eastAsia="宋体"/>
                <w:color w:val="auto"/>
                <w:sz w:val="24"/>
                <w:szCs w:val="24"/>
                <w:highlight w:val="none"/>
                <w:lang w:val="en-US" w:eastAsia="zh-CN"/>
              </w:rPr>
            </w:pPr>
            <w:r>
              <w:rPr>
                <w:rFonts w:hint="eastAsia" w:hAnsi="宋体" w:cs="宋体"/>
                <w:color w:val="auto"/>
                <w:sz w:val="24"/>
                <w:szCs w:val="24"/>
                <w:highlight w:val="none"/>
                <w:lang w:val="en-US" w:eastAsia="zh-CN"/>
              </w:rPr>
              <w:t>营业执照</w:t>
            </w:r>
          </w:p>
        </w:tc>
        <w:tc>
          <w:tcPr>
            <w:tcW w:w="6015" w:type="dxa"/>
            <w:tcBorders>
              <w:top w:val="single" w:color="auto" w:sz="4" w:space="0"/>
              <w:left w:val="nil"/>
              <w:bottom w:val="single" w:color="auto" w:sz="4" w:space="0"/>
              <w:right w:val="single" w:color="auto" w:sz="4" w:space="0"/>
            </w:tcBorders>
            <w:noWrap w:val="0"/>
            <w:vAlign w:val="center"/>
          </w:tcPr>
          <w:p w14:paraId="3755376E">
            <w:pPr>
              <w:adjustRightInd w:val="0"/>
              <w:spacing w:line="360" w:lineRule="auto"/>
              <w:jc w:val="both"/>
              <w:rPr>
                <w:rFonts w:hint="eastAsia" w:eastAsia="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响应人须具有有效的法人或者其他组织的营业执照等证明文件或自然人的身份证明，提供具有履行合同所必需的设备和专业技术能力（自行承诺，格式自拟）</w:t>
            </w:r>
          </w:p>
        </w:tc>
      </w:tr>
      <w:tr w14:paraId="170048D1">
        <w:tblPrEx>
          <w:tblCellMar>
            <w:top w:w="0" w:type="dxa"/>
            <w:left w:w="108" w:type="dxa"/>
            <w:bottom w:w="0" w:type="dxa"/>
            <w:right w:w="108" w:type="dxa"/>
          </w:tblCellMar>
        </w:tblPrEx>
        <w:trPr>
          <w:cantSplit/>
          <w:trHeight w:val="506" w:hRule="atLeast"/>
        </w:trPr>
        <w:tc>
          <w:tcPr>
            <w:tcW w:w="895" w:type="dxa"/>
            <w:vMerge w:val="continue"/>
            <w:tcBorders>
              <w:left w:val="single" w:color="auto" w:sz="4" w:space="0"/>
              <w:right w:val="single" w:color="auto" w:sz="4" w:space="0"/>
            </w:tcBorders>
            <w:noWrap w:val="0"/>
            <w:vAlign w:val="center"/>
          </w:tcPr>
          <w:p w14:paraId="416E6F5C">
            <w:pPr>
              <w:spacing w:line="360" w:lineRule="auto"/>
              <w:rPr>
                <w:rFonts w:hint="eastAsia"/>
                <w:color w:val="auto"/>
                <w:sz w:val="24"/>
                <w:szCs w:val="24"/>
                <w:highlight w:val="none"/>
              </w:rPr>
            </w:pPr>
          </w:p>
        </w:tc>
        <w:tc>
          <w:tcPr>
            <w:tcW w:w="795" w:type="dxa"/>
            <w:vMerge w:val="continue"/>
            <w:tcBorders>
              <w:left w:val="nil"/>
              <w:right w:val="single" w:color="auto" w:sz="4" w:space="0"/>
            </w:tcBorders>
            <w:noWrap w:val="0"/>
            <w:vAlign w:val="center"/>
          </w:tcPr>
          <w:p w14:paraId="2BA0AE08">
            <w:pPr>
              <w:spacing w:line="360" w:lineRule="auto"/>
              <w:jc w:val="center"/>
              <w:rPr>
                <w:rFonts w:hint="eastAsia"/>
                <w:color w:val="auto"/>
                <w:sz w:val="24"/>
                <w:szCs w:val="24"/>
                <w:highlight w:val="none"/>
              </w:rPr>
            </w:pPr>
          </w:p>
        </w:tc>
        <w:tc>
          <w:tcPr>
            <w:tcW w:w="2040" w:type="dxa"/>
            <w:tcBorders>
              <w:top w:val="single" w:color="auto" w:sz="4" w:space="0"/>
              <w:left w:val="nil"/>
              <w:bottom w:val="single" w:color="auto" w:sz="4" w:space="0"/>
              <w:right w:val="single" w:color="auto" w:sz="4" w:space="0"/>
            </w:tcBorders>
            <w:noWrap w:val="0"/>
            <w:vAlign w:val="center"/>
          </w:tcPr>
          <w:p w14:paraId="26AA68AE">
            <w:pPr>
              <w:spacing w:line="400" w:lineRule="exact"/>
              <w:jc w:val="center"/>
              <w:rPr>
                <w:rFonts w:hint="eastAsia"/>
                <w:color w:val="auto"/>
                <w:sz w:val="24"/>
                <w:szCs w:val="24"/>
                <w:highlight w:val="none"/>
              </w:rPr>
            </w:pPr>
            <w:r>
              <w:rPr>
                <w:rFonts w:hint="eastAsia" w:ascii="宋体" w:hAnsi="宋体" w:eastAsia="宋体" w:cs="宋体"/>
                <w:color w:val="auto"/>
                <w:sz w:val="24"/>
                <w:szCs w:val="24"/>
                <w:highlight w:val="none"/>
              </w:rPr>
              <w:t>无商业贿赂及不正当行为</w:t>
            </w:r>
          </w:p>
        </w:tc>
        <w:tc>
          <w:tcPr>
            <w:tcW w:w="6015" w:type="dxa"/>
            <w:tcBorders>
              <w:top w:val="single" w:color="auto" w:sz="4" w:space="0"/>
              <w:left w:val="nil"/>
              <w:bottom w:val="single" w:color="auto" w:sz="4" w:space="0"/>
              <w:right w:val="single" w:color="auto" w:sz="4" w:space="0"/>
            </w:tcBorders>
            <w:noWrap w:val="0"/>
            <w:vAlign w:val="center"/>
          </w:tcPr>
          <w:p w14:paraId="7BA9C6D7">
            <w:pPr>
              <w:spacing w:line="360" w:lineRule="auto"/>
              <w:rPr>
                <w:rFonts w:hint="eastAsia"/>
                <w:color w:val="auto"/>
                <w:sz w:val="24"/>
                <w:szCs w:val="24"/>
                <w:highlight w:val="none"/>
              </w:rPr>
            </w:pPr>
            <w:r>
              <w:rPr>
                <w:rFonts w:hint="eastAsia"/>
                <w:color w:val="auto"/>
                <w:sz w:val="24"/>
                <w:szCs w:val="24"/>
                <w:highlight w:val="none"/>
              </w:rPr>
              <w:t>响应人须提供本企业无商业贿赂及不正当行为承诺书。</w:t>
            </w:r>
          </w:p>
        </w:tc>
      </w:tr>
      <w:tr w14:paraId="4C96B83C">
        <w:tblPrEx>
          <w:tblCellMar>
            <w:top w:w="0" w:type="dxa"/>
            <w:left w:w="108" w:type="dxa"/>
            <w:bottom w:w="0" w:type="dxa"/>
            <w:right w:w="108" w:type="dxa"/>
          </w:tblCellMar>
        </w:tblPrEx>
        <w:trPr>
          <w:cantSplit/>
          <w:trHeight w:val="3213" w:hRule="atLeast"/>
        </w:trPr>
        <w:tc>
          <w:tcPr>
            <w:tcW w:w="895" w:type="dxa"/>
            <w:vMerge w:val="continue"/>
            <w:tcBorders>
              <w:left w:val="single" w:color="auto" w:sz="4" w:space="0"/>
              <w:right w:val="single" w:color="auto" w:sz="4" w:space="0"/>
            </w:tcBorders>
            <w:noWrap w:val="0"/>
            <w:vAlign w:val="center"/>
          </w:tcPr>
          <w:p w14:paraId="51FBB6F4">
            <w:pPr>
              <w:spacing w:line="360" w:lineRule="auto"/>
              <w:rPr>
                <w:rFonts w:hint="eastAsia"/>
                <w:color w:val="auto"/>
                <w:sz w:val="24"/>
                <w:szCs w:val="24"/>
                <w:highlight w:val="none"/>
              </w:rPr>
            </w:pPr>
          </w:p>
        </w:tc>
        <w:tc>
          <w:tcPr>
            <w:tcW w:w="795" w:type="dxa"/>
            <w:vMerge w:val="continue"/>
            <w:tcBorders>
              <w:left w:val="nil"/>
              <w:right w:val="single" w:color="auto" w:sz="4" w:space="0"/>
            </w:tcBorders>
            <w:noWrap w:val="0"/>
            <w:vAlign w:val="center"/>
          </w:tcPr>
          <w:p w14:paraId="74CDA058">
            <w:pPr>
              <w:spacing w:line="360" w:lineRule="auto"/>
              <w:jc w:val="center"/>
              <w:rPr>
                <w:rFonts w:hint="eastAsia"/>
                <w:color w:val="auto"/>
                <w:sz w:val="24"/>
                <w:szCs w:val="24"/>
                <w:highlight w:val="none"/>
              </w:rPr>
            </w:pPr>
          </w:p>
        </w:tc>
        <w:tc>
          <w:tcPr>
            <w:tcW w:w="2040" w:type="dxa"/>
            <w:tcBorders>
              <w:top w:val="single" w:color="auto" w:sz="4" w:space="0"/>
              <w:left w:val="nil"/>
              <w:bottom w:val="single" w:color="auto" w:sz="4" w:space="0"/>
              <w:right w:val="single" w:color="auto" w:sz="4" w:space="0"/>
            </w:tcBorders>
            <w:noWrap w:val="0"/>
            <w:vAlign w:val="center"/>
          </w:tcPr>
          <w:p w14:paraId="006B6BD4">
            <w:pPr>
              <w:adjustRightInd w:val="0"/>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信用查询</w:t>
            </w:r>
          </w:p>
        </w:tc>
        <w:tc>
          <w:tcPr>
            <w:tcW w:w="6015" w:type="dxa"/>
            <w:tcBorders>
              <w:top w:val="single" w:color="auto" w:sz="4" w:space="0"/>
              <w:left w:val="nil"/>
              <w:bottom w:val="single" w:color="auto" w:sz="4" w:space="0"/>
              <w:right w:val="single" w:color="auto" w:sz="4" w:space="0"/>
            </w:tcBorders>
            <w:noWrap w:val="0"/>
            <w:vAlign w:val="center"/>
          </w:tcPr>
          <w:p w14:paraId="2DE02089">
            <w:pPr>
              <w:keepNext w:val="0"/>
              <w:keepLines w:val="0"/>
              <w:pageBreakBefore w:val="0"/>
              <w:widowControl w:val="0"/>
              <w:kinsoku/>
              <w:wordWrap/>
              <w:overflowPunct/>
              <w:topLinePunct w:val="0"/>
              <w:autoSpaceDE w:val="0"/>
              <w:autoSpaceDN w:val="0"/>
              <w:bidi w:val="0"/>
              <w:adjustRightInd/>
              <w:snapToGrid w:val="0"/>
              <w:spacing w:line="360" w:lineRule="auto"/>
              <w:textAlignment w:val="auto"/>
              <w:rPr>
                <w:rFonts w:hint="eastAsia" w:eastAsia="宋体"/>
                <w:color w:val="auto"/>
                <w:sz w:val="24"/>
                <w:szCs w:val="24"/>
                <w:highlight w:val="none"/>
                <w:lang w:eastAsia="zh-CN"/>
              </w:rPr>
            </w:pPr>
            <w:r>
              <w:rPr>
                <w:rFonts w:hint="eastAsia" w:eastAsia="宋体"/>
                <w:color w:val="auto"/>
                <w:sz w:val="24"/>
                <w:szCs w:val="24"/>
                <w:highlight w:val="none"/>
                <w:lang w:eastAsia="zh-CN"/>
              </w:rPr>
              <w:t>根据《关于在政府采购活动中查询及使用信用记录有关问题的通知》(财库[2016]125号)和豫财购【2016】15号的规定，对列入失信被执行人和重大税收违法失信主体、政府采购严重违法失信行为记录名单的响应人，拒绝其参与本招标项目；（（①通过“信用中国”网站（http://www.creditchina.gov.cn/）“信用服务”-“失信被执行人”会跳转至“中国执行信息公开网”网站（http://zxgk.court.gov.cn/shixin/）查询企业（省份默认全部）②通过“信用中国”网站（http://www.creditchina.gov.cn/）“信用服务”-“重大税收违法失信主体”查询企业③通过“中国政府采购”网（www.ccgp.gov.cn）-“政府采购严重违法失信行为记录名单”查询企业），提供网站的查询结果截图</w:t>
            </w:r>
            <w:r>
              <w:rPr>
                <w:rFonts w:hint="eastAsia"/>
                <w:color w:val="auto"/>
                <w:sz w:val="24"/>
                <w:szCs w:val="24"/>
                <w:highlight w:val="none"/>
                <w:lang w:eastAsia="zh-CN"/>
              </w:rPr>
              <w:t>，查询时间自公告发出之日起至</w:t>
            </w:r>
            <w:r>
              <w:rPr>
                <w:rFonts w:hint="eastAsia" w:ascii="宋体" w:hAnsi="宋体" w:eastAsia="宋体" w:cs="宋体"/>
                <w:color w:val="auto"/>
                <w:sz w:val="24"/>
                <w:szCs w:val="24"/>
                <w:highlight w:val="none"/>
                <w:lang w:val="en-US" w:eastAsia="zh-CN"/>
              </w:rPr>
              <w:t>投标截止时间止</w:t>
            </w:r>
            <w:r>
              <w:rPr>
                <w:rFonts w:hint="eastAsia" w:eastAsia="宋体"/>
                <w:color w:val="auto"/>
                <w:sz w:val="24"/>
                <w:szCs w:val="24"/>
                <w:highlight w:val="none"/>
                <w:lang w:eastAsia="zh-CN"/>
              </w:rPr>
              <w:t>。</w:t>
            </w:r>
          </w:p>
        </w:tc>
      </w:tr>
      <w:tr w14:paraId="2840992A">
        <w:tblPrEx>
          <w:tblCellMar>
            <w:top w:w="0" w:type="dxa"/>
            <w:left w:w="108" w:type="dxa"/>
            <w:bottom w:w="0" w:type="dxa"/>
            <w:right w:w="108" w:type="dxa"/>
          </w:tblCellMar>
        </w:tblPrEx>
        <w:trPr>
          <w:cantSplit/>
          <w:trHeight w:val="1123" w:hRule="atLeast"/>
        </w:trPr>
        <w:tc>
          <w:tcPr>
            <w:tcW w:w="895" w:type="dxa"/>
            <w:vMerge w:val="continue"/>
            <w:tcBorders>
              <w:left w:val="single" w:color="auto" w:sz="4" w:space="0"/>
              <w:right w:val="single" w:color="auto" w:sz="4" w:space="0"/>
            </w:tcBorders>
            <w:noWrap w:val="0"/>
            <w:vAlign w:val="center"/>
          </w:tcPr>
          <w:p w14:paraId="7B081443">
            <w:pPr>
              <w:spacing w:line="360" w:lineRule="auto"/>
              <w:rPr>
                <w:rFonts w:hint="eastAsia"/>
                <w:color w:val="auto"/>
                <w:sz w:val="24"/>
                <w:szCs w:val="24"/>
                <w:highlight w:val="none"/>
              </w:rPr>
            </w:pPr>
          </w:p>
        </w:tc>
        <w:tc>
          <w:tcPr>
            <w:tcW w:w="795" w:type="dxa"/>
            <w:vMerge w:val="continue"/>
            <w:tcBorders>
              <w:left w:val="nil"/>
              <w:right w:val="single" w:color="auto" w:sz="4" w:space="0"/>
            </w:tcBorders>
            <w:noWrap w:val="0"/>
            <w:vAlign w:val="center"/>
          </w:tcPr>
          <w:p w14:paraId="118AD01B">
            <w:pPr>
              <w:spacing w:line="360" w:lineRule="auto"/>
              <w:jc w:val="center"/>
              <w:rPr>
                <w:rFonts w:hint="eastAsia"/>
                <w:color w:val="auto"/>
                <w:sz w:val="24"/>
                <w:szCs w:val="24"/>
                <w:highlight w:val="none"/>
              </w:rPr>
            </w:pPr>
          </w:p>
        </w:tc>
        <w:tc>
          <w:tcPr>
            <w:tcW w:w="2040" w:type="dxa"/>
            <w:tcBorders>
              <w:top w:val="single" w:color="auto" w:sz="4" w:space="0"/>
              <w:left w:val="nil"/>
              <w:bottom w:val="single" w:color="auto" w:sz="4" w:space="0"/>
              <w:right w:val="single" w:color="auto" w:sz="4" w:space="0"/>
            </w:tcBorders>
            <w:noWrap w:val="0"/>
            <w:vAlign w:val="center"/>
          </w:tcPr>
          <w:p w14:paraId="6F69F9DB">
            <w:pPr>
              <w:adjustRightInd w:val="0"/>
              <w:spacing w:line="360" w:lineRule="auto"/>
              <w:jc w:val="center"/>
              <w:rPr>
                <w:rFonts w:hint="default"/>
                <w:color w:val="auto"/>
                <w:sz w:val="24"/>
                <w:szCs w:val="24"/>
                <w:highlight w:val="none"/>
                <w:lang w:val="en-US" w:eastAsia="zh-CN"/>
              </w:rPr>
            </w:pPr>
            <w:r>
              <w:rPr>
                <w:rFonts w:hint="eastAsia"/>
                <w:color w:val="auto"/>
                <w:sz w:val="24"/>
                <w:szCs w:val="24"/>
                <w:highlight w:val="none"/>
                <w:lang w:val="en-US" w:eastAsia="zh-CN"/>
              </w:rPr>
              <w:t>单位负责人</w:t>
            </w:r>
          </w:p>
        </w:tc>
        <w:tc>
          <w:tcPr>
            <w:tcW w:w="6015" w:type="dxa"/>
            <w:tcBorders>
              <w:top w:val="single" w:color="auto" w:sz="4" w:space="0"/>
              <w:left w:val="nil"/>
              <w:bottom w:val="single" w:color="auto" w:sz="4" w:space="0"/>
              <w:right w:val="single" w:color="auto" w:sz="4" w:space="0"/>
            </w:tcBorders>
            <w:noWrap w:val="0"/>
            <w:vAlign w:val="center"/>
          </w:tcPr>
          <w:p w14:paraId="1726F3B2">
            <w:pPr>
              <w:adjustRightIn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单位负责人为同一人或者存在直接控股、管理关系的不同供应商，不得参加同一合同项下的采购活动；（提供“国家企业信用信息公示系统”中查询打印的相关信息并加盖公章或响应人自行出具的承诺书，查询信息需包含公司基本信息、股东信息及股权变更信息等相关信息，查询时间自公告发布之日起至投标截止时间止）。</w:t>
            </w:r>
          </w:p>
        </w:tc>
      </w:tr>
      <w:tr w14:paraId="7ED15B74">
        <w:tblPrEx>
          <w:tblCellMar>
            <w:top w:w="0" w:type="dxa"/>
            <w:left w:w="108" w:type="dxa"/>
            <w:bottom w:w="0" w:type="dxa"/>
            <w:right w:w="108" w:type="dxa"/>
          </w:tblCellMar>
        </w:tblPrEx>
        <w:trPr>
          <w:cantSplit/>
          <w:trHeight w:val="629" w:hRule="atLeast"/>
        </w:trPr>
        <w:tc>
          <w:tcPr>
            <w:tcW w:w="895" w:type="dxa"/>
            <w:vMerge w:val="continue"/>
            <w:tcBorders>
              <w:left w:val="single" w:color="auto" w:sz="4" w:space="0"/>
              <w:right w:val="single" w:color="auto" w:sz="4" w:space="0"/>
            </w:tcBorders>
            <w:noWrap w:val="0"/>
            <w:vAlign w:val="center"/>
          </w:tcPr>
          <w:p w14:paraId="1861AED4">
            <w:pPr>
              <w:spacing w:line="360" w:lineRule="auto"/>
              <w:rPr>
                <w:rFonts w:hint="eastAsia"/>
                <w:color w:val="auto"/>
                <w:sz w:val="24"/>
                <w:szCs w:val="24"/>
                <w:highlight w:val="none"/>
              </w:rPr>
            </w:pPr>
          </w:p>
        </w:tc>
        <w:tc>
          <w:tcPr>
            <w:tcW w:w="795" w:type="dxa"/>
            <w:vMerge w:val="continue"/>
            <w:tcBorders>
              <w:left w:val="nil"/>
              <w:right w:val="single" w:color="auto" w:sz="4" w:space="0"/>
            </w:tcBorders>
            <w:noWrap w:val="0"/>
            <w:vAlign w:val="center"/>
          </w:tcPr>
          <w:p w14:paraId="13876D07">
            <w:pPr>
              <w:spacing w:line="360" w:lineRule="auto"/>
              <w:jc w:val="center"/>
              <w:rPr>
                <w:rFonts w:hint="eastAsia"/>
                <w:color w:val="auto"/>
                <w:sz w:val="24"/>
                <w:szCs w:val="24"/>
                <w:highlight w:val="none"/>
              </w:rPr>
            </w:pPr>
          </w:p>
        </w:tc>
        <w:tc>
          <w:tcPr>
            <w:tcW w:w="2040" w:type="dxa"/>
            <w:tcBorders>
              <w:top w:val="single" w:color="auto" w:sz="4" w:space="0"/>
              <w:left w:val="nil"/>
              <w:bottom w:val="single" w:color="auto" w:sz="4" w:space="0"/>
              <w:right w:val="single" w:color="auto" w:sz="4" w:space="0"/>
            </w:tcBorders>
            <w:noWrap w:val="0"/>
            <w:vAlign w:val="center"/>
          </w:tcPr>
          <w:p w14:paraId="4C852A96">
            <w:pPr>
              <w:adjustRightInd w:val="0"/>
              <w:spacing w:line="360" w:lineRule="auto"/>
              <w:jc w:val="center"/>
              <w:rPr>
                <w:rFonts w:hint="default" w:eastAsia="宋体"/>
                <w:color w:val="auto"/>
                <w:sz w:val="24"/>
                <w:szCs w:val="24"/>
                <w:highlight w:val="none"/>
                <w:lang w:val="en-US" w:eastAsia="zh-CN"/>
              </w:rPr>
            </w:pPr>
            <w:bookmarkStart w:id="70" w:name="OLE_LINK33"/>
            <w:r>
              <w:rPr>
                <w:rFonts w:hint="eastAsia"/>
                <w:color w:val="auto"/>
                <w:sz w:val="24"/>
                <w:szCs w:val="24"/>
                <w:highlight w:val="none"/>
                <w:lang w:val="en-US" w:eastAsia="zh-CN"/>
              </w:rPr>
              <w:t>非联合体承诺书</w:t>
            </w:r>
            <w:bookmarkEnd w:id="70"/>
          </w:p>
        </w:tc>
        <w:tc>
          <w:tcPr>
            <w:tcW w:w="6015" w:type="dxa"/>
            <w:tcBorders>
              <w:top w:val="single" w:color="auto" w:sz="4" w:space="0"/>
              <w:left w:val="nil"/>
              <w:bottom w:val="single" w:color="auto" w:sz="4" w:space="0"/>
              <w:right w:val="single" w:color="auto" w:sz="4" w:space="0"/>
            </w:tcBorders>
            <w:noWrap w:val="0"/>
            <w:vAlign w:val="center"/>
          </w:tcPr>
          <w:p w14:paraId="4CEF1FF2">
            <w:pPr>
              <w:adjustRightInd w:val="0"/>
              <w:spacing w:line="360" w:lineRule="auto"/>
              <w:jc w:val="both"/>
              <w:rPr>
                <w:rFonts w:hint="default" w:eastAsia="宋体"/>
                <w:color w:val="auto"/>
                <w:kern w:val="2"/>
                <w:sz w:val="24"/>
                <w:szCs w:val="24"/>
                <w:highlight w:val="none"/>
                <w:lang w:val="en-US" w:eastAsia="zh-CN"/>
              </w:rPr>
            </w:pPr>
            <w:bookmarkStart w:id="71" w:name="OLE_LINK34"/>
            <w:r>
              <w:rPr>
                <w:rFonts w:hint="eastAsia"/>
                <w:color w:val="auto"/>
                <w:sz w:val="24"/>
                <w:szCs w:val="24"/>
                <w:highlight w:val="none"/>
              </w:rPr>
              <w:t>本项目不接受联合体磋商</w:t>
            </w:r>
            <w:bookmarkEnd w:id="71"/>
            <w:r>
              <w:rPr>
                <w:rFonts w:hint="eastAsia"/>
                <w:color w:val="auto"/>
                <w:sz w:val="24"/>
                <w:szCs w:val="24"/>
                <w:highlight w:val="none"/>
                <w:lang w:eastAsia="zh-CN"/>
              </w:rPr>
              <w:t>，</w:t>
            </w:r>
            <w:r>
              <w:rPr>
                <w:rFonts w:hint="eastAsia"/>
                <w:color w:val="auto"/>
                <w:sz w:val="24"/>
                <w:szCs w:val="24"/>
                <w:highlight w:val="none"/>
                <w:lang w:val="en-US" w:eastAsia="zh-CN"/>
              </w:rPr>
              <w:t>不允许转包、分包，提供承诺书，格式自拟。</w:t>
            </w:r>
          </w:p>
        </w:tc>
      </w:tr>
      <w:tr w14:paraId="1CCA86E6">
        <w:tblPrEx>
          <w:tblCellMar>
            <w:top w:w="0" w:type="dxa"/>
            <w:left w:w="108" w:type="dxa"/>
            <w:bottom w:w="0" w:type="dxa"/>
            <w:right w:w="108" w:type="dxa"/>
          </w:tblCellMar>
        </w:tblPrEx>
        <w:trPr>
          <w:cantSplit/>
          <w:trHeight w:val="508" w:hRule="atLeast"/>
        </w:trPr>
        <w:tc>
          <w:tcPr>
            <w:tcW w:w="895" w:type="dxa"/>
            <w:vMerge w:val="restart"/>
            <w:tcBorders>
              <w:top w:val="single" w:color="auto" w:sz="4" w:space="0"/>
              <w:left w:val="single" w:color="auto" w:sz="4" w:space="0"/>
              <w:right w:val="single" w:color="auto" w:sz="4" w:space="0"/>
            </w:tcBorders>
            <w:noWrap w:val="0"/>
            <w:vAlign w:val="center"/>
          </w:tcPr>
          <w:p w14:paraId="2CC32470">
            <w:pPr>
              <w:pStyle w:val="21"/>
              <w:widowControl/>
              <w:spacing w:line="360" w:lineRule="auto"/>
              <w:jc w:val="center"/>
              <w:rPr>
                <w:rFonts w:hint="eastAsia" w:hAnsi="宋体" w:cs="宋体"/>
                <w:color w:val="auto"/>
                <w:sz w:val="24"/>
                <w:szCs w:val="20"/>
                <w:highlight w:val="none"/>
              </w:rPr>
            </w:pPr>
            <w:r>
              <w:rPr>
                <w:rFonts w:hint="eastAsia" w:hAnsi="宋体" w:cs="宋体"/>
                <w:color w:val="auto"/>
                <w:sz w:val="24"/>
                <w:szCs w:val="20"/>
                <w:highlight w:val="none"/>
              </w:rPr>
              <w:t>2.1.2</w:t>
            </w:r>
          </w:p>
        </w:tc>
        <w:tc>
          <w:tcPr>
            <w:tcW w:w="795" w:type="dxa"/>
            <w:vMerge w:val="restart"/>
            <w:tcBorders>
              <w:top w:val="single" w:color="auto" w:sz="4" w:space="0"/>
              <w:left w:val="nil"/>
              <w:bottom w:val="single" w:color="auto" w:sz="4" w:space="0"/>
              <w:right w:val="single" w:color="auto" w:sz="4" w:space="0"/>
            </w:tcBorders>
            <w:noWrap w:val="0"/>
            <w:vAlign w:val="center"/>
          </w:tcPr>
          <w:p w14:paraId="4541312A">
            <w:pPr>
              <w:pStyle w:val="21"/>
              <w:widowControl/>
              <w:spacing w:line="360" w:lineRule="auto"/>
              <w:jc w:val="center"/>
              <w:rPr>
                <w:rFonts w:hint="eastAsia" w:hAnsi="宋体" w:cs="宋体"/>
                <w:color w:val="auto"/>
                <w:sz w:val="24"/>
                <w:szCs w:val="20"/>
                <w:highlight w:val="none"/>
              </w:rPr>
            </w:pPr>
            <w:r>
              <w:rPr>
                <w:rFonts w:hint="eastAsia" w:hAnsi="宋体" w:cs="宋体"/>
                <w:color w:val="auto"/>
                <w:sz w:val="24"/>
                <w:szCs w:val="20"/>
                <w:highlight w:val="none"/>
              </w:rPr>
              <w:t>符合</w:t>
            </w:r>
          </w:p>
          <w:p w14:paraId="13776584">
            <w:pPr>
              <w:pStyle w:val="21"/>
              <w:widowControl/>
              <w:spacing w:line="360" w:lineRule="auto"/>
              <w:jc w:val="center"/>
              <w:rPr>
                <w:rFonts w:hint="eastAsia" w:hAnsi="宋体" w:cs="宋体"/>
                <w:color w:val="auto"/>
                <w:sz w:val="24"/>
                <w:szCs w:val="20"/>
                <w:highlight w:val="none"/>
              </w:rPr>
            </w:pPr>
            <w:r>
              <w:rPr>
                <w:rFonts w:hint="eastAsia" w:hAnsi="宋体" w:cs="宋体"/>
                <w:color w:val="auto"/>
                <w:sz w:val="24"/>
                <w:szCs w:val="20"/>
                <w:highlight w:val="none"/>
              </w:rPr>
              <w:t>评审</w:t>
            </w:r>
          </w:p>
          <w:p w14:paraId="54B179E6">
            <w:pPr>
              <w:pStyle w:val="21"/>
              <w:widowControl/>
              <w:spacing w:line="360" w:lineRule="auto"/>
              <w:jc w:val="center"/>
              <w:rPr>
                <w:rFonts w:hint="eastAsia" w:hAnsi="宋体" w:cs="宋体"/>
                <w:color w:val="auto"/>
                <w:sz w:val="24"/>
                <w:szCs w:val="20"/>
                <w:highlight w:val="none"/>
              </w:rPr>
            </w:pPr>
            <w:r>
              <w:rPr>
                <w:rFonts w:hint="eastAsia" w:hAnsi="宋体" w:cs="宋体"/>
                <w:color w:val="auto"/>
                <w:sz w:val="24"/>
                <w:szCs w:val="20"/>
                <w:highlight w:val="none"/>
              </w:rPr>
              <w:t>标准</w:t>
            </w:r>
          </w:p>
        </w:tc>
        <w:tc>
          <w:tcPr>
            <w:tcW w:w="2040" w:type="dxa"/>
            <w:tcBorders>
              <w:top w:val="single" w:color="auto" w:sz="4" w:space="0"/>
              <w:left w:val="nil"/>
              <w:bottom w:val="single" w:color="auto" w:sz="4" w:space="0"/>
              <w:right w:val="single" w:color="auto" w:sz="4" w:space="0"/>
            </w:tcBorders>
            <w:noWrap w:val="0"/>
            <w:vAlign w:val="center"/>
          </w:tcPr>
          <w:p w14:paraId="43E0F0F9">
            <w:pPr>
              <w:pStyle w:val="21"/>
              <w:widowControl/>
              <w:spacing w:line="360" w:lineRule="auto"/>
              <w:jc w:val="center"/>
              <w:rPr>
                <w:rFonts w:hint="eastAsia" w:hAnsi="宋体" w:cs="宋体"/>
                <w:color w:val="auto"/>
                <w:sz w:val="24"/>
                <w:szCs w:val="20"/>
                <w:highlight w:val="none"/>
              </w:rPr>
            </w:pPr>
            <w:bookmarkStart w:id="72" w:name="OLE_LINK21"/>
            <w:r>
              <w:rPr>
                <w:rFonts w:hint="eastAsia" w:hAnsi="宋体" w:cs="宋体"/>
                <w:color w:val="auto"/>
                <w:sz w:val="24"/>
                <w:szCs w:val="20"/>
                <w:highlight w:val="none"/>
                <w:lang w:eastAsia="zh-CN"/>
              </w:rPr>
              <w:t>响应人</w:t>
            </w:r>
            <w:r>
              <w:rPr>
                <w:rFonts w:hint="eastAsia" w:hAnsi="宋体" w:cs="宋体"/>
                <w:color w:val="auto"/>
                <w:sz w:val="24"/>
                <w:szCs w:val="20"/>
                <w:highlight w:val="none"/>
              </w:rPr>
              <w:t>名称</w:t>
            </w:r>
            <w:bookmarkEnd w:id="72"/>
          </w:p>
        </w:tc>
        <w:tc>
          <w:tcPr>
            <w:tcW w:w="6015" w:type="dxa"/>
            <w:tcBorders>
              <w:top w:val="single" w:color="auto" w:sz="4" w:space="0"/>
              <w:left w:val="nil"/>
              <w:bottom w:val="single" w:color="auto" w:sz="4" w:space="0"/>
              <w:right w:val="single" w:color="auto" w:sz="4" w:space="0"/>
            </w:tcBorders>
            <w:noWrap w:val="0"/>
            <w:vAlign w:val="center"/>
          </w:tcPr>
          <w:p w14:paraId="088D59CF">
            <w:pPr>
              <w:pStyle w:val="22"/>
              <w:spacing w:line="360" w:lineRule="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与</w:t>
            </w:r>
            <w:r>
              <w:rPr>
                <w:rFonts w:hint="eastAsia" w:hAnsi="宋体"/>
                <w:color w:val="auto"/>
                <w:sz w:val="24"/>
                <w:szCs w:val="24"/>
                <w:highlight w:val="none"/>
                <w:lang w:eastAsia="zh-CN"/>
              </w:rPr>
              <w:t>证明文件或</w:t>
            </w:r>
            <w:r>
              <w:rPr>
                <w:rFonts w:hint="eastAsia" w:hAnsi="宋体"/>
                <w:color w:val="auto"/>
                <w:sz w:val="24"/>
                <w:szCs w:val="24"/>
                <w:highlight w:val="none"/>
                <w:lang w:val="en-US" w:eastAsia="zh-CN"/>
              </w:rPr>
              <w:t>身份证明</w:t>
            </w:r>
            <w:r>
              <w:rPr>
                <w:rFonts w:hint="eastAsia" w:ascii="宋体" w:hAnsi="宋体" w:cs="宋体"/>
                <w:color w:val="auto"/>
                <w:kern w:val="0"/>
                <w:sz w:val="24"/>
                <w:szCs w:val="24"/>
                <w:highlight w:val="none"/>
              </w:rPr>
              <w:t>一致</w:t>
            </w:r>
          </w:p>
        </w:tc>
      </w:tr>
      <w:tr w14:paraId="65FB64CF">
        <w:tblPrEx>
          <w:tblCellMar>
            <w:top w:w="0" w:type="dxa"/>
            <w:left w:w="108" w:type="dxa"/>
            <w:bottom w:w="0" w:type="dxa"/>
            <w:right w:w="108" w:type="dxa"/>
          </w:tblCellMar>
        </w:tblPrEx>
        <w:trPr>
          <w:cantSplit/>
          <w:trHeight w:val="533" w:hRule="atLeast"/>
        </w:trPr>
        <w:tc>
          <w:tcPr>
            <w:tcW w:w="895" w:type="dxa"/>
            <w:vMerge w:val="continue"/>
            <w:tcBorders>
              <w:left w:val="single" w:color="auto" w:sz="4" w:space="0"/>
              <w:right w:val="single" w:color="auto" w:sz="4" w:space="0"/>
            </w:tcBorders>
            <w:noWrap w:val="0"/>
            <w:vAlign w:val="center"/>
          </w:tcPr>
          <w:p w14:paraId="065C3362">
            <w:pPr>
              <w:spacing w:line="360" w:lineRule="auto"/>
              <w:rPr>
                <w:rFonts w:hint="eastAsia"/>
                <w:color w:val="auto"/>
                <w:sz w:val="24"/>
                <w:szCs w:val="24"/>
                <w:highlight w:val="none"/>
              </w:rPr>
            </w:pPr>
          </w:p>
        </w:tc>
        <w:tc>
          <w:tcPr>
            <w:tcW w:w="795" w:type="dxa"/>
            <w:vMerge w:val="continue"/>
            <w:tcBorders>
              <w:top w:val="nil"/>
              <w:left w:val="nil"/>
              <w:bottom w:val="single" w:color="auto" w:sz="4" w:space="0"/>
              <w:right w:val="single" w:color="auto" w:sz="4" w:space="0"/>
            </w:tcBorders>
            <w:noWrap w:val="0"/>
            <w:vAlign w:val="center"/>
          </w:tcPr>
          <w:p w14:paraId="56474F16">
            <w:pPr>
              <w:spacing w:line="360" w:lineRule="auto"/>
              <w:jc w:val="center"/>
              <w:rPr>
                <w:rFonts w:hint="eastAsia"/>
                <w:color w:val="auto"/>
                <w:sz w:val="24"/>
                <w:szCs w:val="24"/>
                <w:highlight w:val="none"/>
              </w:rPr>
            </w:pPr>
          </w:p>
        </w:tc>
        <w:tc>
          <w:tcPr>
            <w:tcW w:w="2040" w:type="dxa"/>
            <w:tcBorders>
              <w:top w:val="single" w:color="auto" w:sz="4" w:space="0"/>
              <w:left w:val="nil"/>
              <w:bottom w:val="single" w:color="auto" w:sz="4" w:space="0"/>
              <w:right w:val="single" w:color="auto" w:sz="4" w:space="0"/>
            </w:tcBorders>
            <w:noWrap w:val="0"/>
            <w:vAlign w:val="center"/>
          </w:tcPr>
          <w:p w14:paraId="6E91254A">
            <w:pPr>
              <w:pStyle w:val="21"/>
              <w:widowControl/>
              <w:spacing w:line="360" w:lineRule="auto"/>
              <w:jc w:val="center"/>
              <w:rPr>
                <w:rFonts w:hint="eastAsia" w:hAnsi="宋体" w:cs="宋体"/>
                <w:color w:val="auto"/>
                <w:sz w:val="24"/>
                <w:szCs w:val="20"/>
                <w:highlight w:val="none"/>
              </w:rPr>
            </w:pPr>
            <w:bookmarkStart w:id="73" w:name="OLE_LINK23"/>
            <w:r>
              <w:rPr>
                <w:rFonts w:hint="eastAsia" w:hAnsi="宋体" w:cs="宋体"/>
                <w:color w:val="auto"/>
                <w:sz w:val="24"/>
                <w:szCs w:val="20"/>
                <w:highlight w:val="none"/>
                <w:lang w:val="en-US" w:eastAsia="zh-CN"/>
              </w:rPr>
              <w:t>报价</w:t>
            </w:r>
            <w:r>
              <w:rPr>
                <w:rFonts w:hint="eastAsia" w:hAnsi="宋体" w:cs="宋体"/>
                <w:color w:val="auto"/>
                <w:sz w:val="24"/>
                <w:szCs w:val="20"/>
                <w:highlight w:val="none"/>
              </w:rPr>
              <w:t>函电子签章</w:t>
            </w:r>
            <w:bookmarkEnd w:id="73"/>
          </w:p>
        </w:tc>
        <w:tc>
          <w:tcPr>
            <w:tcW w:w="6015" w:type="dxa"/>
            <w:tcBorders>
              <w:top w:val="single" w:color="auto" w:sz="4" w:space="0"/>
              <w:left w:val="nil"/>
              <w:bottom w:val="single" w:color="auto" w:sz="4" w:space="0"/>
              <w:right w:val="single" w:color="auto" w:sz="4" w:space="0"/>
            </w:tcBorders>
            <w:noWrap w:val="0"/>
            <w:vAlign w:val="center"/>
          </w:tcPr>
          <w:p w14:paraId="030873C0">
            <w:pPr>
              <w:pStyle w:val="21"/>
              <w:widowControl/>
              <w:spacing w:line="360" w:lineRule="auto"/>
              <w:jc w:val="both"/>
              <w:rPr>
                <w:rFonts w:hint="eastAsia" w:hAnsi="宋体" w:cs="宋体"/>
                <w:color w:val="auto"/>
                <w:sz w:val="24"/>
                <w:szCs w:val="20"/>
                <w:highlight w:val="none"/>
              </w:rPr>
            </w:pPr>
            <w:bookmarkStart w:id="74" w:name="OLE_LINK24"/>
            <w:r>
              <w:rPr>
                <w:rFonts w:hint="eastAsia" w:hAnsi="宋体" w:cs="宋体"/>
                <w:color w:val="auto"/>
                <w:sz w:val="24"/>
                <w:szCs w:val="20"/>
                <w:highlight w:val="none"/>
              </w:rPr>
              <w:t>有</w:t>
            </w:r>
            <w:r>
              <w:rPr>
                <w:rFonts w:hint="eastAsia" w:hAnsi="宋体" w:cs="宋体"/>
                <w:color w:val="auto"/>
                <w:sz w:val="24"/>
                <w:szCs w:val="20"/>
                <w:highlight w:val="none"/>
                <w:lang w:eastAsia="zh-CN"/>
              </w:rPr>
              <w:t>单位电子公章</w:t>
            </w:r>
            <w:r>
              <w:rPr>
                <w:rFonts w:hint="eastAsia" w:hAnsi="宋体" w:cs="宋体"/>
                <w:color w:val="auto"/>
                <w:sz w:val="24"/>
                <w:szCs w:val="20"/>
                <w:highlight w:val="none"/>
              </w:rPr>
              <w:t>和法定代表人电子签章</w:t>
            </w:r>
            <w:bookmarkEnd w:id="74"/>
          </w:p>
        </w:tc>
      </w:tr>
      <w:tr w14:paraId="20682453">
        <w:tblPrEx>
          <w:tblCellMar>
            <w:top w:w="0" w:type="dxa"/>
            <w:left w:w="108" w:type="dxa"/>
            <w:bottom w:w="0" w:type="dxa"/>
            <w:right w:w="108" w:type="dxa"/>
          </w:tblCellMar>
        </w:tblPrEx>
        <w:trPr>
          <w:cantSplit/>
          <w:trHeight w:val="253" w:hRule="atLeast"/>
        </w:trPr>
        <w:tc>
          <w:tcPr>
            <w:tcW w:w="895" w:type="dxa"/>
            <w:vMerge w:val="continue"/>
            <w:tcBorders>
              <w:left w:val="single" w:color="auto" w:sz="4" w:space="0"/>
              <w:bottom w:val="single" w:color="auto" w:sz="4" w:space="0"/>
              <w:right w:val="single" w:color="auto" w:sz="4" w:space="0"/>
            </w:tcBorders>
            <w:noWrap w:val="0"/>
            <w:vAlign w:val="center"/>
          </w:tcPr>
          <w:p w14:paraId="165B466D">
            <w:pPr>
              <w:spacing w:line="360" w:lineRule="auto"/>
              <w:rPr>
                <w:rFonts w:hint="eastAsia"/>
                <w:color w:val="auto"/>
                <w:sz w:val="24"/>
                <w:szCs w:val="24"/>
                <w:highlight w:val="none"/>
              </w:rPr>
            </w:pPr>
          </w:p>
        </w:tc>
        <w:tc>
          <w:tcPr>
            <w:tcW w:w="795" w:type="dxa"/>
            <w:vMerge w:val="continue"/>
            <w:tcBorders>
              <w:top w:val="nil"/>
              <w:left w:val="nil"/>
              <w:bottom w:val="single" w:color="auto" w:sz="4" w:space="0"/>
              <w:right w:val="single" w:color="auto" w:sz="4" w:space="0"/>
            </w:tcBorders>
            <w:noWrap w:val="0"/>
            <w:vAlign w:val="center"/>
          </w:tcPr>
          <w:p w14:paraId="7768D000">
            <w:pPr>
              <w:spacing w:line="360" w:lineRule="auto"/>
              <w:jc w:val="center"/>
              <w:rPr>
                <w:rFonts w:hint="eastAsia"/>
                <w:color w:val="auto"/>
                <w:sz w:val="24"/>
                <w:szCs w:val="24"/>
                <w:highlight w:val="none"/>
              </w:rPr>
            </w:pPr>
          </w:p>
        </w:tc>
        <w:tc>
          <w:tcPr>
            <w:tcW w:w="2040" w:type="dxa"/>
            <w:tcBorders>
              <w:top w:val="single" w:color="auto" w:sz="4" w:space="0"/>
              <w:left w:val="nil"/>
              <w:bottom w:val="single" w:color="auto" w:sz="4" w:space="0"/>
              <w:right w:val="single" w:color="auto" w:sz="4" w:space="0"/>
            </w:tcBorders>
            <w:noWrap w:val="0"/>
            <w:vAlign w:val="center"/>
          </w:tcPr>
          <w:p w14:paraId="798C0C49">
            <w:pPr>
              <w:pStyle w:val="21"/>
              <w:widowControl/>
              <w:spacing w:line="360" w:lineRule="auto"/>
              <w:jc w:val="center"/>
              <w:rPr>
                <w:rFonts w:hint="eastAsia" w:hAnsi="宋体" w:cs="宋体"/>
                <w:color w:val="auto"/>
                <w:sz w:val="24"/>
                <w:szCs w:val="20"/>
                <w:highlight w:val="none"/>
              </w:rPr>
            </w:pPr>
            <w:r>
              <w:rPr>
                <w:rFonts w:hint="eastAsia" w:hAnsi="宋体" w:cs="宋体"/>
                <w:color w:val="auto"/>
                <w:sz w:val="24"/>
                <w:szCs w:val="20"/>
                <w:highlight w:val="none"/>
              </w:rPr>
              <w:t>报价唯一</w:t>
            </w:r>
          </w:p>
        </w:tc>
        <w:tc>
          <w:tcPr>
            <w:tcW w:w="6015" w:type="dxa"/>
            <w:tcBorders>
              <w:top w:val="single" w:color="auto" w:sz="4" w:space="0"/>
              <w:left w:val="nil"/>
              <w:bottom w:val="single" w:color="auto" w:sz="4" w:space="0"/>
              <w:right w:val="single" w:color="auto" w:sz="4" w:space="0"/>
            </w:tcBorders>
            <w:noWrap w:val="0"/>
            <w:vAlign w:val="center"/>
          </w:tcPr>
          <w:p w14:paraId="3E923BCC">
            <w:pPr>
              <w:pStyle w:val="21"/>
              <w:widowControl/>
              <w:spacing w:line="360" w:lineRule="auto"/>
              <w:jc w:val="both"/>
              <w:rPr>
                <w:rFonts w:hint="eastAsia" w:hAnsi="宋体" w:cs="宋体"/>
                <w:color w:val="auto"/>
                <w:sz w:val="24"/>
                <w:szCs w:val="20"/>
                <w:highlight w:val="none"/>
              </w:rPr>
            </w:pPr>
            <w:r>
              <w:rPr>
                <w:rFonts w:hint="eastAsia" w:hAnsi="宋体" w:cs="宋体"/>
                <w:color w:val="auto"/>
                <w:sz w:val="24"/>
                <w:szCs w:val="20"/>
                <w:highlight w:val="none"/>
              </w:rPr>
              <w:t>只能有一个有效报价且不超出采购预算价</w:t>
            </w:r>
          </w:p>
        </w:tc>
      </w:tr>
      <w:tr w14:paraId="58F370E2">
        <w:tblPrEx>
          <w:tblCellMar>
            <w:top w:w="0" w:type="dxa"/>
            <w:left w:w="108" w:type="dxa"/>
            <w:bottom w:w="0" w:type="dxa"/>
            <w:right w:w="108" w:type="dxa"/>
          </w:tblCellMar>
        </w:tblPrEx>
        <w:trPr>
          <w:cantSplit/>
          <w:trHeight w:val="669" w:hRule="atLeast"/>
        </w:trPr>
        <w:tc>
          <w:tcPr>
            <w:tcW w:w="895" w:type="dxa"/>
            <w:vMerge w:val="restart"/>
            <w:tcBorders>
              <w:top w:val="single" w:color="auto" w:sz="4" w:space="0"/>
              <w:left w:val="single" w:color="auto" w:sz="4" w:space="0"/>
              <w:bottom w:val="single" w:color="auto" w:sz="4" w:space="0"/>
              <w:right w:val="single" w:color="auto" w:sz="4" w:space="0"/>
            </w:tcBorders>
            <w:noWrap w:val="0"/>
            <w:vAlign w:val="center"/>
          </w:tcPr>
          <w:p w14:paraId="1352D501">
            <w:pPr>
              <w:pStyle w:val="21"/>
              <w:widowControl/>
              <w:spacing w:line="360" w:lineRule="auto"/>
              <w:jc w:val="center"/>
              <w:rPr>
                <w:rFonts w:hint="eastAsia" w:hAnsi="宋体" w:cs="宋体"/>
                <w:color w:val="auto"/>
                <w:sz w:val="24"/>
                <w:szCs w:val="20"/>
                <w:highlight w:val="none"/>
              </w:rPr>
            </w:pPr>
            <w:r>
              <w:rPr>
                <w:rFonts w:hint="eastAsia" w:hAnsi="宋体" w:cs="宋体"/>
                <w:color w:val="auto"/>
                <w:sz w:val="24"/>
                <w:szCs w:val="20"/>
                <w:highlight w:val="none"/>
              </w:rPr>
              <w:t>2.1.3</w:t>
            </w:r>
          </w:p>
        </w:tc>
        <w:tc>
          <w:tcPr>
            <w:tcW w:w="795" w:type="dxa"/>
            <w:vMerge w:val="restart"/>
            <w:tcBorders>
              <w:top w:val="nil"/>
              <w:left w:val="nil"/>
              <w:bottom w:val="single" w:color="auto" w:sz="4" w:space="0"/>
              <w:right w:val="single" w:color="auto" w:sz="4" w:space="0"/>
            </w:tcBorders>
            <w:noWrap w:val="0"/>
            <w:vAlign w:val="center"/>
          </w:tcPr>
          <w:p w14:paraId="0DDBB53E">
            <w:pPr>
              <w:pStyle w:val="21"/>
              <w:widowControl/>
              <w:spacing w:line="360" w:lineRule="auto"/>
              <w:jc w:val="center"/>
              <w:rPr>
                <w:rFonts w:hint="eastAsia" w:hAnsi="宋体" w:cs="宋体"/>
                <w:color w:val="auto"/>
                <w:sz w:val="24"/>
                <w:szCs w:val="20"/>
                <w:highlight w:val="none"/>
              </w:rPr>
            </w:pPr>
            <w:r>
              <w:rPr>
                <w:rFonts w:hint="eastAsia" w:hAnsi="宋体" w:cs="宋体"/>
                <w:color w:val="auto"/>
                <w:sz w:val="24"/>
                <w:szCs w:val="20"/>
                <w:highlight w:val="none"/>
              </w:rPr>
              <w:t>实质</w:t>
            </w:r>
          </w:p>
          <w:p w14:paraId="7217A629">
            <w:pPr>
              <w:pStyle w:val="21"/>
              <w:widowControl/>
              <w:spacing w:line="360" w:lineRule="auto"/>
              <w:jc w:val="center"/>
              <w:rPr>
                <w:rFonts w:hint="eastAsia" w:hAnsi="宋体" w:cs="宋体"/>
                <w:color w:val="auto"/>
                <w:sz w:val="24"/>
                <w:szCs w:val="20"/>
                <w:highlight w:val="none"/>
              </w:rPr>
            </w:pPr>
            <w:r>
              <w:rPr>
                <w:rFonts w:hint="eastAsia" w:hAnsi="宋体" w:cs="宋体"/>
                <w:color w:val="auto"/>
                <w:sz w:val="24"/>
                <w:szCs w:val="20"/>
                <w:highlight w:val="none"/>
              </w:rPr>
              <w:t>评审</w:t>
            </w:r>
          </w:p>
          <w:p w14:paraId="64602477">
            <w:pPr>
              <w:pStyle w:val="21"/>
              <w:widowControl/>
              <w:spacing w:line="360" w:lineRule="auto"/>
              <w:jc w:val="center"/>
              <w:rPr>
                <w:rFonts w:hint="eastAsia" w:hAnsi="宋体" w:cs="宋体"/>
                <w:color w:val="auto"/>
                <w:sz w:val="24"/>
                <w:szCs w:val="20"/>
                <w:highlight w:val="none"/>
              </w:rPr>
            </w:pPr>
            <w:r>
              <w:rPr>
                <w:rFonts w:hint="eastAsia" w:hAnsi="宋体" w:cs="宋体"/>
                <w:color w:val="auto"/>
                <w:sz w:val="24"/>
                <w:szCs w:val="20"/>
                <w:highlight w:val="none"/>
              </w:rPr>
              <w:t>标准</w:t>
            </w:r>
          </w:p>
        </w:tc>
        <w:tc>
          <w:tcPr>
            <w:tcW w:w="2040" w:type="dxa"/>
            <w:tcBorders>
              <w:top w:val="single" w:color="auto" w:sz="4" w:space="0"/>
              <w:left w:val="nil"/>
              <w:bottom w:val="single" w:color="auto" w:sz="4" w:space="0"/>
              <w:right w:val="single" w:color="auto" w:sz="4" w:space="0"/>
            </w:tcBorders>
            <w:noWrap w:val="0"/>
            <w:vAlign w:val="center"/>
          </w:tcPr>
          <w:p w14:paraId="551F069E">
            <w:pPr>
              <w:pStyle w:val="21"/>
              <w:widowControl/>
              <w:spacing w:line="360" w:lineRule="auto"/>
              <w:jc w:val="center"/>
              <w:rPr>
                <w:rFonts w:hint="eastAsia" w:hAnsi="宋体" w:cs="宋体"/>
                <w:color w:val="auto"/>
                <w:sz w:val="24"/>
                <w:szCs w:val="22"/>
                <w:highlight w:val="none"/>
                <w:lang w:val="en-US" w:eastAsia="zh-CN"/>
              </w:rPr>
            </w:pPr>
            <w:bookmarkStart w:id="75" w:name="OLE_LINK7"/>
            <w:r>
              <w:rPr>
                <w:rFonts w:hint="eastAsia" w:hAnsi="宋体" w:cs="宋体"/>
                <w:color w:val="auto"/>
                <w:sz w:val="24"/>
                <w:szCs w:val="22"/>
                <w:highlight w:val="none"/>
                <w:lang w:val="en-US" w:eastAsia="zh-CN"/>
              </w:rPr>
              <w:t>合同履行期限</w:t>
            </w:r>
          </w:p>
          <w:p w14:paraId="3980CC90">
            <w:pPr>
              <w:pStyle w:val="21"/>
              <w:widowControl/>
              <w:spacing w:line="360" w:lineRule="auto"/>
              <w:jc w:val="center"/>
              <w:rPr>
                <w:rFonts w:hint="eastAsia" w:hAnsi="宋体" w:eastAsia="宋体" w:cs="宋体"/>
                <w:color w:val="auto"/>
                <w:sz w:val="24"/>
                <w:szCs w:val="20"/>
                <w:highlight w:val="none"/>
                <w:lang w:eastAsia="zh-CN"/>
              </w:rPr>
            </w:pPr>
            <w:r>
              <w:rPr>
                <w:rFonts w:hint="eastAsia" w:hAnsi="宋体" w:cs="宋体"/>
                <w:color w:val="auto"/>
                <w:sz w:val="24"/>
                <w:szCs w:val="22"/>
                <w:highlight w:val="none"/>
                <w:lang w:val="en-US" w:eastAsia="zh-CN"/>
              </w:rPr>
              <w:t>（</w:t>
            </w:r>
            <w:r>
              <w:rPr>
                <w:rFonts w:hint="eastAsia" w:hAnsi="宋体" w:cs="宋体"/>
                <w:color w:val="auto"/>
                <w:sz w:val="24"/>
                <w:szCs w:val="22"/>
                <w:highlight w:val="none"/>
                <w:lang w:eastAsia="zh-CN"/>
              </w:rPr>
              <w:t>交货</w:t>
            </w:r>
            <w:r>
              <w:rPr>
                <w:rFonts w:hint="eastAsia" w:hAnsi="宋体" w:cs="宋体"/>
                <w:color w:val="auto"/>
                <w:sz w:val="24"/>
                <w:szCs w:val="22"/>
                <w:highlight w:val="none"/>
                <w:lang w:val="en-US" w:eastAsia="zh-CN"/>
              </w:rPr>
              <w:t>期</w:t>
            </w:r>
            <w:bookmarkEnd w:id="75"/>
            <w:r>
              <w:rPr>
                <w:rFonts w:hint="eastAsia" w:hAnsi="宋体" w:cs="宋体"/>
                <w:color w:val="auto"/>
                <w:sz w:val="24"/>
                <w:szCs w:val="22"/>
                <w:highlight w:val="none"/>
                <w:lang w:val="en-US" w:eastAsia="zh-CN"/>
              </w:rPr>
              <w:t>）</w:t>
            </w:r>
          </w:p>
        </w:tc>
        <w:tc>
          <w:tcPr>
            <w:tcW w:w="6015" w:type="dxa"/>
            <w:tcBorders>
              <w:top w:val="single" w:color="auto" w:sz="4" w:space="0"/>
              <w:left w:val="nil"/>
              <w:bottom w:val="single" w:color="auto" w:sz="4" w:space="0"/>
              <w:right w:val="single" w:color="auto" w:sz="4" w:space="0"/>
            </w:tcBorders>
            <w:noWrap w:val="0"/>
            <w:vAlign w:val="center"/>
          </w:tcPr>
          <w:p w14:paraId="2DB37A49">
            <w:pPr>
              <w:spacing w:line="360" w:lineRule="auto"/>
              <w:rPr>
                <w:rFonts w:hint="default" w:eastAsia="宋体"/>
                <w:color w:val="auto"/>
                <w:sz w:val="24"/>
                <w:szCs w:val="24"/>
                <w:highlight w:val="none"/>
                <w:lang w:val="en-US" w:eastAsia="zh-CN"/>
              </w:rPr>
            </w:pPr>
            <w:r>
              <w:rPr>
                <w:rFonts w:hint="eastAsia"/>
                <w:color w:val="auto"/>
                <w:sz w:val="24"/>
                <w:szCs w:val="24"/>
                <w:highlight w:val="none"/>
                <w:lang w:val="en-US" w:eastAsia="zh-CN"/>
              </w:rPr>
              <w:t>20日历天</w:t>
            </w:r>
          </w:p>
        </w:tc>
      </w:tr>
      <w:tr w14:paraId="23E87063">
        <w:tblPrEx>
          <w:tblCellMar>
            <w:top w:w="0" w:type="dxa"/>
            <w:left w:w="108" w:type="dxa"/>
            <w:bottom w:w="0" w:type="dxa"/>
            <w:right w:w="108" w:type="dxa"/>
          </w:tblCellMar>
        </w:tblPrEx>
        <w:trPr>
          <w:cantSplit/>
          <w:trHeight w:val="579" w:hRule="atLeast"/>
        </w:trPr>
        <w:tc>
          <w:tcPr>
            <w:tcW w:w="895" w:type="dxa"/>
            <w:vMerge w:val="continue"/>
            <w:tcBorders>
              <w:top w:val="single" w:color="auto" w:sz="4" w:space="0"/>
              <w:left w:val="single" w:color="auto" w:sz="4" w:space="0"/>
              <w:bottom w:val="single" w:color="auto" w:sz="4" w:space="0"/>
              <w:right w:val="single" w:color="auto" w:sz="4" w:space="0"/>
            </w:tcBorders>
            <w:noWrap w:val="0"/>
            <w:vAlign w:val="center"/>
          </w:tcPr>
          <w:p w14:paraId="5405B870">
            <w:pPr>
              <w:pStyle w:val="21"/>
              <w:widowControl/>
              <w:spacing w:line="360" w:lineRule="auto"/>
              <w:jc w:val="center"/>
              <w:rPr>
                <w:rFonts w:hint="eastAsia" w:hAnsi="宋体" w:cs="宋体"/>
                <w:color w:val="auto"/>
                <w:sz w:val="24"/>
                <w:szCs w:val="20"/>
                <w:highlight w:val="none"/>
              </w:rPr>
            </w:pPr>
          </w:p>
        </w:tc>
        <w:tc>
          <w:tcPr>
            <w:tcW w:w="795" w:type="dxa"/>
            <w:vMerge w:val="continue"/>
            <w:tcBorders>
              <w:top w:val="single" w:color="auto" w:sz="4" w:space="0"/>
              <w:left w:val="nil"/>
              <w:bottom w:val="single" w:color="auto" w:sz="4" w:space="0"/>
              <w:right w:val="single" w:color="auto" w:sz="4" w:space="0"/>
            </w:tcBorders>
            <w:noWrap w:val="0"/>
            <w:vAlign w:val="center"/>
          </w:tcPr>
          <w:p w14:paraId="2FDB2F82">
            <w:pPr>
              <w:pStyle w:val="21"/>
              <w:widowControl/>
              <w:spacing w:line="360" w:lineRule="auto"/>
              <w:jc w:val="center"/>
              <w:rPr>
                <w:rFonts w:hint="eastAsia" w:hAnsi="宋体" w:cs="宋体"/>
                <w:color w:val="auto"/>
                <w:sz w:val="24"/>
                <w:szCs w:val="20"/>
                <w:highlight w:val="none"/>
              </w:rPr>
            </w:pPr>
          </w:p>
        </w:tc>
        <w:tc>
          <w:tcPr>
            <w:tcW w:w="2040" w:type="dxa"/>
            <w:tcBorders>
              <w:top w:val="single" w:color="auto" w:sz="4" w:space="0"/>
              <w:left w:val="nil"/>
              <w:bottom w:val="single" w:color="auto" w:sz="4" w:space="0"/>
              <w:right w:val="single" w:color="auto" w:sz="4" w:space="0"/>
            </w:tcBorders>
            <w:noWrap w:val="0"/>
            <w:vAlign w:val="center"/>
          </w:tcPr>
          <w:p w14:paraId="4B144B4D">
            <w:pPr>
              <w:pStyle w:val="21"/>
              <w:widowControl/>
              <w:spacing w:line="360" w:lineRule="auto"/>
              <w:jc w:val="center"/>
              <w:rPr>
                <w:rFonts w:hint="default" w:hAnsi="宋体" w:eastAsia="宋体" w:cs="宋体"/>
                <w:color w:val="auto"/>
                <w:sz w:val="24"/>
                <w:szCs w:val="22"/>
                <w:highlight w:val="none"/>
                <w:lang w:val="en-US" w:eastAsia="zh-CN"/>
              </w:rPr>
            </w:pPr>
            <w:r>
              <w:rPr>
                <w:rFonts w:hint="eastAsia" w:hAnsi="宋体" w:cs="宋体"/>
                <w:color w:val="auto"/>
                <w:sz w:val="24"/>
                <w:szCs w:val="24"/>
                <w:highlight w:val="none"/>
                <w:lang w:val="en-US" w:eastAsia="zh-CN" w:bidi="ar"/>
              </w:rPr>
              <w:t>质保期</w:t>
            </w:r>
          </w:p>
        </w:tc>
        <w:tc>
          <w:tcPr>
            <w:tcW w:w="6015" w:type="dxa"/>
            <w:tcBorders>
              <w:top w:val="single" w:color="auto" w:sz="4" w:space="0"/>
              <w:left w:val="nil"/>
              <w:bottom w:val="single" w:color="auto" w:sz="4" w:space="0"/>
              <w:right w:val="single" w:color="auto" w:sz="4" w:space="0"/>
            </w:tcBorders>
            <w:noWrap w:val="0"/>
            <w:vAlign w:val="center"/>
          </w:tcPr>
          <w:p w14:paraId="123D00CB">
            <w:pPr>
              <w:spacing w:line="360" w:lineRule="auto"/>
              <w:rPr>
                <w:rFonts w:hint="default" w:eastAsia="宋体"/>
                <w:color w:val="auto"/>
                <w:sz w:val="24"/>
                <w:szCs w:val="24"/>
                <w:highlight w:val="none"/>
                <w:lang w:val="en-US" w:eastAsia="zh-CN"/>
              </w:rPr>
            </w:pPr>
            <w:r>
              <w:rPr>
                <w:rFonts w:hint="eastAsia"/>
                <w:color w:val="auto"/>
                <w:sz w:val="24"/>
                <w:szCs w:val="24"/>
                <w:highlight w:val="none"/>
                <w:lang w:val="en-US" w:eastAsia="zh-CN" w:bidi="ar"/>
              </w:rPr>
              <w:t>1年，终身维修。</w:t>
            </w:r>
          </w:p>
        </w:tc>
      </w:tr>
      <w:tr w14:paraId="2F86033E">
        <w:tblPrEx>
          <w:tblCellMar>
            <w:top w:w="0" w:type="dxa"/>
            <w:left w:w="108" w:type="dxa"/>
            <w:bottom w:w="0" w:type="dxa"/>
            <w:right w:w="108" w:type="dxa"/>
          </w:tblCellMar>
        </w:tblPrEx>
        <w:trPr>
          <w:cantSplit/>
          <w:trHeight w:val="579" w:hRule="atLeast"/>
        </w:trPr>
        <w:tc>
          <w:tcPr>
            <w:tcW w:w="895" w:type="dxa"/>
            <w:vMerge w:val="continue"/>
            <w:tcBorders>
              <w:top w:val="single" w:color="auto" w:sz="4" w:space="0"/>
              <w:left w:val="single" w:color="auto" w:sz="4" w:space="0"/>
              <w:bottom w:val="single" w:color="auto" w:sz="4" w:space="0"/>
              <w:right w:val="single" w:color="auto" w:sz="4" w:space="0"/>
            </w:tcBorders>
            <w:noWrap w:val="0"/>
            <w:vAlign w:val="center"/>
          </w:tcPr>
          <w:p w14:paraId="0AE6C2D2">
            <w:pPr>
              <w:pStyle w:val="21"/>
              <w:widowControl/>
              <w:spacing w:line="360" w:lineRule="auto"/>
              <w:jc w:val="center"/>
              <w:rPr>
                <w:rFonts w:hint="eastAsia" w:hAnsi="宋体" w:cs="宋体"/>
                <w:color w:val="auto"/>
                <w:sz w:val="24"/>
                <w:szCs w:val="20"/>
                <w:highlight w:val="none"/>
              </w:rPr>
            </w:pPr>
          </w:p>
        </w:tc>
        <w:tc>
          <w:tcPr>
            <w:tcW w:w="795" w:type="dxa"/>
            <w:vMerge w:val="continue"/>
            <w:tcBorders>
              <w:top w:val="single" w:color="auto" w:sz="4" w:space="0"/>
              <w:left w:val="nil"/>
              <w:bottom w:val="single" w:color="auto" w:sz="4" w:space="0"/>
              <w:right w:val="single" w:color="auto" w:sz="4" w:space="0"/>
            </w:tcBorders>
            <w:noWrap w:val="0"/>
            <w:vAlign w:val="center"/>
          </w:tcPr>
          <w:p w14:paraId="46602CF4">
            <w:pPr>
              <w:pStyle w:val="21"/>
              <w:widowControl/>
              <w:spacing w:line="360" w:lineRule="auto"/>
              <w:jc w:val="center"/>
              <w:rPr>
                <w:rFonts w:hint="eastAsia" w:hAnsi="宋体" w:cs="宋体"/>
                <w:color w:val="auto"/>
                <w:sz w:val="24"/>
                <w:szCs w:val="20"/>
                <w:highlight w:val="none"/>
              </w:rPr>
            </w:pPr>
          </w:p>
        </w:tc>
        <w:tc>
          <w:tcPr>
            <w:tcW w:w="2040" w:type="dxa"/>
            <w:tcBorders>
              <w:top w:val="single" w:color="auto" w:sz="4" w:space="0"/>
              <w:left w:val="nil"/>
              <w:bottom w:val="single" w:color="auto" w:sz="4" w:space="0"/>
              <w:right w:val="single" w:color="auto" w:sz="4" w:space="0"/>
            </w:tcBorders>
            <w:noWrap w:val="0"/>
            <w:vAlign w:val="center"/>
          </w:tcPr>
          <w:p w14:paraId="2486915E">
            <w:pPr>
              <w:pStyle w:val="21"/>
              <w:widowControl/>
              <w:spacing w:line="360" w:lineRule="auto"/>
              <w:jc w:val="center"/>
              <w:rPr>
                <w:rFonts w:hint="eastAsia" w:hAnsi="宋体" w:cs="宋体"/>
                <w:color w:val="auto"/>
                <w:sz w:val="24"/>
                <w:szCs w:val="24"/>
                <w:highlight w:val="none"/>
                <w:lang w:val="en-US" w:eastAsia="zh-CN" w:bidi="ar"/>
              </w:rPr>
            </w:pPr>
            <w:r>
              <w:rPr>
                <w:rFonts w:hint="eastAsia" w:hAnsi="宋体" w:cs="宋体"/>
                <w:color w:val="auto"/>
                <w:sz w:val="24"/>
                <w:szCs w:val="24"/>
                <w:highlight w:val="none"/>
                <w:lang w:val="en-US" w:eastAsia="zh-CN" w:bidi="ar"/>
              </w:rPr>
              <w:t>磋商有效期</w:t>
            </w:r>
          </w:p>
        </w:tc>
        <w:tc>
          <w:tcPr>
            <w:tcW w:w="6015" w:type="dxa"/>
            <w:tcBorders>
              <w:top w:val="single" w:color="auto" w:sz="4" w:space="0"/>
              <w:left w:val="nil"/>
              <w:bottom w:val="single" w:color="auto" w:sz="4" w:space="0"/>
              <w:right w:val="single" w:color="auto" w:sz="4" w:space="0"/>
            </w:tcBorders>
            <w:noWrap w:val="0"/>
            <w:vAlign w:val="center"/>
          </w:tcPr>
          <w:p w14:paraId="41B5B1BA">
            <w:pPr>
              <w:spacing w:line="360" w:lineRule="auto"/>
              <w:rPr>
                <w:rFonts w:hint="default"/>
                <w:color w:val="auto"/>
                <w:sz w:val="24"/>
                <w:szCs w:val="24"/>
                <w:highlight w:val="none"/>
                <w:lang w:val="en-US" w:eastAsia="zh-CN" w:bidi="ar"/>
              </w:rPr>
            </w:pPr>
            <w:r>
              <w:rPr>
                <w:rFonts w:hint="eastAsia"/>
                <w:color w:val="auto"/>
                <w:sz w:val="24"/>
                <w:szCs w:val="24"/>
                <w:highlight w:val="none"/>
                <w:lang w:val="en-US" w:eastAsia="zh-CN" w:bidi="ar"/>
              </w:rPr>
              <w:t>60日历天（响应文件递交截止之日起）</w:t>
            </w:r>
          </w:p>
        </w:tc>
      </w:tr>
      <w:tr w14:paraId="528F5BD0">
        <w:tblPrEx>
          <w:tblCellMar>
            <w:top w:w="0" w:type="dxa"/>
            <w:left w:w="108" w:type="dxa"/>
            <w:bottom w:w="0" w:type="dxa"/>
            <w:right w:w="108" w:type="dxa"/>
          </w:tblCellMar>
        </w:tblPrEx>
        <w:trPr>
          <w:cantSplit/>
          <w:trHeight w:val="588" w:hRule="atLeast"/>
        </w:trPr>
        <w:tc>
          <w:tcPr>
            <w:tcW w:w="895" w:type="dxa"/>
            <w:vMerge w:val="continue"/>
            <w:tcBorders>
              <w:top w:val="single" w:color="auto" w:sz="4" w:space="0"/>
              <w:left w:val="single" w:color="auto" w:sz="4" w:space="0"/>
              <w:bottom w:val="single" w:color="auto" w:sz="4" w:space="0"/>
              <w:right w:val="single" w:color="auto" w:sz="4" w:space="0"/>
            </w:tcBorders>
            <w:noWrap w:val="0"/>
            <w:vAlign w:val="center"/>
          </w:tcPr>
          <w:p w14:paraId="3C83C6C0">
            <w:pPr>
              <w:spacing w:line="360" w:lineRule="auto"/>
              <w:rPr>
                <w:rFonts w:hint="eastAsia"/>
                <w:color w:val="auto"/>
                <w:sz w:val="24"/>
                <w:szCs w:val="24"/>
                <w:highlight w:val="none"/>
              </w:rPr>
            </w:pPr>
          </w:p>
        </w:tc>
        <w:tc>
          <w:tcPr>
            <w:tcW w:w="795" w:type="dxa"/>
            <w:vMerge w:val="continue"/>
            <w:tcBorders>
              <w:top w:val="single" w:color="auto" w:sz="4" w:space="0"/>
              <w:left w:val="nil"/>
              <w:bottom w:val="single" w:color="auto" w:sz="4" w:space="0"/>
              <w:right w:val="single" w:color="auto" w:sz="4" w:space="0"/>
            </w:tcBorders>
            <w:noWrap w:val="0"/>
            <w:vAlign w:val="center"/>
          </w:tcPr>
          <w:p w14:paraId="2668D397">
            <w:pPr>
              <w:spacing w:line="360" w:lineRule="auto"/>
              <w:jc w:val="center"/>
              <w:rPr>
                <w:rFonts w:hint="eastAsia"/>
                <w:color w:val="auto"/>
                <w:sz w:val="24"/>
                <w:szCs w:val="24"/>
                <w:highlight w:val="none"/>
              </w:rPr>
            </w:pPr>
          </w:p>
        </w:tc>
        <w:tc>
          <w:tcPr>
            <w:tcW w:w="2040" w:type="dxa"/>
            <w:tcBorders>
              <w:top w:val="single" w:color="auto" w:sz="4" w:space="0"/>
              <w:left w:val="nil"/>
              <w:bottom w:val="single" w:color="auto" w:sz="4" w:space="0"/>
              <w:right w:val="single" w:color="auto" w:sz="4" w:space="0"/>
            </w:tcBorders>
            <w:noWrap w:val="0"/>
            <w:vAlign w:val="center"/>
          </w:tcPr>
          <w:p w14:paraId="4DBC3348">
            <w:pPr>
              <w:pStyle w:val="21"/>
              <w:widowControl/>
              <w:spacing w:line="360" w:lineRule="auto"/>
              <w:jc w:val="center"/>
              <w:rPr>
                <w:rFonts w:hint="eastAsia" w:hAnsi="宋体" w:eastAsia="宋体" w:cs="宋体"/>
                <w:color w:val="auto"/>
                <w:sz w:val="24"/>
                <w:szCs w:val="20"/>
                <w:highlight w:val="none"/>
                <w:lang w:eastAsia="zh-CN"/>
              </w:rPr>
            </w:pPr>
            <w:r>
              <w:rPr>
                <w:rFonts w:hint="eastAsia" w:hAnsi="宋体" w:cs="宋体"/>
                <w:color w:val="auto"/>
                <w:sz w:val="24"/>
                <w:szCs w:val="20"/>
                <w:highlight w:val="none"/>
                <w:lang w:eastAsia="zh-CN"/>
              </w:rPr>
              <w:t>质量要求</w:t>
            </w:r>
          </w:p>
        </w:tc>
        <w:tc>
          <w:tcPr>
            <w:tcW w:w="6015" w:type="dxa"/>
            <w:tcBorders>
              <w:top w:val="single" w:color="auto" w:sz="4" w:space="0"/>
              <w:left w:val="nil"/>
              <w:bottom w:val="single" w:color="auto" w:sz="4" w:space="0"/>
              <w:right w:val="single" w:color="auto" w:sz="4" w:space="0"/>
            </w:tcBorders>
            <w:noWrap w:val="0"/>
            <w:vAlign w:val="center"/>
          </w:tcPr>
          <w:p w14:paraId="7DB13E60">
            <w:pPr>
              <w:spacing w:line="360" w:lineRule="auto"/>
              <w:rPr>
                <w:rFonts w:hint="eastAsia" w:eastAsia="宋体"/>
                <w:color w:val="auto"/>
                <w:sz w:val="24"/>
                <w:szCs w:val="24"/>
                <w:highlight w:val="none"/>
                <w:lang w:eastAsia="zh-CN"/>
              </w:rPr>
            </w:pPr>
            <w:r>
              <w:rPr>
                <w:rFonts w:hint="eastAsia" w:eastAsia="宋体"/>
                <w:color w:val="auto"/>
                <w:sz w:val="24"/>
                <w:szCs w:val="24"/>
                <w:highlight w:val="none"/>
                <w:lang w:val="en-US" w:eastAsia="zh-CN"/>
              </w:rPr>
              <w:t>合格，</w:t>
            </w:r>
            <w:r>
              <w:rPr>
                <w:rFonts w:hint="eastAsia" w:eastAsia="宋体"/>
                <w:color w:val="auto"/>
                <w:sz w:val="24"/>
                <w:szCs w:val="24"/>
                <w:highlight w:val="none"/>
                <w:lang w:eastAsia="zh-CN"/>
              </w:rPr>
              <w:t>符合国家或行业相关现行标准</w:t>
            </w:r>
            <w:r>
              <w:rPr>
                <w:rFonts w:hint="eastAsia" w:eastAsia="宋体"/>
                <w:color w:val="auto"/>
                <w:sz w:val="24"/>
                <w:szCs w:val="24"/>
                <w:highlight w:val="none"/>
                <w:lang w:val="en-US" w:eastAsia="zh-CN"/>
              </w:rPr>
              <w:t>并满足采购人要求</w:t>
            </w:r>
          </w:p>
        </w:tc>
      </w:tr>
    </w:tbl>
    <w:p w14:paraId="6478B07F">
      <w:pPr>
        <w:pStyle w:val="10"/>
        <w:ind w:left="0" w:leftChars="0" w:firstLine="0" w:firstLineChars="0"/>
        <w:rPr>
          <w:rFonts w:hint="eastAsia"/>
          <w:color w:val="auto"/>
          <w:highlight w:val="none"/>
          <w:lang w:val="en-US" w:eastAsia="zh-CN"/>
        </w:rPr>
      </w:pPr>
      <w:r>
        <w:rPr>
          <w:rFonts w:hint="eastAsia"/>
          <w:color w:val="auto"/>
          <w:highlight w:val="none"/>
          <w:lang w:val="en-US" w:eastAsia="zh-CN"/>
        </w:rPr>
        <w:t>详细评审细则：</w:t>
      </w:r>
      <w:bookmarkStart w:id="76" w:name="_Toc510994118"/>
    </w:p>
    <w:tbl>
      <w:tblPr>
        <w:tblStyle w:val="17"/>
        <w:tblW w:w="96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298"/>
        <w:gridCol w:w="6819"/>
        <w:gridCol w:w="825"/>
      </w:tblGrid>
      <w:tr w14:paraId="1553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4" w:type="dxa"/>
            <w:noWrap w:val="0"/>
            <w:vAlign w:val="center"/>
          </w:tcPr>
          <w:p w14:paraId="42D23516">
            <w:pPr>
              <w:spacing w:line="24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序号</w:t>
            </w:r>
          </w:p>
        </w:tc>
        <w:tc>
          <w:tcPr>
            <w:tcW w:w="1298" w:type="dxa"/>
            <w:noWrap w:val="0"/>
            <w:vAlign w:val="center"/>
          </w:tcPr>
          <w:p w14:paraId="60BC961D">
            <w:pPr>
              <w:spacing w:line="24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评分因素</w:t>
            </w:r>
          </w:p>
        </w:tc>
        <w:tc>
          <w:tcPr>
            <w:tcW w:w="6819" w:type="dxa"/>
            <w:noWrap w:val="0"/>
            <w:vAlign w:val="center"/>
          </w:tcPr>
          <w:p w14:paraId="369FEB43">
            <w:pPr>
              <w:spacing w:line="24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评审标准</w:t>
            </w:r>
          </w:p>
        </w:tc>
        <w:tc>
          <w:tcPr>
            <w:tcW w:w="825" w:type="dxa"/>
            <w:noWrap w:val="0"/>
            <w:vAlign w:val="center"/>
          </w:tcPr>
          <w:p w14:paraId="1A2C4866">
            <w:pPr>
              <w:spacing w:line="24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分值</w:t>
            </w:r>
          </w:p>
        </w:tc>
      </w:tr>
      <w:tr w14:paraId="3D46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9666" w:type="dxa"/>
            <w:gridSpan w:val="4"/>
            <w:noWrap w:val="0"/>
            <w:vAlign w:val="center"/>
          </w:tcPr>
          <w:p w14:paraId="2DE96B9B">
            <w:pPr>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价格部分30分</w:t>
            </w:r>
          </w:p>
        </w:tc>
      </w:tr>
      <w:tr w14:paraId="0FA6A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24" w:type="dxa"/>
            <w:noWrap w:val="0"/>
            <w:vAlign w:val="center"/>
          </w:tcPr>
          <w:p w14:paraId="1755E6A9">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w:t>
            </w:r>
          </w:p>
        </w:tc>
        <w:tc>
          <w:tcPr>
            <w:tcW w:w="1298" w:type="dxa"/>
            <w:noWrap w:val="0"/>
            <w:vAlign w:val="center"/>
          </w:tcPr>
          <w:p w14:paraId="228C5A10">
            <w:pPr>
              <w:spacing w:line="360" w:lineRule="auto"/>
              <w:jc w:val="center"/>
              <w:rPr>
                <w:rFonts w:hint="eastAsia" w:ascii="宋体" w:hAnsi="宋体" w:eastAsia="宋体" w:cs="宋体"/>
                <w:color w:val="auto"/>
                <w:kern w:val="0"/>
                <w:sz w:val="24"/>
                <w:szCs w:val="24"/>
                <w:highlight w:val="none"/>
              </w:rPr>
            </w:pPr>
            <w:bookmarkStart w:id="77" w:name="OLE_LINK11"/>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报价</w:t>
            </w:r>
            <w:bookmarkEnd w:id="77"/>
          </w:p>
        </w:tc>
        <w:tc>
          <w:tcPr>
            <w:tcW w:w="6819" w:type="dxa"/>
            <w:noWrap w:val="0"/>
            <w:vAlign w:val="center"/>
          </w:tcPr>
          <w:p w14:paraId="034E8A42">
            <w:pPr>
              <w:keepNext w:val="0"/>
              <w:keepLines w:val="0"/>
              <w:pageBreakBefore w:val="0"/>
              <w:widowControl w:val="0"/>
              <w:overflowPunct/>
              <w:autoSpaceDE w:val="0"/>
              <w:autoSpaceDN w:val="0"/>
              <w:bidi w:val="0"/>
              <w:spacing w:line="360" w:lineRule="auto"/>
              <w:ind w:firstLine="60" w:firstLineChars="25"/>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综合评分法中的价格分用低价优先法计算，即满足竞争性磋商文件要求且投标价格最低的投标报价为评标基准价，其价格分为满分30分。</w:t>
            </w:r>
          </w:p>
          <w:p w14:paraId="3EDE7802">
            <w:pPr>
              <w:keepNext w:val="0"/>
              <w:keepLines w:val="0"/>
              <w:pageBreakBefore w:val="0"/>
              <w:widowControl w:val="0"/>
              <w:overflowPunct/>
              <w:autoSpaceDE w:val="0"/>
              <w:autoSpaceDN w:val="0"/>
              <w:bidi w:val="0"/>
              <w:spacing w:line="360" w:lineRule="auto"/>
              <w:ind w:firstLine="60" w:firstLineChars="25"/>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投标报价得分=(评标基准价/投标报价)×30</w:t>
            </w:r>
          </w:p>
          <w:p w14:paraId="591D81EF">
            <w:pPr>
              <w:keepNext w:val="0"/>
              <w:keepLines w:val="0"/>
              <w:pageBreakBefore w:val="0"/>
              <w:widowControl w:val="0"/>
              <w:overflowPunct/>
              <w:autoSpaceDE w:val="0"/>
              <w:autoSpaceDN w:val="0"/>
              <w:bidi w:val="0"/>
              <w:spacing w:line="360" w:lineRule="auto"/>
              <w:ind w:firstLine="60" w:firstLineChars="25"/>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注：（1）价格分计算保留小数点后两位。</w:t>
            </w:r>
          </w:p>
          <w:p w14:paraId="640A8F4E">
            <w:pPr>
              <w:keepNext w:val="0"/>
              <w:keepLines w:val="0"/>
              <w:pageBreakBefore w:val="0"/>
              <w:widowControl w:val="0"/>
              <w:overflowPunct/>
              <w:autoSpaceDE w:val="0"/>
              <w:autoSpaceDN w:val="0"/>
              <w:bidi w:val="0"/>
              <w:spacing w:line="360" w:lineRule="auto"/>
              <w:ind w:firstLine="60" w:firstLineChars="25"/>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磋商小组认为供应商的报价明显低于其他通过符合性审查供应商的报价，有可能影响项目实施或者不能诚信履约的，应当要求其在合理的时间内提供说明，必要时提交相关证明材料；供应商不能证明其报价合理性的，磋商小组应当将其作为无效标处理。</w:t>
            </w:r>
          </w:p>
          <w:p w14:paraId="557F8384">
            <w:pPr>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en-US" w:eastAsia="zh-CN"/>
              </w:rPr>
              <w:t>（3）落实政府采购政策满足的要求:本项目执行促进中小微型企业发展政策、优先采购节能环保产品等政府采购政策；本项目对小微企业的价格给予 20%的扣除，用扣除后的价格参与报价计算。参加投标的中小微企业，应当按照《政府采购促进中小企业发展暂行办法》（财库〔2011〕181号）的规定提供《中小企业声明函》（中小企业划型标准详见《关于印发中小企业划型标准规定的通知》工信部联企业〔2011〕300号）。 投标供应商为大型企业的不适用本款规定。</w:t>
            </w:r>
          </w:p>
        </w:tc>
        <w:tc>
          <w:tcPr>
            <w:tcW w:w="825" w:type="dxa"/>
            <w:noWrap w:val="0"/>
            <w:vAlign w:val="center"/>
          </w:tcPr>
          <w:p w14:paraId="45D189F5">
            <w:pPr>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30分</w:t>
            </w:r>
          </w:p>
        </w:tc>
      </w:tr>
      <w:tr w14:paraId="0759B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666" w:type="dxa"/>
            <w:gridSpan w:val="4"/>
            <w:noWrap w:val="0"/>
            <w:vAlign w:val="center"/>
          </w:tcPr>
          <w:p w14:paraId="7D60D0C0">
            <w:pPr>
              <w:spacing w:line="24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技术部分50分</w:t>
            </w:r>
          </w:p>
        </w:tc>
      </w:tr>
      <w:tr w14:paraId="334CE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 w:hRule="atLeast"/>
          <w:jc w:val="center"/>
        </w:trPr>
        <w:tc>
          <w:tcPr>
            <w:tcW w:w="724" w:type="dxa"/>
            <w:noWrap w:val="0"/>
            <w:vAlign w:val="center"/>
          </w:tcPr>
          <w:p w14:paraId="75D82FF9">
            <w:pPr>
              <w:spacing w:line="360" w:lineRule="auto"/>
              <w:ind w:firstLine="240" w:firstLineChars="10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1298" w:type="dxa"/>
            <w:noWrap w:val="0"/>
            <w:vAlign w:val="center"/>
          </w:tcPr>
          <w:p w14:paraId="501D3C8E">
            <w:pPr>
              <w:pStyle w:val="23"/>
              <w:jc w:val="center"/>
              <w:rPr>
                <w:rFonts w:hint="eastAsia" w:ascii="宋体" w:hAnsi="宋体" w:eastAsia="宋体" w:cs="宋体"/>
                <w:color w:val="auto"/>
                <w:kern w:val="0"/>
                <w:sz w:val="24"/>
                <w:szCs w:val="24"/>
                <w:highlight w:val="none"/>
              </w:rPr>
            </w:pPr>
            <w:r>
              <w:rPr>
                <w:b w:val="0"/>
                <w:bCs w:val="0"/>
                <w:color w:val="auto"/>
                <w:sz w:val="24"/>
                <w:szCs w:val="24"/>
                <w:highlight w:val="none"/>
                <w:lang w:eastAsia="zh-CN"/>
              </w:rPr>
              <w:t>设备技术规格、参数与要求响应</w:t>
            </w:r>
          </w:p>
        </w:tc>
        <w:tc>
          <w:tcPr>
            <w:tcW w:w="6819" w:type="dxa"/>
            <w:noWrap w:val="0"/>
            <w:vAlign w:val="center"/>
          </w:tcPr>
          <w:p w14:paraId="123191BB">
            <w:pPr>
              <w:pStyle w:val="23"/>
              <w:spacing w:line="360" w:lineRule="auto"/>
              <w:ind w:firstLine="480"/>
              <w:rPr>
                <w:rFonts w:hint="eastAsia"/>
                <w:color w:val="auto"/>
                <w:sz w:val="24"/>
                <w:szCs w:val="24"/>
                <w:highlight w:val="none"/>
                <w:lang w:eastAsia="zh-CN"/>
              </w:rPr>
            </w:pPr>
            <w:r>
              <w:rPr>
                <w:color w:val="auto"/>
                <w:sz w:val="24"/>
                <w:szCs w:val="24"/>
                <w:highlight w:val="none"/>
                <w:lang w:eastAsia="zh-CN"/>
              </w:rPr>
              <w:t>所有条款均符合</w:t>
            </w:r>
            <w:r>
              <w:rPr>
                <w:rFonts w:hint="eastAsia"/>
                <w:color w:val="auto"/>
                <w:sz w:val="24"/>
                <w:szCs w:val="24"/>
                <w:highlight w:val="none"/>
                <w:lang w:val="en-US" w:eastAsia="zh-CN"/>
              </w:rPr>
              <w:t>磋商</w:t>
            </w:r>
            <w:r>
              <w:rPr>
                <w:color w:val="auto"/>
                <w:sz w:val="24"/>
                <w:szCs w:val="24"/>
                <w:highlight w:val="none"/>
                <w:lang w:eastAsia="zh-CN"/>
              </w:rPr>
              <w:t>文件技术要求，得满分20分。</w:t>
            </w:r>
          </w:p>
          <w:p w14:paraId="2CC8BF96">
            <w:pPr>
              <w:pStyle w:val="23"/>
              <w:spacing w:line="360" w:lineRule="auto"/>
              <w:ind w:firstLine="480"/>
              <w:rPr>
                <w:rFonts w:hint="eastAsia"/>
                <w:color w:val="auto"/>
                <w:sz w:val="24"/>
                <w:szCs w:val="24"/>
                <w:highlight w:val="none"/>
                <w:lang w:eastAsia="zh-CN"/>
              </w:rPr>
            </w:pPr>
            <w:r>
              <w:rPr>
                <w:rFonts w:hint="eastAsia"/>
                <w:color w:val="auto"/>
                <w:sz w:val="24"/>
                <w:szCs w:val="24"/>
                <w:highlight w:val="none"/>
                <w:lang w:val="en-US" w:eastAsia="zh-CN"/>
              </w:rPr>
              <w:t>核心</w:t>
            </w:r>
            <w:r>
              <w:rPr>
                <w:color w:val="auto"/>
                <w:sz w:val="24"/>
                <w:szCs w:val="24"/>
                <w:highlight w:val="none"/>
                <w:lang w:eastAsia="zh-CN"/>
              </w:rPr>
              <w:t>产品</w:t>
            </w:r>
            <w:r>
              <w:rPr>
                <w:rFonts w:hint="eastAsia"/>
                <w:color w:val="auto"/>
                <w:sz w:val="24"/>
                <w:szCs w:val="24"/>
                <w:highlight w:val="none"/>
                <w:lang w:val="en-US" w:eastAsia="zh-CN"/>
              </w:rPr>
              <w:t>技术参数</w:t>
            </w:r>
            <w:r>
              <w:rPr>
                <w:color w:val="auto"/>
                <w:sz w:val="24"/>
                <w:szCs w:val="24"/>
                <w:highlight w:val="none"/>
                <w:lang w:eastAsia="zh-CN"/>
              </w:rPr>
              <w:t>每有一项负偏离即在满分20分的基础上扣除1分，超过3项负偏离本项不得分。</w:t>
            </w:r>
          </w:p>
          <w:p w14:paraId="441B6548">
            <w:pPr>
              <w:pStyle w:val="23"/>
              <w:spacing w:line="360" w:lineRule="auto"/>
              <w:ind w:firstLine="480" w:firstLineChars="0"/>
              <w:rPr>
                <w:rFonts w:hint="eastAsia" w:ascii="宋体" w:hAnsi="宋体" w:eastAsia="宋体" w:cs="宋体"/>
                <w:color w:val="auto"/>
                <w:kern w:val="0"/>
                <w:sz w:val="24"/>
                <w:szCs w:val="24"/>
                <w:highlight w:val="none"/>
              </w:rPr>
            </w:pPr>
            <w:r>
              <w:rPr>
                <w:color w:val="auto"/>
                <w:sz w:val="24"/>
                <w:szCs w:val="24"/>
                <w:highlight w:val="none"/>
                <w:lang w:eastAsia="zh-CN"/>
              </w:rPr>
              <w:t>注：</w:t>
            </w:r>
            <w:r>
              <w:rPr>
                <w:rFonts w:hint="eastAsia"/>
                <w:color w:val="auto"/>
                <w:sz w:val="24"/>
                <w:szCs w:val="24"/>
                <w:highlight w:val="none"/>
                <w:lang w:eastAsia="zh-CN"/>
              </w:rPr>
              <w:t>标★项参数须提供具备CMA或CNAS资质的第三方检测机构出具的检测报告作为评审依据</w:t>
            </w:r>
            <w:r>
              <w:rPr>
                <w:rFonts w:hint="eastAsia" w:ascii="宋体" w:hAnsi="宋体" w:eastAsia="宋体" w:cs="宋体"/>
                <w:color w:val="auto"/>
                <w:kern w:val="0"/>
                <w:sz w:val="24"/>
                <w:szCs w:val="24"/>
                <w:highlight w:val="none"/>
                <w:lang w:val="en-US" w:eastAsia="zh-CN" w:bidi="ar"/>
              </w:rPr>
              <w:t>，</w:t>
            </w:r>
            <w:r>
              <w:rPr>
                <w:rFonts w:ascii="宋体" w:hAnsi="宋体" w:eastAsia="宋体" w:cs="宋体"/>
                <w:color w:val="auto"/>
                <w:sz w:val="24"/>
                <w:szCs w:val="24"/>
                <w:highlight w:val="none"/>
              </w:rPr>
              <w:t>每一项标★</w:t>
            </w:r>
            <w:r>
              <w:rPr>
                <w:rFonts w:hint="eastAsia" w:ascii="宋体" w:hAnsi="宋体" w:eastAsia="宋体" w:cs="宋体"/>
                <w:color w:val="auto"/>
                <w:kern w:val="0"/>
                <w:sz w:val="24"/>
                <w:szCs w:val="24"/>
                <w:highlight w:val="none"/>
                <w:lang w:val="en-US" w:eastAsia="zh-CN" w:bidi="ar"/>
              </w:rPr>
              <w:t>不满足或未按要求提供报告的，计作一项负偏离，按上述规则扣分。未标注★参数，以投标文件内的技术参数偏差表作为评审依据，每有一项负偏离扣0.5分，扣完为止。</w:t>
            </w:r>
          </w:p>
        </w:tc>
        <w:tc>
          <w:tcPr>
            <w:tcW w:w="825" w:type="dxa"/>
            <w:noWrap w:val="0"/>
            <w:vAlign w:val="center"/>
          </w:tcPr>
          <w:p w14:paraId="522ECD46">
            <w:pPr>
              <w:spacing w:line="360" w:lineRule="auto"/>
              <w:jc w:val="center"/>
              <w:rPr>
                <w:rFonts w:hint="eastAsia" w:ascii="宋体" w:hAnsi="宋体" w:eastAsia="宋体" w:cs="宋体"/>
                <w:color w:val="auto"/>
                <w:kern w:val="0"/>
                <w:sz w:val="24"/>
                <w:szCs w:val="24"/>
                <w:highlight w:val="none"/>
              </w:rPr>
            </w:pPr>
            <w:r>
              <w:rPr>
                <w:rFonts w:hint="eastAsia" w:cs="宋体"/>
                <w:color w:val="auto"/>
                <w:kern w:val="0"/>
                <w:sz w:val="24"/>
                <w:szCs w:val="24"/>
                <w:highlight w:val="none"/>
                <w:lang w:val="en-US" w:eastAsia="zh-CN"/>
              </w:rPr>
              <w:t>20</w:t>
            </w:r>
            <w:r>
              <w:rPr>
                <w:rFonts w:hint="eastAsia" w:ascii="宋体" w:hAnsi="宋体" w:eastAsia="宋体" w:cs="宋体"/>
                <w:color w:val="auto"/>
                <w:kern w:val="0"/>
                <w:sz w:val="24"/>
                <w:szCs w:val="24"/>
                <w:highlight w:val="none"/>
              </w:rPr>
              <w:t>分</w:t>
            </w:r>
          </w:p>
        </w:tc>
      </w:tr>
      <w:tr w14:paraId="489E5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jc w:val="center"/>
        </w:trPr>
        <w:tc>
          <w:tcPr>
            <w:tcW w:w="724" w:type="dxa"/>
            <w:noWrap w:val="0"/>
            <w:vAlign w:val="center"/>
          </w:tcPr>
          <w:p w14:paraId="27281B7A">
            <w:pPr>
              <w:spacing w:line="360" w:lineRule="auto"/>
              <w:ind w:firstLine="240" w:firstLineChars="100"/>
              <w:jc w:val="both"/>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2</w:t>
            </w:r>
          </w:p>
        </w:tc>
        <w:tc>
          <w:tcPr>
            <w:tcW w:w="1298" w:type="dxa"/>
            <w:noWrap w:val="0"/>
            <w:vAlign w:val="center"/>
          </w:tcPr>
          <w:p w14:paraId="0F68F22B">
            <w:pPr>
              <w:pStyle w:val="23"/>
              <w:jc w:val="center"/>
              <w:rPr>
                <w:rFonts w:hint="eastAsia" w:ascii="宋体" w:hAnsi="宋体" w:eastAsia="宋体" w:cs="宋体"/>
                <w:color w:val="auto"/>
                <w:kern w:val="0"/>
                <w:sz w:val="24"/>
                <w:szCs w:val="24"/>
                <w:highlight w:val="none"/>
              </w:rPr>
            </w:pPr>
            <w:r>
              <w:rPr>
                <w:b w:val="0"/>
                <w:bCs w:val="0"/>
                <w:color w:val="auto"/>
                <w:sz w:val="24"/>
                <w:szCs w:val="24"/>
                <w:highlight w:val="none"/>
              </w:rPr>
              <w:t>实施方案</w:t>
            </w:r>
          </w:p>
        </w:tc>
        <w:tc>
          <w:tcPr>
            <w:tcW w:w="6819" w:type="dxa"/>
            <w:noWrap w:val="0"/>
            <w:vAlign w:val="center"/>
          </w:tcPr>
          <w:p w14:paraId="6326520E">
            <w:pPr>
              <w:rPr>
                <w:rFonts w:hint="eastAsia" w:ascii="宋体" w:hAnsi="宋体" w:eastAsia="宋体" w:cs="宋体"/>
                <w:color w:val="auto"/>
                <w:kern w:val="0"/>
                <w:sz w:val="24"/>
                <w:szCs w:val="24"/>
                <w:highlight w:val="none"/>
              </w:rPr>
            </w:pPr>
            <w:r>
              <w:rPr>
                <w:color w:val="auto"/>
                <w:sz w:val="24"/>
                <w:szCs w:val="24"/>
                <w:highlight w:val="none"/>
                <w:lang w:eastAsia="zh-CN"/>
              </w:rPr>
              <w:t>投标人具有详细、全面、切实可行的供货和运输方案；设备安装时严格执行安全操作规程，加强安全防护进行施工具有完善的安全保障措施得</w:t>
            </w:r>
            <w:r>
              <w:rPr>
                <w:rFonts w:hint="eastAsia"/>
                <w:color w:val="auto"/>
                <w:sz w:val="24"/>
                <w:szCs w:val="24"/>
                <w:highlight w:val="none"/>
                <w:lang w:val="en-US" w:eastAsia="zh-CN"/>
              </w:rPr>
              <w:t>10</w:t>
            </w:r>
            <w:r>
              <w:rPr>
                <w:color w:val="auto"/>
                <w:sz w:val="24"/>
                <w:szCs w:val="24"/>
                <w:highlight w:val="none"/>
                <w:lang w:eastAsia="zh-CN"/>
              </w:rPr>
              <w:t>分；措施一般较完善</w:t>
            </w:r>
            <w:r>
              <w:rPr>
                <w:rFonts w:hint="eastAsia"/>
                <w:color w:val="auto"/>
                <w:sz w:val="24"/>
                <w:szCs w:val="24"/>
                <w:highlight w:val="none"/>
                <w:lang w:val="en-US" w:eastAsia="zh-CN"/>
              </w:rPr>
              <w:t>6</w:t>
            </w:r>
            <w:r>
              <w:rPr>
                <w:color w:val="auto"/>
                <w:sz w:val="24"/>
                <w:szCs w:val="24"/>
                <w:highlight w:val="none"/>
                <w:lang w:eastAsia="zh-CN"/>
              </w:rPr>
              <w:t>分；内容不详细、缺乏可行性的得</w:t>
            </w:r>
            <w:r>
              <w:rPr>
                <w:rFonts w:hint="eastAsia"/>
                <w:color w:val="auto"/>
                <w:sz w:val="24"/>
                <w:szCs w:val="24"/>
                <w:highlight w:val="none"/>
                <w:lang w:val="en-US" w:eastAsia="zh-CN"/>
              </w:rPr>
              <w:t>2</w:t>
            </w:r>
            <w:r>
              <w:rPr>
                <w:color w:val="auto"/>
                <w:sz w:val="24"/>
                <w:szCs w:val="24"/>
                <w:highlight w:val="none"/>
                <w:lang w:eastAsia="zh-CN"/>
              </w:rPr>
              <w:t>分；缺项不得分。</w:t>
            </w:r>
          </w:p>
        </w:tc>
        <w:tc>
          <w:tcPr>
            <w:tcW w:w="825" w:type="dxa"/>
            <w:noWrap w:val="0"/>
            <w:vAlign w:val="center"/>
          </w:tcPr>
          <w:p w14:paraId="73C35B62">
            <w:pPr>
              <w:spacing w:line="360" w:lineRule="auto"/>
              <w:jc w:val="center"/>
              <w:rPr>
                <w:rFonts w:hint="eastAsia" w:ascii="宋体" w:hAnsi="宋体" w:eastAsia="宋体" w:cs="宋体"/>
                <w:color w:val="auto"/>
                <w:kern w:val="0"/>
                <w:sz w:val="24"/>
                <w:szCs w:val="24"/>
                <w:highlight w:val="none"/>
              </w:rPr>
            </w:pPr>
            <w:r>
              <w:rPr>
                <w:rFonts w:hint="eastAsia"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分</w:t>
            </w:r>
          </w:p>
        </w:tc>
      </w:tr>
      <w:tr w14:paraId="74727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 w:hRule="atLeast"/>
          <w:jc w:val="center"/>
        </w:trPr>
        <w:tc>
          <w:tcPr>
            <w:tcW w:w="724" w:type="dxa"/>
            <w:noWrap w:val="0"/>
            <w:vAlign w:val="center"/>
          </w:tcPr>
          <w:p w14:paraId="1A9B2D9B">
            <w:pPr>
              <w:spacing w:line="360" w:lineRule="auto"/>
              <w:ind w:firstLine="240" w:firstLineChars="100"/>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w:t>
            </w:r>
          </w:p>
        </w:tc>
        <w:tc>
          <w:tcPr>
            <w:tcW w:w="1298" w:type="dxa"/>
            <w:noWrap w:val="0"/>
            <w:vAlign w:val="center"/>
          </w:tcPr>
          <w:p w14:paraId="00B2E94D">
            <w:pPr>
              <w:pStyle w:val="23"/>
              <w:jc w:val="center"/>
              <w:rPr>
                <w:rFonts w:hint="eastAsia" w:ascii="宋体" w:hAnsi="宋体" w:eastAsia="宋体" w:cs="宋体"/>
                <w:color w:val="auto"/>
                <w:kern w:val="0"/>
                <w:sz w:val="24"/>
                <w:szCs w:val="24"/>
                <w:highlight w:val="none"/>
              </w:rPr>
            </w:pPr>
            <w:r>
              <w:rPr>
                <w:b w:val="0"/>
                <w:bCs w:val="0"/>
                <w:color w:val="auto"/>
                <w:sz w:val="24"/>
                <w:szCs w:val="24"/>
                <w:highlight w:val="none"/>
                <w:lang w:eastAsia="zh-CN"/>
              </w:rPr>
              <w:t>供货期保证措施</w:t>
            </w:r>
          </w:p>
        </w:tc>
        <w:tc>
          <w:tcPr>
            <w:tcW w:w="6819" w:type="dxa"/>
            <w:noWrap w:val="0"/>
            <w:vAlign w:val="center"/>
          </w:tcPr>
          <w:p w14:paraId="025800A5">
            <w:pPr>
              <w:pStyle w:val="23"/>
              <w:spacing w:line="360" w:lineRule="auto"/>
              <w:ind w:firstLine="0" w:firstLineChars="0"/>
              <w:rPr>
                <w:rFonts w:hint="eastAsia" w:ascii="宋体" w:hAnsi="宋体" w:eastAsia="宋体" w:cs="宋体"/>
                <w:color w:val="auto"/>
                <w:kern w:val="0"/>
                <w:sz w:val="24"/>
                <w:szCs w:val="24"/>
                <w:highlight w:val="none"/>
              </w:rPr>
            </w:pPr>
            <w:r>
              <w:rPr>
                <w:color w:val="auto"/>
                <w:sz w:val="24"/>
                <w:szCs w:val="24"/>
                <w:highlight w:val="none"/>
                <w:lang w:eastAsia="zh-CN"/>
              </w:rPr>
              <w:t>安装进度安排及工期保证措施细致、合理、可行得</w:t>
            </w:r>
            <w:r>
              <w:rPr>
                <w:rFonts w:hint="eastAsia"/>
                <w:color w:val="auto"/>
                <w:sz w:val="24"/>
                <w:szCs w:val="24"/>
                <w:highlight w:val="none"/>
                <w:lang w:val="en-US" w:eastAsia="zh-CN"/>
              </w:rPr>
              <w:t>10</w:t>
            </w:r>
            <w:r>
              <w:rPr>
                <w:color w:val="auto"/>
                <w:sz w:val="24"/>
                <w:szCs w:val="24"/>
                <w:highlight w:val="none"/>
                <w:lang w:eastAsia="zh-CN"/>
              </w:rPr>
              <w:t>分；措施一般可行得</w:t>
            </w:r>
            <w:r>
              <w:rPr>
                <w:rFonts w:hint="eastAsia"/>
                <w:color w:val="auto"/>
                <w:sz w:val="24"/>
                <w:szCs w:val="24"/>
                <w:highlight w:val="none"/>
                <w:lang w:val="en-US" w:eastAsia="zh-CN"/>
              </w:rPr>
              <w:t>6</w:t>
            </w:r>
            <w:r>
              <w:rPr>
                <w:color w:val="auto"/>
                <w:sz w:val="24"/>
                <w:szCs w:val="24"/>
                <w:highlight w:val="none"/>
                <w:lang w:eastAsia="zh-CN"/>
              </w:rPr>
              <w:t>分；内容不详细、缺乏可行性的得</w:t>
            </w:r>
            <w:r>
              <w:rPr>
                <w:rFonts w:hint="eastAsia"/>
                <w:color w:val="auto"/>
                <w:sz w:val="24"/>
                <w:szCs w:val="24"/>
                <w:highlight w:val="none"/>
                <w:lang w:val="en-US" w:eastAsia="zh-CN"/>
              </w:rPr>
              <w:t>2</w:t>
            </w:r>
            <w:r>
              <w:rPr>
                <w:color w:val="auto"/>
                <w:sz w:val="24"/>
                <w:szCs w:val="24"/>
                <w:highlight w:val="none"/>
                <w:lang w:eastAsia="zh-CN"/>
              </w:rPr>
              <w:t>分；缺项不得分。</w:t>
            </w:r>
          </w:p>
        </w:tc>
        <w:tc>
          <w:tcPr>
            <w:tcW w:w="825" w:type="dxa"/>
            <w:noWrap w:val="0"/>
            <w:vAlign w:val="center"/>
          </w:tcPr>
          <w:p w14:paraId="5892DB7B">
            <w:pPr>
              <w:spacing w:line="360" w:lineRule="auto"/>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10分</w:t>
            </w:r>
          </w:p>
        </w:tc>
      </w:tr>
      <w:tr w14:paraId="63455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724" w:type="dxa"/>
            <w:noWrap w:val="0"/>
            <w:vAlign w:val="center"/>
          </w:tcPr>
          <w:p w14:paraId="78B6E6C2">
            <w:pPr>
              <w:spacing w:line="360" w:lineRule="auto"/>
              <w:ind w:firstLine="240" w:firstLineChars="100"/>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w:t>
            </w:r>
          </w:p>
        </w:tc>
        <w:tc>
          <w:tcPr>
            <w:tcW w:w="1298" w:type="dxa"/>
            <w:noWrap w:val="0"/>
            <w:vAlign w:val="center"/>
          </w:tcPr>
          <w:p w14:paraId="2572431F">
            <w:pPr>
              <w:pStyle w:val="23"/>
              <w:jc w:val="center"/>
              <w:rPr>
                <w:rFonts w:hint="eastAsia" w:ascii="宋体" w:hAnsi="宋体" w:eastAsia="宋体" w:cs="宋体"/>
                <w:color w:val="auto"/>
                <w:kern w:val="0"/>
                <w:sz w:val="24"/>
                <w:szCs w:val="24"/>
                <w:highlight w:val="none"/>
              </w:rPr>
            </w:pPr>
            <w:r>
              <w:rPr>
                <w:b w:val="0"/>
                <w:bCs w:val="0"/>
                <w:color w:val="auto"/>
                <w:sz w:val="24"/>
                <w:szCs w:val="24"/>
                <w:highlight w:val="none"/>
              </w:rPr>
              <w:t>质量保障措施</w:t>
            </w:r>
          </w:p>
        </w:tc>
        <w:tc>
          <w:tcPr>
            <w:tcW w:w="6819" w:type="dxa"/>
            <w:noWrap w:val="0"/>
            <w:vAlign w:val="center"/>
          </w:tcPr>
          <w:p w14:paraId="21CF8232">
            <w:pPr>
              <w:pStyle w:val="23"/>
              <w:spacing w:line="360" w:lineRule="auto"/>
              <w:ind w:firstLine="0" w:firstLineChars="0"/>
              <w:rPr>
                <w:rFonts w:hint="eastAsia" w:ascii="宋体" w:hAnsi="宋体" w:eastAsia="宋体" w:cs="宋体"/>
                <w:color w:val="auto"/>
                <w:kern w:val="0"/>
                <w:sz w:val="24"/>
                <w:szCs w:val="24"/>
                <w:highlight w:val="none"/>
              </w:rPr>
            </w:pPr>
            <w:r>
              <w:rPr>
                <w:color w:val="auto"/>
                <w:sz w:val="24"/>
                <w:szCs w:val="24"/>
                <w:highlight w:val="none"/>
                <w:lang w:eastAsia="zh-CN"/>
              </w:rPr>
              <w:t>所提供产品的质量要求是否符合国家、行业相关规范，质量保证期内、外服务内容、标准及承诺,具有完善的质量保障措施得5分；措施一般较完善得2分；内容不详细、缺乏可行性的得1分；缺项不得分。</w:t>
            </w:r>
          </w:p>
        </w:tc>
        <w:tc>
          <w:tcPr>
            <w:tcW w:w="825" w:type="dxa"/>
            <w:noWrap w:val="0"/>
            <w:vAlign w:val="center"/>
          </w:tcPr>
          <w:p w14:paraId="3763C547">
            <w:pPr>
              <w:spacing w:line="360" w:lineRule="auto"/>
              <w:jc w:val="center"/>
              <w:rPr>
                <w:rFonts w:hint="eastAsia" w:ascii="宋体" w:hAnsi="宋体" w:eastAsia="宋体" w:cs="宋体"/>
                <w:color w:val="auto"/>
                <w:kern w:val="0"/>
                <w:sz w:val="24"/>
                <w:szCs w:val="24"/>
                <w:highlight w:val="none"/>
                <w:lang w:val="en-US" w:eastAsia="zh-CN"/>
              </w:rPr>
            </w:pPr>
            <w:r>
              <w:rPr>
                <w:rFonts w:hint="eastAsia"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lang w:val="en-US" w:eastAsia="zh-CN"/>
              </w:rPr>
              <w:t>分</w:t>
            </w:r>
          </w:p>
        </w:tc>
      </w:tr>
      <w:tr w14:paraId="3EA2B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jc w:val="center"/>
        </w:trPr>
        <w:tc>
          <w:tcPr>
            <w:tcW w:w="724" w:type="dxa"/>
            <w:noWrap w:val="0"/>
            <w:vAlign w:val="center"/>
          </w:tcPr>
          <w:p w14:paraId="5BBAA74C">
            <w:pPr>
              <w:spacing w:line="360" w:lineRule="auto"/>
              <w:ind w:firstLine="240" w:firstLineChars="100"/>
              <w:jc w:val="both"/>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5</w:t>
            </w:r>
          </w:p>
        </w:tc>
        <w:tc>
          <w:tcPr>
            <w:tcW w:w="1298" w:type="dxa"/>
            <w:noWrap w:val="0"/>
            <w:vAlign w:val="center"/>
          </w:tcPr>
          <w:p w14:paraId="412BA7EF">
            <w:pPr>
              <w:pStyle w:val="23"/>
              <w:jc w:val="center"/>
              <w:rPr>
                <w:rFonts w:hint="eastAsia" w:ascii="宋体" w:hAnsi="宋体" w:eastAsia="宋体" w:cs="宋体"/>
                <w:color w:val="auto"/>
                <w:kern w:val="0"/>
                <w:sz w:val="24"/>
                <w:szCs w:val="24"/>
                <w:highlight w:val="none"/>
              </w:rPr>
            </w:pPr>
            <w:r>
              <w:rPr>
                <w:b w:val="0"/>
                <w:bCs w:val="0"/>
                <w:color w:val="auto"/>
                <w:sz w:val="24"/>
                <w:szCs w:val="24"/>
                <w:highlight w:val="none"/>
              </w:rPr>
              <w:t>安全管理</w:t>
            </w:r>
            <w:r>
              <w:rPr>
                <w:rFonts w:hint="eastAsia"/>
                <w:b w:val="0"/>
                <w:bCs w:val="0"/>
                <w:color w:val="auto"/>
                <w:sz w:val="24"/>
                <w:szCs w:val="24"/>
                <w:highlight w:val="none"/>
              </w:rPr>
              <w:t>体系保障与措施</w:t>
            </w:r>
          </w:p>
        </w:tc>
        <w:tc>
          <w:tcPr>
            <w:tcW w:w="6819" w:type="dxa"/>
            <w:noWrap w:val="0"/>
            <w:vAlign w:val="center"/>
          </w:tcPr>
          <w:p w14:paraId="3121A248">
            <w:pPr>
              <w:rPr>
                <w:rFonts w:hint="eastAsia" w:ascii="宋体" w:hAnsi="宋体" w:eastAsia="宋体" w:cs="宋体"/>
                <w:color w:val="auto"/>
                <w:kern w:val="0"/>
                <w:sz w:val="24"/>
                <w:szCs w:val="24"/>
                <w:highlight w:val="none"/>
              </w:rPr>
            </w:pPr>
            <w:r>
              <w:rPr>
                <w:color w:val="auto"/>
                <w:sz w:val="24"/>
                <w:szCs w:val="24"/>
                <w:highlight w:val="none"/>
                <w:lang w:eastAsia="zh-CN"/>
              </w:rPr>
              <w:t>根据安全保障措施的合理性、可行性，应对突发事件(如自</w:t>
            </w:r>
            <w:r>
              <w:rPr>
                <w:rFonts w:hint="eastAsia"/>
                <w:color w:val="auto"/>
                <w:sz w:val="24"/>
                <w:szCs w:val="24"/>
                <w:highlight w:val="none"/>
                <w:lang w:eastAsia="zh-CN"/>
              </w:rPr>
              <w:t>然灾害、设备损坏等)紧急处理方案赋分。措施详细、合理，可操作性强得5分；措施一般可行的得2分；内容不详细、缺乏可行性的得1分；缺项不得分。</w:t>
            </w:r>
          </w:p>
        </w:tc>
        <w:tc>
          <w:tcPr>
            <w:tcW w:w="825" w:type="dxa"/>
            <w:noWrap w:val="0"/>
            <w:vAlign w:val="center"/>
          </w:tcPr>
          <w:p w14:paraId="1A457927">
            <w:pPr>
              <w:spacing w:line="360" w:lineRule="auto"/>
              <w:jc w:val="center"/>
              <w:rPr>
                <w:rFonts w:hint="eastAsia" w:ascii="宋体" w:hAnsi="宋体" w:eastAsia="宋体" w:cs="宋体"/>
                <w:color w:val="auto"/>
                <w:kern w:val="0"/>
                <w:sz w:val="24"/>
                <w:szCs w:val="24"/>
                <w:highlight w:val="none"/>
                <w:lang w:val="en-US" w:eastAsia="zh-CN"/>
              </w:rPr>
            </w:pPr>
            <w:r>
              <w:rPr>
                <w:rFonts w:hint="eastAsia" w:cs="宋体"/>
                <w:bCs/>
                <w:color w:val="auto"/>
                <w:sz w:val="24"/>
                <w:szCs w:val="24"/>
                <w:highlight w:val="none"/>
                <w:shd w:val="clear" w:color="auto" w:fill="auto"/>
                <w:lang w:val="en-US" w:eastAsia="zh-CN"/>
              </w:rPr>
              <w:t>5</w:t>
            </w:r>
            <w:r>
              <w:rPr>
                <w:rFonts w:hint="eastAsia" w:ascii="宋体" w:hAnsi="宋体" w:eastAsia="宋体" w:cs="宋体"/>
                <w:bCs/>
                <w:color w:val="auto"/>
                <w:sz w:val="24"/>
                <w:szCs w:val="24"/>
                <w:highlight w:val="none"/>
                <w:shd w:val="clear" w:color="auto" w:fill="auto"/>
                <w:lang w:val="en-US" w:eastAsia="zh-CN"/>
              </w:rPr>
              <w:t>分</w:t>
            </w:r>
          </w:p>
        </w:tc>
      </w:tr>
      <w:tr w14:paraId="67AA5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666" w:type="dxa"/>
            <w:gridSpan w:val="4"/>
            <w:noWrap w:val="0"/>
            <w:vAlign w:val="center"/>
          </w:tcPr>
          <w:p w14:paraId="446D92BA">
            <w:pPr>
              <w:spacing w:line="240" w:lineRule="auto"/>
              <w:jc w:val="center"/>
              <w:rPr>
                <w:rFonts w:hint="eastAsia" w:ascii="宋体" w:hAnsi="宋体" w:eastAsia="宋体" w:cs="宋体"/>
                <w:color w:val="auto"/>
                <w:kern w:val="0"/>
                <w:sz w:val="24"/>
                <w:szCs w:val="24"/>
                <w:highlight w:val="none"/>
              </w:rPr>
            </w:pPr>
            <w:r>
              <w:rPr>
                <w:rFonts w:hint="eastAsia" w:cs="宋体"/>
                <w:b/>
                <w:color w:val="auto"/>
                <w:sz w:val="24"/>
                <w:szCs w:val="24"/>
                <w:highlight w:val="none"/>
                <w:lang w:eastAsia="zh-CN"/>
              </w:rPr>
              <w:t>商务</w:t>
            </w:r>
            <w:r>
              <w:rPr>
                <w:rFonts w:hint="eastAsia" w:ascii="宋体" w:hAnsi="宋体" w:eastAsia="宋体" w:cs="宋体"/>
                <w:b/>
                <w:color w:val="auto"/>
                <w:sz w:val="24"/>
                <w:szCs w:val="24"/>
                <w:highlight w:val="none"/>
              </w:rPr>
              <w:t>部分</w:t>
            </w:r>
            <w:r>
              <w:rPr>
                <w:rFonts w:hint="eastAsia" w:ascii="宋体" w:hAnsi="宋体" w:eastAsia="宋体" w:cs="宋体"/>
                <w:b/>
                <w:color w:val="auto"/>
                <w:sz w:val="24"/>
                <w:szCs w:val="24"/>
                <w:highlight w:val="none"/>
                <w:lang w:val="en-US" w:eastAsia="zh-CN"/>
              </w:rPr>
              <w:t>2</w:t>
            </w:r>
            <w:r>
              <w:rPr>
                <w:rFonts w:hint="eastAsia" w:cs="宋体"/>
                <w:b/>
                <w:color w:val="auto"/>
                <w:sz w:val="24"/>
                <w:szCs w:val="24"/>
                <w:highlight w:val="none"/>
                <w:lang w:val="en-US" w:eastAsia="zh-CN"/>
              </w:rPr>
              <w:t>0</w:t>
            </w:r>
            <w:r>
              <w:rPr>
                <w:rFonts w:hint="eastAsia" w:ascii="宋体" w:hAnsi="宋体" w:eastAsia="宋体" w:cs="宋体"/>
                <w:b/>
                <w:color w:val="auto"/>
                <w:sz w:val="24"/>
                <w:szCs w:val="24"/>
                <w:highlight w:val="none"/>
              </w:rPr>
              <w:t>分</w:t>
            </w:r>
          </w:p>
        </w:tc>
      </w:tr>
      <w:tr w14:paraId="72717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jc w:val="center"/>
        </w:trPr>
        <w:tc>
          <w:tcPr>
            <w:tcW w:w="724" w:type="dxa"/>
            <w:noWrap w:val="0"/>
            <w:vAlign w:val="center"/>
          </w:tcPr>
          <w:p w14:paraId="3B8A3AD5">
            <w:pPr>
              <w:spacing w:line="360" w:lineRule="auto"/>
              <w:ind w:firstLine="240" w:firstLineChars="10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1298" w:type="dxa"/>
            <w:noWrap w:val="0"/>
            <w:vAlign w:val="center"/>
          </w:tcPr>
          <w:p w14:paraId="2E9EEBAB">
            <w:pPr>
              <w:pageBreakBefore w:val="0"/>
              <w:wordWrap/>
              <w:overflowPunct/>
              <w:bidi w:val="0"/>
              <w:spacing w:line="360" w:lineRule="auto"/>
              <w:jc w:val="center"/>
              <w:rPr>
                <w:rFonts w:hint="eastAsia" w:ascii="宋体" w:hAnsi="宋体" w:eastAsia="宋体" w:cs="宋体"/>
                <w:color w:val="auto"/>
                <w:kern w:val="0"/>
                <w:sz w:val="24"/>
                <w:szCs w:val="24"/>
                <w:highlight w:val="none"/>
              </w:rPr>
            </w:pPr>
            <w:r>
              <w:rPr>
                <w:rFonts w:hint="eastAsia" w:ascii="宋体" w:hAnsi="宋体"/>
                <w:color w:val="auto"/>
                <w:sz w:val="24"/>
                <w:szCs w:val="24"/>
                <w:highlight w:val="none"/>
              </w:rPr>
              <w:t>类似项目业绩</w:t>
            </w:r>
          </w:p>
        </w:tc>
        <w:tc>
          <w:tcPr>
            <w:tcW w:w="6819" w:type="dxa"/>
            <w:noWrap w:val="0"/>
            <w:vAlign w:val="center"/>
          </w:tcPr>
          <w:p w14:paraId="6AE117C1">
            <w:pPr>
              <w:keepNext w:val="0"/>
              <w:keepLines w:val="0"/>
              <w:pageBreakBefore w:val="0"/>
              <w:numPr>
                <w:ilvl w:val="0"/>
                <w:numId w:val="0"/>
              </w:numPr>
              <w:shd w:val="clear" w:color="auto" w:fill="auto"/>
              <w:tabs>
                <w:tab w:val="left" w:pos="720"/>
              </w:tabs>
              <w:kinsoku/>
              <w:wordWrap/>
              <w:overflowPunct/>
              <w:topLinePunct w:val="0"/>
              <w:bidi w:val="0"/>
              <w:spacing w:line="440" w:lineRule="exact"/>
              <w:ind w:left="0" w:leftChars="0" w:firstLine="0" w:firstLineChars="0"/>
              <w:jc w:val="left"/>
              <w:textAlignment w:val="auto"/>
              <w:rPr>
                <w:rFonts w:hint="eastAsia" w:ascii="宋体" w:hAnsi="宋体" w:eastAsia="宋体" w:cs="宋体"/>
                <w:bCs/>
                <w:color w:val="auto"/>
                <w:kern w:val="2"/>
                <w:sz w:val="24"/>
                <w:szCs w:val="24"/>
                <w:highlight w:val="none"/>
                <w:shd w:val="clear" w:color="auto" w:fill="auto"/>
                <w:lang w:val="en-US" w:eastAsia="zh-CN" w:bidi="ar-SA"/>
              </w:rPr>
            </w:pPr>
            <w:r>
              <w:rPr>
                <w:rFonts w:hint="eastAsia" w:ascii="宋体" w:hAnsi="宋体" w:eastAsia="宋体" w:cs="宋体"/>
                <w:bCs/>
                <w:color w:val="auto"/>
                <w:kern w:val="2"/>
                <w:sz w:val="24"/>
                <w:szCs w:val="24"/>
                <w:highlight w:val="none"/>
                <w:shd w:val="clear" w:color="auto" w:fill="auto"/>
                <w:lang w:val="en-US" w:eastAsia="zh-CN" w:bidi="ar-SA"/>
              </w:rPr>
              <w:t>响应人须提供2023年1月1日（合同签订时间）以来类似项目业绩，每提供1份得2分，本项最高得4分。</w:t>
            </w:r>
          </w:p>
          <w:p w14:paraId="4A7F56DD">
            <w:pPr>
              <w:keepNext w:val="0"/>
              <w:keepLines w:val="0"/>
              <w:pageBreakBefore w:val="0"/>
              <w:numPr>
                <w:ilvl w:val="0"/>
                <w:numId w:val="0"/>
              </w:numPr>
              <w:shd w:val="clear" w:color="auto" w:fill="auto"/>
              <w:tabs>
                <w:tab w:val="left" w:pos="720"/>
              </w:tabs>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Cs/>
                <w:color w:val="auto"/>
                <w:kern w:val="2"/>
                <w:sz w:val="24"/>
                <w:szCs w:val="24"/>
                <w:highlight w:val="none"/>
                <w:shd w:val="clear" w:color="auto" w:fill="auto"/>
                <w:lang w:val="en-US" w:eastAsia="zh-CN" w:bidi="ar-SA"/>
              </w:rPr>
              <w:t>注：提供中标通知书、对应发票、供货合同原件扫描件，不符合要求的业绩不得分。</w:t>
            </w:r>
          </w:p>
        </w:tc>
        <w:tc>
          <w:tcPr>
            <w:tcW w:w="825" w:type="dxa"/>
            <w:noWrap w:val="0"/>
            <w:vAlign w:val="center"/>
          </w:tcPr>
          <w:p w14:paraId="5D41693E">
            <w:pPr>
              <w:pageBreakBefore w:val="0"/>
              <w:wordWrap/>
              <w:overflowPunct/>
              <w:bidi w:val="0"/>
              <w:spacing w:line="360" w:lineRule="auto"/>
              <w:jc w:val="center"/>
              <w:rPr>
                <w:rFonts w:hint="eastAsia" w:ascii="宋体" w:hAnsi="宋体" w:eastAsia="宋体" w:cs="宋体"/>
                <w:color w:val="auto"/>
                <w:kern w:val="0"/>
                <w:sz w:val="24"/>
                <w:szCs w:val="24"/>
                <w:highlight w:val="none"/>
              </w:rPr>
            </w:pPr>
            <w:r>
              <w:rPr>
                <w:rFonts w:hint="eastAsia" w:ascii="宋体" w:hAnsi="宋体"/>
                <w:color w:val="auto"/>
                <w:sz w:val="24"/>
                <w:szCs w:val="24"/>
                <w:highlight w:val="none"/>
                <w:lang w:val="en-US" w:eastAsia="zh-CN"/>
              </w:rPr>
              <w:t>4分</w:t>
            </w:r>
          </w:p>
        </w:tc>
      </w:tr>
      <w:tr w14:paraId="36E34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24" w:type="dxa"/>
            <w:noWrap w:val="0"/>
            <w:vAlign w:val="center"/>
          </w:tcPr>
          <w:p w14:paraId="057B3585">
            <w:pPr>
              <w:spacing w:line="360" w:lineRule="auto"/>
              <w:ind w:firstLine="240" w:firstLineChars="100"/>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w:t>
            </w:r>
          </w:p>
        </w:tc>
        <w:tc>
          <w:tcPr>
            <w:tcW w:w="1298" w:type="dxa"/>
            <w:noWrap w:val="0"/>
            <w:vAlign w:val="center"/>
          </w:tcPr>
          <w:p w14:paraId="355D0A94">
            <w:pPr>
              <w:rPr>
                <w:rFonts w:hint="eastAsia" w:ascii="宋体" w:hAnsi="宋体" w:eastAsia="宋体" w:cs="宋体"/>
                <w:color w:val="auto"/>
                <w:kern w:val="0"/>
                <w:sz w:val="24"/>
                <w:szCs w:val="24"/>
                <w:highlight w:val="none"/>
              </w:rPr>
            </w:pPr>
            <w:r>
              <w:rPr>
                <w:rFonts w:hint="eastAsia" w:ascii="宋体" w:hAnsi="宋体" w:cs="宋体"/>
                <w:b w:val="0"/>
                <w:bCs w:val="0"/>
                <w:color w:val="auto"/>
                <w:kern w:val="0"/>
                <w:sz w:val="24"/>
                <w:szCs w:val="24"/>
                <w:highlight w:val="none"/>
                <w:lang w:eastAsia="zh-CN"/>
              </w:rPr>
              <w:t>农业机械试验鉴定证书</w:t>
            </w:r>
          </w:p>
        </w:tc>
        <w:tc>
          <w:tcPr>
            <w:tcW w:w="6819" w:type="dxa"/>
            <w:noWrap w:val="0"/>
            <w:vAlign w:val="center"/>
          </w:tcPr>
          <w:p w14:paraId="28FBA4CA">
            <w:pPr>
              <w:autoSpaceDE w:val="0"/>
              <w:autoSpaceDN w:val="0"/>
              <w:spacing w:line="360" w:lineRule="auto"/>
              <w:ind w:firstLine="0" w:firstLineChars="0"/>
              <w:rPr>
                <w:rFonts w:ascii="宋体" w:hAnsi="宋体"/>
                <w:color w:val="auto"/>
                <w:kern w:val="0"/>
                <w:sz w:val="24"/>
                <w:szCs w:val="24"/>
                <w:highlight w:val="none"/>
                <w:lang w:eastAsia="zh-CN"/>
              </w:rPr>
            </w:pPr>
            <w:r>
              <w:rPr>
                <w:rFonts w:hint="eastAsia" w:ascii="宋体" w:hAnsi="宋体"/>
                <w:color w:val="auto"/>
                <w:kern w:val="0"/>
                <w:sz w:val="24"/>
                <w:szCs w:val="24"/>
                <w:highlight w:val="none"/>
                <w:lang w:eastAsia="zh-CN"/>
              </w:rPr>
              <w:t>所投核心产品烘干塔具有有效的农业机械试验鉴定证书</w:t>
            </w:r>
            <w:r>
              <w:rPr>
                <w:rFonts w:ascii="宋体" w:hAnsi="宋体"/>
                <w:color w:val="auto"/>
                <w:kern w:val="0"/>
                <w:sz w:val="24"/>
                <w:szCs w:val="24"/>
                <w:highlight w:val="none"/>
                <w:lang w:eastAsia="zh-CN"/>
              </w:rPr>
              <w:t>得</w:t>
            </w:r>
            <w:r>
              <w:rPr>
                <w:rFonts w:hint="eastAsia" w:ascii="宋体" w:hAnsi="宋体"/>
                <w:color w:val="auto"/>
                <w:kern w:val="0"/>
                <w:sz w:val="24"/>
                <w:szCs w:val="24"/>
                <w:highlight w:val="none"/>
                <w:lang w:val="en-US" w:eastAsia="zh-CN"/>
              </w:rPr>
              <w:t>3</w:t>
            </w:r>
            <w:r>
              <w:rPr>
                <w:rFonts w:ascii="宋体" w:hAnsi="宋体"/>
                <w:color w:val="auto"/>
                <w:kern w:val="0"/>
                <w:sz w:val="24"/>
                <w:szCs w:val="24"/>
                <w:highlight w:val="none"/>
                <w:lang w:eastAsia="zh-CN"/>
              </w:rPr>
              <w:t>分。</w:t>
            </w:r>
          </w:p>
          <w:p w14:paraId="2670CD55">
            <w:pPr>
              <w:autoSpaceDE w:val="0"/>
              <w:autoSpaceDN w:val="0"/>
              <w:spacing w:line="360" w:lineRule="auto"/>
              <w:ind w:firstLine="0" w:firstLineChars="0"/>
              <w:rPr>
                <w:rFonts w:hint="eastAsia" w:ascii="宋体" w:hAnsi="宋体" w:eastAsia="宋体" w:cs="宋体"/>
                <w:color w:val="auto"/>
                <w:kern w:val="0"/>
                <w:sz w:val="24"/>
                <w:szCs w:val="24"/>
                <w:highlight w:val="none"/>
              </w:rPr>
            </w:pPr>
            <w:r>
              <w:rPr>
                <w:rFonts w:ascii="宋体" w:hAnsi="宋体"/>
                <w:color w:val="auto"/>
                <w:kern w:val="0"/>
                <w:sz w:val="24"/>
                <w:szCs w:val="24"/>
                <w:highlight w:val="none"/>
                <w:lang w:eastAsia="zh-CN"/>
              </w:rPr>
              <w:t>注：提供证书</w:t>
            </w:r>
            <w:r>
              <w:rPr>
                <w:rFonts w:hint="eastAsia" w:ascii="宋体" w:hAnsi="宋体" w:eastAsia="宋体" w:cs="宋体"/>
                <w:bCs/>
                <w:color w:val="auto"/>
                <w:kern w:val="2"/>
                <w:sz w:val="24"/>
                <w:szCs w:val="24"/>
                <w:highlight w:val="none"/>
                <w:shd w:val="clear" w:color="auto" w:fill="auto"/>
                <w:lang w:val="en-US" w:eastAsia="zh-CN" w:bidi="ar-SA"/>
              </w:rPr>
              <w:t>原件扫描件</w:t>
            </w:r>
            <w:r>
              <w:rPr>
                <w:rFonts w:hint="eastAsia" w:ascii="宋体" w:hAnsi="宋体"/>
                <w:color w:val="auto"/>
                <w:kern w:val="0"/>
                <w:sz w:val="24"/>
                <w:szCs w:val="24"/>
                <w:highlight w:val="none"/>
                <w:lang w:eastAsia="zh-CN"/>
              </w:rPr>
              <w:t>。</w:t>
            </w:r>
          </w:p>
        </w:tc>
        <w:tc>
          <w:tcPr>
            <w:tcW w:w="825" w:type="dxa"/>
            <w:noWrap w:val="0"/>
            <w:vAlign w:val="center"/>
          </w:tcPr>
          <w:p w14:paraId="3E16DAB2">
            <w:pPr>
              <w:spacing w:line="360" w:lineRule="auto"/>
              <w:jc w:val="center"/>
              <w:rPr>
                <w:rFonts w:hint="eastAsia" w:ascii="宋体" w:hAnsi="宋体" w:eastAsia="宋体" w:cs="宋体"/>
                <w:color w:val="auto"/>
                <w:kern w:val="0"/>
                <w:sz w:val="24"/>
                <w:szCs w:val="24"/>
                <w:highlight w:val="none"/>
                <w:lang w:val="en-US" w:eastAsia="zh-CN"/>
              </w:rPr>
            </w:pPr>
            <w:r>
              <w:rPr>
                <w:rFonts w:hint="eastAsia"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val="en-US" w:eastAsia="zh-CN"/>
              </w:rPr>
              <w:t>分</w:t>
            </w:r>
          </w:p>
        </w:tc>
      </w:tr>
      <w:tr w14:paraId="6862C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24" w:type="dxa"/>
            <w:noWrap w:val="0"/>
            <w:vAlign w:val="center"/>
          </w:tcPr>
          <w:p w14:paraId="6D690901">
            <w:pPr>
              <w:spacing w:line="360" w:lineRule="auto"/>
              <w:ind w:firstLine="240" w:firstLineChars="100"/>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w:t>
            </w:r>
          </w:p>
        </w:tc>
        <w:tc>
          <w:tcPr>
            <w:tcW w:w="1298" w:type="dxa"/>
            <w:noWrap w:val="0"/>
            <w:vAlign w:val="center"/>
          </w:tcPr>
          <w:p w14:paraId="398DFDE2">
            <w:pPr>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售后服务</w:t>
            </w:r>
          </w:p>
        </w:tc>
        <w:tc>
          <w:tcPr>
            <w:tcW w:w="6819" w:type="dxa"/>
            <w:noWrap w:val="0"/>
            <w:vAlign w:val="center"/>
          </w:tcPr>
          <w:p w14:paraId="35CD4DAC">
            <w:pPr>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1、根据</w:t>
            </w:r>
            <w:r>
              <w:rPr>
                <w:rFonts w:hint="eastAsia" w:ascii="宋体" w:hAnsi="宋体" w:eastAsia="宋体" w:cs="宋体"/>
                <w:color w:val="auto"/>
                <w:kern w:val="0"/>
                <w:sz w:val="24"/>
                <w:szCs w:val="24"/>
                <w:highlight w:val="none"/>
                <w:lang w:eastAsia="zh-CN"/>
              </w:rPr>
              <w:t>响应人</w:t>
            </w:r>
            <w:r>
              <w:rPr>
                <w:rFonts w:hint="eastAsia" w:ascii="宋体" w:hAnsi="宋体" w:eastAsia="宋体" w:cs="宋体"/>
                <w:color w:val="auto"/>
                <w:kern w:val="0"/>
                <w:sz w:val="24"/>
                <w:szCs w:val="24"/>
                <w:highlight w:val="none"/>
              </w:rPr>
              <w:t>质保期内的售后安排（包括售后人员安排方案、服务计划方案、服务内容阐述、按时履约的保障措施、响应时间等方案考虑全面周到、技术手段多、满足用户需求）</w:t>
            </w:r>
            <w:r>
              <w:rPr>
                <w:rFonts w:hint="eastAsia" w:ascii="宋体" w:hAnsi="宋体" w:eastAsia="宋体" w:cs="宋体"/>
                <w:color w:val="auto"/>
                <w:kern w:val="0"/>
                <w:sz w:val="24"/>
                <w:szCs w:val="24"/>
                <w:highlight w:val="none"/>
                <w:lang w:val="en-US" w:eastAsia="zh-CN"/>
              </w:rPr>
              <w:t>进行打分</w:t>
            </w:r>
            <w:r>
              <w:rPr>
                <w:rFonts w:hint="eastAsia" w:ascii="宋体" w:hAnsi="宋体" w:eastAsia="宋体" w:cs="宋体"/>
                <w:color w:val="auto"/>
                <w:kern w:val="0"/>
                <w:sz w:val="24"/>
                <w:szCs w:val="24"/>
                <w:highlight w:val="none"/>
              </w:rPr>
              <w:t>。</w:t>
            </w:r>
          </w:p>
          <w:p w14:paraId="7566BC2F">
            <w:pPr>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（1）内容详实，方案科学、合理、考虑周全、针对性强，完全能够满足招标需要得</w:t>
            </w:r>
            <w:r>
              <w:rPr>
                <w:rFonts w:hint="eastAsia" w:ascii="宋体" w:hAnsi="宋体" w:eastAsia="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分；</w:t>
            </w:r>
          </w:p>
          <w:p w14:paraId="624E5925">
            <w:pPr>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（2）内容完整，方案基本科学、合理、基本考虑周全、针对性较强，可以满足招标需要，但有个别细节需要进一步完善或提高得</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分；</w:t>
            </w:r>
          </w:p>
          <w:p w14:paraId="3A0BC925">
            <w:pPr>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（3）内容完整，方案基本科学、合理、基本考虑周全、针对性一般，有多项不能满足招标需要得</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分；</w:t>
            </w:r>
          </w:p>
          <w:p w14:paraId="063F63C3">
            <w:pPr>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（4）以上内容缺项得0分。</w:t>
            </w:r>
          </w:p>
          <w:p w14:paraId="40DD48D1">
            <w:pPr>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2、根据维修人员的故障响应时间、到达现场响应时间、应急维修措施、备品备件配备等情况</w:t>
            </w:r>
            <w:r>
              <w:rPr>
                <w:rFonts w:hint="eastAsia" w:ascii="宋体" w:hAnsi="宋体" w:eastAsia="宋体" w:cs="宋体"/>
                <w:color w:val="auto"/>
                <w:kern w:val="0"/>
                <w:sz w:val="24"/>
                <w:szCs w:val="24"/>
                <w:highlight w:val="none"/>
                <w:lang w:val="en-US" w:eastAsia="zh-CN"/>
              </w:rPr>
              <w:t>进行打分</w:t>
            </w:r>
            <w:r>
              <w:rPr>
                <w:rFonts w:hint="eastAsia" w:ascii="宋体" w:hAnsi="宋体" w:eastAsia="宋体" w:cs="宋体"/>
                <w:color w:val="auto"/>
                <w:kern w:val="0"/>
                <w:sz w:val="24"/>
                <w:szCs w:val="24"/>
                <w:highlight w:val="none"/>
              </w:rPr>
              <w:t>。</w:t>
            </w:r>
          </w:p>
          <w:p w14:paraId="6D67D8E6">
            <w:pPr>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（1）内容详实，方案科学、合理、考虑周全、针对性强，完全能够满足招标需要得</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分；</w:t>
            </w:r>
          </w:p>
          <w:p w14:paraId="5110BCDC">
            <w:pPr>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（2）内容完整，方案基本科学、合理、基本考虑周全、针对性较强，可以满足招标需要，但有个别细节需要进一步完善或提高得</w:t>
            </w: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分；</w:t>
            </w:r>
          </w:p>
          <w:p w14:paraId="357F6E4B">
            <w:pPr>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（3）内容完整，方案基本科学、合理、基本考虑周全、针对性一般，有多项不能满足招标需要得</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分；</w:t>
            </w:r>
          </w:p>
          <w:p w14:paraId="4121B0C9">
            <w:pPr>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（4）以上内容缺项得0分。</w:t>
            </w:r>
          </w:p>
        </w:tc>
        <w:tc>
          <w:tcPr>
            <w:tcW w:w="825" w:type="dxa"/>
            <w:noWrap w:val="0"/>
            <w:vAlign w:val="center"/>
          </w:tcPr>
          <w:p w14:paraId="10047897">
            <w:pPr>
              <w:spacing w:line="360" w:lineRule="auto"/>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13分</w:t>
            </w:r>
          </w:p>
        </w:tc>
      </w:tr>
    </w:tbl>
    <w:p w14:paraId="5E77D2F6">
      <w:pPr>
        <w:pStyle w:val="10"/>
        <w:ind w:left="0" w:leftChars="0" w:firstLine="0" w:firstLineChars="0"/>
        <w:jc w:val="center"/>
        <w:outlineLvl w:val="0"/>
        <w:rPr>
          <w:rFonts w:hint="eastAsia" w:ascii="宋体" w:hAnsi="宋体" w:eastAsia="宋体" w:cs="宋体"/>
          <w:b/>
          <w:bCs/>
          <w:color w:val="auto"/>
          <w:sz w:val="48"/>
          <w:szCs w:val="48"/>
          <w:highlight w:val="none"/>
        </w:rPr>
      </w:pPr>
      <w:r>
        <w:rPr>
          <w:rFonts w:hint="eastAsia" w:ascii="宋体" w:hAnsi="宋体" w:eastAsia="宋体" w:cs="宋体"/>
          <w:b/>
          <w:bCs/>
          <w:color w:val="auto"/>
          <w:sz w:val="48"/>
          <w:szCs w:val="48"/>
          <w:highlight w:val="none"/>
        </w:rPr>
        <w:br w:type="page"/>
      </w:r>
      <w:bookmarkStart w:id="78" w:name="_Toc10337"/>
      <w:r>
        <w:rPr>
          <w:rFonts w:hint="eastAsia" w:ascii="宋体" w:hAnsi="宋体" w:eastAsia="宋体" w:cs="宋体"/>
          <w:b/>
          <w:bCs/>
          <w:color w:val="auto"/>
          <w:sz w:val="48"/>
          <w:szCs w:val="48"/>
          <w:highlight w:val="none"/>
        </w:rPr>
        <w:t>第五章</w:t>
      </w:r>
      <w:r>
        <w:rPr>
          <w:rFonts w:hint="eastAsia" w:ascii="宋体" w:hAnsi="宋体" w:eastAsia="宋体" w:cs="宋体"/>
          <w:b/>
          <w:bCs/>
          <w:color w:val="auto"/>
          <w:sz w:val="48"/>
          <w:szCs w:val="48"/>
          <w:highlight w:val="none"/>
          <w:lang w:val="en-US" w:eastAsia="zh-CN"/>
        </w:rPr>
        <w:t xml:space="preserve">  </w:t>
      </w:r>
      <w:r>
        <w:rPr>
          <w:rFonts w:hint="eastAsia" w:ascii="宋体" w:hAnsi="宋体" w:eastAsia="宋体" w:cs="宋体"/>
          <w:b/>
          <w:bCs/>
          <w:color w:val="auto"/>
          <w:sz w:val="48"/>
          <w:szCs w:val="48"/>
          <w:highlight w:val="none"/>
        </w:rPr>
        <w:t>合同格式</w:t>
      </w:r>
      <w:bookmarkEnd w:id="76"/>
      <w:bookmarkEnd w:id="78"/>
      <w:bookmarkStart w:id="79" w:name="_Toc324696978"/>
      <w:bookmarkEnd w:id="79"/>
      <w:bookmarkStart w:id="80" w:name="_Toc325383401"/>
      <w:bookmarkEnd w:id="80"/>
      <w:bookmarkStart w:id="81" w:name="_Toc325446127"/>
      <w:bookmarkEnd w:id="81"/>
      <w:bookmarkStart w:id="82" w:name="_Toc386440107"/>
      <w:bookmarkEnd w:id="82"/>
      <w:bookmarkStart w:id="83" w:name="_Toc351203484"/>
      <w:bookmarkStart w:id="84" w:name="_Toc510994119"/>
    </w:p>
    <w:bookmarkEnd w:id="83"/>
    <w:p w14:paraId="0027187D">
      <w:pPr>
        <w:pStyle w:val="24"/>
        <w:spacing w:line="360" w:lineRule="auto"/>
        <w:ind w:left="0" w:leftChars="0" w:firstLine="560" w:firstLineChars="200"/>
        <w:jc w:val="center"/>
        <w:rPr>
          <w:rFonts w:hint="default" w:ascii="宋体" w:hAnsi="宋体" w:eastAsia="宋体" w:cs="宋体"/>
          <w:color w:val="auto"/>
          <w:kern w:val="2"/>
          <w:sz w:val="28"/>
          <w:szCs w:val="28"/>
          <w:highlight w:val="none"/>
          <w:shd w:val="clear" w:color="auto" w:fill="FFFFFF"/>
          <w:lang w:val="en-US" w:eastAsia="zh-CN" w:bidi="ar"/>
        </w:rPr>
      </w:pPr>
      <w:r>
        <w:rPr>
          <w:rFonts w:hint="eastAsia" w:cs="宋体"/>
          <w:color w:val="auto"/>
          <w:kern w:val="2"/>
          <w:sz w:val="28"/>
          <w:szCs w:val="28"/>
          <w:highlight w:val="none"/>
          <w:shd w:val="clear" w:color="auto" w:fill="FFFFFF"/>
          <w:lang w:val="en-US" w:eastAsia="zh-CN" w:bidi="ar"/>
        </w:rPr>
        <w:t>合同双方自拟</w:t>
      </w:r>
    </w:p>
    <w:p w14:paraId="242DA652">
      <w:pPr>
        <w:pStyle w:val="24"/>
        <w:spacing w:line="360" w:lineRule="auto"/>
        <w:ind w:left="0" w:leftChars="0" w:firstLine="480" w:firstLineChars="200"/>
        <w:rPr>
          <w:rFonts w:hint="eastAsia" w:ascii="宋体" w:hAnsi="宋体" w:eastAsia="宋体" w:cs="宋体"/>
          <w:color w:val="auto"/>
          <w:kern w:val="2"/>
          <w:sz w:val="24"/>
          <w:szCs w:val="24"/>
          <w:highlight w:val="none"/>
          <w:shd w:val="clear" w:color="auto" w:fill="FFFFFF"/>
          <w:lang w:val="en-US" w:eastAsia="zh-CN" w:bidi="ar"/>
        </w:rPr>
      </w:pPr>
      <w:r>
        <w:rPr>
          <w:rFonts w:hint="eastAsia" w:ascii="宋体" w:hAnsi="宋体" w:eastAsia="宋体" w:cs="宋体"/>
          <w:color w:val="auto"/>
          <w:kern w:val="2"/>
          <w:sz w:val="24"/>
          <w:szCs w:val="24"/>
          <w:highlight w:val="none"/>
          <w:shd w:val="clear" w:color="auto" w:fill="FFFFFF"/>
          <w:lang w:val="en-US" w:eastAsia="zh-CN" w:bidi="ar"/>
        </w:rPr>
        <w:t>按《三门峡市财政局关于市本级政府采购合同备案管理工作的通知》（三财购[2021]9号）文要求，集中采购目录以外政府采购项目，原则上自成交通知书发出之日起2个工作日内与成交（成交）</w:t>
      </w:r>
      <w:r>
        <w:rPr>
          <w:rFonts w:hint="eastAsia" w:cs="宋体"/>
          <w:color w:val="auto"/>
          <w:kern w:val="2"/>
          <w:sz w:val="24"/>
          <w:szCs w:val="24"/>
          <w:highlight w:val="none"/>
          <w:shd w:val="clear" w:color="auto" w:fill="FFFFFF"/>
          <w:lang w:val="en-US" w:eastAsia="zh-CN" w:bidi="ar"/>
        </w:rPr>
        <w:t>响应人</w:t>
      </w:r>
      <w:r>
        <w:rPr>
          <w:rFonts w:hint="eastAsia" w:ascii="宋体" w:hAnsi="宋体" w:eastAsia="宋体" w:cs="宋体"/>
          <w:color w:val="auto"/>
          <w:kern w:val="2"/>
          <w:sz w:val="24"/>
          <w:szCs w:val="24"/>
          <w:highlight w:val="none"/>
          <w:shd w:val="clear" w:color="auto" w:fill="FFFFFF"/>
          <w:lang w:val="en-US" w:eastAsia="zh-CN" w:bidi="ar"/>
        </w:rPr>
        <w:t>按照采购文件确定的事项与</w:t>
      </w:r>
      <w:r>
        <w:rPr>
          <w:rFonts w:hint="eastAsia" w:cs="宋体"/>
          <w:color w:val="auto"/>
          <w:kern w:val="2"/>
          <w:sz w:val="24"/>
          <w:szCs w:val="24"/>
          <w:highlight w:val="none"/>
          <w:shd w:val="clear" w:color="auto" w:fill="FFFFFF"/>
          <w:lang w:val="en-US" w:eastAsia="zh-CN" w:bidi="ar"/>
        </w:rPr>
        <w:t>响应人</w:t>
      </w:r>
      <w:r>
        <w:rPr>
          <w:rFonts w:hint="eastAsia" w:ascii="宋体" w:hAnsi="宋体" w:eastAsia="宋体" w:cs="宋体"/>
          <w:color w:val="auto"/>
          <w:kern w:val="2"/>
          <w:sz w:val="24"/>
          <w:szCs w:val="24"/>
          <w:highlight w:val="none"/>
          <w:shd w:val="clear" w:color="auto" w:fill="FFFFFF"/>
          <w:lang w:val="en-US" w:eastAsia="zh-CN" w:bidi="ar"/>
        </w:rPr>
        <w:t>签订政府采购合同。</w:t>
      </w:r>
    </w:p>
    <w:p w14:paraId="2B995DB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color w:val="auto"/>
          <w:sz w:val="24"/>
          <w:szCs w:val="24"/>
          <w:highlight w:val="none"/>
        </w:rPr>
      </w:pPr>
    </w:p>
    <w:p w14:paraId="43CA0CD9">
      <w:pPr>
        <w:rPr>
          <w:rFonts w:hint="eastAsia"/>
          <w:color w:val="auto"/>
          <w:sz w:val="24"/>
          <w:szCs w:val="24"/>
          <w:highlight w:val="none"/>
        </w:rPr>
      </w:pPr>
      <w:r>
        <w:rPr>
          <w:rFonts w:hint="eastAsia"/>
          <w:color w:val="auto"/>
          <w:sz w:val="24"/>
          <w:szCs w:val="24"/>
          <w:highlight w:val="none"/>
        </w:rPr>
        <w:br w:type="page"/>
      </w:r>
    </w:p>
    <w:p w14:paraId="3891F0CB">
      <w:pPr>
        <w:spacing w:line="480" w:lineRule="auto"/>
        <w:jc w:val="center"/>
        <w:outlineLvl w:val="0"/>
        <w:rPr>
          <w:rFonts w:hint="eastAsia" w:ascii="宋体" w:hAnsi="宋体" w:eastAsia="宋体" w:cs="宋体"/>
          <w:b/>
          <w:bCs/>
          <w:color w:val="auto"/>
          <w:sz w:val="48"/>
          <w:szCs w:val="48"/>
          <w:highlight w:val="none"/>
        </w:rPr>
      </w:pPr>
      <w:bookmarkStart w:id="85" w:name="_Toc12661"/>
      <w:r>
        <w:rPr>
          <w:rFonts w:hint="eastAsia" w:ascii="宋体" w:hAnsi="宋体" w:eastAsia="宋体" w:cs="宋体"/>
          <w:b/>
          <w:bCs/>
          <w:color w:val="auto"/>
          <w:sz w:val="48"/>
          <w:szCs w:val="48"/>
          <w:highlight w:val="none"/>
          <w:lang w:val="en-US" w:eastAsia="zh-CN"/>
        </w:rPr>
        <w:t xml:space="preserve">第六章  </w:t>
      </w:r>
      <w:r>
        <w:rPr>
          <w:rFonts w:hint="eastAsia" w:ascii="宋体" w:hAnsi="宋体" w:eastAsia="宋体" w:cs="宋体"/>
          <w:b/>
          <w:bCs/>
          <w:color w:val="auto"/>
          <w:sz w:val="48"/>
          <w:szCs w:val="48"/>
          <w:highlight w:val="none"/>
        </w:rPr>
        <w:t>响应文件格式</w:t>
      </w:r>
      <w:bookmarkEnd w:id="84"/>
      <w:bookmarkEnd w:id="85"/>
      <w:bookmarkStart w:id="86" w:name="_Toc510994120"/>
    </w:p>
    <w:bookmarkEnd w:id="86"/>
    <w:p w14:paraId="70D087A6">
      <w:pPr>
        <w:spacing w:line="360" w:lineRule="auto"/>
        <w:jc w:val="center"/>
        <w:rPr>
          <w:rFonts w:hint="eastAsia" w:ascii="宋体" w:hAnsi="宋体" w:eastAsia="宋体" w:cs="宋体"/>
          <w:b/>
          <w:bCs/>
          <w:color w:val="auto"/>
          <w:sz w:val="40"/>
          <w:szCs w:val="40"/>
          <w:highlight w:val="none"/>
        </w:rPr>
      </w:pPr>
      <w:r>
        <w:rPr>
          <w:rFonts w:hint="eastAsia" w:cs="宋体"/>
          <w:b/>
          <w:bCs/>
          <w:color w:val="auto"/>
          <w:sz w:val="44"/>
          <w:szCs w:val="44"/>
          <w:highlight w:val="none"/>
          <w:lang w:eastAsia="zh-CN"/>
        </w:rPr>
        <w:t>渑池县原种场配套粮库建设项目（设备部分）</w:t>
      </w:r>
      <w:r>
        <w:rPr>
          <w:rFonts w:hint="eastAsia" w:ascii="宋体" w:hAnsi="宋体" w:eastAsia="宋体" w:cs="宋体"/>
          <w:b/>
          <w:bCs/>
          <w:color w:val="auto"/>
          <w:sz w:val="40"/>
          <w:szCs w:val="40"/>
          <w:highlight w:val="none"/>
        </w:rPr>
        <w:t xml:space="preserve"> </w:t>
      </w:r>
    </w:p>
    <w:p w14:paraId="6A5E81FB">
      <w:pPr>
        <w:spacing w:line="360" w:lineRule="auto"/>
        <w:jc w:val="center"/>
        <w:rPr>
          <w:rFonts w:hint="eastAsia" w:ascii="宋体" w:hAnsi="宋体" w:eastAsia="宋体" w:cs="宋体"/>
          <w:b/>
          <w:bCs/>
          <w:color w:val="auto"/>
          <w:sz w:val="40"/>
          <w:szCs w:val="40"/>
          <w:highlight w:val="none"/>
        </w:rPr>
      </w:pPr>
      <w:r>
        <w:rPr>
          <w:rFonts w:hint="eastAsia" w:ascii="宋体" w:hAnsi="宋体" w:eastAsia="宋体" w:cs="宋体"/>
          <w:b/>
          <w:bCs/>
          <w:color w:val="auto"/>
          <w:sz w:val="40"/>
          <w:szCs w:val="40"/>
          <w:highlight w:val="none"/>
        </w:rPr>
        <w:t xml:space="preserve"> </w:t>
      </w:r>
    </w:p>
    <w:p w14:paraId="28DCAC10">
      <w:pPr>
        <w:spacing w:line="360" w:lineRule="auto"/>
        <w:jc w:val="center"/>
        <w:rPr>
          <w:rFonts w:hint="eastAsia" w:ascii="宋体" w:hAnsi="宋体" w:eastAsia="宋体" w:cs="宋体"/>
          <w:b/>
          <w:bCs/>
          <w:color w:val="auto"/>
          <w:sz w:val="40"/>
          <w:szCs w:val="40"/>
          <w:highlight w:val="none"/>
        </w:rPr>
      </w:pPr>
      <w:r>
        <w:rPr>
          <w:rFonts w:hint="eastAsia" w:ascii="宋体" w:hAnsi="宋体" w:eastAsia="宋体" w:cs="宋体"/>
          <w:b/>
          <w:bCs/>
          <w:color w:val="auto"/>
          <w:sz w:val="40"/>
          <w:szCs w:val="40"/>
          <w:highlight w:val="none"/>
        </w:rPr>
        <w:t xml:space="preserve">  </w:t>
      </w:r>
    </w:p>
    <w:p w14:paraId="004AF2AC">
      <w:pPr>
        <w:spacing w:line="360" w:lineRule="auto"/>
        <w:jc w:val="center"/>
        <w:rPr>
          <w:rFonts w:hint="eastAsia" w:ascii="宋体" w:hAnsi="宋体" w:eastAsia="宋体" w:cs="宋体"/>
          <w:b/>
          <w:bCs/>
          <w:color w:val="auto"/>
          <w:sz w:val="96"/>
          <w:szCs w:val="96"/>
          <w:highlight w:val="none"/>
        </w:rPr>
      </w:pPr>
      <w:r>
        <w:rPr>
          <w:rFonts w:hint="eastAsia" w:ascii="宋体" w:hAnsi="宋体" w:eastAsia="宋体" w:cs="宋体"/>
          <w:b/>
          <w:bCs/>
          <w:color w:val="auto"/>
          <w:sz w:val="96"/>
          <w:szCs w:val="96"/>
          <w:highlight w:val="none"/>
        </w:rPr>
        <w:t>响 应 文 件</w:t>
      </w:r>
    </w:p>
    <w:p w14:paraId="4BF28F22">
      <w:pPr>
        <w:spacing w:line="360" w:lineRule="auto"/>
        <w:rPr>
          <w:rFonts w:hint="eastAsia" w:ascii="宋体" w:hAnsi="宋体" w:eastAsia="宋体" w:cs="宋体"/>
          <w:color w:val="auto"/>
          <w:sz w:val="32"/>
          <w:szCs w:val="32"/>
          <w:highlight w:val="none"/>
        </w:rPr>
      </w:pPr>
    </w:p>
    <w:p w14:paraId="00F91343">
      <w:pPr>
        <w:spacing w:line="360" w:lineRule="auto"/>
        <w:ind w:firstLine="2800" w:firstLineChars="10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项目编号：</w:t>
      </w:r>
    </w:p>
    <w:p w14:paraId="62042216">
      <w:pPr>
        <w:pStyle w:val="27"/>
        <w:rPr>
          <w:rFonts w:hint="eastAsia" w:ascii="宋体" w:hAnsi="宋体" w:eastAsia="宋体" w:cs="宋体"/>
          <w:color w:val="auto"/>
          <w:sz w:val="28"/>
          <w:szCs w:val="28"/>
          <w:highlight w:val="none"/>
        </w:rPr>
      </w:pPr>
    </w:p>
    <w:p w14:paraId="77847D04">
      <w:pPr>
        <w:pStyle w:val="6"/>
        <w:rPr>
          <w:rFonts w:hint="eastAsia" w:ascii="宋体" w:hAnsi="宋体" w:eastAsia="宋体" w:cs="宋体"/>
          <w:color w:val="auto"/>
          <w:sz w:val="28"/>
          <w:szCs w:val="28"/>
          <w:highlight w:val="none"/>
          <w:u w:val="single"/>
        </w:rPr>
      </w:pPr>
    </w:p>
    <w:p w14:paraId="13269FE8">
      <w:pPr>
        <w:pStyle w:val="6"/>
        <w:rPr>
          <w:rFonts w:hint="eastAsia" w:ascii="宋体" w:hAnsi="宋体" w:eastAsia="宋体" w:cs="宋体"/>
          <w:color w:val="auto"/>
          <w:sz w:val="28"/>
          <w:szCs w:val="28"/>
          <w:highlight w:val="none"/>
          <w:u w:val="single"/>
        </w:rPr>
      </w:pPr>
    </w:p>
    <w:p w14:paraId="4B70D679">
      <w:pPr>
        <w:spacing w:line="360" w:lineRule="auto"/>
        <w:ind w:left="440" w:leftChars="200" w:firstLine="1377" w:firstLineChars="492"/>
        <w:rPr>
          <w:rFonts w:hint="eastAsia" w:ascii="宋体" w:hAnsi="宋体" w:eastAsia="宋体" w:cs="宋体"/>
          <w:color w:val="auto"/>
          <w:sz w:val="28"/>
          <w:szCs w:val="28"/>
          <w:highlight w:val="none"/>
          <w:u w:val="single"/>
        </w:rPr>
      </w:pPr>
    </w:p>
    <w:p w14:paraId="221B53D1">
      <w:pPr>
        <w:spacing w:line="360" w:lineRule="auto"/>
        <w:ind w:left="440" w:leftChars="200" w:firstLine="1377" w:firstLineChars="492"/>
        <w:rPr>
          <w:rFonts w:hint="eastAsia" w:ascii="宋体" w:hAnsi="宋体" w:eastAsia="宋体" w:cs="宋体"/>
          <w:color w:val="auto"/>
          <w:sz w:val="28"/>
          <w:szCs w:val="28"/>
          <w:highlight w:val="none"/>
          <w:u w:val="single"/>
        </w:rPr>
      </w:pPr>
    </w:p>
    <w:p w14:paraId="1270477C">
      <w:pPr>
        <w:pStyle w:val="28"/>
        <w:rPr>
          <w:rFonts w:hint="eastAsia" w:ascii="宋体" w:hAnsi="宋体" w:eastAsia="宋体" w:cs="宋体"/>
          <w:color w:val="auto"/>
          <w:sz w:val="28"/>
          <w:szCs w:val="28"/>
          <w:highlight w:val="none"/>
          <w:u w:val="single"/>
        </w:rPr>
      </w:pPr>
    </w:p>
    <w:p w14:paraId="3CD27838">
      <w:pPr>
        <w:pStyle w:val="28"/>
        <w:rPr>
          <w:rFonts w:hint="eastAsia" w:ascii="宋体" w:hAnsi="宋体" w:eastAsia="宋体" w:cs="宋体"/>
          <w:color w:val="auto"/>
          <w:sz w:val="28"/>
          <w:szCs w:val="28"/>
          <w:highlight w:val="none"/>
          <w:u w:val="single"/>
        </w:rPr>
      </w:pPr>
    </w:p>
    <w:p w14:paraId="1EFEF093">
      <w:pPr>
        <w:spacing w:line="360" w:lineRule="auto"/>
        <w:ind w:left="440" w:leftChars="200" w:firstLine="1377" w:firstLineChars="492"/>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响 应 人：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w:t>
      </w:r>
      <w:bookmarkStart w:id="87" w:name="OLE_LINK35"/>
      <w:r>
        <w:rPr>
          <w:rFonts w:hint="eastAsia" w:ascii="宋体" w:hAnsi="宋体" w:eastAsia="宋体" w:cs="宋体"/>
          <w:color w:val="auto"/>
          <w:sz w:val="28"/>
          <w:szCs w:val="28"/>
          <w:highlight w:val="none"/>
          <w:lang w:eastAsia="zh-CN"/>
        </w:rPr>
        <w:t>单位电子公章</w:t>
      </w:r>
      <w:bookmarkEnd w:id="87"/>
      <w:r>
        <w:rPr>
          <w:rFonts w:hint="eastAsia" w:ascii="宋体" w:hAnsi="宋体" w:eastAsia="宋体" w:cs="宋体"/>
          <w:color w:val="auto"/>
          <w:sz w:val="28"/>
          <w:szCs w:val="28"/>
          <w:highlight w:val="none"/>
        </w:rPr>
        <w:t xml:space="preserve">） </w:t>
      </w:r>
    </w:p>
    <w:p w14:paraId="598E8DF4">
      <w:pPr>
        <w:spacing w:line="360" w:lineRule="auto"/>
        <w:ind w:left="440" w:leftChars="200" w:firstLine="1377" w:firstLineChars="492"/>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法定代表人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（法人电子签章）</w:t>
      </w:r>
    </w:p>
    <w:p w14:paraId="2984B9C7">
      <w:pPr>
        <w:spacing w:line="360" w:lineRule="auto"/>
        <w:ind w:left="440" w:leftChars="200" w:firstLine="1377" w:firstLineChars="492"/>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日    期：       年      月      日</w:t>
      </w:r>
    </w:p>
    <w:p w14:paraId="702C789D">
      <w:pPr>
        <w:spacing w:line="0" w:lineRule="atLeast"/>
        <w:ind w:left="4200"/>
        <w:rPr>
          <w:rFonts w:hint="eastAsia" w:ascii="宋体" w:hAnsi="宋体" w:eastAsia="宋体" w:cs="宋体"/>
          <w:b/>
          <w:bCs/>
          <w:color w:val="auto"/>
          <w:sz w:val="30"/>
          <w:szCs w:val="30"/>
          <w:highlight w:val="none"/>
        </w:rPr>
      </w:pPr>
      <w:bookmarkStart w:id="88" w:name="_Toc31427"/>
      <w:bookmarkEnd w:id="88"/>
      <w:bookmarkStart w:id="89" w:name="_Toc18582"/>
      <w:r>
        <w:rPr>
          <w:rFonts w:hint="eastAsia" w:ascii="宋体" w:hAnsi="宋体" w:eastAsia="宋体" w:cs="宋体"/>
          <w:color w:val="auto"/>
          <w:sz w:val="24"/>
          <w:szCs w:val="24"/>
          <w:highlight w:val="none"/>
        </w:rPr>
        <w:br w:type="page"/>
      </w:r>
      <w:r>
        <w:rPr>
          <w:rFonts w:hint="eastAsia" w:ascii="宋体" w:hAnsi="宋体" w:eastAsia="宋体" w:cs="宋体"/>
          <w:b/>
          <w:bCs/>
          <w:color w:val="auto"/>
          <w:sz w:val="30"/>
          <w:szCs w:val="30"/>
          <w:highlight w:val="none"/>
        </w:rPr>
        <w:t xml:space="preserve">目   </w:t>
      </w:r>
      <w:r>
        <w:rPr>
          <w:rFonts w:hint="eastAsia" w:ascii="宋体" w:hAnsi="宋体" w:eastAsia="宋体" w:cs="宋体"/>
          <w:b/>
          <w:bCs/>
          <w:color w:val="auto"/>
          <w:sz w:val="30"/>
          <w:szCs w:val="30"/>
          <w:highlight w:val="none"/>
        </w:rPr>
        <w:tab/>
      </w:r>
      <w:r>
        <w:rPr>
          <w:rFonts w:hint="eastAsia" w:ascii="宋体" w:hAnsi="宋体" w:eastAsia="宋体" w:cs="宋体"/>
          <w:b/>
          <w:bCs/>
          <w:color w:val="auto"/>
          <w:sz w:val="30"/>
          <w:szCs w:val="30"/>
          <w:highlight w:val="none"/>
        </w:rPr>
        <w:t>录</w:t>
      </w:r>
    </w:p>
    <w:p w14:paraId="411A6E08">
      <w:pPr>
        <w:spacing w:line="360" w:lineRule="auto"/>
        <w:ind w:left="277" w:hanging="276" w:hangingChars="115"/>
        <w:jc w:val="center"/>
        <w:outlineLvl w:val="9"/>
        <w:rPr>
          <w:rFonts w:hint="eastAsia" w:ascii="宋体" w:hAnsi="宋体" w:cs="宋体"/>
          <w:b w:val="0"/>
          <w:bCs w:val="0"/>
          <w:color w:val="auto"/>
          <w:sz w:val="24"/>
          <w:szCs w:val="24"/>
          <w:highlight w:val="none"/>
          <w:lang w:eastAsia="zh-CN"/>
        </w:rPr>
      </w:pPr>
      <w:r>
        <w:rPr>
          <w:rFonts w:hint="eastAsia" w:ascii="宋体" w:hAnsi="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val="en-US" w:eastAsia="zh-CN"/>
        </w:rPr>
        <w:t>格式自拟，标注连续页码</w:t>
      </w:r>
      <w:r>
        <w:rPr>
          <w:rFonts w:hint="eastAsia" w:ascii="宋体" w:hAnsi="宋体" w:cs="宋体"/>
          <w:b w:val="0"/>
          <w:bCs w:val="0"/>
          <w:color w:val="auto"/>
          <w:sz w:val="24"/>
          <w:szCs w:val="24"/>
          <w:highlight w:val="none"/>
          <w:lang w:eastAsia="zh-CN"/>
        </w:rPr>
        <w:t>）</w:t>
      </w:r>
    </w:p>
    <w:p w14:paraId="1C5E393F">
      <w:pPr>
        <w:spacing w:line="360" w:lineRule="auto"/>
        <w:ind w:left="277" w:hanging="276" w:hangingChars="115"/>
        <w:jc w:val="center"/>
        <w:outlineLvl w:val="1"/>
        <w:rPr>
          <w:rFonts w:hint="eastAsia" w:ascii="宋体" w:hAnsi="宋体" w:eastAsia="宋体" w:cs="宋体"/>
          <w:color w:val="auto"/>
          <w:sz w:val="24"/>
          <w:szCs w:val="24"/>
          <w:highlight w:val="none"/>
        </w:rPr>
      </w:pPr>
      <w:r>
        <w:rPr>
          <w:rFonts w:hint="eastAsia" w:ascii="宋体" w:hAnsi="宋体" w:cs="宋体"/>
          <w:b w:val="0"/>
          <w:bCs w:val="0"/>
          <w:color w:val="auto"/>
          <w:sz w:val="24"/>
          <w:szCs w:val="24"/>
          <w:highlight w:val="none"/>
          <w:lang w:eastAsia="zh-CN"/>
        </w:rPr>
        <w:br w:type="page"/>
      </w:r>
      <w:r>
        <w:rPr>
          <w:rFonts w:hint="eastAsia" w:ascii="宋体" w:hAnsi="宋体" w:eastAsia="宋体" w:cs="宋体"/>
          <w:b/>
          <w:bCs/>
          <w:color w:val="auto"/>
          <w:sz w:val="24"/>
          <w:szCs w:val="24"/>
          <w:highlight w:val="none"/>
        </w:rPr>
        <w:t>一、投标函及投标函附录</w:t>
      </w:r>
      <w:bookmarkEnd w:id="89"/>
    </w:p>
    <w:p w14:paraId="11F96F10">
      <w:pPr>
        <w:spacing w:line="360" w:lineRule="auto"/>
        <w:ind w:left="0" w:firstLine="0" w:firstLineChars="0"/>
        <w:jc w:val="center"/>
        <w:outlineLvl w:val="9"/>
        <w:rPr>
          <w:rFonts w:hint="eastAsia" w:ascii="宋体" w:hAnsi="宋体" w:eastAsia="宋体" w:cs="宋体"/>
          <w:color w:val="auto"/>
          <w:sz w:val="24"/>
          <w:szCs w:val="24"/>
          <w:highlight w:val="none"/>
        </w:rPr>
      </w:pPr>
      <w:bookmarkStart w:id="90" w:name="_Toc943"/>
      <w:r>
        <w:rPr>
          <w:rFonts w:hint="eastAsia" w:ascii="宋体" w:hAnsi="宋体" w:eastAsia="宋体" w:cs="宋体"/>
          <w:b/>
          <w:bCs/>
          <w:color w:val="auto"/>
          <w:sz w:val="24"/>
          <w:szCs w:val="24"/>
          <w:highlight w:val="none"/>
        </w:rPr>
        <w:t>（一）投标函</w:t>
      </w:r>
      <w:bookmarkEnd w:id="90"/>
    </w:p>
    <w:p w14:paraId="05FC4718">
      <w:pPr>
        <w:spacing w:line="360" w:lineRule="auto"/>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致</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u w:val="single"/>
          <w:shd w:val="clear" w:color="auto" w:fill="FFFFFF"/>
          <w:lang w:bidi="ar"/>
        </w:rPr>
        <w:tab/>
      </w:r>
      <w:r>
        <w:rPr>
          <w:rFonts w:hint="eastAsia" w:ascii="宋体" w:hAnsi="宋体" w:eastAsia="宋体" w:cs="宋体"/>
          <w:color w:val="auto"/>
          <w:sz w:val="24"/>
          <w:szCs w:val="24"/>
          <w:highlight w:val="none"/>
          <w:u w:val="single"/>
          <w:shd w:val="clear" w:color="auto" w:fill="FFFFFF"/>
          <w:lang w:bidi="ar"/>
        </w:rPr>
        <w:t xml:space="preserve"> （采购人）    </w:t>
      </w:r>
      <w:r>
        <w:rPr>
          <w:rFonts w:hint="eastAsia" w:ascii="宋体" w:hAnsi="宋体" w:eastAsia="宋体" w:cs="宋体"/>
          <w:color w:val="auto"/>
          <w:sz w:val="24"/>
          <w:szCs w:val="24"/>
          <w:highlight w:val="none"/>
          <w:u w:val="single"/>
          <w:shd w:val="clear" w:color="auto" w:fill="FFFFFF"/>
          <w:lang w:bidi="ar"/>
        </w:rPr>
        <w:tab/>
      </w:r>
      <w:r>
        <w:rPr>
          <w:rFonts w:hint="eastAsia" w:ascii="宋体" w:hAnsi="宋体" w:eastAsia="宋体" w:cs="宋体"/>
          <w:color w:val="auto"/>
          <w:sz w:val="24"/>
          <w:szCs w:val="24"/>
          <w:highlight w:val="none"/>
          <w:shd w:val="clear" w:color="auto" w:fill="FFFFFF"/>
          <w:lang w:bidi="ar"/>
        </w:rPr>
        <w:t>：</w:t>
      </w:r>
    </w:p>
    <w:p w14:paraId="71BB61F3">
      <w:pPr>
        <w:spacing w:line="360" w:lineRule="auto"/>
        <w:ind w:firstLine="48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根据已收到贵方的</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u w:val="single"/>
          <w:shd w:val="clear" w:color="auto" w:fill="FFFFFF"/>
          <w:lang w:bidi="ar"/>
        </w:rPr>
        <w:tab/>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（项目名称）</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（项目编号）的</w:t>
      </w:r>
      <w:r>
        <w:rPr>
          <w:rFonts w:hint="eastAsia" w:ascii="宋体" w:hAnsi="宋体" w:eastAsia="宋体" w:cs="宋体"/>
          <w:color w:val="auto"/>
          <w:sz w:val="24"/>
          <w:szCs w:val="24"/>
          <w:highlight w:val="none"/>
          <w:shd w:val="clear" w:color="auto" w:fill="FFFFFF"/>
          <w:lang w:eastAsia="zh-CN" w:bidi="ar"/>
        </w:rPr>
        <w:t>磋商文件</w:t>
      </w:r>
      <w:r>
        <w:rPr>
          <w:rFonts w:hint="eastAsia" w:ascii="宋体" w:hAnsi="宋体" w:eastAsia="宋体" w:cs="宋体"/>
          <w:color w:val="auto"/>
          <w:sz w:val="24"/>
          <w:szCs w:val="24"/>
          <w:highlight w:val="none"/>
          <w:shd w:val="clear" w:color="auto" w:fill="FFFFFF"/>
          <w:lang w:bidi="ar"/>
        </w:rPr>
        <w:t>，遵照《中华人民共和国政府采购法》等有关规定，我单位经研究上述</w:t>
      </w:r>
      <w:r>
        <w:rPr>
          <w:rFonts w:hint="eastAsia" w:ascii="宋体" w:hAnsi="宋体" w:eastAsia="宋体" w:cs="宋体"/>
          <w:color w:val="auto"/>
          <w:sz w:val="24"/>
          <w:szCs w:val="24"/>
          <w:highlight w:val="none"/>
          <w:shd w:val="clear" w:color="auto" w:fill="FFFFFF"/>
          <w:lang w:eastAsia="zh-CN" w:bidi="ar"/>
        </w:rPr>
        <w:t>磋商文件</w:t>
      </w:r>
      <w:r>
        <w:rPr>
          <w:rFonts w:hint="eastAsia" w:ascii="宋体" w:hAnsi="宋体" w:eastAsia="宋体" w:cs="宋体"/>
          <w:color w:val="auto"/>
          <w:sz w:val="24"/>
          <w:szCs w:val="24"/>
          <w:highlight w:val="none"/>
          <w:shd w:val="clear" w:color="auto" w:fill="FFFFFF"/>
          <w:lang w:bidi="ar"/>
        </w:rPr>
        <w:t>的投标须知、合同条款、技术参数及其它有关文件后，我方愿以人民币（大写）：</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（小写：</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u w:val="single"/>
          <w:shd w:val="clear" w:color="auto" w:fill="FFFFFF"/>
          <w:lang w:bidi="ar"/>
        </w:rPr>
        <w:tab/>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）的投标报价；合同履行期限（交货期）</w:t>
      </w:r>
      <w:r>
        <w:rPr>
          <w:rFonts w:hint="eastAsia" w:ascii="宋体" w:hAnsi="宋体" w:eastAsia="宋体" w:cs="宋体"/>
          <w:color w:val="auto"/>
          <w:sz w:val="24"/>
          <w:szCs w:val="24"/>
          <w:highlight w:val="none"/>
          <w:u w:val="single"/>
          <w:shd w:val="clear" w:color="auto" w:fill="FFFFFF"/>
          <w:lang w:bidi="ar"/>
        </w:rPr>
        <w:t xml:space="preserve">      </w:t>
      </w:r>
      <w:r>
        <w:rPr>
          <w:rFonts w:hint="eastAsia" w:eastAsia="宋体" w:cs="宋体"/>
          <w:color w:val="auto"/>
          <w:sz w:val="24"/>
          <w:szCs w:val="24"/>
          <w:highlight w:val="none"/>
          <w:shd w:val="clear" w:color="auto" w:fill="FFFFFF"/>
          <w:lang w:eastAsia="zh-CN" w:bidi="ar"/>
        </w:rPr>
        <w:t>，</w:t>
      </w:r>
      <w:r>
        <w:rPr>
          <w:rFonts w:hint="eastAsia" w:ascii="宋体" w:hAnsi="宋体" w:eastAsia="宋体" w:cs="宋体"/>
          <w:color w:val="auto"/>
          <w:sz w:val="24"/>
          <w:szCs w:val="24"/>
          <w:highlight w:val="none"/>
          <w:shd w:val="clear" w:color="auto" w:fill="FFFFFF"/>
          <w:lang w:bidi="ar"/>
        </w:rPr>
        <w:t>质保期</w:t>
      </w:r>
      <w:r>
        <w:rPr>
          <w:rFonts w:hint="eastAsia" w:ascii="宋体" w:hAnsi="宋体" w:eastAsia="宋体" w:cs="宋体"/>
          <w:color w:val="auto"/>
          <w:sz w:val="24"/>
          <w:szCs w:val="24"/>
          <w:highlight w:val="none"/>
          <w:u w:val="single"/>
          <w:shd w:val="clear" w:color="auto" w:fill="FFFFFF"/>
          <w:lang w:bidi="ar"/>
        </w:rPr>
        <w:t xml:space="preserve">      </w:t>
      </w:r>
      <w:r>
        <w:rPr>
          <w:rFonts w:hint="eastAsia" w:eastAsia="宋体" w:cs="宋体"/>
          <w:color w:val="auto"/>
          <w:sz w:val="24"/>
          <w:szCs w:val="24"/>
          <w:highlight w:val="none"/>
          <w:shd w:val="clear" w:color="auto" w:fill="FFFFFF"/>
          <w:lang w:eastAsia="zh-CN" w:bidi="ar"/>
        </w:rPr>
        <w:t>，</w:t>
      </w:r>
      <w:r>
        <w:rPr>
          <w:rFonts w:hint="eastAsia" w:ascii="宋体" w:hAnsi="宋体" w:eastAsia="宋体" w:cs="宋体"/>
          <w:color w:val="auto"/>
          <w:sz w:val="24"/>
          <w:szCs w:val="24"/>
          <w:highlight w:val="none"/>
          <w:shd w:val="clear" w:color="auto" w:fill="FFFFFF"/>
          <w:lang w:bidi="ar"/>
        </w:rPr>
        <w:t>承包上述项目的采购及</w:t>
      </w:r>
      <w:r>
        <w:rPr>
          <w:rFonts w:hint="eastAsia" w:ascii="宋体" w:hAnsi="宋体" w:eastAsia="宋体" w:cs="宋体"/>
          <w:color w:val="auto"/>
          <w:sz w:val="24"/>
          <w:szCs w:val="24"/>
          <w:highlight w:val="none"/>
          <w:shd w:val="clear" w:color="auto" w:fill="FFFFFF"/>
          <w:lang w:val="en-US" w:eastAsia="zh-CN" w:bidi="ar"/>
        </w:rPr>
        <w:t>生产</w:t>
      </w:r>
      <w:r>
        <w:rPr>
          <w:rFonts w:hint="eastAsia" w:ascii="宋体" w:hAnsi="宋体" w:eastAsia="宋体" w:cs="宋体"/>
          <w:color w:val="auto"/>
          <w:sz w:val="24"/>
          <w:szCs w:val="24"/>
          <w:highlight w:val="none"/>
          <w:shd w:val="clear" w:color="auto" w:fill="FFFFFF"/>
          <w:lang w:bidi="ar"/>
        </w:rPr>
        <w:t>、</w:t>
      </w:r>
      <w:r>
        <w:rPr>
          <w:rFonts w:hint="eastAsia" w:ascii="宋体" w:hAnsi="宋体" w:eastAsia="宋体" w:cs="宋体"/>
          <w:color w:val="auto"/>
          <w:sz w:val="24"/>
          <w:szCs w:val="24"/>
          <w:highlight w:val="none"/>
          <w:shd w:val="clear" w:color="auto" w:fill="FFFFFF"/>
          <w:lang w:val="en-US" w:eastAsia="zh-CN" w:bidi="ar"/>
        </w:rPr>
        <w:t>调配</w:t>
      </w:r>
      <w:r>
        <w:rPr>
          <w:rFonts w:hint="eastAsia" w:ascii="宋体" w:hAnsi="宋体" w:eastAsia="宋体" w:cs="宋体"/>
          <w:color w:val="auto"/>
          <w:sz w:val="24"/>
          <w:szCs w:val="24"/>
          <w:highlight w:val="none"/>
          <w:shd w:val="clear" w:color="auto" w:fill="FFFFFF"/>
          <w:lang w:bidi="ar"/>
        </w:rPr>
        <w:t>、验收、质保期服务、与货物有关的运输和保险及其他伴随服务。</w:t>
      </w:r>
    </w:p>
    <w:p w14:paraId="2923BC13">
      <w:pPr>
        <w:spacing w:line="360" w:lineRule="auto"/>
        <w:ind w:firstLine="48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1.我方已详细审核全部</w:t>
      </w:r>
      <w:r>
        <w:rPr>
          <w:rFonts w:hint="eastAsia" w:ascii="宋体" w:hAnsi="宋体" w:eastAsia="宋体" w:cs="宋体"/>
          <w:color w:val="auto"/>
          <w:sz w:val="24"/>
          <w:szCs w:val="24"/>
          <w:highlight w:val="none"/>
          <w:shd w:val="clear" w:color="auto" w:fill="FFFFFF"/>
          <w:lang w:eastAsia="zh-CN" w:bidi="ar"/>
        </w:rPr>
        <w:t>磋商文件</w:t>
      </w:r>
      <w:r>
        <w:rPr>
          <w:rFonts w:hint="eastAsia" w:ascii="宋体" w:hAnsi="宋体" w:eastAsia="宋体" w:cs="宋体"/>
          <w:color w:val="auto"/>
          <w:sz w:val="24"/>
          <w:szCs w:val="24"/>
          <w:highlight w:val="none"/>
          <w:shd w:val="clear" w:color="auto" w:fill="FFFFFF"/>
          <w:lang w:bidi="ar"/>
        </w:rPr>
        <w:t>，包括修改文件（如有）及有关附件，已充分理解并掌握了本</w:t>
      </w:r>
      <w:r>
        <w:rPr>
          <w:rFonts w:hint="eastAsia" w:ascii="宋体" w:hAnsi="宋体" w:eastAsia="宋体" w:cs="宋体"/>
          <w:color w:val="auto"/>
          <w:sz w:val="24"/>
          <w:szCs w:val="24"/>
          <w:highlight w:val="none"/>
          <w:shd w:val="clear" w:color="auto" w:fill="FFFFFF"/>
          <w:lang w:eastAsia="zh-CN" w:bidi="ar"/>
        </w:rPr>
        <w:t>磋商</w:t>
      </w:r>
      <w:r>
        <w:rPr>
          <w:rFonts w:hint="eastAsia" w:ascii="宋体" w:hAnsi="宋体" w:eastAsia="宋体" w:cs="宋体"/>
          <w:color w:val="auto"/>
          <w:sz w:val="24"/>
          <w:szCs w:val="24"/>
          <w:highlight w:val="none"/>
          <w:shd w:val="clear" w:color="auto" w:fill="FFFFFF"/>
          <w:lang w:bidi="ar"/>
        </w:rPr>
        <w:t>项目的全部有关情况，认为</w:t>
      </w:r>
      <w:r>
        <w:rPr>
          <w:rFonts w:hint="eastAsia" w:ascii="宋体" w:hAnsi="宋体" w:eastAsia="宋体" w:cs="宋体"/>
          <w:color w:val="auto"/>
          <w:sz w:val="24"/>
          <w:szCs w:val="24"/>
          <w:highlight w:val="none"/>
          <w:shd w:val="clear" w:color="auto" w:fill="FFFFFF"/>
          <w:lang w:eastAsia="zh-CN" w:bidi="ar"/>
        </w:rPr>
        <w:t>磋商文件</w:t>
      </w:r>
      <w:r>
        <w:rPr>
          <w:rFonts w:hint="eastAsia" w:ascii="宋体" w:hAnsi="宋体" w:eastAsia="宋体" w:cs="宋体"/>
          <w:color w:val="auto"/>
          <w:sz w:val="24"/>
          <w:szCs w:val="24"/>
          <w:highlight w:val="none"/>
          <w:shd w:val="clear" w:color="auto" w:fill="FFFFFF"/>
          <w:lang w:bidi="ar"/>
        </w:rPr>
        <w:t>符合法律、法规的要求，充分体现了公开、公平、公正和诚实信用原则，我方对</w:t>
      </w:r>
      <w:r>
        <w:rPr>
          <w:rFonts w:hint="eastAsia" w:ascii="宋体" w:hAnsi="宋体" w:eastAsia="宋体" w:cs="宋体"/>
          <w:color w:val="auto"/>
          <w:sz w:val="24"/>
          <w:szCs w:val="24"/>
          <w:highlight w:val="none"/>
          <w:shd w:val="clear" w:color="auto" w:fill="FFFFFF"/>
          <w:lang w:eastAsia="zh-CN" w:bidi="ar"/>
        </w:rPr>
        <w:t>磋商文件</w:t>
      </w:r>
      <w:r>
        <w:rPr>
          <w:rFonts w:hint="eastAsia" w:ascii="宋体" w:hAnsi="宋体" w:eastAsia="宋体" w:cs="宋体"/>
          <w:color w:val="auto"/>
          <w:sz w:val="24"/>
          <w:szCs w:val="24"/>
          <w:highlight w:val="none"/>
          <w:shd w:val="clear" w:color="auto" w:fill="FFFFFF"/>
          <w:lang w:bidi="ar"/>
        </w:rPr>
        <w:t>没有任何异议。同意接受</w:t>
      </w:r>
      <w:r>
        <w:rPr>
          <w:rFonts w:hint="eastAsia" w:ascii="宋体" w:hAnsi="宋体" w:eastAsia="宋体" w:cs="宋体"/>
          <w:color w:val="auto"/>
          <w:sz w:val="24"/>
          <w:szCs w:val="24"/>
          <w:highlight w:val="none"/>
          <w:shd w:val="clear" w:color="auto" w:fill="FFFFFF"/>
          <w:lang w:eastAsia="zh-CN" w:bidi="ar"/>
        </w:rPr>
        <w:t>磋商文件</w:t>
      </w:r>
      <w:r>
        <w:rPr>
          <w:rFonts w:hint="eastAsia" w:ascii="宋体" w:hAnsi="宋体" w:eastAsia="宋体" w:cs="宋体"/>
          <w:color w:val="auto"/>
          <w:sz w:val="24"/>
          <w:szCs w:val="24"/>
          <w:highlight w:val="none"/>
          <w:shd w:val="clear" w:color="auto" w:fill="FFFFFF"/>
          <w:lang w:bidi="ar"/>
        </w:rPr>
        <w:t>的全部内容和条件。</w:t>
      </w:r>
    </w:p>
    <w:p w14:paraId="49BFCCC3">
      <w:pPr>
        <w:spacing w:line="360" w:lineRule="auto"/>
        <w:ind w:firstLine="48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2.我方承认投标函附表是我方投标函的组成部分。</w:t>
      </w:r>
    </w:p>
    <w:p w14:paraId="6AC490C2">
      <w:pPr>
        <w:spacing w:line="360" w:lineRule="auto"/>
        <w:ind w:firstLine="48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3.如我方</w:t>
      </w:r>
      <w:r>
        <w:rPr>
          <w:rFonts w:hint="eastAsia" w:ascii="宋体" w:hAnsi="宋体" w:eastAsia="宋体" w:cs="宋体"/>
          <w:color w:val="auto"/>
          <w:sz w:val="24"/>
          <w:szCs w:val="24"/>
          <w:highlight w:val="none"/>
          <w:shd w:val="clear" w:color="auto" w:fill="FFFFFF"/>
          <w:lang w:eastAsia="zh-CN" w:bidi="ar"/>
        </w:rPr>
        <w:t>成交</w:t>
      </w:r>
      <w:r>
        <w:rPr>
          <w:rFonts w:hint="eastAsia" w:ascii="宋体" w:hAnsi="宋体" w:eastAsia="宋体" w:cs="宋体"/>
          <w:color w:val="auto"/>
          <w:sz w:val="24"/>
          <w:szCs w:val="24"/>
          <w:highlight w:val="none"/>
          <w:shd w:val="clear" w:color="auto" w:fill="FFFFFF"/>
          <w:lang w:bidi="ar"/>
        </w:rPr>
        <w:t>，我方承诺在收到</w:t>
      </w:r>
      <w:r>
        <w:rPr>
          <w:rFonts w:hint="eastAsia" w:ascii="宋体" w:hAnsi="宋体" w:eastAsia="宋体" w:cs="宋体"/>
          <w:color w:val="auto"/>
          <w:sz w:val="24"/>
          <w:szCs w:val="24"/>
          <w:highlight w:val="none"/>
          <w:shd w:val="clear" w:color="auto" w:fill="FFFFFF"/>
          <w:lang w:eastAsia="zh-CN" w:bidi="ar"/>
        </w:rPr>
        <w:t>成交</w:t>
      </w:r>
      <w:r>
        <w:rPr>
          <w:rFonts w:hint="eastAsia" w:ascii="宋体" w:hAnsi="宋体" w:eastAsia="宋体" w:cs="宋体"/>
          <w:color w:val="auto"/>
          <w:sz w:val="24"/>
          <w:szCs w:val="24"/>
          <w:highlight w:val="none"/>
          <w:shd w:val="clear" w:color="auto" w:fill="FFFFFF"/>
          <w:lang w:bidi="ar"/>
        </w:rPr>
        <w:t>通知书后，在</w:t>
      </w:r>
      <w:r>
        <w:rPr>
          <w:rFonts w:hint="eastAsia" w:ascii="宋体" w:hAnsi="宋体" w:eastAsia="宋体" w:cs="宋体"/>
          <w:color w:val="auto"/>
          <w:sz w:val="24"/>
          <w:szCs w:val="24"/>
          <w:highlight w:val="none"/>
          <w:shd w:val="clear" w:color="auto" w:fill="FFFFFF"/>
          <w:lang w:eastAsia="zh-CN" w:bidi="ar"/>
        </w:rPr>
        <w:t>成交</w:t>
      </w:r>
      <w:r>
        <w:rPr>
          <w:rFonts w:hint="eastAsia" w:ascii="宋体" w:hAnsi="宋体" w:eastAsia="宋体" w:cs="宋体"/>
          <w:color w:val="auto"/>
          <w:sz w:val="24"/>
          <w:szCs w:val="24"/>
          <w:highlight w:val="none"/>
          <w:shd w:val="clear" w:color="auto" w:fill="FFFFFF"/>
          <w:lang w:bidi="ar"/>
        </w:rPr>
        <w:t>通知书规定的期限内，根据</w:t>
      </w:r>
      <w:r>
        <w:rPr>
          <w:rFonts w:hint="eastAsia" w:ascii="宋体" w:hAnsi="宋体" w:eastAsia="宋体" w:cs="宋体"/>
          <w:color w:val="auto"/>
          <w:sz w:val="24"/>
          <w:szCs w:val="24"/>
          <w:highlight w:val="none"/>
          <w:shd w:val="clear" w:color="auto" w:fill="FFFFFF"/>
          <w:lang w:eastAsia="zh-CN" w:bidi="ar"/>
        </w:rPr>
        <w:t>磋商文件</w:t>
      </w:r>
      <w:r>
        <w:rPr>
          <w:rFonts w:hint="eastAsia" w:ascii="宋体" w:hAnsi="宋体" w:eastAsia="宋体" w:cs="宋体"/>
          <w:color w:val="auto"/>
          <w:sz w:val="24"/>
          <w:szCs w:val="24"/>
          <w:highlight w:val="none"/>
          <w:shd w:val="clear" w:color="auto" w:fill="FFFFFF"/>
          <w:lang w:bidi="ar"/>
        </w:rPr>
        <w:t>、我方的</w:t>
      </w:r>
      <w:r>
        <w:rPr>
          <w:rFonts w:hint="eastAsia" w:ascii="宋体" w:hAnsi="宋体" w:eastAsia="宋体" w:cs="宋体"/>
          <w:color w:val="auto"/>
          <w:sz w:val="24"/>
          <w:szCs w:val="24"/>
          <w:highlight w:val="none"/>
          <w:shd w:val="clear" w:color="auto" w:fill="FFFFFF"/>
          <w:lang w:eastAsia="zh-CN" w:bidi="ar"/>
        </w:rPr>
        <w:t>响应文件</w:t>
      </w:r>
      <w:r>
        <w:rPr>
          <w:rFonts w:hint="eastAsia" w:ascii="宋体" w:hAnsi="宋体" w:eastAsia="宋体" w:cs="宋体"/>
          <w:color w:val="auto"/>
          <w:sz w:val="24"/>
          <w:szCs w:val="24"/>
          <w:highlight w:val="none"/>
          <w:shd w:val="clear" w:color="auto" w:fill="FFFFFF"/>
          <w:lang w:bidi="ar"/>
        </w:rPr>
        <w:t>及有关澄清承诺书的要求，与采购人订立书面合同，并按照合同约定承担完成合同的责任和义务。</w:t>
      </w:r>
    </w:p>
    <w:p w14:paraId="2EC1E20C">
      <w:pPr>
        <w:spacing w:line="360" w:lineRule="auto"/>
        <w:ind w:firstLine="48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4.我方同意自本项目</w:t>
      </w:r>
      <w:r>
        <w:rPr>
          <w:rFonts w:hint="eastAsia" w:ascii="宋体" w:hAnsi="宋体" w:eastAsia="宋体" w:cs="宋体"/>
          <w:color w:val="auto"/>
          <w:sz w:val="24"/>
          <w:szCs w:val="24"/>
          <w:highlight w:val="none"/>
          <w:shd w:val="clear" w:color="auto" w:fill="FFFFFF"/>
          <w:lang w:eastAsia="zh-CN" w:bidi="ar"/>
        </w:rPr>
        <w:t>磋商文件</w:t>
      </w:r>
      <w:r>
        <w:rPr>
          <w:rFonts w:hint="eastAsia" w:ascii="宋体" w:hAnsi="宋体" w:eastAsia="宋体" w:cs="宋体"/>
          <w:color w:val="auto"/>
          <w:sz w:val="24"/>
          <w:szCs w:val="24"/>
          <w:highlight w:val="none"/>
          <w:shd w:val="clear" w:color="auto" w:fill="FFFFFF"/>
          <w:lang w:bidi="ar"/>
        </w:rPr>
        <w:t>中规定的投标有效期内有效，并承诺在投标有效期内不修改、撤销</w:t>
      </w:r>
      <w:r>
        <w:rPr>
          <w:rFonts w:hint="eastAsia" w:ascii="宋体" w:hAnsi="宋体" w:eastAsia="宋体" w:cs="宋体"/>
          <w:color w:val="auto"/>
          <w:sz w:val="24"/>
          <w:szCs w:val="24"/>
          <w:highlight w:val="none"/>
          <w:shd w:val="clear" w:color="auto" w:fill="FFFFFF"/>
          <w:lang w:eastAsia="zh-CN" w:bidi="ar"/>
        </w:rPr>
        <w:t>响应文件</w:t>
      </w:r>
      <w:r>
        <w:rPr>
          <w:rFonts w:hint="eastAsia" w:ascii="宋体" w:hAnsi="宋体" w:eastAsia="宋体" w:cs="宋体"/>
          <w:color w:val="auto"/>
          <w:sz w:val="24"/>
          <w:szCs w:val="24"/>
          <w:highlight w:val="none"/>
          <w:shd w:val="clear" w:color="auto" w:fill="FFFFFF"/>
          <w:lang w:bidi="ar"/>
        </w:rPr>
        <w:t>。</w:t>
      </w:r>
    </w:p>
    <w:p w14:paraId="0199C561">
      <w:pPr>
        <w:spacing w:line="360" w:lineRule="auto"/>
        <w:ind w:firstLine="48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5.我方完全理解贵方不一定接受投标报价最低的</w:t>
      </w:r>
      <w:r>
        <w:rPr>
          <w:rFonts w:hint="eastAsia" w:eastAsia="宋体" w:cs="宋体"/>
          <w:color w:val="auto"/>
          <w:sz w:val="24"/>
          <w:szCs w:val="24"/>
          <w:highlight w:val="none"/>
          <w:shd w:val="clear" w:color="auto" w:fill="FFFFFF"/>
          <w:lang w:eastAsia="zh-CN" w:bidi="ar"/>
        </w:rPr>
        <w:t>响应人</w:t>
      </w:r>
      <w:r>
        <w:rPr>
          <w:rFonts w:hint="eastAsia" w:ascii="宋体" w:hAnsi="宋体" w:eastAsia="宋体" w:cs="宋体"/>
          <w:color w:val="auto"/>
          <w:sz w:val="24"/>
          <w:szCs w:val="24"/>
          <w:highlight w:val="none"/>
          <w:shd w:val="clear" w:color="auto" w:fill="FFFFFF"/>
          <w:lang w:bidi="ar"/>
        </w:rPr>
        <w:t>为</w:t>
      </w:r>
      <w:r>
        <w:rPr>
          <w:rFonts w:hint="eastAsia" w:ascii="宋体" w:hAnsi="宋体" w:eastAsia="宋体" w:cs="宋体"/>
          <w:color w:val="auto"/>
          <w:sz w:val="24"/>
          <w:szCs w:val="24"/>
          <w:highlight w:val="none"/>
          <w:shd w:val="clear" w:color="auto" w:fill="FFFFFF"/>
          <w:lang w:eastAsia="zh-CN" w:bidi="ar"/>
        </w:rPr>
        <w:t>成交</w:t>
      </w:r>
      <w:r>
        <w:rPr>
          <w:rFonts w:hint="eastAsia" w:eastAsia="宋体" w:cs="宋体"/>
          <w:color w:val="auto"/>
          <w:sz w:val="24"/>
          <w:szCs w:val="24"/>
          <w:highlight w:val="none"/>
          <w:shd w:val="clear" w:color="auto" w:fill="FFFFFF"/>
          <w:lang w:eastAsia="zh-CN" w:bidi="ar"/>
        </w:rPr>
        <w:t>响应人</w:t>
      </w:r>
      <w:r>
        <w:rPr>
          <w:rFonts w:hint="eastAsia" w:ascii="宋体" w:hAnsi="宋体" w:eastAsia="宋体" w:cs="宋体"/>
          <w:color w:val="auto"/>
          <w:sz w:val="24"/>
          <w:szCs w:val="24"/>
          <w:highlight w:val="none"/>
          <w:shd w:val="clear" w:color="auto" w:fill="FFFFFF"/>
          <w:lang w:bidi="ar"/>
        </w:rPr>
        <w:t>的行为。</w:t>
      </w:r>
    </w:p>
    <w:p w14:paraId="45A2390C">
      <w:pPr>
        <w:spacing w:line="360" w:lineRule="auto"/>
        <w:ind w:firstLine="48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6.我方在此声明，所递交的</w:t>
      </w:r>
      <w:r>
        <w:rPr>
          <w:rFonts w:hint="eastAsia" w:ascii="宋体" w:hAnsi="宋体" w:eastAsia="宋体" w:cs="宋体"/>
          <w:color w:val="auto"/>
          <w:sz w:val="24"/>
          <w:szCs w:val="24"/>
          <w:highlight w:val="none"/>
          <w:shd w:val="clear" w:color="auto" w:fill="FFFFFF"/>
          <w:lang w:eastAsia="zh-CN" w:bidi="ar"/>
        </w:rPr>
        <w:t>响应文件</w:t>
      </w:r>
      <w:r>
        <w:rPr>
          <w:rFonts w:hint="eastAsia" w:ascii="宋体" w:hAnsi="宋体" w:eastAsia="宋体" w:cs="宋体"/>
          <w:color w:val="auto"/>
          <w:sz w:val="24"/>
          <w:szCs w:val="24"/>
          <w:highlight w:val="none"/>
          <w:shd w:val="clear" w:color="auto" w:fill="FFFFFF"/>
          <w:lang w:bidi="ar"/>
        </w:rPr>
        <w:t>及有关资料内容完整、真实和准确。</w:t>
      </w:r>
    </w:p>
    <w:p w14:paraId="596B1978">
      <w:pPr>
        <w:spacing w:line="360" w:lineRule="auto"/>
        <w:ind w:firstLine="0" w:firstLineChars="0"/>
        <w:jc w:val="both"/>
        <w:rPr>
          <w:rFonts w:hint="eastAsia" w:ascii="宋体" w:hAnsi="宋体" w:eastAsia="宋体" w:cs="宋体"/>
          <w:color w:val="auto"/>
          <w:sz w:val="24"/>
          <w:szCs w:val="24"/>
          <w:highlight w:val="none"/>
          <w:shd w:val="clear" w:color="auto" w:fill="FFFFFF"/>
          <w:lang w:bidi="ar"/>
        </w:rPr>
      </w:pPr>
    </w:p>
    <w:p w14:paraId="4CF247F2">
      <w:pPr>
        <w:spacing w:line="360" w:lineRule="auto"/>
        <w:ind w:firstLine="0" w:firstLineChars="0"/>
        <w:jc w:val="both"/>
        <w:rPr>
          <w:rFonts w:hint="eastAsia" w:ascii="宋体" w:hAnsi="宋体" w:eastAsia="宋体" w:cs="宋体"/>
          <w:color w:val="auto"/>
          <w:sz w:val="24"/>
          <w:szCs w:val="24"/>
          <w:highlight w:val="none"/>
          <w:shd w:val="clear" w:color="auto" w:fill="FFFFFF"/>
          <w:lang w:bidi="ar"/>
        </w:rPr>
      </w:pPr>
    </w:p>
    <w:p w14:paraId="1AE2A38D">
      <w:pPr>
        <w:spacing w:line="360" w:lineRule="auto"/>
        <w:ind w:firstLine="3400" w:firstLineChars="1417"/>
        <w:jc w:val="both"/>
        <w:rPr>
          <w:rFonts w:hint="eastAsia" w:ascii="宋体" w:hAnsi="宋体" w:eastAsia="宋体" w:cs="宋体"/>
          <w:color w:val="auto"/>
          <w:sz w:val="24"/>
          <w:szCs w:val="24"/>
          <w:highlight w:val="none"/>
          <w:shd w:val="clear" w:color="auto" w:fill="FFFFFF"/>
          <w:lang w:bidi="ar"/>
        </w:rPr>
      </w:pPr>
      <w:r>
        <w:rPr>
          <w:rFonts w:hint="eastAsia" w:eastAsia="宋体" w:cs="宋体"/>
          <w:color w:val="auto"/>
          <w:sz w:val="24"/>
          <w:szCs w:val="24"/>
          <w:highlight w:val="none"/>
          <w:shd w:val="clear" w:color="auto" w:fill="FFFFFF"/>
          <w:lang w:eastAsia="zh-CN" w:bidi="ar"/>
        </w:rPr>
        <w:t>响应人</w:t>
      </w:r>
      <w:r>
        <w:rPr>
          <w:rFonts w:hint="eastAsia" w:ascii="宋体" w:hAnsi="宋体" w:eastAsia="宋体" w:cs="宋体"/>
          <w:color w:val="auto"/>
          <w:sz w:val="24"/>
          <w:szCs w:val="24"/>
          <w:highlight w:val="none"/>
          <w:shd w:val="clear" w:color="auto" w:fill="FFFFFF"/>
          <w:lang w:bidi="ar"/>
        </w:rPr>
        <w:t>：</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w:t>
      </w:r>
      <w:r>
        <w:rPr>
          <w:rFonts w:hint="eastAsia" w:ascii="宋体" w:hAnsi="宋体" w:eastAsia="宋体" w:cs="宋体"/>
          <w:color w:val="auto"/>
          <w:sz w:val="24"/>
          <w:szCs w:val="24"/>
          <w:highlight w:val="none"/>
          <w:shd w:val="clear" w:color="auto" w:fill="FFFFFF"/>
          <w:lang w:eastAsia="zh-CN" w:bidi="ar"/>
        </w:rPr>
        <w:t>单位电子公章</w:t>
      </w:r>
      <w:r>
        <w:rPr>
          <w:rFonts w:hint="eastAsia" w:ascii="宋体" w:hAnsi="宋体" w:eastAsia="宋体" w:cs="宋体"/>
          <w:color w:val="auto"/>
          <w:sz w:val="24"/>
          <w:szCs w:val="24"/>
          <w:highlight w:val="none"/>
          <w:shd w:val="clear" w:color="auto" w:fill="FFFFFF"/>
          <w:lang w:bidi="ar"/>
        </w:rPr>
        <w:t xml:space="preserve">) </w:t>
      </w:r>
    </w:p>
    <w:p w14:paraId="237E3A39">
      <w:pPr>
        <w:spacing w:line="360" w:lineRule="auto"/>
        <w:ind w:firstLine="3400" w:firstLineChars="1417"/>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法定代表人 ：</w:t>
      </w:r>
      <w:r>
        <w:rPr>
          <w:rFonts w:hint="eastAsia" w:ascii="宋体" w:hAnsi="宋体" w:eastAsia="宋体" w:cs="宋体"/>
          <w:color w:val="auto"/>
          <w:sz w:val="24"/>
          <w:szCs w:val="24"/>
          <w:highlight w:val="none"/>
          <w:u w:val="single"/>
          <w:shd w:val="clear" w:color="auto" w:fill="FFFFFF"/>
          <w:lang w:bidi="ar"/>
        </w:rPr>
        <w:t xml:space="preserve">    </w:t>
      </w:r>
      <w:r>
        <w:rPr>
          <w:rFonts w:hint="eastAsia" w:eastAsia="宋体" w:cs="宋体"/>
          <w:color w:val="auto"/>
          <w:sz w:val="24"/>
          <w:szCs w:val="24"/>
          <w:highlight w:val="none"/>
          <w:u w:val="single"/>
          <w:shd w:val="clear" w:color="auto" w:fill="FFFFFF"/>
          <w:lang w:val="en-US" w:eastAsia="zh-CN" w:bidi="ar"/>
        </w:rPr>
        <w:t xml:space="preserve">            </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 xml:space="preserve">(法人电子签章) </w:t>
      </w:r>
    </w:p>
    <w:p w14:paraId="08B17F49">
      <w:pPr>
        <w:spacing w:line="360" w:lineRule="auto"/>
        <w:ind w:firstLine="3400" w:firstLineChars="1417"/>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日       期：</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 xml:space="preserve">年 </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月</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日</w:t>
      </w:r>
    </w:p>
    <w:p w14:paraId="5E38C18E">
      <w:pPr>
        <w:pStyle w:val="14"/>
        <w:spacing w:line="360" w:lineRule="auto"/>
        <w:ind w:firstLine="480"/>
        <w:rPr>
          <w:rFonts w:hint="eastAsia" w:ascii="宋体" w:hAnsi="宋体" w:eastAsia="宋体" w:cs="宋体"/>
          <w:color w:val="auto"/>
          <w:sz w:val="24"/>
          <w:szCs w:val="24"/>
          <w:highlight w:val="none"/>
          <w:lang w:bidi="ar"/>
        </w:rPr>
      </w:pPr>
    </w:p>
    <w:p w14:paraId="6B0340DE">
      <w:pPr>
        <w:pStyle w:val="9"/>
        <w:spacing w:line="360" w:lineRule="auto"/>
        <w:ind w:firstLine="400"/>
        <w:rPr>
          <w:rFonts w:hint="eastAsia" w:ascii="宋体" w:hAnsi="宋体" w:eastAsia="宋体" w:cs="宋体"/>
          <w:color w:val="auto"/>
          <w:sz w:val="24"/>
          <w:szCs w:val="24"/>
          <w:highlight w:val="none"/>
          <w:lang w:bidi="ar"/>
        </w:rPr>
      </w:pPr>
    </w:p>
    <w:p w14:paraId="3792B0A8">
      <w:pPr>
        <w:spacing w:line="360" w:lineRule="auto"/>
        <w:ind w:left="0" w:firstLine="0" w:firstLineChars="0"/>
        <w:outlineLvl w:val="9"/>
        <w:rPr>
          <w:rFonts w:hint="eastAsia" w:ascii="宋体" w:hAnsi="宋体" w:eastAsia="宋体" w:cs="宋体"/>
          <w:color w:val="auto"/>
          <w:sz w:val="24"/>
          <w:szCs w:val="24"/>
          <w:highlight w:val="none"/>
        </w:rPr>
      </w:pPr>
      <w:bookmarkStart w:id="91" w:name="_Toc14277"/>
    </w:p>
    <w:p w14:paraId="26EECF44">
      <w:pPr>
        <w:pStyle w:val="3"/>
        <w:spacing w:line="360" w:lineRule="auto"/>
        <w:ind w:left="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r>
        <w:rPr>
          <w:rFonts w:hint="eastAsia" w:ascii="宋体" w:hAnsi="宋体" w:eastAsia="宋体" w:cs="宋体"/>
          <w:color w:val="auto"/>
          <w:sz w:val="24"/>
          <w:szCs w:val="24"/>
          <w:highlight w:val="none"/>
        </w:rPr>
        <w:t>（二）投标函附录</w:t>
      </w:r>
      <w:bookmarkEnd w:id="91"/>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4"/>
        <w:gridCol w:w="6834"/>
      </w:tblGrid>
      <w:tr w14:paraId="6D629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2164" w:type="dxa"/>
            <w:noWrap w:val="0"/>
            <w:vAlign w:val="center"/>
          </w:tcPr>
          <w:p w14:paraId="7D387435">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6834" w:type="dxa"/>
            <w:noWrap w:val="0"/>
            <w:vAlign w:val="center"/>
          </w:tcPr>
          <w:p w14:paraId="145BFE96">
            <w:pPr>
              <w:spacing w:line="360" w:lineRule="auto"/>
              <w:ind w:firstLine="480"/>
              <w:jc w:val="center"/>
              <w:rPr>
                <w:rFonts w:hint="eastAsia" w:ascii="宋体" w:hAnsi="宋体" w:eastAsia="宋体" w:cs="宋体"/>
                <w:color w:val="auto"/>
                <w:sz w:val="24"/>
                <w:szCs w:val="24"/>
                <w:highlight w:val="none"/>
                <w:shd w:val="clear" w:color="auto" w:fill="FFFFFF"/>
                <w:lang w:bidi="ar"/>
              </w:rPr>
            </w:pPr>
          </w:p>
        </w:tc>
      </w:tr>
      <w:tr w14:paraId="1BB19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jc w:val="center"/>
        </w:trPr>
        <w:tc>
          <w:tcPr>
            <w:tcW w:w="2164" w:type="dxa"/>
            <w:noWrap w:val="0"/>
            <w:vAlign w:val="center"/>
          </w:tcPr>
          <w:p w14:paraId="092A8666">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响应人</w:t>
            </w:r>
            <w:r>
              <w:rPr>
                <w:rFonts w:hint="eastAsia" w:ascii="宋体" w:hAnsi="宋体" w:eastAsia="宋体" w:cs="宋体"/>
                <w:color w:val="auto"/>
                <w:sz w:val="24"/>
                <w:szCs w:val="24"/>
                <w:highlight w:val="none"/>
              </w:rPr>
              <w:t>名称</w:t>
            </w:r>
          </w:p>
        </w:tc>
        <w:tc>
          <w:tcPr>
            <w:tcW w:w="6834" w:type="dxa"/>
            <w:noWrap w:val="0"/>
            <w:vAlign w:val="center"/>
          </w:tcPr>
          <w:p w14:paraId="5758AB15">
            <w:pPr>
              <w:spacing w:line="360" w:lineRule="auto"/>
              <w:ind w:firstLine="480"/>
              <w:jc w:val="center"/>
              <w:rPr>
                <w:rFonts w:hint="eastAsia" w:ascii="宋体" w:hAnsi="宋体" w:eastAsia="宋体" w:cs="宋体"/>
                <w:color w:val="auto"/>
                <w:sz w:val="24"/>
                <w:szCs w:val="24"/>
                <w:highlight w:val="none"/>
                <w:shd w:val="clear" w:color="auto" w:fill="FFFFFF"/>
                <w:lang w:bidi="ar"/>
              </w:rPr>
            </w:pPr>
          </w:p>
        </w:tc>
      </w:tr>
      <w:tr w14:paraId="1127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9" w:hRule="atLeast"/>
          <w:jc w:val="center"/>
        </w:trPr>
        <w:tc>
          <w:tcPr>
            <w:tcW w:w="2164" w:type="dxa"/>
            <w:noWrap w:val="0"/>
            <w:vAlign w:val="center"/>
          </w:tcPr>
          <w:p w14:paraId="15E39A40">
            <w:pPr>
              <w:spacing w:line="240" w:lineRule="auto"/>
              <w:ind w:firstLineChars="0"/>
              <w:jc w:val="center"/>
              <w:rPr>
                <w:rFonts w:hint="eastAsia" w:ascii="宋体" w:hAnsi="宋体" w:eastAsia="宋体" w:cs="宋体"/>
                <w:color w:val="auto"/>
                <w:sz w:val="24"/>
                <w:szCs w:val="24"/>
                <w:highlight w:val="none"/>
              </w:rPr>
            </w:pPr>
            <w:r>
              <w:rPr>
                <w:rFonts w:hint="eastAsia" w:cs="宋体"/>
                <w:color w:val="auto"/>
                <w:sz w:val="24"/>
                <w:szCs w:val="24"/>
                <w:highlight w:val="none"/>
                <w:lang w:eastAsia="zh-CN"/>
              </w:rPr>
              <w:t>磋商</w:t>
            </w:r>
            <w:r>
              <w:rPr>
                <w:rFonts w:hint="eastAsia" w:ascii="宋体" w:hAnsi="宋体" w:eastAsia="宋体" w:cs="宋体"/>
                <w:color w:val="auto"/>
                <w:sz w:val="24"/>
                <w:szCs w:val="24"/>
                <w:highlight w:val="none"/>
              </w:rPr>
              <w:t>报价</w:t>
            </w:r>
          </w:p>
        </w:tc>
        <w:tc>
          <w:tcPr>
            <w:tcW w:w="6834" w:type="dxa"/>
            <w:noWrap w:val="0"/>
            <w:vAlign w:val="center"/>
          </w:tcPr>
          <w:p w14:paraId="300971C8">
            <w:pPr>
              <w:spacing w:line="360" w:lineRule="auto"/>
              <w:ind w:left="0" w:leftChars="0" w:firstLine="0" w:firstLineChars="0"/>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人民币（大写）：</w:t>
            </w:r>
          </w:p>
          <w:p w14:paraId="60F91585">
            <w:pPr>
              <w:spacing w:line="360" w:lineRule="auto"/>
              <w:ind w:firstLine="720" w:firstLineChars="300"/>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（小写）：</w:t>
            </w:r>
          </w:p>
        </w:tc>
      </w:tr>
      <w:tr w14:paraId="7972C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2164" w:type="dxa"/>
            <w:noWrap w:val="0"/>
            <w:vAlign w:val="center"/>
          </w:tcPr>
          <w:p w14:paraId="0F6E0584">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质量要求</w:t>
            </w:r>
          </w:p>
        </w:tc>
        <w:tc>
          <w:tcPr>
            <w:tcW w:w="6834" w:type="dxa"/>
            <w:noWrap w:val="0"/>
            <w:vAlign w:val="center"/>
          </w:tcPr>
          <w:p w14:paraId="01D3CF2B">
            <w:pPr>
              <w:spacing w:line="360" w:lineRule="auto"/>
              <w:ind w:firstLine="480"/>
              <w:jc w:val="center"/>
              <w:rPr>
                <w:rFonts w:hint="eastAsia" w:ascii="宋体" w:hAnsi="宋体" w:eastAsia="宋体" w:cs="宋体"/>
                <w:color w:val="auto"/>
                <w:sz w:val="24"/>
                <w:szCs w:val="24"/>
                <w:highlight w:val="none"/>
                <w:shd w:val="clear" w:color="auto" w:fill="FFFFFF"/>
                <w:lang w:bidi="ar"/>
              </w:rPr>
            </w:pPr>
          </w:p>
        </w:tc>
      </w:tr>
      <w:tr w14:paraId="0E07E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2164" w:type="dxa"/>
            <w:noWrap w:val="0"/>
            <w:vAlign w:val="center"/>
          </w:tcPr>
          <w:p w14:paraId="2E93F2E5">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合同履行期限</w:t>
            </w:r>
          </w:p>
          <w:p w14:paraId="608E6DA1">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（交货期）</w:t>
            </w:r>
          </w:p>
        </w:tc>
        <w:tc>
          <w:tcPr>
            <w:tcW w:w="6834" w:type="dxa"/>
            <w:noWrap w:val="0"/>
            <w:vAlign w:val="center"/>
          </w:tcPr>
          <w:p w14:paraId="2DBAF70F">
            <w:pPr>
              <w:spacing w:line="360" w:lineRule="auto"/>
              <w:ind w:firstLine="480"/>
              <w:jc w:val="center"/>
              <w:rPr>
                <w:rFonts w:hint="eastAsia" w:ascii="宋体" w:hAnsi="宋体" w:eastAsia="宋体" w:cs="宋体"/>
                <w:color w:val="auto"/>
                <w:sz w:val="24"/>
                <w:szCs w:val="24"/>
                <w:highlight w:val="none"/>
                <w:shd w:val="clear" w:color="auto" w:fill="FFFFFF"/>
                <w:lang w:bidi="ar"/>
              </w:rPr>
            </w:pPr>
          </w:p>
        </w:tc>
      </w:tr>
      <w:tr w14:paraId="4846E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2164" w:type="dxa"/>
            <w:noWrap w:val="0"/>
            <w:vAlign w:val="center"/>
          </w:tcPr>
          <w:p w14:paraId="08F16BA1">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 保 期</w:t>
            </w:r>
          </w:p>
        </w:tc>
        <w:tc>
          <w:tcPr>
            <w:tcW w:w="6834" w:type="dxa"/>
            <w:noWrap w:val="0"/>
            <w:vAlign w:val="center"/>
          </w:tcPr>
          <w:p w14:paraId="4587E1FA">
            <w:pPr>
              <w:spacing w:line="240" w:lineRule="auto"/>
              <w:ind w:firstLineChars="0"/>
              <w:jc w:val="center"/>
              <w:rPr>
                <w:rFonts w:hint="eastAsia" w:ascii="宋体" w:hAnsi="宋体" w:eastAsia="宋体" w:cs="宋体"/>
                <w:color w:val="auto"/>
                <w:sz w:val="24"/>
                <w:szCs w:val="24"/>
                <w:highlight w:val="none"/>
                <w:shd w:val="clear" w:color="auto" w:fill="FFFFFF"/>
                <w:lang w:bidi="ar"/>
              </w:rPr>
            </w:pPr>
          </w:p>
        </w:tc>
      </w:tr>
      <w:tr w14:paraId="04D98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jc w:val="center"/>
        </w:trPr>
        <w:tc>
          <w:tcPr>
            <w:tcW w:w="2164" w:type="dxa"/>
            <w:noWrap w:val="0"/>
            <w:vAlign w:val="center"/>
          </w:tcPr>
          <w:p w14:paraId="6652D2E2">
            <w:pPr>
              <w:spacing w:line="240" w:lineRule="auto"/>
              <w:ind w:firstLineChars="0"/>
              <w:jc w:val="center"/>
              <w:rPr>
                <w:rFonts w:hint="eastAsia" w:ascii="宋体" w:hAnsi="宋体" w:eastAsia="宋体" w:cs="宋体"/>
                <w:color w:val="auto"/>
                <w:sz w:val="24"/>
                <w:szCs w:val="24"/>
                <w:highlight w:val="none"/>
              </w:rPr>
            </w:pPr>
            <w:r>
              <w:rPr>
                <w:rFonts w:hint="eastAsia" w:cs="宋体"/>
                <w:color w:val="auto"/>
                <w:sz w:val="24"/>
                <w:szCs w:val="24"/>
                <w:highlight w:val="none"/>
                <w:lang w:eastAsia="zh-CN"/>
              </w:rPr>
              <w:t>磋商</w:t>
            </w:r>
            <w:r>
              <w:rPr>
                <w:rFonts w:hint="eastAsia" w:ascii="宋体" w:hAnsi="宋体" w:eastAsia="宋体" w:cs="宋体"/>
                <w:color w:val="auto"/>
                <w:sz w:val="24"/>
                <w:szCs w:val="24"/>
                <w:highlight w:val="none"/>
              </w:rPr>
              <w:t>有效期</w:t>
            </w:r>
          </w:p>
        </w:tc>
        <w:tc>
          <w:tcPr>
            <w:tcW w:w="6834" w:type="dxa"/>
            <w:noWrap w:val="0"/>
            <w:vAlign w:val="center"/>
          </w:tcPr>
          <w:p w14:paraId="739FEF2C">
            <w:pPr>
              <w:spacing w:line="360" w:lineRule="auto"/>
              <w:ind w:firstLine="199" w:firstLineChars="83"/>
              <w:rPr>
                <w:rFonts w:hint="eastAsia" w:ascii="宋体" w:hAnsi="宋体" w:eastAsia="宋体" w:cs="宋体"/>
                <w:color w:val="auto"/>
                <w:sz w:val="24"/>
                <w:szCs w:val="24"/>
                <w:highlight w:val="none"/>
                <w:shd w:val="clear" w:color="auto" w:fill="FFFFFF"/>
                <w:lang w:bidi="ar"/>
              </w:rPr>
            </w:pPr>
          </w:p>
        </w:tc>
      </w:tr>
      <w:tr w14:paraId="7BDBF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0" w:hRule="atLeast"/>
          <w:jc w:val="center"/>
        </w:trPr>
        <w:tc>
          <w:tcPr>
            <w:tcW w:w="2164" w:type="dxa"/>
            <w:noWrap w:val="0"/>
            <w:vAlign w:val="center"/>
          </w:tcPr>
          <w:p w14:paraId="1ACFE8ED">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注</w:t>
            </w:r>
          </w:p>
        </w:tc>
        <w:tc>
          <w:tcPr>
            <w:tcW w:w="6834" w:type="dxa"/>
            <w:noWrap w:val="0"/>
            <w:vAlign w:val="center"/>
          </w:tcPr>
          <w:p w14:paraId="7FD888DC">
            <w:pPr>
              <w:spacing w:line="360" w:lineRule="auto"/>
              <w:ind w:firstLine="480"/>
              <w:jc w:val="center"/>
              <w:rPr>
                <w:rFonts w:hint="eastAsia" w:ascii="宋体" w:hAnsi="宋体" w:eastAsia="宋体" w:cs="宋体"/>
                <w:color w:val="auto"/>
                <w:sz w:val="24"/>
                <w:szCs w:val="24"/>
                <w:highlight w:val="none"/>
                <w:shd w:val="clear" w:color="auto" w:fill="FFFFFF"/>
                <w:lang w:bidi="ar"/>
              </w:rPr>
            </w:pPr>
          </w:p>
        </w:tc>
      </w:tr>
    </w:tbl>
    <w:p w14:paraId="10341EEE">
      <w:pPr>
        <w:spacing w:line="360" w:lineRule="auto"/>
        <w:ind w:firstLine="0" w:firstLineChars="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ab/>
      </w:r>
    </w:p>
    <w:p w14:paraId="1DC4510B">
      <w:pPr>
        <w:spacing w:line="360" w:lineRule="auto"/>
        <w:ind w:firstLine="0" w:firstLineChars="0"/>
        <w:jc w:val="both"/>
        <w:rPr>
          <w:rFonts w:hint="eastAsia" w:ascii="宋体" w:hAnsi="宋体" w:eastAsia="宋体" w:cs="宋体"/>
          <w:color w:val="auto"/>
          <w:sz w:val="24"/>
          <w:szCs w:val="24"/>
          <w:highlight w:val="none"/>
          <w:shd w:val="clear" w:color="auto" w:fill="FFFFFF"/>
          <w:lang w:bidi="ar"/>
        </w:rPr>
      </w:pPr>
    </w:p>
    <w:p w14:paraId="2F7C7FA7">
      <w:pPr>
        <w:spacing w:line="360" w:lineRule="auto"/>
        <w:ind w:firstLine="0" w:firstLineChars="0"/>
        <w:jc w:val="both"/>
        <w:rPr>
          <w:rFonts w:hint="eastAsia" w:ascii="宋体" w:hAnsi="宋体" w:eastAsia="宋体" w:cs="宋体"/>
          <w:color w:val="auto"/>
          <w:sz w:val="24"/>
          <w:szCs w:val="24"/>
          <w:highlight w:val="none"/>
          <w:shd w:val="clear" w:color="auto" w:fill="FFFFFF"/>
          <w:lang w:bidi="ar"/>
        </w:rPr>
      </w:pPr>
    </w:p>
    <w:p w14:paraId="28F9FBED">
      <w:pPr>
        <w:spacing w:line="360" w:lineRule="auto"/>
        <w:ind w:firstLine="3360" w:firstLineChars="1400"/>
        <w:jc w:val="both"/>
        <w:rPr>
          <w:rFonts w:hint="eastAsia" w:ascii="宋体" w:hAnsi="宋体" w:eastAsia="宋体" w:cs="宋体"/>
          <w:color w:val="auto"/>
          <w:sz w:val="24"/>
          <w:szCs w:val="24"/>
          <w:highlight w:val="none"/>
          <w:shd w:val="clear" w:color="auto" w:fill="FFFFFF"/>
          <w:lang w:bidi="ar"/>
        </w:rPr>
      </w:pPr>
      <w:r>
        <w:rPr>
          <w:rFonts w:hint="eastAsia" w:eastAsia="宋体" w:cs="宋体"/>
          <w:color w:val="auto"/>
          <w:sz w:val="24"/>
          <w:szCs w:val="24"/>
          <w:highlight w:val="none"/>
          <w:shd w:val="clear" w:color="auto" w:fill="FFFFFF"/>
          <w:lang w:val="en-US" w:eastAsia="zh-CN" w:bidi="ar"/>
        </w:rPr>
        <w:t>响应人</w:t>
      </w:r>
      <w:r>
        <w:rPr>
          <w:rFonts w:hint="eastAsia" w:ascii="宋体" w:hAnsi="宋体" w:eastAsia="宋体" w:cs="宋体"/>
          <w:color w:val="auto"/>
          <w:sz w:val="24"/>
          <w:szCs w:val="24"/>
          <w:highlight w:val="none"/>
          <w:shd w:val="clear" w:color="auto" w:fill="FFFFFF"/>
          <w:lang w:bidi="ar"/>
        </w:rPr>
        <w:t>：</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w:t>
      </w:r>
      <w:r>
        <w:rPr>
          <w:rFonts w:hint="eastAsia" w:ascii="宋体" w:hAnsi="宋体" w:eastAsia="宋体" w:cs="宋体"/>
          <w:color w:val="auto"/>
          <w:sz w:val="24"/>
          <w:szCs w:val="24"/>
          <w:highlight w:val="none"/>
          <w:shd w:val="clear" w:color="auto" w:fill="FFFFFF"/>
          <w:lang w:eastAsia="zh-CN" w:bidi="ar"/>
        </w:rPr>
        <w:t>单位电子公章</w:t>
      </w:r>
      <w:r>
        <w:rPr>
          <w:rFonts w:hint="eastAsia" w:ascii="宋体" w:hAnsi="宋体" w:eastAsia="宋体" w:cs="宋体"/>
          <w:color w:val="auto"/>
          <w:sz w:val="24"/>
          <w:szCs w:val="24"/>
          <w:highlight w:val="none"/>
          <w:shd w:val="clear" w:color="auto" w:fill="FFFFFF"/>
          <w:lang w:bidi="ar"/>
        </w:rPr>
        <w:t xml:space="preserve">) </w:t>
      </w:r>
    </w:p>
    <w:p w14:paraId="5486A66D">
      <w:pPr>
        <w:spacing w:line="360" w:lineRule="auto"/>
        <w:ind w:firstLine="3400" w:firstLineChars="1417"/>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法定代表人 ：</w:t>
      </w:r>
      <w:r>
        <w:rPr>
          <w:rFonts w:hint="eastAsia" w:ascii="宋体" w:hAnsi="宋体" w:eastAsia="宋体" w:cs="宋体"/>
          <w:color w:val="auto"/>
          <w:sz w:val="24"/>
          <w:szCs w:val="24"/>
          <w:highlight w:val="none"/>
          <w:u w:val="single"/>
          <w:shd w:val="clear" w:color="auto" w:fill="FFFFFF"/>
          <w:lang w:bidi="ar"/>
        </w:rPr>
        <w:t xml:space="preserve">   </w:t>
      </w:r>
      <w:r>
        <w:rPr>
          <w:rFonts w:hint="eastAsia" w:eastAsia="宋体" w:cs="宋体"/>
          <w:color w:val="auto"/>
          <w:sz w:val="24"/>
          <w:szCs w:val="24"/>
          <w:highlight w:val="none"/>
          <w:u w:val="single"/>
          <w:shd w:val="clear" w:color="auto" w:fill="FFFFFF"/>
          <w:lang w:val="en-US" w:eastAsia="zh-CN" w:bidi="ar"/>
        </w:rPr>
        <w:t xml:space="preserve">             </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 xml:space="preserve">(法人电子签章) </w:t>
      </w:r>
    </w:p>
    <w:p w14:paraId="165B895B">
      <w:pPr>
        <w:spacing w:line="360" w:lineRule="auto"/>
        <w:ind w:firstLine="3400" w:firstLineChars="1417"/>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日       期：</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 xml:space="preserve">年 </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月</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日</w:t>
      </w:r>
    </w:p>
    <w:p w14:paraId="758C14B4">
      <w:pPr>
        <w:pStyle w:val="14"/>
        <w:spacing w:line="360" w:lineRule="auto"/>
        <w:ind w:firstLine="480"/>
        <w:rPr>
          <w:rFonts w:hint="eastAsia" w:ascii="宋体" w:hAnsi="宋体" w:eastAsia="宋体" w:cs="宋体"/>
          <w:color w:val="auto"/>
          <w:sz w:val="24"/>
          <w:szCs w:val="24"/>
          <w:highlight w:val="none"/>
          <w:lang w:bidi="ar"/>
        </w:rPr>
      </w:pPr>
    </w:p>
    <w:p w14:paraId="223CD4E2">
      <w:pPr>
        <w:spacing w:line="360" w:lineRule="auto"/>
        <w:ind w:left="277" w:hanging="276" w:hangingChars="115"/>
        <w:outlineLvl w:val="9"/>
        <w:rPr>
          <w:rFonts w:hint="eastAsia" w:ascii="宋体" w:hAnsi="宋体" w:eastAsia="宋体" w:cs="宋体"/>
          <w:color w:val="auto"/>
          <w:sz w:val="24"/>
          <w:szCs w:val="24"/>
          <w:highlight w:val="none"/>
        </w:rPr>
      </w:pPr>
      <w:bookmarkStart w:id="92" w:name="_Toc25387"/>
    </w:p>
    <w:p w14:paraId="1F4E5822">
      <w:pPr>
        <w:pStyle w:val="2"/>
        <w:spacing w:line="360" w:lineRule="auto"/>
        <w:ind w:left="277" w:hanging="277" w:hangingChars="115"/>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二、投标分项报价表</w:t>
      </w:r>
      <w:bookmarkEnd w:id="92"/>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
        <w:gridCol w:w="1014"/>
        <w:gridCol w:w="890"/>
        <w:gridCol w:w="1404"/>
        <w:gridCol w:w="1363"/>
        <w:gridCol w:w="792"/>
        <w:gridCol w:w="1236"/>
        <w:gridCol w:w="1217"/>
        <w:gridCol w:w="813"/>
      </w:tblGrid>
      <w:tr w14:paraId="5AFFC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965" w:type="dxa"/>
            <w:noWrap w:val="0"/>
            <w:vAlign w:val="center"/>
          </w:tcPr>
          <w:p w14:paraId="609C7524">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4" w:type="dxa"/>
            <w:noWrap w:val="0"/>
            <w:vAlign w:val="center"/>
          </w:tcPr>
          <w:p w14:paraId="576A337F">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名称</w:t>
            </w:r>
          </w:p>
        </w:tc>
        <w:tc>
          <w:tcPr>
            <w:tcW w:w="890" w:type="dxa"/>
            <w:noWrap w:val="0"/>
            <w:vAlign w:val="center"/>
          </w:tcPr>
          <w:p w14:paraId="1D3CA8A4">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品牌</w:t>
            </w:r>
          </w:p>
        </w:tc>
        <w:tc>
          <w:tcPr>
            <w:tcW w:w="1404" w:type="dxa"/>
            <w:noWrap w:val="0"/>
            <w:vAlign w:val="center"/>
          </w:tcPr>
          <w:p w14:paraId="6B4565A6">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技术参数</w:t>
            </w:r>
          </w:p>
        </w:tc>
        <w:tc>
          <w:tcPr>
            <w:tcW w:w="1363" w:type="dxa"/>
            <w:noWrap w:val="0"/>
            <w:vAlign w:val="center"/>
          </w:tcPr>
          <w:p w14:paraId="74FF2E56">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c>
          <w:tcPr>
            <w:tcW w:w="792" w:type="dxa"/>
            <w:noWrap w:val="0"/>
            <w:vAlign w:val="center"/>
          </w:tcPr>
          <w:p w14:paraId="54B9B9F6">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1236" w:type="dxa"/>
            <w:noWrap w:val="0"/>
            <w:vAlign w:val="center"/>
          </w:tcPr>
          <w:p w14:paraId="5B3F9A84">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单价（元）</w:t>
            </w:r>
          </w:p>
        </w:tc>
        <w:tc>
          <w:tcPr>
            <w:tcW w:w="1217" w:type="dxa"/>
            <w:noWrap w:val="0"/>
            <w:vAlign w:val="center"/>
          </w:tcPr>
          <w:p w14:paraId="03046988">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合价（元）</w:t>
            </w:r>
          </w:p>
        </w:tc>
        <w:tc>
          <w:tcPr>
            <w:tcW w:w="813" w:type="dxa"/>
            <w:noWrap w:val="0"/>
            <w:vAlign w:val="center"/>
          </w:tcPr>
          <w:p w14:paraId="59B39D7B">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w:t>
            </w:r>
          </w:p>
        </w:tc>
      </w:tr>
      <w:tr w14:paraId="7844C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965" w:type="dxa"/>
            <w:noWrap w:val="0"/>
            <w:vAlign w:val="center"/>
          </w:tcPr>
          <w:p w14:paraId="12033AC6">
            <w:pPr>
              <w:pStyle w:val="9"/>
              <w:spacing w:line="360" w:lineRule="auto"/>
              <w:ind w:firstLine="0" w:firstLineChars="0"/>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1</w:t>
            </w:r>
          </w:p>
        </w:tc>
        <w:tc>
          <w:tcPr>
            <w:tcW w:w="1014" w:type="dxa"/>
            <w:noWrap w:val="0"/>
            <w:vAlign w:val="center"/>
          </w:tcPr>
          <w:p w14:paraId="5ED86D5A">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890" w:type="dxa"/>
            <w:noWrap w:val="0"/>
            <w:vAlign w:val="center"/>
          </w:tcPr>
          <w:p w14:paraId="4AC5F7C1">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404" w:type="dxa"/>
            <w:noWrap w:val="0"/>
            <w:vAlign w:val="center"/>
          </w:tcPr>
          <w:p w14:paraId="7B9BE779">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363" w:type="dxa"/>
            <w:noWrap w:val="0"/>
            <w:vAlign w:val="center"/>
          </w:tcPr>
          <w:p w14:paraId="560C1141">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792" w:type="dxa"/>
            <w:noWrap w:val="0"/>
            <w:vAlign w:val="center"/>
          </w:tcPr>
          <w:p w14:paraId="65457DF4">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236" w:type="dxa"/>
            <w:noWrap w:val="0"/>
            <w:vAlign w:val="center"/>
          </w:tcPr>
          <w:p w14:paraId="31D53182">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217" w:type="dxa"/>
            <w:noWrap w:val="0"/>
            <w:vAlign w:val="center"/>
          </w:tcPr>
          <w:p w14:paraId="51CD9E29">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813" w:type="dxa"/>
            <w:noWrap w:val="0"/>
            <w:vAlign w:val="center"/>
          </w:tcPr>
          <w:p w14:paraId="1EF83910">
            <w:pPr>
              <w:pStyle w:val="9"/>
              <w:spacing w:line="360" w:lineRule="auto"/>
              <w:ind w:firstLine="0" w:firstLineChars="0"/>
              <w:jc w:val="center"/>
              <w:rPr>
                <w:rFonts w:hint="eastAsia" w:ascii="宋体" w:hAnsi="宋体" w:eastAsia="宋体" w:cs="宋体"/>
                <w:color w:val="auto"/>
                <w:sz w:val="24"/>
                <w:szCs w:val="24"/>
                <w:highlight w:val="none"/>
                <w:lang w:bidi="ar"/>
              </w:rPr>
            </w:pPr>
          </w:p>
        </w:tc>
      </w:tr>
      <w:tr w14:paraId="628E1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965" w:type="dxa"/>
            <w:noWrap w:val="0"/>
            <w:vAlign w:val="center"/>
          </w:tcPr>
          <w:p w14:paraId="2FF9E9B4">
            <w:pPr>
              <w:pStyle w:val="9"/>
              <w:spacing w:line="360" w:lineRule="auto"/>
              <w:ind w:firstLine="0" w:firstLineChars="0"/>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2</w:t>
            </w:r>
          </w:p>
        </w:tc>
        <w:tc>
          <w:tcPr>
            <w:tcW w:w="1014" w:type="dxa"/>
            <w:noWrap w:val="0"/>
            <w:vAlign w:val="center"/>
          </w:tcPr>
          <w:p w14:paraId="5A19A74F">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890" w:type="dxa"/>
            <w:noWrap w:val="0"/>
            <w:vAlign w:val="center"/>
          </w:tcPr>
          <w:p w14:paraId="28439BDC">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404" w:type="dxa"/>
            <w:noWrap w:val="0"/>
            <w:vAlign w:val="center"/>
          </w:tcPr>
          <w:p w14:paraId="31823034">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363" w:type="dxa"/>
            <w:noWrap w:val="0"/>
            <w:vAlign w:val="center"/>
          </w:tcPr>
          <w:p w14:paraId="2D2A00A4">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792" w:type="dxa"/>
            <w:noWrap w:val="0"/>
            <w:vAlign w:val="center"/>
          </w:tcPr>
          <w:p w14:paraId="3F94FBFE">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236" w:type="dxa"/>
            <w:noWrap w:val="0"/>
            <w:vAlign w:val="center"/>
          </w:tcPr>
          <w:p w14:paraId="5039CDED">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217" w:type="dxa"/>
            <w:noWrap w:val="0"/>
            <w:vAlign w:val="center"/>
          </w:tcPr>
          <w:p w14:paraId="4C791DE9">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813" w:type="dxa"/>
            <w:noWrap w:val="0"/>
            <w:vAlign w:val="center"/>
          </w:tcPr>
          <w:p w14:paraId="11D0B255">
            <w:pPr>
              <w:pStyle w:val="9"/>
              <w:spacing w:line="360" w:lineRule="auto"/>
              <w:ind w:firstLine="0" w:firstLineChars="0"/>
              <w:jc w:val="center"/>
              <w:rPr>
                <w:rFonts w:hint="eastAsia" w:ascii="宋体" w:hAnsi="宋体" w:eastAsia="宋体" w:cs="宋体"/>
                <w:color w:val="auto"/>
                <w:sz w:val="24"/>
                <w:szCs w:val="24"/>
                <w:highlight w:val="none"/>
                <w:lang w:bidi="ar"/>
              </w:rPr>
            </w:pPr>
          </w:p>
        </w:tc>
      </w:tr>
      <w:tr w14:paraId="29248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965" w:type="dxa"/>
            <w:noWrap w:val="0"/>
            <w:vAlign w:val="center"/>
          </w:tcPr>
          <w:p w14:paraId="690EF325">
            <w:pPr>
              <w:pStyle w:val="9"/>
              <w:spacing w:line="360" w:lineRule="auto"/>
              <w:ind w:firstLine="0" w:firstLineChars="0"/>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3</w:t>
            </w:r>
          </w:p>
        </w:tc>
        <w:tc>
          <w:tcPr>
            <w:tcW w:w="1014" w:type="dxa"/>
            <w:noWrap w:val="0"/>
            <w:vAlign w:val="center"/>
          </w:tcPr>
          <w:p w14:paraId="7E724D58">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890" w:type="dxa"/>
            <w:noWrap w:val="0"/>
            <w:vAlign w:val="center"/>
          </w:tcPr>
          <w:p w14:paraId="770A3DA8">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404" w:type="dxa"/>
            <w:noWrap w:val="0"/>
            <w:vAlign w:val="center"/>
          </w:tcPr>
          <w:p w14:paraId="23177B49">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363" w:type="dxa"/>
            <w:noWrap w:val="0"/>
            <w:vAlign w:val="center"/>
          </w:tcPr>
          <w:p w14:paraId="68E14D4E">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792" w:type="dxa"/>
            <w:noWrap w:val="0"/>
            <w:vAlign w:val="center"/>
          </w:tcPr>
          <w:p w14:paraId="3F1B5045">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236" w:type="dxa"/>
            <w:noWrap w:val="0"/>
            <w:vAlign w:val="center"/>
          </w:tcPr>
          <w:p w14:paraId="6B17BA9E">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217" w:type="dxa"/>
            <w:noWrap w:val="0"/>
            <w:vAlign w:val="center"/>
          </w:tcPr>
          <w:p w14:paraId="75264AF1">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813" w:type="dxa"/>
            <w:noWrap w:val="0"/>
            <w:vAlign w:val="center"/>
          </w:tcPr>
          <w:p w14:paraId="0DA7E970">
            <w:pPr>
              <w:pStyle w:val="9"/>
              <w:spacing w:line="360" w:lineRule="auto"/>
              <w:ind w:firstLine="0" w:firstLineChars="0"/>
              <w:jc w:val="center"/>
              <w:rPr>
                <w:rFonts w:hint="eastAsia" w:ascii="宋体" w:hAnsi="宋体" w:eastAsia="宋体" w:cs="宋体"/>
                <w:color w:val="auto"/>
                <w:sz w:val="24"/>
                <w:szCs w:val="24"/>
                <w:highlight w:val="none"/>
                <w:lang w:bidi="ar"/>
              </w:rPr>
            </w:pPr>
          </w:p>
        </w:tc>
      </w:tr>
      <w:tr w14:paraId="44466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965" w:type="dxa"/>
            <w:noWrap w:val="0"/>
            <w:vAlign w:val="center"/>
          </w:tcPr>
          <w:p w14:paraId="53E36577">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014" w:type="dxa"/>
            <w:noWrap w:val="0"/>
            <w:vAlign w:val="center"/>
          </w:tcPr>
          <w:p w14:paraId="0B2B1317">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890" w:type="dxa"/>
            <w:noWrap w:val="0"/>
            <w:vAlign w:val="center"/>
          </w:tcPr>
          <w:p w14:paraId="3EF82286">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404" w:type="dxa"/>
            <w:noWrap w:val="0"/>
            <w:vAlign w:val="center"/>
          </w:tcPr>
          <w:p w14:paraId="30B821DA">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363" w:type="dxa"/>
            <w:noWrap w:val="0"/>
            <w:vAlign w:val="center"/>
          </w:tcPr>
          <w:p w14:paraId="06C291F4">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792" w:type="dxa"/>
            <w:noWrap w:val="0"/>
            <w:vAlign w:val="center"/>
          </w:tcPr>
          <w:p w14:paraId="35935058">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236" w:type="dxa"/>
            <w:noWrap w:val="0"/>
            <w:vAlign w:val="center"/>
          </w:tcPr>
          <w:p w14:paraId="4017B3CD">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217" w:type="dxa"/>
            <w:noWrap w:val="0"/>
            <w:vAlign w:val="center"/>
          </w:tcPr>
          <w:p w14:paraId="50F3F86A">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813" w:type="dxa"/>
            <w:noWrap w:val="0"/>
            <w:vAlign w:val="center"/>
          </w:tcPr>
          <w:p w14:paraId="634D985F">
            <w:pPr>
              <w:pStyle w:val="9"/>
              <w:spacing w:line="360" w:lineRule="auto"/>
              <w:ind w:firstLine="0" w:firstLineChars="0"/>
              <w:jc w:val="center"/>
              <w:rPr>
                <w:rFonts w:hint="eastAsia" w:ascii="宋体" w:hAnsi="宋体" w:eastAsia="宋体" w:cs="宋体"/>
                <w:color w:val="auto"/>
                <w:sz w:val="24"/>
                <w:szCs w:val="24"/>
                <w:highlight w:val="none"/>
                <w:lang w:bidi="ar"/>
              </w:rPr>
            </w:pPr>
          </w:p>
        </w:tc>
      </w:tr>
      <w:tr w14:paraId="5E188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965" w:type="dxa"/>
            <w:noWrap w:val="0"/>
            <w:vAlign w:val="center"/>
          </w:tcPr>
          <w:p w14:paraId="478623C0">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014" w:type="dxa"/>
            <w:noWrap w:val="0"/>
            <w:vAlign w:val="center"/>
          </w:tcPr>
          <w:p w14:paraId="46DFFFC4">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890" w:type="dxa"/>
            <w:noWrap w:val="0"/>
            <w:vAlign w:val="center"/>
          </w:tcPr>
          <w:p w14:paraId="08D4D53D">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404" w:type="dxa"/>
            <w:noWrap w:val="0"/>
            <w:vAlign w:val="center"/>
          </w:tcPr>
          <w:p w14:paraId="560D3949">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363" w:type="dxa"/>
            <w:noWrap w:val="0"/>
            <w:vAlign w:val="center"/>
          </w:tcPr>
          <w:p w14:paraId="7A780BDC">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792" w:type="dxa"/>
            <w:noWrap w:val="0"/>
            <w:vAlign w:val="center"/>
          </w:tcPr>
          <w:p w14:paraId="183BC7EF">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236" w:type="dxa"/>
            <w:noWrap w:val="0"/>
            <w:vAlign w:val="center"/>
          </w:tcPr>
          <w:p w14:paraId="69818EC0">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217" w:type="dxa"/>
            <w:noWrap w:val="0"/>
            <w:vAlign w:val="center"/>
          </w:tcPr>
          <w:p w14:paraId="14959282">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813" w:type="dxa"/>
            <w:noWrap w:val="0"/>
            <w:vAlign w:val="center"/>
          </w:tcPr>
          <w:p w14:paraId="6ED6161B">
            <w:pPr>
              <w:pStyle w:val="9"/>
              <w:spacing w:line="360" w:lineRule="auto"/>
              <w:ind w:firstLine="0" w:firstLineChars="0"/>
              <w:jc w:val="center"/>
              <w:rPr>
                <w:rFonts w:hint="eastAsia" w:ascii="宋体" w:hAnsi="宋体" w:eastAsia="宋体" w:cs="宋体"/>
                <w:color w:val="auto"/>
                <w:sz w:val="24"/>
                <w:szCs w:val="24"/>
                <w:highlight w:val="none"/>
                <w:lang w:bidi="ar"/>
              </w:rPr>
            </w:pPr>
          </w:p>
        </w:tc>
      </w:tr>
      <w:tr w14:paraId="048E7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965" w:type="dxa"/>
            <w:noWrap w:val="0"/>
            <w:vAlign w:val="center"/>
          </w:tcPr>
          <w:p w14:paraId="5584C9EC">
            <w:pPr>
              <w:pStyle w:val="9"/>
              <w:spacing w:line="360" w:lineRule="auto"/>
              <w:ind w:firstLineChars="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w:t>
            </w:r>
          </w:p>
        </w:tc>
        <w:tc>
          <w:tcPr>
            <w:tcW w:w="1014" w:type="dxa"/>
            <w:noWrap w:val="0"/>
            <w:vAlign w:val="center"/>
          </w:tcPr>
          <w:p w14:paraId="42A901AF">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890" w:type="dxa"/>
            <w:noWrap w:val="0"/>
            <w:vAlign w:val="center"/>
          </w:tcPr>
          <w:p w14:paraId="35C901FD">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404" w:type="dxa"/>
            <w:noWrap w:val="0"/>
            <w:vAlign w:val="center"/>
          </w:tcPr>
          <w:p w14:paraId="3A0027D1">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363" w:type="dxa"/>
            <w:noWrap w:val="0"/>
            <w:vAlign w:val="center"/>
          </w:tcPr>
          <w:p w14:paraId="41D14F19">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792" w:type="dxa"/>
            <w:noWrap w:val="0"/>
            <w:vAlign w:val="center"/>
          </w:tcPr>
          <w:p w14:paraId="63F96823">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236" w:type="dxa"/>
            <w:noWrap w:val="0"/>
            <w:vAlign w:val="center"/>
          </w:tcPr>
          <w:p w14:paraId="3D180045">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1217" w:type="dxa"/>
            <w:noWrap w:val="0"/>
            <w:vAlign w:val="center"/>
          </w:tcPr>
          <w:p w14:paraId="232D0444">
            <w:pPr>
              <w:pStyle w:val="9"/>
              <w:spacing w:line="360" w:lineRule="auto"/>
              <w:ind w:firstLine="0" w:firstLineChars="0"/>
              <w:jc w:val="center"/>
              <w:rPr>
                <w:rFonts w:hint="eastAsia" w:ascii="宋体" w:hAnsi="宋体" w:eastAsia="宋体" w:cs="宋体"/>
                <w:color w:val="auto"/>
                <w:sz w:val="24"/>
                <w:szCs w:val="24"/>
                <w:highlight w:val="none"/>
                <w:lang w:bidi="ar"/>
              </w:rPr>
            </w:pPr>
          </w:p>
        </w:tc>
        <w:tc>
          <w:tcPr>
            <w:tcW w:w="813" w:type="dxa"/>
            <w:noWrap w:val="0"/>
            <w:vAlign w:val="center"/>
          </w:tcPr>
          <w:p w14:paraId="7C9F4102">
            <w:pPr>
              <w:pStyle w:val="9"/>
              <w:spacing w:line="360" w:lineRule="auto"/>
              <w:ind w:firstLine="0" w:firstLineChars="0"/>
              <w:jc w:val="center"/>
              <w:rPr>
                <w:rFonts w:hint="eastAsia" w:ascii="宋体" w:hAnsi="宋体" w:eastAsia="宋体" w:cs="宋体"/>
                <w:color w:val="auto"/>
                <w:sz w:val="24"/>
                <w:szCs w:val="24"/>
                <w:highlight w:val="none"/>
                <w:lang w:bidi="ar"/>
              </w:rPr>
            </w:pPr>
          </w:p>
        </w:tc>
      </w:tr>
      <w:tr w14:paraId="0D22D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1979" w:type="dxa"/>
            <w:gridSpan w:val="2"/>
            <w:noWrap w:val="0"/>
            <w:vAlign w:val="center"/>
          </w:tcPr>
          <w:p w14:paraId="12B2B0E8">
            <w:pPr>
              <w:pStyle w:val="9"/>
              <w:spacing w:line="360" w:lineRule="auto"/>
              <w:ind w:firstLineChars="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合计（元）                     </w:t>
            </w:r>
          </w:p>
        </w:tc>
        <w:tc>
          <w:tcPr>
            <w:tcW w:w="7715" w:type="dxa"/>
            <w:gridSpan w:val="7"/>
            <w:noWrap w:val="0"/>
            <w:vAlign w:val="center"/>
          </w:tcPr>
          <w:p w14:paraId="59B11438">
            <w:pPr>
              <w:pStyle w:val="9"/>
              <w:spacing w:line="360" w:lineRule="auto"/>
              <w:ind w:firstLine="199" w:firstLineChars="83"/>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大写：</w:t>
            </w:r>
          </w:p>
          <w:p w14:paraId="07A9E04E">
            <w:pPr>
              <w:pStyle w:val="9"/>
              <w:spacing w:line="360" w:lineRule="auto"/>
              <w:ind w:firstLine="199" w:firstLineChars="83"/>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小写：</w:t>
            </w:r>
          </w:p>
        </w:tc>
      </w:tr>
    </w:tbl>
    <w:p w14:paraId="49E1BE4D">
      <w:pPr>
        <w:pStyle w:val="14"/>
        <w:spacing w:line="360" w:lineRule="auto"/>
        <w:ind w:firstLine="480"/>
        <w:rPr>
          <w:rFonts w:hint="eastAsia" w:ascii="宋体" w:hAnsi="宋体" w:eastAsia="宋体" w:cs="宋体"/>
          <w:color w:val="auto"/>
          <w:sz w:val="24"/>
          <w:szCs w:val="24"/>
          <w:highlight w:val="none"/>
          <w:lang w:bidi="ar"/>
        </w:rPr>
      </w:pPr>
      <w:r>
        <w:rPr>
          <w:rFonts w:hint="eastAsia" w:ascii="宋体" w:hAnsi="宋体" w:eastAsia="宋体" w:cs="宋体"/>
          <w:color w:val="auto"/>
          <w:sz w:val="24"/>
          <w:highlight w:val="none"/>
          <w:lang w:val="en-US" w:eastAsia="zh-CN"/>
        </w:rPr>
        <w:t>备注：投标总</w:t>
      </w:r>
      <w:r>
        <w:rPr>
          <w:rFonts w:hint="eastAsia" w:ascii="宋体" w:hAnsi="宋体" w:eastAsia="宋体" w:cs="宋体"/>
          <w:color w:val="auto"/>
          <w:kern w:val="0"/>
          <w:sz w:val="24"/>
          <w:highlight w:val="none"/>
          <w:lang w:val="en-US" w:eastAsia="zh-CN" w:bidi="ar"/>
        </w:rPr>
        <w:t>价</w:t>
      </w:r>
      <w:r>
        <w:rPr>
          <w:rFonts w:hint="eastAsia" w:ascii="宋体" w:hAnsi="宋体" w:eastAsia="宋体" w:cs="宋体"/>
          <w:color w:val="auto"/>
          <w:sz w:val="24"/>
          <w:highlight w:val="none"/>
          <w:lang w:val="zh-CN"/>
        </w:rPr>
        <w:t>应保证在</w:t>
      </w:r>
      <w:r>
        <w:rPr>
          <w:rFonts w:hint="eastAsia" w:ascii="宋体" w:hAnsi="宋体" w:eastAsia="宋体" w:cs="宋体"/>
          <w:color w:val="auto"/>
          <w:sz w:val="24"/>
          <w:highlight w:val="none"/>
          <w:lang w:val="en-US" w:eastAsia="zh-CN"/>
        </w:rPr>
        <w:t>最高</w:t>
      </w:r>
      <w:r>
        <w:rPr>
          <w:rFonts w:hint="eastAsia" w:ascii="宋体" w:hAnsi="宋体" w:eastAsia="宋体" w:cs="宋体"/>
          <w:color w:val="auto"/>
          <w:sz w:val="24"/>
          <w:highlight w:val="none"/>
          <w:lang w:val="zh-CN"/>
        </w:rPr>
        <w:t>限价以内</w:t>
      </w:r>
      <w:r>
        <w:rPr>
          <w:rFonts w:hint="eastAsia" w:ascii="宋体" w:hAnsi="宋体" w:eastAsia="宋体" w:cs="宋体"/>
          <w:color w:val="auto"/>
          <w:sz w:val="24"/>
          <w:highlight w:val="none"/>
          <w:lang w:val="en-US" w:eastAsia="zh-CN"/>
        </w:rPr>
        <w:t>且单类产品单价不超过“第三章采购内容及参数要求”单价。</w:t>
      </w:r>
    </w:p>
    <w:p w14:paraId="4B2906EB">
      <w:pPr>
        <w:pStyle w:val="9"/>
        <w:spacing w:line="360" w:lineRule="auto"/>
        <w:ind w:firstLine="400"/>
        <w:rPr>
          <w:rFonts w:hint="eastAsia" w:ascii="宋体" w:hAnsi="宋体" w:eastAsia="宋体" w:cs="宋体"/>
          <w:color w:val="auto"/>
          <w:sz w:val="24"/>
          <w:szCs w:val="24"/>
          <w:highlight w:val="none"/>
          <w:lang w:bidi="ar"/>
        </w:rPr>
      </w:pPr>
    </w:p>
    <w:p w14:paraId="29B4157B">
      <w:pPr>
        <w:spacing w:line="360" w:lineRule="auto"/>
        <w:ind w:firstLine="3400" w:firstLineChars="1417"/>
        <w:jc w:val="both"/>
        <w:rPr>
          <w:rFonts w:hint="eastAsia" w:ascii="宋体" w:hAnsi="宋体" w:eastAsia="宋体" w:cs="宋体"/>
          <w:color w:val="auto"/>
          <w:sz w:val="24"/>
          <w:szCs w:val="24"/>
          <w:highlight w:val="none"/>
          <w:shd w:val="clear" w:color="auto" w:fill="FFFFFF"/>
          <w:lang w:bidi="ar"/>
        </w:rPr>
      </w:pPr>
      <w:r>
        <w:rPr>
          <w:rFonts w:hint="eastAsia" w:eastAsia="宋体" w:cs="宋体"/>
          <w:color w:val="auto"/>
          <w:sz w:val="24"/>
          <w:szCs w:val="24"/>
          <w:highlight w:val="none"/>
          <w:shd w:val="clear" w:color="auto" w:fill="FFFFFF"/>
          <w:lang w:eastAsia="zh-CN" w:bidi="ar"/>
        </w:rPr>
        <w:t>响应人</w:t>
      </w:r>
      <w:r>
        <w:rPr>
          <w:rFonts w:hint="eastAsia" w:ascii="宋体" w:hAnsi="宋体" w:eastAsia="宋体" w:cs="宋体"/>
          <w:color w:val="auto"/>
          <w:sz w:val="24"/>
          <w:szCs w:val="24"/>
          <w:highlight w:val="none"/>
          <w:shd w:val="clear" w:color="auto" w:fill="FFFFFF"/>
          <w:lang w:bidi="ar"/>
        </w:rPr>
        <w:t>：</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w:t>
      </w:r>
      <w:r>
        <w:rPr>
          <w:rFonts w:hint="eastAsia" w:ascii="宋体" w:hAnsi="宋体" w:eastAsia="宋体" w:cs="宋体"/>
          <w:color w:val="auto"/>
          <w:sz w:val="24"/>
          <w:szCs w:val="24"/>
          <w:highlight w:val="none"/>
          <w:shd w:val="clear" w:color="auto" w:fill="FFFFFF"/>
          <w:lang w:eastAsia="zh-CN" w:bidi="ar"/>
        </w:rPr>
        <w:t>单位电子公章</w:t>
      </w:r>
      <w:r>
        <w:rPr>
          <w:rFonts w:hint="eastAsia" w:ascii="宋体" w:hAnsi="宋体" w:eastAsia="宋体" w:cs="宋体"/>
          <w:color w:val="auto"/>
          <w:sz w:val="24"/>
          <w:szCs w:val="24"/>
          <w:highlight w:val="none"/>
          <w:shd w:val="clear" w:color="auto" w:fill="FFFFFF"/>
          <w:lang w:bidi="ar"/>
        </w:rPr>
        <w:t xml:space="preserve">) </w:t>
      </w:r>
    </w:p>
    <w:p w14:paraId="2322F386">
      <w:pPr>
        <w:spacing w:line="360" w:lineRule="auto"/>
        <w:ind w:firstLine="3400" w:firstLineChars="1417"/>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法定代表人 ：</w:t>
      </w:r>
      <w:r>
        <w:rPr>
          <w:rFonts w:hint="eastAsia" w:ascii="宋体" w:hAnsi="宋体" w:eastAsia="宋体" w:cs="宋体"/>
          <w:color w:val="auto"/>
          <w:sz w:val="24"/>
          <w:szCs w:val="24"/>
          <w:highlight w:val="none"/>
          <w:u w:val="single"/>
          <w:shd w:val="clear" w:color="auto" w:fill="FFFFFF"/>
          <w:lang w:bidi="ar"/>
        </w:rPr>
        <w:t xml:space="preserve">     </w:t>
      </w:r>
      <w:r>
        <w:rPr>
          <w:rFonts w:hint="eastAsia" w:eastAsia="宋体" w:cs="宋体"/>
          <w:color w:val="auto"/>
          <w:sz w:val="24"/>
          <w:szCs w:val="24"/>
          <w:highlight w:val="none"/>
          <w:u w:val="single"/>
          <w:shd w:val="clear" w:color="auto" w:fill="FFFFFF"/>
          <w:lang w:val="en-US" w:eastAsia="zh-CN" w:bidi="ar"/>
        </w:rPr>
        <w:t xml:space="preserve">           </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 xml:space="preserve">(法人电子签章) </w:t>
      </w:r>
    </w:p>
    <w:p w14:paraId="6871C313">
      <w:pPr>
        <w:spacing w:line="360" w:lineRule="auto"/>
        <w:ind w:firstLine="3400" w:firstLineChars="1417"/>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日       期：</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 xml:space="preserve">年 </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月</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日</w:t>
      </w:r>
    </w:p>
    <w:p w14:paraId="358FFF4E">
      <w:pPr>
        <w:pStyle w:val="9"/>
        <w:spacing w:line="360" w:lineRule="auto"/>
        <w:ind w:firstLine="400"/>
        <w:rPr>
          <w:rFonts w:hint="eastAsia" w:ascii="宋体" w:hAnsi="宋体" w:eastAsia="宋体" w:cs="宋体"/>
          <w:color w:val="auto"/>
          <w:sz w:val="24"/>
          <w:szCs w:val="24"/>
          <w:highlight w:val="none"/>
          <w:lang w:bidi="ar"/>
        </w:rPr>
      </w:pPr>
    </w:p>
    <w:p w14:paraId="17051239">
      <w:pPr>
        <w:pStyle w:val="9"/>
        <w:spacing w:line="360" w:lineRule="auto"/>
        <w:ind w:firstLine="400"/>
        <w:rPr>
          <w:rFonts w:hint="eastAsia" w:ascii="宋体" w:hAnsi="宋体" w:eastAsia="宋体" w:cs="宋体"/>
          <w:color w:val="auto"/>
          <w:sz w:val="24"/>
          <w:szCs w:val="24"/>
          <w:highlight w:val="none"/>
          <w:lang w:bidi="ar"/>
        </w:rPr>
      </w:pPr>
    </w:p>
    <w:p w14:paraId="635F3938">
      <w:pPr>
        <w:pStyle w:val="9"/>
        <w:spacing w:line="360" w:lineRule="auto"/>
        <w:ind w:firstLine="400"/>
        <w:rPr>
          <w:rFonts w:hint="eastAsia" w:ascii="宋体" w:hAnsi="宋体" w:eastAsia="宋体" w:cs="宋体"/>
          <w:color w:val="auto"/>
          <w:sz w:val="24"/>
          <w:szCs w:val="24"/>
          <w:highlight w:val="none"/>
          <w:lang w:bidi="ar"/>
        </w:rPr>
      </w:pPr>
    </w:p>
    <w:p w14:paraId="19000239">
      <w:pPr>
        <w:spacing w:line="360" w:lineRule="auto"/>
        <w:ind w:left="277" w:hanging="276" w:hangingChars="115"/>
        <w:outlineLvl w:val="9"/>
        <w:rPr>
          <w:rFonts w:hint="eastAsia" w:ascii="宋体" w:hAnsi="宋体" w:eastAsia="宋体" w:cs="宋体"/>
          <w:color w:val="auto"/>
          <w:sz w:val="24"/>
          <w:szCs w:val="24"/>
          <w:highlight w:val="none"/>
        </w:rPr>
      </w:pPr>
      <w:bookmarkStart w:id="93" w:name="_Toc7755"/>
    </w:p>
    <w:p w14:paraId="649BB9C2">
      <w:pPr>
        <w:pStyle w:val="2"/>
        <w:spacing w:line="360" w:lineRule="auto"/>
        <w:ind w:left="277" w:hanging="277" w:hangingChars="115"/>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三、法定代表人身份证明</w:t>
      </w:r>
      <w:bookmarkEnd w:id="93"/>
    </w:p>
    <w:p w14:paraId="02623132">
      <w:pPr>
        <w:spacing w:line="360" w:lineRule="auto"/>
        <w:ind w:firstLine="0" w:firstLineChars="0"/>
        <w:jc w:val="both"/>
        <w:rPr>
          <w:rFonts w:hint="eastAsia" w:ascii="宋体" w:hAnsi="宋体" w:eastAsia="宋体" w:cs="宋体"/>
          <w:color w:val="auto"/>
          <w:sz w:val="24"/>
          <w:szCs w:val="24"/>
          <w:highlight w:val="none"/>
          <w:shd w:val="clear" w:color="auto" w:fill="FFFFFF"/>
          <w:lang w:bidi="ar"/>
        </w:rPr>
      </w:pPr>
    </w:p>
    <w:p w14:paraId="44C64CAF">
      <w:pPr>
        <w:spacing w:line="360" w:lineRule="auto"/>
        <w:ind w:firstLine="566" w:firstLineChars="236"/>
        <w:jc w:val="both"/>
        <w:rPr>
          <w:rFonts w:hint="eastAsia" w:ascii="宋体" w:hAnsi="宋体" w:eastAsia="宋体" w:cs="宋体"/>
          <w:color w:val="auto"/>
          <w:sz w:val="24"/>
          <w:szCs w:val="24"/>
          <w:highlight w:val="none"/>
          <w:u w:val="single"/>
          <w:shd w:val="clear" w:color="auto" w:fill="FFFFFF"/>
          <w:lang w:bidi="ar"/>
        </w:rPr>
      </w:pPr>
      <w:r>
        <w:rPr>
          <w:rFonts w:hint="eastAsia" w:ascii="宋体" w:hAnsi="宋体" w:eastAsia="宋体" w:cs="宋体"/>
          <w:color w:val="auto"/>
          <w:sz w:val="24"/>
          <w:szCs w:val="24"/>
          <w:highlight w:val="none"/>
          <w:shd w:val="clear" w:color="auto" w:fill="FFFFFF"/>
          <w:lang w:bidi="ar"/>
        </w:rPr>
        <w:t>单位名称：</w:t>
      </w:r>
      <w:r>
        <w:rPr>
          <w:rFonts w:hint="eastAsia" w:ascii="宋体" w:hAnsi="宋体" w:eastAsia="宋体" w:cs="宋体"/>
          <w:color w:val="auto"/>
          <w:sz w:val="24"/>
          <w:szCs w:val="24"/>
          <w:highlight w:val="none"/>
          <w:u w:val="single"/>
          <w:shd w:val="clear" w:color="auto" w:fill="FFFFFF"/>
          <w:lang w:bidi="ar"/>
        </w:rPr>
        <w:t xml:space="preserve">                              </w:t>
      </w:r>
    </w:p>
    <w:p w14:paraId="22465AED">
      <w:pPr>
        <w:spacing w:line="360" w:lineRule="auto"/>
        <w:ind w:firstLine="566" w:firstLineChars="236"/>
        <w:jc w:val="both"/>
        <w:rPr>
          <w:rFonts w:hint="eastAsia" w:ascii="宋体" w:hAnsi="宋体" w:eastAsia="宋体" w:cs="宋体"/>
          <w:color w:val="auto"/>
          <w:sz w:val="24"/>
          <w:szCs w:val="24"/>
          <w:highlight w:val="none"/>
          <w:u w:val="single"/>
          <w:shd w:val="clear" w:color="auto" w:fill="FFFFFF"/>
          <w:lang w:bidi="ar"/>
        </w:rPr>
      </w:pPr>
      <w:r>
        <w:rPr>
          <w:rFonts w:hint="eastAsia" w:ascii="宋体" w:hAnsi="宋体" w:eastAsia="宋体" w:cs="宋体"/>
          <w:color w:val="auto"/>
          <w:sz w:val="24"/>
          <w:szCs w:val="24"/>
          <w:highlight w:val="none"/>
          <w:shd w:val="clear" w:color="auto" w:fill="FFFFFF"/>
          <w:lang w:bidi="ar"/>
        </w:rPr>
        <w:t>单位性质：</w:t>
      </w:r>
      <w:r>
        <w:rPr>
          <w:rFonts w:hint="eastAsia" w:ascii="宋体" w:hAnsi="宋体" w:eastAsia="宋体" w:cs="宋体"/>
          <w:color w:val="auto"/>
          <w:sz w:val="24"/>
          <w:szCs w:val="24"/>
          <w:highlight w:val="none"/>
          <w:u w:val="single"/>
          <w:shd w:val="clear" w:color="auto" w:fill="FFFFFF"/>
          <w:lang w:bidi="ar"/>
        </w:rPr>
        <w:t xml:space="preserve">                              </w:t>
      </w:r>
    </w:p>
    <w:p w14:paraId="4FB0D15A">
      <w:pPr>
        <w:spacing w:line="360" w:lineRule="auto"/>
        <w:ind w:firstLine="566" w:firstLineChars="236"/>
        <w:jc w:val="both"/>
        <w:rPr>
          <w:rFonts w:hint="eastAsia" w:ascii="宋体" w:hAnsi="宋体" w:eastAsia="宋体" w:cs="宋体"/>
          <w:color w:val="auto"/>
          <w:sz w:val="24"/>
          <w:szCs w:val="24"/>
          <w:highlight w:val="none"/>
          <w:u w:val="single"/>
          <w:shd w:val="clear" w:color="auto" w:fill="FFFFFF"/>
          <w:lang w:bidi="ar"/>
        </w:rPr>
      </w:pPr>
      <w:r>
        <w:rPr>
          <w:rFonts w:hint="eastAsia" w:ascii="宋体" w:hAnsi="宋体" w:eastAsia="宋体" w:cs="宋体"/>
          <w:color w:val="auto"/>
          <w:sz w:val="24"/>
          <w:szCs w:val="24"/>
          <w:highlight w:val="none"/>
          <w:shd w:val="clear" w:color="auto" w:fill="FFFFFF"/>
          <w:lang w:bidi="ar"/>
        </w:rPr>
        <w:t xml:space="preserve">地址： </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u w:val="single"/>
          <w:shd w:val="clear" w:color="auto" w:fill="FFFFFF"/>
          <w:lang w:bidi="ar"/>
        </w:rPr>
        <w:tab/>
      </w:r>
      <w:r>
        <w:rPr>
          <w:rFonts w:hint="eastAsia" w:ascii="宋体" w:hAnsi="宋体" w:eastAsia="宋体" w:cs="宋体"/>
          <w:color w:val="auto"/>
          <w:sz w:val="24"/>
          <w:szCs w:val="24"/>
          <w:highlight w:val="none"/>
          <w:u w:val="single"/>
          <w:shd w:val="clear" w:color="auto" w:fill="FFFFFF"/>
          <w:lang w:bidi="ar"/>
        </w:rPr>
        <w:t xml:space="preserve"> </w:t>
      </w:r>
    </w:p>
    <w:p w14:paraId="2D6631DF">
      <w:pPr>
        <w:spacing w:line="360" w:lineRule="auto"/>
        <w:ind w:firstLine="566" w:firstLineChars="236"/>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成立时间：</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年</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月</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日</w:t>
      </w:r>
    </w:p>
    <w:p w14:paraId="2AF1BFFC">
      <w:pPr>
        <w:spacing w:line="360" w:lineRule="auto"/>
        <w:ind w:firstLine="566" w:firstLineChars="236"/>
        <w:jc w:val="both"/>
        <w:rPr>
          <w:rFonts w:hint="eastAsia" w:ascii="宋体" w:hAnsi="宋体" w:eastAsia="宋体" w:cs="宋体"/>
          <w:color w:val="auto"/>
          <w:sz w:val="24"/>
          <w:szCs w:val="24"/>
          <w:highlight w:val="none"/>
          <w:u w:val="single"/>
          <w:shd w:val="clear" w:color="auto" w:fill="FFFFFF"/>
          <w:lang w:bidi="ar"/>
        </w:rPr>
      </w:pPr>
      <w:r>
        <w:rPr>
          <w:rFonts w:hint="eastAsia" w:ascii="宋体" w:hAnsi="宋体" w:eastAsia="宋体" w:cs="宋体"/>
          <w:color w:val="auto"/>
          <w:sz w:val="24"/>
          <w:szCs w:val="24"/>
          <w:highlight w:val="none"/>
          <w:shd w:val="clear" w:color="auto" w:fill="FFFFFF"/>
          <w:lang w:bidi="ar"/>
        </w:rPr>
        <w:t>经营期限：</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u w:val="single"/>
          <w:shd w:val="clear" w:color="auto" w:fill="FFFFFF"/>
          <w:lang w:bidi="ar"/>
        </w:rPr>
        <w:tab/>
      </w:r>
    </w:p>
    <w:p w14:paraId="07D3A259">
      <w:pPr>
        <w:spacing w:line="360" w:lineRule="auto"/>
        <w:ind w:firstLine="566" w:firstLineChars="236"/>
        <w:jc w:val="both"/>
        <w:rPr>
          <w:rFonts w:hint="eastAsia" w:ascii="宋体" w:hAnsi="宋体" w:eastAsia="宋体" w:cs="宋体"/>
          <w:color w:val="auto"/>
          <w:sz w:val="24"/>
          <w:szCs w:val="24"/>
          <w:highlight w:val="none"/>
          <w:u w:val="single"/>
          <w:shd w:val="clear" w:color="auto" w:fill="FFFFFF"/>
          <w:lang w:bidi="ar"/>
        </w:rPr>
      </w:pPr>
      <w:r>
        <w:rPr>
          <w:rFonts w:hint="eastAsia" w:ascii="宋体" w:hAnsi="宋体" w:eastAsia="宋体" w:cs="宋体"/>
          <w:color w:val="auto"/>
          <w:sz w:val="24"/>
          <w:szCs w:val="24"/>
          <w:highlight w:val="none"/>
          <w:shd w:val="clear" w:color="auto" w:fill="FFFFFF"/>
          <w:lang w:bidi="ar"/>
        </w:rPr>
        <w:t>姓</w:t>
      </w:r>
      <w:r>
        <w:rPr>
          <w:rFonts w:hint="eastAsia" w:ascii="宋体" w:hAnsi="宋体" w:eastAsia="宋体" w:cs="宋体"/>
          <w:color w:val="auto"/>
          <w:sz w:val="24"/>
          <w:szCs w:val="24"/>
          <w:highlight w:val="none"/>
          <w:shd w:val="clear" w:color="auto" w:fill="FFFFFF"/>
          <w:lang w:bidi="ar"/>
        </w:rPr>
        <w:tab/>
      </w:r>
      <w:r>
        <w:rPr>
          <w:rFonts w:hint="eastAsia" w:ascii="宋体" w:hAnsi="宋体" w:eastAsia="宋体" w:cs="宋体"/>
          <w:color w:val="auto"/>
          <w:sz w:val="24"/>
          <w:szCs w:val="24"/>
          <w:highlight w:val="none"/>
          <w:shd w:val="clear" w:color="auto" w:fill="FFFFFF"/>
          <w:lang w:bidi="ar"/>
        </w:rPr>
        <w:t>名：</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性别：</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年龄：</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职务：</w:t>
      </w:r>
      <w:r>
        <w:rPr>
          <w:rFonts w:hint="eastAsia" w:ascii="宋体" w:hAnsi="宋体" w:eastAsia="宋体" w:cs="宋体"/>
          <w:color w:val="auto"/>
          <w:sz w:val="24"/>
          <w:szCs w:val="24"/>
          <w:highlight w:val="none"/>
          <w:u w:val="single"/>
          <w:shd w:val="clear" w:color="auto" w:fill="FFFFFF"/>
          <w:lang w:bidi="ar"/>
        </w:rPr>
        <w:t xml:space="preserve">    </w:t>
      </w:r>
    </w:p>
    <w:p w14:paraId="1B737933">
      <w:pPr>
        <w:spacing w:line="360" w:lineRule="auto"/>
        <w:ind w:firstLine="566" w:firstLineChars="236"/>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系</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u w:val="single"/>
          <w:shd w:val="clear" w:color="auto" w:fill="FFFFFF"/>
          <w:lang w:bidi="ar"/>
        </w:rPr>
        <w:tab/>
      </w:r>
      <w:r>
        <w:rPr>
          <w:rFonts w:hint="eastAsia" w:ascii="宋体" w:hAnsi="宋体" w:eastAsia="宋体" w:cs="宋体"/>
          <w:color w:val="auto"/>
          <w:sz w:val="24"/>
          <w:szCs w:val="24"/>
          <w:highlight w:val="none"/>
          <w:u w:val="single"/>
          <w:shd w:val="clear" w:color="auto" w:fill="FFFFFF"/>
          <w:lang w:bidi="ar"/>
        </w:rPr>
        <w:t>（</w:t>
      </w:r>
      <w:r>
        <w:rPr>
          <w:rFonts w:hint="eastAsia" w:eastAsia="宋体" w:cs="宋体"/>
          <w:color w:val="auto"/>
          <w:sz w:val="24"/>
          <w:szCs w:val="24"/>
          <w:highlight w:val="none"/>
          <w:u w:val="single"/>
          <w:shd w:val="clear" w:color="auto" w:fill="FFFFFF"/>
          <w:lang w:eastAsia="zh-CN" w:bidi="ar"/>
        </w:rPr>
        <w:t>响应人</w:t>
      </w:r>
      <w:r>
        <w:rPr>
          <w:rFonts w:hint="eastAsia" w:ascii="宋体" w:hAnsi="宋体" w:eastAsia="宋体" w:cs="宋体"/>
          <w:color w:val="auto"/>
          <w:sz w:val="24"/>
          <w:szCs w:val="24"/>
          <w:highlight w:val="none"/>
          <w:u w:val="single"/>
          <w:shd w:val="clear" w:color="auto" w:fill="FFFFFF"/>
          <w:lang w:bidi="ar"/>
        </w:rPr>
        <w:t>单位名称）</w:t>
      </w:r>
      <w:r>
        <w:rPr>
          <w:rFonts w:hint="eastAsia" w:ascii="宋体" w:hAnsi="宋体" w:eastAsia="宋体" w:cs="宋体"/>
          <w:color w:val="auto"/>
          <w:sz w:val="24"/>
          <w:szCs w:val="24"/>
          <w:highlight w:val="none"/>
          <w:u w:val="single"/>
          <w:shd w:val="clear" w:color="auto" w:fill="FFFFFF"/>
          <w:lang w:bidi="ar"/>
        </w:rPr>
        <w:tab/>
      </w:r>
      <w:r>
        <w:rPr>
          <w:rFonts w:hint="eastAsia" w:ascii="宋体" w:hAnsi="宋体" w:eastAsia="宋体" w:cs="宋体"/>
          <w:color w:val="auto"/>
          <w:sz w:val="24"/>
          <w:szCs w:val="24"/>
          <w:highlight w:val="none"/>
          <w:shd w:val="clear" w:color="auto" w:fill="FFFFFF"/>
          <w:lang w:bidi="ar"/>
        </w:rPr>
        <w:t>的法定代表人。</w:t>
      </w:r>
    </w:p>
    <w:p w14:paraId="79830F2C">
      <w:pPr>
        <w:spacing w:line="360" w:lineRule="auto"/>
        <w:ind w:firstLine="566" w:firstLineChars="236"/>
        <w:jc w:val="both"/>
        <w:rPr>
          <w:rFonts w:hint="eastAsia" w:ascii="宋体" w:hAnsi="宋体" w:eastAsia="宋体" w:cs="宋体"/>
          <w:color w:val="auto"/>
          <w:sz w:val="24"/>
          <w:szCs w:val="24"/>
          <w:highlight w:val="none"/>
          <w:shd w:val="clear" w:color="auto" w:fill="FFFFFF"/>
          <w:lang w:bidi="ar"/>
        </w:rPr>
      </w:pPr>
    </w:p>
    <w:p w14:paraId="24736CAA">
      <w:pPr>
        <w:spacing w:line="360" w:lineRule="auto"/>
        <w:ind w:firstLine="566" w:firstLineChars="236"/>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特此证明。</w:t>
      </w:r>
    </w:p>
    <w:p w14:paraId="33B7A0B8">
      <w:pPr>
        <w:spacing w:line="360" w:lineRule="auto"/>
        <w:ind w:firstLine="566" w:firstLineChars="236"/>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（后附法定代表人身份证正反面扫描件）</w:t>
      </w:r>
    </w:p>
    <w:p w14:paraId="02B1A0CF">
      <w:pPr>
        <w:spacing w:line="360" w:lineRule="auto"/>
        <w:ind w:firstLine="566" w:firstLineChars="236"/>
        <w:jc w:val="both"/>
        <w:rPr>
          <w:rFonts w:hint="eastAsia" w:ascii="宋体" w:hAnsi="宋体" w:eastAsia="宋体" w:cs="宋体"/>
          <w:color w:val="auto"/>
          <w:sz w:val="24"/>
          <w:szCs w:val="24"/>
          <w:highlight w:val="none"/>
          <w:shd w:val="clear" w:color="auto" w:fill="FFFFFF"/>
          <w:lang w:bidi="ar"/>
        </w:rPr>
      </w:pPr>
    </w:p>
    <w:p w14:paraId="59829A0D">
      <w:pPr>
        <w:spacing w:line="360" w:lineRule="auto"/>
        <w:ind w:firstLine="5244" w:firstLineChars="2185"/>
        <w:jc w:val="both"/>
        <w:rPr>
          <w:rFonts w:hint="eastAsia" w:ascii="宋体" w:hAnsi="宋体" w:eastAsia="宋体" w:cs="宋体"/>
          <w:color w:val="auto"/>
          <w:sz w:val="24"/>
          <w:szCs w:val="24"/>
          <w:highlight w:val="none"/>
          <w:shd w:val="clear" w:color="auto" w:fill="FFFFFF"/>
          <w:lang w:bidi="ar"/>
        </w:rPr>
      </w:pPr>
      <w:r>
        <w:rPr>
          <w:rFonts w:hint="eastAsia" w:eastAsia="宋体" w:cs="宋体"/>
          <w:color w:val="auto"/>
          <w:sz w:val="24"/>
          <w:szCs w:val="24"/>
          <w:highlight w:val="none"/>
          <w:shd w:val="clear" w:color="auto" w:fill="FFFFFF"/>
          <w:lang w:eastAsia="zh-CN" w:bidi="ar"/>
        </w:rPr>
        <w:t>响应人</w:t>
      </w:r>
      <w:r>
        <w:rPr>
          <w:rFonts w:hint="eastAsia" w:ascii="宋体" w:hAnsi="宋体" w:eastAsia="宋体" w:cs="宋体"/>
          <w:color w:val="auto"/>
          <w:sz w:val="24"/>
          <w:szCs w:val="24"/>
          <w:highlight w:val="none"/>
          <w:shd w:val="clear" w:color="auto" w:fill="FFFFFF"/>
          <w:lang w:bidi="ar"/>
        </w:rPr>
        <w:t>：</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 xml:space="preserve"> (</w:t>
      </w:r>
      <w:r>
        <w:rPr>
          <w:rFonts w:hint="eastAsia" w:ascii="宋体" w:hAnsi="宋体" w:eastAsia="宋体" w:cs="宋体"/>
          <w:color w:val="auto"/>
          <w:sz w:val="24"/>
          <w:szCs w:val="24"/>
          <w:highlight w:val="none"/>
          <w:shd w:val="clear" w:color="auto" w:fill="FFFFFF"/>
          <w:lang w:eastAsia="zh-CN" w:bidi="ar"/>
        </w:rPr>
        <w:t>单位电子公章</w:t>
      </w:r>
      <w:r>
        <w:rPr>
          <w:rFonts w:hint="eastAsia" w:ascii="宋体" w:hAnsi="宋体" w:eastAsia="宋体" w:cs="宋体"/>
          <w:color w:val="auto"/>
          <w:sz w:val="24"/>
          <w:szCs w:val="24"/>
          <w:highlight w:val="none"/>
          <w:shd w:val="clear" w:color="auto" w:fill="FFFFFF"/>
          <w:lang w:bidi="ar"/>
        </w:rPr>
        <w:t xml:space="preserve">) </w:t>
      </w:r>
    </w:p>
    <w:p w14:paraId="60454A3B">
      <w:pPr>
        <w:spacing w:line="360" w:lineRule="auto"/>
        <w:ind w:firstLine="5244" w:firstLineChars="2185"/>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日期：     年</w:t>
      </w:r>
      <w:r>
        <w:rPr>
          <w:rFonts w:hint="eastAsia" w:ascii="宋体" w:hAnsi="宋体" w:eastAsia="宋体" w:cs="宋体"/>
          <w:color w:val="auto"/>
          <w:sz w:val="24"/>
          <w:szCs w:val="24"/>
          <w:highlight w:val="none"/>
          <w:shd w:val="clear" w:color="auto" w:fill="FFFFFF"/>
          <w:lang w:bidi="ar"/>
        </w:rPr>
        <w:tab/>
      </w:r>
      <w:r>
        <w:rPr>
          <w:rFonts w:hint="eastAsia" w:ascii="宋体" w:hAnsi="宋体" w:eastAsia="宋体" w:cs="宋体"/>
          <w:color w:val="auto"/>
          <w:sz w:val="24"/>
          <w:szCs w:val="24"/>
          <w:highlight w:val="none"/>
          <w:shd w:val="clear" w:color="auto" w:fill="FFFFFF"/>
          <w:lang w:bidi="ar"/>
        </w:rPr>
        <w:t>月   日</w:t>
      </w:r>
    </w:p>
    <w:p w14:paraId="2803A07E">
      <w:pPr>
        <w:spacing w:line="360" w:lineRule="auto"/>
        <w:ind w:firstLine="566" w:firstLineChars="236"/>
        <w:jc w:val="right"/>
        <w:rPr>
          <w:rFonts w:hint="eastAsia" w:ascii="宋体" w:hAnsi="宋体" w:eastAsia="宋体" w:cs="宋体"/>
          <w:color w:val="auto"/>
          <w:sz w:val="24"/>
          <w:szCs w:val="24"/>
          <w:highlight w:val="none"/>
          <w:shd w:val="clear" w:color="auto" w:fill="FFFFFF"/>
          <w:lang w:bidi="ar"/>
        </w:rPr>
      </w:pPr>
    </w:p>
    <w:p w14:paraId="0CDA3F5A">
      <w:pPr>
        <w:spacing w:line="360" w:lineRule="auto"/>
        <w:ind w:firstLine="566" w:firstLineChars="236"/>
        <w:jc w:val="both"/>
        <w:rPr>
          <w:rFonts w:hint="eastAsia" w:ascii="宋体" w:hAnsi="宋体" w:eastAsia="宋体" w:cs="宋体"/>
          <w:color w:val="auto"/>
          <w:sz w:val="24"/>
          <w:szCs w:val="24"/>
          <w:highlight w:val="none"/>
          <w:shd w:val="clear" w:color="auto" w:fill="FFFFFF"/>
          <w:lang w:bidi="ar"/>
        </w:rPr>
      </w:pPr>
    </w:p>
    <w:p w14:paraId="1EB1B325">
      <w:pPr>
        <w:spacing w:line="360" w:lineRule="auto"/>
        <w:ind w:firstLine="0" w:firstLineChars="0"/>
        <w:jc w:val="both"/>
        <w:rPr>
          <w:rFonts w:hint="eastAsia" w:ascii="宋体" w:hAnsi="宋体" w:eastAsia="宋体" w:cs="宋体"/>
          <w:color w:val="auto"/>
          <w:sz w:val="24"/>
          <w:szCs w:val="24"/>
          <w:highlight w:val="none"/>
          <w:shd w:val="clear" w:color="auto" w:fill="FFFFFF"/>
          <w:lang w:bidi="ar"/>
        </w:rPr>
      </w:pPr>
    </w:p>
    <w:p w14:paraId="33BE6CA6">
      <w:pPr>
        <w:pStyle w:val="14"/>
        <w:spacing w:line="360" w:lineRule="auto"/>
        <w:ind w:firstLine="480"/>
        <w:rPr>
          <w:rFonts w:hint="eastAsia" w:ascii="宋体" w:hAnsi="宋体" w:eastAsia="宋体" w:cs="宋体"/>
          <w:color w:val="auto"/>
          <w:sz w:val="24"/>
          <w:szCs w:val="24"/>
          <w:highlight w:val="none"/>
          <w:lang w:bidi="ar"/>
        </w:rPr>
      </w:pPr>
    </w:p>
    <w:p w14:paraId="25A41984">
      <w:pPr>
        <w:pStyle w:val="9"/>
        <w:spacing w:line="360" w:lineRule="auto"/>
        <w:ind w:firstLine="400"/>
        <w:rPr>
          <w:rFonts w:hint="eastAsia" w:ascii="宋体" w:hAnsi="宋体" w:eastAsia="宋体" w:cs="宋体"/>
          <w:color w:val="auto"/>
          <w:sz w:val="24"/>
          <w:szCs w:val="24"/>
          <w:highlight w:val="none"/>
          <w:lang w:bidi="ar"/>
        </w:rPr>
      </w:pPr>
    </w:p>
    <w:p w14:paraId="1745EE29">
      <w:pPr>
        <w:spacing w:line="360" w:lineRule="auto"/>
        <w:ind w:firstLine="0" w:firstLineChars="0"/>
        <w:jc w:val="both"/>
        <w:rPr>
          <w:rFonts w:hint="eastAsia" w:ascii="宋体" w:hAnsi="宋体" w:eastAsia="宋体" w:cs="宋体"/>
          <w:color w:val="auto"/>
          <w:sz w:val="24"/>
          <w:szCs w:val="24"/>
          <w:highlight w:val="none"/>
          <w:shd w:val="clear" w:color="auto" w:fill="FFFFFF"/>
          <w:lang w:bidi="ar"/>
        </w:rPr>
      </w:pPr>
    </w:p>
    <w:p w14:paraId="10B59B51">
      <w:pPr>
        <w:pStyle w:val="14"/>
        <w:spacing w:line="360" w:lineRule="auto"/>
        <w:ind w:firstLine="480"/>
        <w:rPr>
          <w:rFonts w:hint="eastAsia" w:ascii="宋体" w:hAnsi="宋体" w:eastAsia="宋体" w:cs="宋体"/>
          <w:color w:val="auto"/>
          <w:sz w:val="24"/>
          <w:szCs w:val="24"/>
          <w:highlight w:val="none"/>
          <w:lang w:bidi="ar"/>
        </w:rPr>
      </w:pPr>
    </w:p>
    <w:p w14:paraId="18293EF6">
      <w:pPr>
        <w:spacing w:line="360" w:lineRule="auto"/>
        <w:ind w:firstLine="0" w:firstLineChars="0"/>
        <w:jc w:val="both"/>
        <w:rPr>
          <w:rFonts w:hint="eastAsia" w:ascii="宋体" w:hAnsi="宋体" w:eastAsia="宋体" w:cs="宋体"/>
          <w:color w:val="auto"/>
          <w:sz w:val="24"/>
          <w:szCs w:val="24"/>
          <w:highlight w:val="none"/>
          <w:shd w:val="clear" w:color="auto" w:fill="FFFFFF"/>
          <w:lang w:bidi="ar"/>
        </w:rPr>
      </w:pPr>
    </w:p>
    <w:p w14:paraId="2F46758B">
      <w:pPr>
        <w:pStyle w:val="2"/>
        <w:spacing w:line="360" w:lineRule="auto"/>
        <w:ind w:left="277" w:hanging="277" w:hangingChars="115"/>
        <w:jc w:val="center"/>
        <w:rPr>
          <w:rFonts w:hint="eastAsia" w:ascii="宋体" w:hAnsi="宋体" w:eastAsia="宋体" w:cs="宋体"/>
          <w:color w:val="auto"/>
          <w:sz w:val="24"/>
          <w:szCs w:val="24"/>
          <w:highlight w:val="none"/>
        </w:rPr>
      </w:pPr>
      <w:bookmarkStart w:id="94" w:name="_Toc15969"/>
      <w:bookmarkStart w:id="95" w:name="_Toc517338638"/>
      <w:bookmarkStart w:id="96" w:name="_Toc479341614"/>
      <w:bookmarkStart w:id="97" w:name="_Toc508113564"/>
      <w:bookmarkStart w:id="98" w:name="_Toc525836332"/>
      <w:bookmarkStart w:id="99" w:name="_Toc508873163"/>
      <w:r>
        <w:rPr>
          <w:rFonts w:hint="eastAsia" w:ascii="宋体" w:hAnsi="宋体" w:eastAsia="宋体" w:cs="宋体"/>
          <w:color w:val="auto"/>
          <w:sz w:val="24"/>
          <w:szCs w:val="24"/>
          <w:highlight w:val="none"/>
        </w:rPr>
        <w:br w:type="page"/>
      </w:r>
      <w:r>
        <w:rPr>
          <w:rFonts w:hint="eastAsia" w:ascii="宋体" w:hAnsi="宋体" w:eastAsia="宋体" w:cs="宋体"/>
          <w:color w:val="auto"/>
          <w:sz w:val="24"/>
          <w:szCs w:val="24"/>
          <w:highlight w:val="none"/>
        </w:rPr>
        <w:t>四、法定代表人授权委托书</w:t>
      </w:r>
      <w:bookmarkEnd w:id="94"/>
      <w:bookmarkEnd w:id="95"/>
      <w:bookmarkEnd w:id="96"/>
      <w:bookmarkEnd w:id="97"/>
      <w:bookmarkEnd w:id="98"/>
      <w:bookmarkEnd w:id="99"/>
    </w:p>
    <w:p w14:paraId="792DEDF9">
      <w:pPr>
        <w:widowControl/>
        <w:snapToGrid w:val="0"/>
        <w:spacing w:line="360" w:lineRule="auto"/>
        <w:ind w:firstLine="48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（姓名）系</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r>
        <w:rPr>
          <w:rFonts w:hint="eastAsia" w:eastAsia="宋体" w:cs="宋体"/>
          <w:color w:val="auto"/>
          <w:sz w:val="24"/>
          <w:szCs w:val="24"/>
          <w:highlight w:val="none"/>
          <w:lang w:eastAsia="zh-CN"/>
        </w:rPr>
        <w:t>响应人</w:t>
      </w:r>
      <w:r>
        <w:rPr>
          <w:rFonts w:hint="eastAsia" w:ascii="宋体" w:hAnsi="宋体" w:eastAsia="宋体" w:cs="宋体"/>
          <w:color w:val="auto"/>
          <w:kern w:val="0"/>
          <w:sz w:val="24"/>
          <w:szCs w:val="24"/>
          <w:highlight w:val="none"/>
        </w:rPr>
        <w:t>名称）的法定代表人，现授权委托</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（单位名称）的</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（姓名）为我公司代理人，以本公司的名义参加</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（项目名称）的投标活动。代理人在开标、评标、签订合同过程中所签署的一切文件和处理与之有关的一切事务，其法律后果由我方承担。</w:t>
      </w:r>
    </w:p>
    <w:p w14:paraId="303C305F">
      <w:pPr>
        <w:widowControl/>
        <w:snapToGrid w:val="0"/>
        <w:spacing w:line="360" w:lineRule="auto"/>
        <w:ind w:firstLine="624" w:firstLineChars="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代理人无转委托权，特此证明。</w:t>
      </w:r>
    </w:p>
    <w:p w14:paraId="3BE9CE17">
      <w:pPr>
        <w:widowControl/>
        <w:snapToGrid w:val="0"/>
        <w:spacing w:line="360" w:lineRule="auto"/>
        <w:ind w:firstLine="0" w:firstLineChars="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附：法定代表人及委托代理人身份证明</w:t>
      </w:r>
    </w:p>
    <w:p w14:paraId="78CD2FBE">
      <w:pPr>
        <w:spacing w:line="360" w:lineRule="auto"/>
        <w:ind w:firstLine="0" w:firstLineChars="0"/>
        <w:jc w:val="both"/>
        <w:rPr>
          <w:rFonts w:hint="eastAsia" w:ascii="宋体" w:hAnsi="宋体" w:eastAsia="宋体" w:cs="宋体"/>
          <w:b/>
          <w:bCs/>
          <w:color w:val="auto"/>
          <w:sz w:val="24"/>
          <w:szCs w:val="24"/>
          <w:highlight w:val="none"/>
        </w:rPr>
      </w:pPr>
    </w:p>
    <w:p w14:paraId="609D8154">
      <w:pPr>
        <w:spacing w:line="360" w:lineRule="auto"/>
        <w:ind w:firstLine="2834" w:firstLineChars="1181"/>
        <w:jc w:val="both"/>
        <w:textAlignment w:val="center"/>
        <w:rPr>
          <w:rFonts w:hint="eastAsia" w:ascii="宋体" w:hAnsi="宋体" w:eastAsia="宋体" w:cs="宋体"/>
          <w:color w:val="auto"/>
          <w:sz w:val="24"/>
          <w:szCs w:val="24"/>
          <w:highlight w:val="none"/>
        </w:rPr>
      </w:pP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（单位电子公章）</w:t>
      </w:r>
    </w:p>
    <w:p w14:paraId="56D4B78D">
      <w:pPr>
        <w:spacing w:line="360" w:lineRule="auto"/>
        <w:ind w:firstLine="2834" w:firstLineChars="1181"/>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（法人电子签章）</w:t>
      </w:r>
    </w:p>
    <w:p w14:paraId="7ADB3F18">
      <w:pPr>
        <w:spacing w:line="360" w:lineRule="auto"/>
        <w:ind w:firstLine="2834" w:firstLineChars="1181"/>
        <w:jc w:val="both"/>
        <w:textAlignment w:val="center"/>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身份证号码：</w:t>
      </w:r>
      <w:r>
        <w:rPr>
          <w:rFonts w:hint="eastAsia" w:ascii="宋体" w:hAnsi="宋体" w:eastAsia="宋体" w:cs="宋体"/>
          <w:color w:val="auto"/>
          <w:sz w:val="24"/>
          <w:szCs w:val="24"/>
          <w:highlight w:val="none"/>
          <w:u w:val="single"/>
        </w:rPr>
        <w:t xml:space="preserve">                                 </w:t>
      </w:r>
    </w:p>
    <w:p w14:paraId="573814E9">
      <w:pPr>
        <w:spacing w:line="360" w:lineRule="auto"/>
        <w:ind w:firstLine="2834" w:firstLineChars="1181"/>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r>
        <w:rPr>
          <w:rFonts w:hint="eastAsia" w:ascii="宋体" w:hAnsi="宋体" w:eastAsia="宋体" w:cs="宋体"/>
          <w:color w:val="auto"/>
          <w:sz w:val="24"/>
          <w:szCs w:val="24"/>
          <w:highlight w:val="none"/>
          <w:u w:val="single"/>
        </w:rPr>
        <w:t xml:space="preserve">      （签字或法人电子签章）</w:t>
      </w:r>
    </w:p>
    <w:p w14:paraId="08D3BE32">
      <w:pPr>
        <w:spacing w:line="360" w:lineRule="auto"/>
        <w:ind w:firstLine="2834" w:firstLineChars="1181"/>
        <w:jc w:val="both"/>
        <w:textAlignment w:val="center"/>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身份证号码：</w:t>
      </w:r>
      <w:r>
        <w:rPr>
          <w:rFonts w:hint="eastAsia" w:ascii="宋体" w:hAnsi="宋体" w:eastAsia="宋体" w:cs="宋体"/>
          <w:color w:val="auto"/>
          <w:sz w:val="24"/>
          <w:szCs w:val="24"/>
          <w:highlight w:val="none"/>
          <w:u w:val="single"/>
        </w:rPr>
        <w:t xml:space="preserve">                                 </w:t>
      </w:r>
    </w:p>
    <w:p w14:paraId="54C23472">
      <w:pPr>
        <w:spacing w:line="360" w:lineRule="auto"/>
        <w:ind w:firstLine="2834" w:firstLineChars="1181"/>
        <w:jc w:val="righ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4378FB7E">
      <w:pPr>
        <w:spacing w:line="360" w:lineRule="auto"/>
        <w:ind w:firstLine="3600" w:firstLineChars="15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法定代表人身份证扫描件</w:t>
      </w:r>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372"/>
        <w:gridCol w:w="4372"/>
      </w:tblGrid>
      <w:tr w14:paraId="2A81E1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5" w:hRule="atLeast"/>
          <w:jc w:val="center"/>
        </w:trPr>
        <w:tc>
          <w:tcPr>
            <w:tcW w:w="4372" w:type="dxa"/>
            <w:tcBorders>
              <w:top w:val="single" w:color="000000" w:sz="4" w:space="0"/>
              <w:left w:val="single" w:color="000000" w:sz="4" w:space="0"/>
              <w:bottom w:val="single" w:color="000000" w:sz="4" w:space="0"/>
              <w:right w:val="single" w:color="000000" w:sz="4" w:space="0"/>
            </w:tcBorders>
            <w:noWrap w:val="0"/>
            <w:vAlign w:val="center"/>
          </w:tcPr>
          <w:p w14:paraId="3FBF01BB">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正面</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361C41C3">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背面</w:t>
            </w:r>
          </w:p>
        </w:tc>
      </w:tr>
    </w:tbl>
    <w:p w14:paraId="3D10468F">
      <w:pPr>
        <w:spacing w:line="360" w:lineRule="auto"/>
        <w:ind w:firstLine="3600" w:firstLineChars="15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委托代理人身份证扫描件</w:t>
      </w:r>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360"/>
        <w:gridCol w:w="4360"/>
      </w:tblGrid>
      <w:tr w14:paraId="3E4BA8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5" w:hRule="atLeast"/>
          <w:jc w:val="center"/>
        </w:trPr>
        <w:tc>
          <w:tcPr>
            <w:tcW w:w="4360" w:type="dxa"/>
            <w:tcBorders>
              <w:top w:val="single" w:color="000000" w:sz="4" w:space="0"/>
              <w:left w:val="single" w:color="000000" w:sz="4" w:space="0"/>
              <w:bottom w:val="single" w:color="000000" w:sz="4" w:space="0"/>
              <w:right w:val="single" w:color="000000" w:sz="4" w:space="0"/>
            </w:tcBorders>
            <w:noWrap w:val="0"/>
            <w:vAlign w:val="center"/>
          </w:tcPr>
          <w:p w14:paraId="529277B7">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正面</w:t>
            </w:r>
          </w:p>
        </w:tc>
        <w:tc>
          <w:tcPr>
            <w:tcW w:w="4360" w:type="dxa"/>
            <w:tcBorders>
              <w:top w:val="single" w:color="000000" w:sz="4" w:space="0"/>
              <w:left w:val="single" w:color="000000" w:sz="4" w:space="0"/>
              <w:bottom w:val="single" w:color="000000" w:sz="4" w:space="0"/>
              <w:right w:val="single" w:color="000000" w:sz="4" w:space="0"/>
            </w:tcBorders>
            <w:noWrap w:val="0"/>
            <w:vAlign w:val="center"/>
          </w:tcPr>
          <w:p w14:paraId="3DD28007">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背面</w:t>
            </w:r>
          </w:p>
        </w:tc>
      </w:tr>
    </w:tbl>
    <w:p w14:paraId="623C446E">
      <w:pPr>
        <w:spacing w:line="360" w:lineRule="auto"/>
        <w:ind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注：本项目为电子标，委托代理人签字可以为电脑打印字体或法人电子签章为准。</w:t>
      </w:r>
    </w:p>
    <w:p w14:paraId="0B20F5F9">
      <w:pPr>
        <w:spacing w:line="360" w:lineRule="auto"/>
        <w:ind w:left="277" w:hanging="276" w:hangingChars="115"/>
        <w:jc w:val="center"/>
        <w:outlineLvl w:val="1"/>
        <w:rPr>
          <w:rFonts w:hint="eastAsia" w:ascii="宋体" w:hAnsi="宋体" w:eastAsia="宋体" w:cs="宋体"/>
          <w:color w:val="auto"/>
          <w:sz w:val="24"/>
          <w:szCs w:val="24"/>
          <w:highlight w:val="none"/>
        </w:rPr>
      </w:pPr>
      <w:bookmarkStart w:id="100" w:name="_Toc525836337"/>
      <w:bookmarkStart w:id="101" w:name="_Toc3439"/>
      <w:r>
        <w:rPr>
          <w:rFonts w:hint="eastAsia" w:ascii="宋体" w:hAnsi="宋体" w:eastAsia="宋体" w:cs="宋体"/>
          <w:color w:val="auto"/>
          <w:sz w:val="24"/>
          <w:szCs w:val="24"/>
          <w:highlight w:val="none"/>
        </w:rPr>
        <w:br w:type="page"/>
      </w:r>
      <w:r>
        <w:rPr>
          <w:rFonts w:hint="eastAsia" w:ascii="宋体" w:hAnsi="宋体" w:eastAsia="宋体" w:cs="宋体"/>
          <w:b/>
          <w:bCs/>
          <w:color w:val="auto"/>
          <w:sz w:val="24"/>
          <w:szCs w:val="24"/>
          <w:highlight w:val="none"/>
        </w:rPr>
        <w:t>五、商务和技术偏差表</w:t>
      </w:r>
      <w:bookmarkEnd w:id="100"/>
      <w:bookmarkEnd w:id="101"/>
      <w:bookmarkStart w:id="102" w:name="_Toc523783977"/>
      <w:bookmarkStart w:id="103" w:name="_Toc508873165"/>
      <w:bookmarkStart w:id="104" w:name="_Toc479341621"/>
      <w:bookmarkStart w:id="105" w:name="_Toc517338640"/>
      <w:bookmarkStart w:id="106" w:name="_Toc508113566"/>
    </w:p>
    <w:bookmarkEnd w:id="102"/>
    <w:bookmarkEnd w:id="103"/>
    <w:bookmarkEnd w:id="104"/>
    <w:bookmarkEnd w:id="105"/>
    <w:bookmarkEnd w:id="106"/>
    <w:p w14:paraId="0C79E327">
      <w:pPr>
        <w:keepNext/>
        <w:keepLines/>
        <w:spacing w:line="360" w:lineRule="auto"/>
        <w:ind w:firstLine="0" w:firstLineChars="0"/>
        <w:jc w:val="center"/>
        <w:outlineLvl w:val="9"/>
        <w:rPr>
          <w:rFonts w:hint="eastAsia" w:ascii="宋体" w:hAnsi="宋体" w:eastAsia="宋体" w:cs="宋体"/>
          <w:b/>
          <w:bCs/>
          <w:color w:val="auto"/>
          <w:sz w:val="24"/>
          <w:szCs w:val="24"/>
          <w:highlight w:val="none"/>
        </w:rPr>
      </w:pPr>
      <w:bookmarkStart w:id="107" w:name="_Toc517338641"/>
      <w:bookmarkStart w:id="108" w:name="_Toc26436"/>
      <w:bookmarkStart w:id="109" w:name="_Toc479341622"/>
      <w:bookmarkStart w:id="110" w:name="_Toc508113567"/>
      <w:r>
        <w:rPr>
          <w:rFonts w:hint="eastAsia" w:ascii="宋体" w:hAnsi="宋体" w:eastAsia="宋体" w:cs="宋体"/>
          <w:b/>
          <w:bCs/>
          <w:color w:val="auto"/>
          <w:sz w:val="24"/>
          <w:szCs w:val="24"/>
          <w:highlight w:val="none"/>
        </w:rPr>
        <w:t>（一）商务偏差表</w:t>
      </w:r>
      <w:bookmarkEnd w:id="107"/>
      <w:bookmarkEnd w:id="108"/>
      <w:bookmarkEnd w:id="109"/>
      <w:bookmarkEnd w:id="110"/>
    </w:p>
    <w:tbl>
      <w:tblPr>
        <w:tblStyle w:val="17"/>
        <w:tblW w:w="9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2520"/>
        <w:gridCol w:w="2691"/>
        <w:gridCol w:w="2887"/>
      </w:tblGrid>
      <w:tr w14:paraId="07CFE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1" w:hRule="atLeast"/>
          <w:jc w:val="center"/>
        </w:trPr>
        <w:tc>
          <w:tcPr>
            <w:tcW w:w="1080" w:type="dxa"/>
            <w:tcBorders>
              <w:top w:val="double" w:color="auto" w:sz="4" w:space="0"/>
              <w:left w:val="double" w:color="auto" w:sz="4" w:space="0"/>
            </w:tcBorders>
            <w:noWrap w:val="0"/>
            <w:vAlign w:val="center"/>
          </w:tcPr>
          <w:p w14:paraId="749E7D9A">
            <w:pPr>
              <w:spacing w:line="360" w:lineRule="auto"/>
              <w:ind w:firstLine="0" w:firstLine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2520" w:type="dxa"/>
            <w:tcBorders>
              <w:top w:val="double" w:color="auto" w:sz="4" w:space="0"/>
            </w:tcBorders>
            <w:noWrap w:val="0"/>
            <w:vAlign w:val="center"/>
          </w:tcPr>
          <w:p w14:paraId="54D37877">
            <w:pPr>
              <w:spacing w:line="360" w:lineRule="auto"/>
              <w:ind w:firstLine="0" w:firstLine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磋商文件</w:t>
            </w:r>
            <w:r>
              <w:rPr>
                <w:rFonts w:hint="eastAsia" w:ascii="宋体" w:hAnsi="宋体" w:eastAsia="宋体" w:cs="宋体"/>
                <w:b/>
                <w:color w:val="auto"/>
                <w:sz w:val="24"/>
                <w:szCs w:val="24"/>
                <w:highlight w:val="none"/>
              </w:rPr>
              <w:t>商务要求</w:t>
            </w:r>
          </w:p>
        </w:tc>
        <w:tc>
          <w:tcPr>
            <w:tcW w:w="2691" w:type="dxa"/>
            <w:tcBorders>
              <w:top w:val="double" w:color="auto" w:sz="4" w:space="0"/>
            </w:tcBorders>
            <w:noWrap w:val="0"/>
            <w:vAlign w:val="center"/>
          </w:tcPr>
          <w:p w14:paraId="19DCAF1F">
            <w:pPr>
              <w:widowControl/>
              <w:spacing w:line="360" w:lineRule="auto"/>
              <w:ind w:firstLine="0" w:firstLine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响应文件</w:t>
            </w:r>
            <w:r>
              <w:rPr>
                <w:rFonts w:hint="eastAsia" w:ascii="宋体" w:hAnsi="宋体" w:eastAsia="宋体" w:cs="宋体"/>
                <w:b/>
                <w:color w:val="auto"/>
                <w:sz w:val="24"/>
                <w:szCs w:val="24"/>
                <w:highlight w:val="none"/>
              </w:rPr>
              <w:t>响应内容</w:t>
            </w:r>
          </w:p>
        </w:tc>
        <w:tc>
          <w:tcPr>
            <w:tcW w:w="2887" w:type="dxa"/>
            <w:tcBorders>
              <w:top w:val="double" w:color="auto" w:sz="4" w:space="0"/>
              <w:right w:val="double" w:color="auto" w:sz="4" w:space="0"/>
            </w:tcBorders>
            <w:noWrap w:val="0"/>
            <w:vAlign w:val="center"/>
          </w:tcPr>
          <w:p w14:paraId="04B76CD2">
            <w:pPr>
              <w:spacing w:line="240" w:lineRule="auto"/>
              <w:ind w:firstLineChars="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偏差说明</w:t>
            </w:r>
          </w:p>
          <w:p w14:paraId="42D5AC7D">
            <w:pPr>
              <w:spacing w:line="240" w:lineRule="auto"/>
              <w:ind w:firstLineChars="0"/>
              <w:jc w:val="center"/>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响应人</w:t>
            </w:r>
            <w:r>
              <w:rPr>
                <w:rFonts w:hint="eastAsia" w:ascii="宋体" w:hAnsi="宋体" w:eastAsia="宋体" w:cs="宋体"/>
                <w:b/>
                <w:bCs/>
                <w:color w:val="auto"/>
                <w:sz w:val="24"/>
                <w:szCs w:val="24"/>
                <w:highlight w:val="none"/>
              </w:rPr>
              <w:t>的承诺或说明</w:t>
            </w:r>
            <w:r>
              <w:rPr>
                <w:rFonts w:hint="eastAsia" w:ascii="宋体" w:hAnsi="宋体" w:eastAsia="宋体" w:cs="宋体"/>
                <w:b/>
                <w:color w:val="auto"/>
                <w:sz w:val="24"/>
                <w:szCs w:val="24"/>
                <w:highlight w:val="none"/>
              </w:rPr>
              <w:t>）</w:t>
            </w:r>
          </w:p>
        </w:tc>
      </w:tr>
      <w:tr w14:paraId="23A8D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7" w:hRule="atLeast"/>
          <w:jc w:val="center"/>
        </w:trPr>
        <w:tc>
          <w:tcPr>
            <w:tcW w:w="1080" w:type="dxa"/>
            <w:tcBorders>
              <w:left w:val="double" w:color="auto" w:sz="4" w:space="0"/>
            </w:tcBorders>
            <w:noWrap w:val="0"/>
            <w:vAlign w:val="center"/>
          </w:tcPr>
          <w:p w14:paraId="3F86E02C">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520" w:type="dxa"/>
            <w:noWrap w:val="0"/>
            <w:vAlign w:val="center"/>
          </w:tcPr>
          <w:p w14:paraId="15CD39CF">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资格要求</w:t>
            </w:r>
          </w:p>
        </w:tc>
        <w:tc>
          <w:tcPr>
            <w:tcW w:w="2691" w:type="dxa"/>
            <w:noWrap w:val="0"/>
            <w:vAlign w:val="center"/>
          </w:tcPr>
          <w:p w14:paraId="167954FD">
            <w:pPr>
              <w:spacing w:line="360" w:lineRule="auto"/>
              <w:ind w:firstLine="0" w:firstLineChars="0"/>
              <w:jc w:val="center"/>
              <w:rPr>
                <w:rFonts w:hint="eastAsia" w:ascii="宋体" w:hAnsi="宋体" w:eastAsia="宋体" w:cs="宋体"/>
                <w:color w:val="auto"/>
                <w:sz w:val="24"/>
                <w:szCs w:val="24"/>
                <w:highlight w:val="none"/>
              </w:rPr>
            </w:pPr>
          </w:p>
        </w:tc>
        <w:tc>
          <w:tcPr>
            <w:tcW w:w="2887" w:type="dxa"/>
            <w:tcBorders>
              <w:right w:val="double" w:color="auto" w:sz="4" w:space="0"/>
            </w:tcBorders>
            <w:noWrap w:val="0"/>
            <w:vAlign w:val="center"/>
          </w:tcPr>
          <w:p w14:paraId="53519D28">
            <w:pPr>
              <w:spacing w:line="360" w:lineRule="auto"/>
              <w:ind w:firstLine="0" w:firstLineChars="0"/>
              <w:jc w:val="center"/>
              <w:rPr>
                <w:rFonts w:hint="eastAsia" w:ascii="宋体" w:hAnsi="宋体" w:eastAsia="宋体" w:cs="宋体"/>
                <w:color w:val="auto"/>
                <w:sz w:val="24"/>
                <w:szCs w:val="24"/>
                <w:highlight w:val="none"/>
              </w:rPr>
            </w:pPr>
          </w:p>
        </w:tc>
      </w:tr>
      <w:tr w14:paraId="0B88C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7" w:hRule="atLeast"/>
          <w:jc w:val="center"/>
        </w:trPr>
        <w:tc>
          <w:tcPr>
            <w:tcW w:w="1080" w:type="dxa"/>
            <w:tcBorders>
              <w:left w:val="double" w:color="auto" w:sz="4" w:space="0"/>
            </w:tcBorders>
            <w:noWrap w:val="0"/>
            <w:vAlign w:val="center"/>
          </w:tcPr>
          <w:p w14:paraId="2879AF32">
            <w:pPr>
              <w:spacing w:line="360" w:lineRule="auto"/>
              <w:ind w:firstLine="0" w:firstLineChars="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p>
        </w:tc>
        <w:tc>
          <w:tcPr>
            <w:tcW w:w="2520" w:type="dxa"/>
            <w:noWrap w:val="0"/>
            <w:vAlign w:val="center"/>
          </w:tcPr>
          <w:p w14:paraId="50DF00E8">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合同履行期限</w:t>
            </w:r>
          </w:p>
          <w:p w14:paraId="61595438">
            <w:pPr>
              <w:spacing w:line="240" w:lineRule="auto"/>
              <w:ind w:firstLineChars="0"/>
              <w:jc w:val="cente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（交货期）</w:t>
            </w:r>
          </w:p>
        </w:tc>
        <w:tc>
          <w:tcPr>
            <w:tcW w:w="2691" w:type="dxa"/>
            <w:noWrap w:val="0"/>
            <w:vAlign w:val="center"/>
          </w:tcPr>
          <w:p w14:paraId="49902D51">
            <w:pPr>
              <w:rPr>
                <w:rFonts w:hint="eastAsia"/>
                <w:color w:val="auto"/>
                <w:highlight w:val="none"/>
              </w:rPr>
            </w:pPr>
          </w:p>
        </w:tc>
        <w:tc>
          <w:tcPr>
            <w:tcW w:w="2887" w:type="dxa"/>
            <w:tcBorders>
              <w:right w:val="double" w:color="auto" w:sz="4" w:space="0"/>
            </w:tcBorders>
            <w:noWrap w:val="0"/>
            <w:vAlign w:val="center"/>
          </w:tcPr>
          <w:p w14:paraId="4E63940C">
            <w:pPr>
              <w:spacing w:line="360" w:lineRule="auto"/>
              <w:ind w:firstLine="0" w:firstLineChars="0"/>
              <w:jc w:val="center"/>
              <w:rPr>
                <w:rFonts w:hint="eastAsia" w:ascii="宋体" w:hAnsi="宋体" w:eastAsia="宋体" w:cs="宋体"/>
                <w:bCs/>
                <w:color w:val="auto"/>
                <w:sz w:val="24"/>
                <w:szCs w:val="24"/>
                <w:highlight w:val="none"/>
              </w:rPr>
            </w:pPr>
          </w:p>
        </w:tc>
      </w:tr>
      <w:tr w14:paraId="09E39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7" w:hRule="atLeast"/>
          <w:jc w:val="center"/>
        </w:trPr>
        <w:tc>
          <w:tcPr>
            <w:tcW w:w="1080" w:type="dxa"/>
            <w:tcBorders>
              <w:left w:val="double" w:color="auto" w:sz="4" w:space="0"/>
            </w:tcBorders>
            <w:noWrap w:val="0"/>
            <w:vAlign w:val="center"/>
          </w:tcPr>
          <w:p w14:paraId="1AAC13A5">
            <w:pPr>
              <w:spacing w:line="360" w:lineRule="auto"/>
              <w:ind w:firstLine="0" w:firstLineChars="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w:t>
            </w:r>
          </w:p>
        </w:tc>
        <w:tc>
          <w:tcPr>
            <w:tcW w:w="2520" w:type="dxa"/>
            <w:noWrap w:val="0"/>
            <w:vAlign w:val="center"/>
          </w:tcPr>
          <w:p w14:paraId="612CBA27">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质量要求</w:t>
            </w:r>
          </w:p>
        </w:tc>
        <w:tc>
          <w:tcPr>
            <w:tcW w:w="2691" w:type="dxa"/>
            <w:noWrap w:val="0"/>
            <w:vAlign w:val="center"/>
          </w:tcPr>
          <w:p w14:paraId="5E22C8ED">
            <w:pPr>
              <w:spacing w:line="360" w:lineRule="auto"/>
              <w:ind w:firstLine="0" w:firstLineChars="0"/>
              <w:jc w:val="center"/>
              <w:rPr>
                <w:rFonts w:hint="eastAsia" w:ascii="宋体" w:hAnsi="宋体" w:eastAsia="宋体" w:cs="宋体"/>
                <w:bCs/>
                <w:color w:val="auto"/>
                <w:sz w:val="24"/>
                <w:szCs w:val="24"/>
                <w:highlight w:val="none"/>
              </w:rPr>
            </w:pPr>
          </w:p>
        </w:tc>
        <w:tc>
          <w:tcPr>
            <w:tcW w:w="2887" w:type="dxa"/>
            <w:tcBorders>
              <w:right w:val="double" w:color="auto" w:sz="4" w:space="0"/>
            </w:tcBorders>
            <w:noWrap w:val="0"/>
            <w:vAlign w:val="center"/>
          </w:tcPr>
          <w:p w14:paraId="63AAD975">
            <w:pPr>
              <w:spacing w:line="360" w:lineRule="auto"/>
              <w:ind w:firstLine="0" w:firstLineChars="0"/>
              <w:jc w:val="center"/>
              <w:rPr>
                <w:rFonts w:hint="eastAsia" w:ascii="宋体" w:hAnsi="宋体" w:eastAsia="宋体" w:cs="宋体"/>
                <w:bCs/>
                <w:color w:val="auto"/>
                <w:sz w:val="24"/>
                <w:szCs w:val="24"/>
                <w:highlight w:val="none"/>
              </w:rPr>
            </w:pPr>
          </w:p>
        </w:tc>
      </w:tr>
      <w:tr w14:paraId="61589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7" w:hRule="atLeast"/>
          <w:jc w:val="center"/>
        </w:trPr>
        <w:tc>
          <w:tcPr>
            <w:tcW w:w="1080" w:type="dxa"/>
            <w:tcBorders>
              <w:left w:val="double" w:color="auto" w:sz="4" w:space="0"/>
            </w:tcBorders>
            <w:noWrap w:val="0"/>
            <w:vAlign w:val="center"/>
          </w:tcPr>
          <w:p w14:paraId="38952729">
            <w:pPr>
              <w:spacing w:line="360" w:lineRule="auto"/>
              <w:ind w:firstLine="0" w:firstLineChars="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w:t>
            </w:r>
          </w:p>
        </w:tc>
        <w:tc>
          <w:tcPr>
            <w:tcW w:w="2520" w:type="dxa"/>
            <w:noWrap w:val="0"/>
            <w:vAlign w:val="center"/>
          </w:tcPr>
          <w:p w14:paraId="5742AEE4">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质保期</w:t>
            </w:r>
          </w:p>
        </w:tc>
        <w:tc>
          <w:tcPr>
            <w:tcW w:w="2691" w:type="dxa"/>
            <w:noWrap w:val="0"/>
            <w:vAlign w:val="center"/>
          </w:tcPr>
          <w:p w14:paraId="34168CAB">
            <w:pPr>
              <w:spacing w:line="240" w:lineRule="auto"/>
              <w:ind w:firstLineChars="0"/>
              <w:jc w:val="center"/>
              <w:rPr>
                <w:rFonts w:hint="eastAsia" w:ascii="宋体" w:hAnsi="宋体" w:eastAsia="宋体" w:cs="宋体"/>
                <w:bCs/>
                <w:color w:val="auto"/>
                <w:sz w:val="24"/>
                <w:szCs w:val="24"/>
                <w:highlight w:val="none"/>
              </w:rPr>
            </w:pPr>
          </w:p>
        </w:tc>
        <w:tc>
          <w:tcPr>
            <w:tcW w:w="2887" w:type="dxa"/>
            <w:tcBorders>
              <w:right w:val="double" w:color="auto" w:sz="4" w:space="0"/>
            </w:tcBorders>
            <w:noWrap w:val="0"/>
            <w:vAlign w:val="center"/>
          </w:tcPr>
          <w:p w14:paraId="1C28D2B9">
            <w:pPr>
              <w:spacing w:line="360" w:lineRule="auto"/>
              <w:ind w:firstLine="0" w:firstLineChars="0"/>
              <w:jc w:val="center"/>
              <w:rPr>
                <w:rFonts w:hint="eastAsia" w:ascii="宋体" w:hAnsi="宋体" w:eastAsia="宋体" w:cs="宋体"/>
                <w:bCs/>
                <w:color w:val="auto"/>
                <w:sz w:val="24"/>
                <w:szCs w:val="24"/>
                <w:highlight w:val="none"/>
              </w:rPr>
            </w:pPr>
          </w:p>
        </w:tc>
      </w:tr>
      <w:tr w14:paraId="1C7E4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7" w:hRule="atLeast"/>
          <w:jc w:val="center"/>
        </w:trPr>
        <w:tc>
          <w:tcPr>
            <w:tcW w:w="1080" w:type="dxa"/>
            <w:tcBorders>
              <w:left w:val="double" w:color="auto" w:sz="4" w:space="0"/>
            </w:tcBorders>
            <w:noWrap w:val="0"/>
            <w:vAlign w:val="center"/>
          </w:tcPr>
          <w:p w14:paraId="7CE86F26">
            <w:pPr>
              <w:spacing w:line="360" w:lineRule="auto"/>
              <w:ind w:firstLine="0" w:firstLineChars="0"/>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5</w:t>
            </w:r>
          </w:p>
        </w:tc>
        <w:tc>
          <w:tcPr>
            <w:tcW w:w="2520" w:type="dxa"/>
            <w:noWrap w:val="0"/>
            <w:vAlign w:val="center"/>
          </w:tcPr>
          <w:p w14:paraId="08D4A09C">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其他要求</w:t>
            </w:r>
          </w:p>
        </w:tc>
        <w:tc>
          <w:tcPr>
            <w:tcW w:w="2691" w:type="dxa"/>
            <w:noWrap w:val="0"/>
            <w:vAlign w:val="center"/>
          </w:tcPr>
          <w:p w14:paraId="4D572348">
            <w:pPr>
              <w:spacing w:line="360" w:lineRule="auto"/>
              <w:ind w:firstLine="0" w:firstLineChars="0"/>
              <w:jc w:val="center"/>
              <w:rPr>
                <w:rFonts w:hint="eastAsia" w:ascii="宋体" w:hAnsi="宋体" w:eastAsia="宋体" w:cs="宋体"/>
                <w:bCs/>
                <w:color w:val="auto"/>
                <w:sz w:val="24"/>
                <w:szCs w:val="24"/>
                <w:highlight w:val="none"/>
              </w:rPr>
            </w:pPr>
          </w:p>
        </w:tc>
        <w:tc>
          <w:tcPr>
            <w:tcW w:w="2887" w:type="dxa"/>
            <w:tcBorders>
              <w:right w:val="double" w:color="auto" w:sz="4" w:space="0"/>
            </w:tcBorders>
            <w:noWrap w:val="0"/>
            <w:vAlign w:val="center"/>
          </w:tcPr>
          <w:p w14:paraId="56E3306B">
            <w:pPr>
              <w:spacing w:line="360" w:lineRule="auto"/>
              <w:ind w:firstLine="0" w:firstLineChars="0"/>
              <w:jc w:val="center"/>
              <w:rPr>
                <w:rFonts w:hint="eastAsia" w:ascii="宋体" w:hAnsi="宋体" w:eastAsia="宋体" w:cs="宋体"/>
                <w:bCs/>
                <w:color w:val="auto"/>
                <w:sz w:val="24"/>
                <w:szCs w:val="24"/>
                <w:highlight w:val="none"/>
              </w:rPr>
            </w:pPr>
          </w:p>
        </w:tc>
      </w:tr>
      <w:tr w14:paraId="6C41A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7" w:hRule="atLeast"/>
          <w:jc w:val="center"/>
        </w:trPr>
        <w:tc>
          <w:tcPr>
            <w:tcW w:w="1080" w:type="dxa"/>
            <w:tcBorders>
              <w:left w:val="double" w:color="auto" w:sz="4" w:space="0"/>
            </w:tcBorders>
            <w:noWrap w:val="0"/>
            <w:vAlign w:val="center"/>
          </w:tcPr>
          <w:p w14:paraId="639919BF">
            <w:pPr>
              <w:spacing w:line="360" w:lineRule="auto"/>
              <w:ind w:left="1200" w:firstLine="0" w:firstLineChars="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tc>
        <w:tc>
          <w:tcPr>
            <w:tcW w:w="2520" w:type="dxa"/>
            <w:noWrap w:val="0"/>
            <w:vAlign w:val="center"/>
          </w:tcPr>
          <w:p w14:paraId="1A10F236">
            <w:pPr>
              <w:spacing w:line="360" w:lineRule="auto"/>
              <w:ind w:firstLine="0" w:firstLineChars="0"/>
              <w:jc w:val="center"/>
              <w:rPr>
                <w:rFonts w:hint="eastAsia" w:ascii="宋体" w:hAnsi="宋体" w:eastAsia="宋体" w:cs="宋体"/>
                <w:bCs/>
                <w:color w:val="auto"/>
                <w:sz w:val="24"/>
                <w:szCs w:val="24"/>
                <w:highlight w:val="none"/>
              </w:rPr>
            </w:pPr>
          </w:p>
        </w:tc>
        <w:tc>
          <w:tcPr>
            <w:tcW w:w="2691" w:type="dxa"/>
            <w:noWrap w:val="0"/>
            <w:vAlign w:val="center"/>
          </w:tcPr>
          <w:p w14:paraId="2A21729A">
            <w:pPr>
              <w:spacing w:line="360" w:lineRule="auto"/>
              <w:ind w:firstLine="0" w:firstLineChars="0"/>
              <w:jc w:val="center"/>
              <w:rPr>
                <w:rFonts w:hint="eastAsia" w:ascii="宋体" w:hAnsi="宋体" w:eastAsia="宋体" w:cs="宋体"/>
                <w:bCs/>
                <w:color w:val="auto"/>
                <w:sz w:val="24"/>
                <w:szCs w:val="24"/>
                <w:highlight w:val="none"/>
              </w:rPr>
            </w:pPr>
          </w:p>
        </w:tc>
        <w:tc>
          <w:tcPr>
            <w:tcW w:w="2887" w:type="dxa"/>
            <w:tcBorders>
              <w:right w:val="double" w:color="auto" w:sz="4" w:space="0"/>
            </w:tcBorders>
            <w:noWrap w:val="0"/>
            <w:vAlign w:val="center"/>
          </w:tcPr>
          <w:p w14:paraId="3F25EFEF">
            <w:pPr>
              <w:spacing w:line="360" w:lineRule="auto"/>
              <w:ind w:firstLine="0" w:firstLineChars="0"/>
              <w:jc w:val="center"/>
              <w:rPr>
                <w:rFonts w:hint="eastAsia" w:ascii="宋体" w:hAnsi="宋体" w:eastAsia="宋体" w:cs="宋体"/>
                <w:bCs/>
                <w:color w:val="auto"/>
                <w:sz w:val="24"/>
                <w:szCs w:val="24"/>
                <w:highlight w:val="none"/>
              </w:rPr>
            </w:pPr>
          </w:p>
        </w:tc>
      </w:tr>
      <w:tr w14:paraId="36ED9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7" w:hRule="atLeast"/>
          <w:jc w:val="center"/>
        </w:trPr>
        <w:tc>
          <w:tcPr>
            <w:tcW w:w="1080" w:type="dxa"/>
            <w:tcBorders>
              <w:left w:val="double" w:color="auto" w:sz="4" w:space="0"/>
              <w:bottom w:val="double" w:color="auto" w:sz="4" w:space="0"/>
            </w:tcBorders>
            <w:noWrap w:val="0"/>
            <w:vAlign w:val="center"/>
          </w:tcPr>
          <w:p w14:paraId="4440DF18">
            <w:pPr>
              <w:spacing w:line="360" w:lineRule="auto"/>
              <w:ind w:firstLine="0" w:firstLineChars="0"/>
              <w:jc w:val="center"/>
              <w:rPr>
                <w:rFonts w:hint="eastAsia" w:ascii="宋体" w:hAnsi="宋体" w:eastAsia="宋体" w:cs="宋体"/>
                <w:bCs/>
                <w:color w:val="auto"/>
                <w:sz w:val="24"/>
                <w:szCs w:val="24"/>
                <w:highlight w:val="none"/>
              </w:rPr>
            </w:pPr>
          </w:p>
        </w:tc>
        <w:tc>
          <w:tcPr>
            <w:tcW w:w="2520" w:type="dxa"/>
            <w:tcBorders>
              <w:bottom w:val="double" w:color="auto" w:sz="4" w:space="0"/>
            </w:tcBorders>
            <w:noWrap w:val="0"/>
            <w:vAlign w:val="center"/>
          </w:tcPr>
          <w:p w14:paraId="453E6361">
            <w:pPr>
              <w:spacing w:line="360" w:lineRule="auto"/>
              <w:ind w:firstLine="0" w:firstLineChars="0"/>
              <w:jc w:val="center"/>
              <w:rPr>
                <w:rFonts w:hint="eastAsia" w:ascii="宋体" w:hAnsi="宋体" w:eastAsia="宋体" w:cs="宋体"/>
                <w:bCs/>
                <w:color w:val="auto"/>
                <w:sz w:val="24"/>
                <w:szCs w:val="24"/>
                <w:highlight w:val="none"/>
              </w:rPr>
            </w:pPr>
          </w:p>
        </w:tc>
        <w:tc>
          <w:tcPr>
            <w:tcW w:w="2691" w:type="dxa"/>
            <w:tcBorders>
              <w:bottom w:val="double" w:color="auto" w:sz="4" w:space="0"/>
            </w:tcBorders>
            <w:noWrap w:val="0"/>
            <w:vAlign w:val="center"/>
          </w:tcPr>
          <w:p w14:paraId="5F50D481">
            <w:pPr>
              <w:spacing w:line="360" w:lineRule="auto"/>
              <w:ind w:firstLine="0" w:firstLineChars="0"/>
              <w:jc w:val="center"/>
              <w:rPr>
                <w:rFonts w:hint="eastAsia" w:ascii="宋体" w:hAnsi="宋体" w:eastAsia="宋体" w:cs="宋体"/>
                <w:bCs/>
                <w:color w:val="auto"/>
                <w:sz w:val="24"/>
                <w:szCs w:val="24"/>
                <w:highlight w:val="none"/>
              </w:rPr>
            </w:pPr>
          </w:p>
        </w:tc>
        <w:tc>
          <w:tcPr>
            <w:tcW w:w="2887" w:type="dxa"/>
            <w:tcBorders>
              <w:bottom w:val="double" w:color="auto" w:sz="4" w:space="0"/>
              <w:right w:val="double" w:color="auto" w:sz="4" w:space="0"/>
            </w:tcBorders>
            <w:noWrap w:val="0"/>
            <w:vAlign w:val="center"/>
          </w:tcPr>
          <w:p w14:paraId="593BBE4A">
            <w:pPr>
              <w:spacing w:line="360" w:lineRule="auto"/>
              <w:ind w:firstLine="0" w:firstLineChars="0"/>
              <w:jc w:val="center"/>
              <w:rPr>
                <w:rFonts w:hint="eastAsia" w:ascii="宋体" w:hAnsi="宋体" w:eastAsia="宋体" w:cs="宋体"/>
                <w:bCs/>
                <w:color w:val="auto"/>
                <w:sz w:val="24"/>
                <w:szCs w:val="24"/>
                <w:highlight w:val="none"/>
              </w:rPr>
            </w:pPr>
          </w:p>
        </w:tc>
      </w:tr>
    </w:tbl>
    <w:p w14:paraId="6A60A82B">
      <w:pPr>
        <w:autoSpaceDE w:val="0"/>
        <w:autoSpaceDN w:val="0"/>
        <w:adjustRightInd w:val="0"/>
        <w:spacing w:line="360" w:lineRule="auto"/>
        <w:ind w:firstLine="0" w:firstLineChars="0"/>
        <w:rPr>
          <w:rFonts w:hint="eastAsia" w:ascii="宋体" w:hAnsi="宋体" w:eastAsia="宋体" w:cs="宋体"/>
          <w:color w:val="auto"/>
          <w:kern w:val="0"/>
          <w:sz w:val="24"/>
          <w:szCs w:val="24"/>
          <w:highlight w:val="none"/>
        </w:rPr>
      </w:pPr>
    </w:p>
    <w:p w14:paraId="4024ED60">
      <w:pPr>
        <w:spacing w:line="360" w:lineRule="auto"/>
        <w:ind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注：除商务偏差表列出的偏差外，</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响应</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的全部要求。</w:t>
      </w:r>
    </w:p>
    <w:p w14:paraId="39F9DFA2">
      <w:pPr>
        <w:spacing w:line="360" w:lineRule="auto"/>
        <w:ind w:firstLine="0" w:firstLineChars="0"/>
        <w:jc w:val="right"/>
        <w:rPr>
          <w:rFonts w:hint="eastAsia" w:ascii="宋体" w:hAnsi="宋体" w:eastAsia="宋体" w:cs="宋体"/>
          <w:color w:val="auto"/>
          <w:sz w:val="24"/>
          <w:szCs w:val="24"/>
          <w:highlight w:val="none"/>
        </w:rPr>
      </w:pPr>
      <w:bookmarkStart w:id="111" w:name="_Toc301943533"/>
      <w:bookmarkStart w:id="112" w:name="_Toc479341623"/>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（单位电子公章）</w:t>
      </w:r>
    </w:p>
    <w:p w14:paraId="0E7AAB03">
      <w:pPr>
        <w:spacing w:line="360" w:lineRule="auto"/>
        <w:ind w:firstLine="0" w:firstLineChars="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（法人电子签章）</w:t>
      </w:r>
    </w:p>
    <w:p w14:paraId="654A5BA8">
      <w:pPr>
        <w:spacing w:line="360" w:lineRule="auto"/>
        <w:ind w:firstLine="0" w:firstLineChars="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日期：    年   月    日</w:t>
      </w:r>
    </w:p>
    <w:p w14:paraId="4C9C24AB">
      <w:pPr>
        <w:spacing w:line="360" w:lineRule="auto"/>
        <w:ind w:firstLine="0" w:firstLineChars="0"/>
        <w:jc w:val="center"/>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br w:type="page"/>
      </w:r>
      <w:bookmarkStart w:id="113" w:name="_Toc517338642"/>
      <w:bookmarkStart w:id="114" w:name="_Toc508113568"/>
      <w:r>
        <w:rPr>
          <w:rFonts w:hint="eastAsia" w:ascii="宋体" w:hAnsi="宋体" w:eastAsia="宋体" w:cs="宋体"/>
          <w:b/>
          <w:bCs/>
          <w:color w:val="auto"/>
          <w:sz w:val="24"/>
          <w:szCs w:val="24"/>
          <w:highlight w:val="none"/>
        </w:rPr>
        <w:t>（二）技术参数偏差表</w:t>
      </w:r>
      <w:bookmarkEnd w:id="111"/>
      <w:bookmarkEnd w:id="112"/>
      <w:bookmarkEnd w:id="113"/>
      <w:bookmarkEnd w:id="114"/>
    </w:p>
    <w:tbl>
      <w:tblPr>
        <w:tblStyle w:val="17"/>
        <w:tblW w:w="96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1982"/>
        <w:gridCol w:w="1983"/>
        <w:gridCol w:w="1472"/>
        <w:gridCol w:w="48"/>
        <w:gridCol w:w="1427"/>
        <w:gridCol w:w="1676"/>
      </w:tblGrid>
      <w:tr w14:paraId="5366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110" w:type="dxa"/>
            <w:vMerge w:val="restart"/>
            <w:tcBorders>
              <w:top w:val="double" w:color="auto" w:sz="4" w:space="0"/>
              <w:left w:val="double" w:color="auto" w:sz="4" w:space="0"/>
            </w:tcBorders>
            <w:noWrap w:val="0"/>
            <w:vAlign w:val="center"/>
          </w:tcPr>
          <w:p w14:paraId="28C9E725">
            <w:pPr>
              <w:spacing w:line="360" w:lineRule="auto"/>
              <w:ind w:firstLine="0" w:firstLine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3965" w:type="dxa"/>
            <w:gridSpan w:val="2"/>
            <w:tcBorders>
              <w:top w:val="double" w:color="auto" w:sz="4" w:space="0"/>
            </w:tcBorders>
            <w:noWrap w:val="0"/>
            <w:vAlign w:val="center"/>
          </w:tcPr>
          <w:p w14:paraId="3092BE7F">
            <w:pPr>
              <w:spacing w:line="360" w:lineRule="auto"/>
              <w:ind w:firstLine="0" w:firstLine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磋商文件</w:t>
            </w:r>
            <w:r>
              <w:rPr>
                <w:rFonts w:hint="eastAsia" w:ascii="宋体" w:hAnsi="宋体" w:eastAsia="宋体" w:cs="宋体"/>
                <w:b/>
                <w:color w:val="auto"/>
                <w:sz w:val="24"/>
                <w:szCs w:val="24"/>
                <w:highlight w:val="none"/>
              </w:rPr>
              <w:t>技术参数要求</w:t>
            </w:r>
          </w:p>
        </w:tc>
        <w:tc>
          <w:tcPr>
            <w:tcW w:w="2947" w:type="dxa"/>
            <w:gridSpan w:val="3"/>
            <w:tcBorders>
              <w:top w:val="double" w:color="auto" w:sz="4" w:space="0"/>
            </w:tcBorders>
            <w:noWrap w:val="0"/>
            <w:vAlign w:val="center"/>
          </w:tcPr>
          <w:p w14:paraId="43C97226">
            <w:pPr>
              <w:widowControl/>
              <w:spacing w:line="360" w:lineRule="auto"/>
              <w:ind w:firstLine="0" w:firstLine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响应文件</w:t>
            </w:r>
            <w:r>
              <w:rPr>
                <w:rFonts w:hint="eastAsia" w:ascii="宋体" w:hAnsi="宋体" w:eastAsia="宋体" w:cs="宋体"/>
                <w:b/>
                <w:color w:val="auto"/>
                <w:sz w:val="24"/>
                <w:szCs w:val="24"/>
                <w:highlight w:val="none"/>
              </w:rPr>
              <w:t>响应应内容</w:t>
            </w:r>
          </w:p>
        </w:tc>
        <w:tc>
          <w:tcPr>
            <w:tcW w:w="1676" w:type="dxa"/>
            <w:tcBorders>
              <w:top w:val="double" w:color="auto" w:sz="4" w:space="0"/>
              <w:right w:val="double" w:color="auto" w:sz="4" w:space="0"/>
            </w:tcBorders>
            <w:noWrap w:val="0"/>
            <w:vAlign w:val="center"/>
          </w:tcPr>
          <w:p w14:paraId="18E1A73B">
            <w:pPr>
              <w:widowControl/>
              <w:spacing w:line="360" w:lineRule="auto"/>
              <w:ind w:firstLine="0" w:firstLine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偏差说明</w:t>
            </w:r>
          </w:p>
        </w:tc>
      </w:tr>
      <w:tr w14:paraId="779B8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1110" w:type="dxa"/>
            <w:vMerge w:val="continue"/>
            <w:tcBorders>
              <w:left w:val="double" w:color="auto" w:sz="4" w:space="0"/>
            </w:tcBorders>
            <w:noWrap w:val="0"/>
            <w:vAlign w:val="center"/>
          </w:tcPr>
          <w:p w14:paraId="11EF7093">
            <w:pPr>
              <w:spacing w:line="360" w:lineRule="auto"/>
              <w:ind w:firstLine="0" w:firstLineChars="0"/>
              <w:jc w:val="center"/>
              <w:rPr>
                <w:rFonts w:hint="eastAsia" w:ascii="宋体" w:hAnsi="宋体" w:eastAsia="宋体" w:cs="宋体"/>
                <w:bCs/>
                <w:color w:val="auto"/>
                <w:sz w:val="24"/>
                <w:szCs w:val="24"/>
                <w:highlight w:val="none"/>
              </w:rPr>
            </w:pPr>
          </w:p>
        </w:tc>
        <w:tc>
          <w:tcPr>
            <w:tcW w:w="1982" w:type="dxa"/>
            <w:noWrap w:val="0"/>
            <w:vAlign w:val="center"/>
          </w:tcPr>
          <w:p w14:paraId="6E411756">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983" w:type="dxa"/>
            <w:noWrap w:val="0"/>
            <w:vAlign w:val="center"/>
          </w:tcPr>
          <w:p w14:paraId="6597511D">
            <w:pPr>
              <w:spacing w:line="240" w:lineRule="auto"/>
              <w:ind w:firstLineChars="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设备参数</w:t>
            </w:r>
          </w:p>
        </w:tc>
        <w:tc>
          <w:tcPr>
            <w:tcW w:w="1520" w:type="dxa"/>
            <w:gridSpan w:val="2"/>
            <w:noWrap w:val="0"/>
            <w:vAlign w:val="center"/>
          </w:tcPr>
          <w:p w14:paraId="42E98C41">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427" w:type="dxa"/>
            <w:noWrap w:val="0"/>
            <w:vAlign w:val="center"/>
          </w:tcPr>
          <w:p w14:paraId="72EABFDA">
            <w:pPr>
              <w:spacing w:line="240" w:lineRule="auto"/>
              <w:ind w:firstLineChars="0"/>
              <w:jc w:val="cente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投标产品</w:t>
            </w: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参数</w:t>
            </w:r>
          </w:p>
        </w:tc>
        <w:tc>
          <w:tcPr>
            <w:tcW w:w="1676" w:type="dxa"/>
            <w:tcBorders>
              <w:right w:val="double" w:color="auto" w:sz="4" w:space="0"/>
            </w:tcBorders>
            <w:noWrap w:val="0"/>
            <w:vAlign w:val="center"/>
          </w:tcPr>
          <w:p w14:paraId="151A5CEA">
            <w:pPr>
              <w:spacing w:line="240" w:lineRule="auto"/>
              <w:ind w:firstLineChars="0"/>
              <w:jc w:val="center"/>
              <w:rPr>
                <w:rFonts w:hint="eastAsia" w:ascii="宋体" w:hAnsi="宋体" w:eastAsia="宋体" w:cs="宋体"/>
                <w:bCs/>
                <w:color w:val="auto"/>
                <w:sz w:val="24"/>
                <w:szCs w:val="24"/>
                <w:highlight w:val="none"/>
              </w:rPr>
            </w:pPr>
          </w:p>
        </w:tc>
      </w:tr>
      <w:tr w14:paraId="6EA62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110" w:type="dxa"/>
            <w:tcBorders>
              <w:left w:val="double" w:color="auto" w:sz="4" w:space="0"/>
            </w:tcBorders>
            <w:noWrap w:val="0"/>
            <w:vAlign w:val="center"/>
          </w:tcPr>
          <w:p w14:paraId="2F99950D">
            <w:pPr>
              <w:spacing w:line="360" w:lineRule="auto"/>
              <w:ind w:firstLine="0" w:firstLineChars="0"/>
              <w:jc w:val="center"/>
              <w:rPr>
                <w:rFonts w:hint="eastAsia" w:ascii="宋体" w:hAnsi="宋体" w:eastAsia="宋体" w:cs="宋体"/>
                <w:bCs/>
                <w:color w:val="auto"/>
                <w:sz w:val="24"/>
                <w:szCs w:val="24"/>
                <w:highlight w:val="none"/>
              </w:rPr>
            </w:pPr>
          </w:p>
        </w:tc>
        <w:tc>
          <w:tcPr>
            <w:tcW w:w="1982" w:type="dxa"/>
            <w:noWrap w:val="0"/>
            <w:vAlign w:val="center"/>
          </w:tcPr>
          <w:p w14:paraId="1F5D2C7A">
            <w:pPr>
              <w:spacing w:line="360" w:lineRule="auto"/>
              <w:ind w:firstLine="0" w:firstLineChars="0"/>
              <w:jc w:val="center"/>
              <w:rPr>
                <w:rFonts w:hint="eastAsia" w:ascii="宋体" w:hAnsi="宋体" w:eastAsia="宋体" w:cs="宋体"/>
                <w:bCs/>
                <w:color w:val="auto"/>
                <w:sz w:val="24"/>
                <w:szCs w:val="24"/>
                <w:highlight w:val="none"/>
              </w:rPr>
            </w:pPr>
          </w:p>
        </w:tc>
        <w:tc>
          <w:tcPr>
            <w:tcW w:w="1983" w:type="dxa"/>
            <w:noWrap w:val="0"/>
            <w:vAlign w:val="center"/>
          </w:tcPr>
          <w:p w14:paraId="1A47F46F">
            <w:pPr>
              <w:spacing w:line="360" w:lineRule="auto"/>
              <w:ind w:firstLine="0" w:firstLineChars="0"/>
              <w:jc w:val="center"/>
              <w:rPr>
                <w:rFonts w:hint="eastAsia" w:ascii="宋体" w:hAnsi="宋体" w:eastAsia="宋体" w:cs="宋体"/>
                <w:bCs/>
                <w:color w:val="auto"/>
                <w:sz w:val="24"/>
                <w:szCs w:val="24"/>
                <w:highlight w:val="none"/>
              </w:rPr>
            </w:pPr>
          </w:p>
        </w:tc>
        <w:tc>
          <w:tcPr>
            <w:tcW w:w="1520" w:type="dxa"/>
            <w:gridSpan w:val="2"/>
            <w:noWrap w:val="0"/>
            <w:vAlign w:val="center"/>
          </w:tcPr>
          <w:p w14:paraId="4C5E0849">
            <w:pPr>
              <w:spacing w:line="360" w:lineRule="auto"/>
              <w:ind w:firstLine="0" w:firstLineChars="0"/>
              <w:jc w:val="center"/>
              <w:rPr>
                <w:rFonts w:hint="eastAsia" w:ascii="宋体" w:hAnsi="宋体" w:eastAsia="宋体" w:cs="宋体"/>
                <w:bCs/>
                <w:color w:val="auto"/>
                <w:sz w:val="24"/>
                <w:szCs w:val="24"/>
                <w:highlight w:val="none"/>
              </w:rPr>
            </w:pPr>
          </w:p>
        </w:tc>
        <w:tc>
          <w:tcPr>
            <w:tcW w:w="1427" w:type="dxa"/>
            <w:noWrap w:val="0"/>
            <w:vAlign w:val="center"/>
          </w:tcPr>
          <w:p w14:paraId="1BF35CE5">
            <w:pPr>
              <w:spacing w:line="360" w:lineRule="auto"/>
              <w:ind w:firstLine="0" w:firstLineChars="0"/>
              <w:jc w:val="center"/>
              <w:rPr>
                <w:rFonts w:hint="eastAsia" w:ascii="宋体" w:hAnsi="宋体" w:eastAsia="宋体" w:cs="宋体"/>
                <w:bCs/>
                <w:color w:val="auto"/>
                <w:sz w:val="24"/>
                <w:szCs w:val="24"/>
                <w:highlight w:val="none"/>
              </w:rPr>
            </w:pPr>
          </w:p>
        </w:tc>
        <w:tc>
          <w:tcPr>
            <w:tcW w:w="1676" w:type="dxa"/>
            <w:tcBorders>
              <w:right w:val="double" w:color="auto" w:sz="4" w:space="0"/>
            </w:tcBorders>
            <w:noWrap w:val="0"/>
            <w:vAlign w:val="center"/>
          </w:tcPr>
          <w:p w14:paraId="184E1DF0">
            <w:pPr>
              <w:spacing w:line="360" w:lineRule="auto"/>
              <w:ind w:firstLine="0" w:firstLineChars="0"/>
              <w:jc w:val="center"/>
              <w:rPr>
                <w:rFonts w:hint="eastAsia" w:ascii="宋体" w:hAnsi="宋体" w:eastAsia="宋体" w:cs="宋体"/>
                <w:bCs/>
                <w:color w:val="auto"/>
                <w:sz w:val="24"/>
                <w:szCs w:val="24"/>
                <w:highlight w:val="none"/>
              </w:rPr>
            </w:pPr>
          </w:p>
        </w:tc>
      </w:tr>
      <w:tr w14:paraId="75455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110" w:type="dxa"/>
            <w:tcBorders>
              <w:left w:val="double" w:color="auto" w:sz="4" w:space="0"/>
            </w:tcBorders>
            <w:noWrap w:val="0"/>
            <w:vAlign w:val="center"/>
          </w:tcPr>
          <w:p w14:paraId="7978E058">
            <w:pPr>
              <w:spacing w:line="360" w:lineRule="auto"/>
              <w:ind w:firstLine="0" w:firstLineChars="0"/>
              <w:jc w:val="center"/>
              <w:rPr>
                <w:rFonts w:hint="eastAsia" w:ascii="宋体" w:hAnsi="宋体" w:eastAsia="宋体" w:cs="宋体"/>
                <w:bCs/>
                <w:color w:val="auto"/>
                <w:sz w:val="24"/>
                <w:szCs w:val="24"/>
                <w:highlight w:val="none"/>
              </w:rPr>
            </w:pPr>
          </w:p>
        </w:tc>
        <w:tc>
          <w:tcPr>
            <w:tcW w:w="1982" w:type="dxa"/>
            <w:noWrap w:val="0"/>
            <w:vAlign w:val="center"/>
          </w:tcPr>
          <w:p w14:paraId="32338616">
            <w:pPr>
              <w:spacing w:line="360" w:lineRule="auto"/>
              <w:ind w:firstLine="0" w:firstLineChars="0"/>
              <w:jc w:val="center"/>
              <w:rPr>
                <w:rFonts w:hint="eastAsia" w:ascii="宋体" w:hAnsi="宋体" w:eastAsia="宋体" w:cs="宋体"/>
                <w:bCs/>
                <w:color w:val="auto"/>
                <w:sz w:val="24"/>
                <w:szCs w:val="24"/>
                <w:highlight w:val="none"/>
              </w:rPr>
            </w:pPr>
          </w:p>
        </w:tc>
        <w:tc>
          <w:tcPr>
            <w:tcW w:w="1983" w:type="dxa"/>
            <w:noWrap w:val="0"/>
            <w:vAlign w:val="center"/>
          </w:tcPr>
          <w:p w14:paraId="11AFA251">
            <w:pPr>
              <w:spacing w:line="360" w:lineRule="auto"/>
              <w:ind w:firstLine="0" w:firstLineChars="0"/>
              <w:jc w:val="center"/>
              <w:rPr>
                <w:rFonts w:hint="eastAsia" w:ascii="宋体" w:hAnsi="宋体" w:eastAsia="宋体" w:cs="宋体"/>
                <w:bCs/>
                <w:color w:val="auto"/>
                <w:sz w:val="24"/>
                <w:szCs w:val="24"/>
                <w:highlight w:val="none"/>
              </w:rPr>
            </w:pPr>
          </w:p>
        </w:tc>
        <w:tc>
          <w:tcPr>
            <w:tcW w:w="1520" w:type="dxa"/>
            <w:gridSpan w:val="2"/>
            <w:noWrap w:val="0"/>
            <w:vAlign w:val="center"/>
          </w:tcPr>
          <w:p w14:paraId="0CC0FE98">
            <w:pPr>
              <w:spacing w:line="360" w:lineRule="auto"/>
              <w:ind w:firstLine="0" w:firstLineChars="0"/>
              <w:jc w:val="center"/>
              <w:rPr>
                <w:rFonts w:hint="eastAsia" w:ascii="宋体" w:hAnsi="宋体" w:eastAsia="宋体" w:cs="宋体"/>
                <w:bCs/>
                <w:color w:val="auto"/>
                <w:sz w:val="24"/>
                <w:szCs w:val="24"/>
                <w:highlight w:val="none"/>
              </w:rPr>
            </w:pPr>
          </w:p>
        </w:tc>
        <w:tc>
          <w:tcPr>
            <w:tcW w:w="1427" w:type="dxa"/>
            <w:noWrap w:val="0"/>
            <w:vAlign w:val="center"/>
          </w:tcPr>
          <w:p w14:paraId="578C62C4">
            <w:pPr>
              <w:spacing w:line="360" w:lineRule="auto"/>
              <w:ind w:firstLine="0" w:firstLineChars="0"/>
              <w:jc w:val="center"/>
              <w:rPr>
                <w:rFonts w:hint="eastAsia" w:ascii="宋体" w:hAnsi="宋体" w:eastAsia="宋体" w:cs="宋体"/>
                <w:bCs/>
                <w:color w:val="auto"/>
                <w:sz w:val="24"/>
                <w:szCs w:val="24"/>
                <w:highlight w:val="none"/>
              </w:rPr>
            </w:pPr>
          </w:p>
        </w:tc>
        <w:tc>
          <w:tcPr>
            <w:tcW w:w="1676" w:type="dxa"/>
            <w:tcBorders>
              <w:right w:val="double" w:color="auto" w:sz="4" w:space="0"/>
            </w:tcBorders>
            <w:noWrap w:val="0"/>
            <w:vAlign w:val="center"/>
          </w:tcPr>
          <w:p w14:paraId="723BE2B4">
            <w:pPr>
              <w:spacing w:line="360" w:lineRule="auto"/>
              <w:ind w:firstLine="0" w:firstLineChars="0"/>
              <w:jc w:val="center"/>
              <w:rPr>
                <w:rFonts w:hint="eastAsia" w:ascii="宋体" w:hAnsi="宋体" w:eastAsia="宋体" w:cs="宋体"/>
                <w:bCs/>
                <w:color w:val="auto"/>
                <w:sz w:val="24"/>
                <w:szCs w:val="24"/>
                <w:highlight w:val="none"/>
              </w:rPr>
            </w:pPr>
          </w:p>
        </w:tc>
      </w:tr>
      <w:tr w14:paraId="1D0E1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110" w:type="dxa"/>
            <w:tcBorders>
              <w:left w:val="double" w:color="auto" w:sz="4" w:space="0"/>
            </w:tcBorders>
            <w:noWrap w:val="0"/>
            <w:vAlign w:val="center"/>
          </w:tcPr>
          <w:p w14:paraId="5561686F">
            <w:pPr>
              <w:spacing w:line="360" w:lineRule="auto"/>
              <w:ind w:firstLine="0" w:firstLineChars="0"/>
              <w:jc w:val="center"/>
              <w:rPr>
                <w:rFonts w:hint="eastAsia" w:ascii="宋体" w:hAnsi="宋体" w:eastAsia="宋体" w:cs="宋体"/>
                <w:bCs/>
                <w:color w:val="auto"/>
                <w:sz w:val="24"/>
                <w:szCs w:val="24"/>
                <w:highlight w:val="none"/>
              </w:rPr>
            </w:pPr>
          </w:p>
        </w:tc>
        <w:tc>
          <w:tcPr>
            <w:tcW w:w="1982" w:type="dxa"/>
            <w:noWrap w:val="0"/>
            <w:vAlign w:val="center"/>
          </w:tcPr>
          <w:p w14:paraId="792B5D5A">
            <w:pPr>
              <w:spacing w:line="360" w:lineRule="auto"/>
              <w:ind w:firstLine="0" w:firstLineChars="0"/>
              <w:jc w:val="center"/>
              <w:rPr>
                <w:rFonts w:hint="eastAsia" w:ascii="宋体" w:hAnsi="宋体" w:eastAsia="宋体" w:cs="宋体"/>
                <w:bCs/>
                <w:color w:val="auto"/>
                <w:sz w:val="24"/>
                <w:szCs w:val="24"/>
                <w:highlight w:val="none"/>
              </w:rPr>
            </w:pPr>
          </w:p>
        </w:tc>
        <w:tc>
          <w:tcPr>
            <w:tcW w:w="1983" w:type="dxa"/>
            <w:noWrap w:val="0"/>
            <w:vAlign w:val="center"/>
          </w:tcPr>
          <w:p w14:paraId="22560F0E">
            <w:pPr>
              <w:spacing w:line="360" w:lineRule="auto"/>
              <w:ind w:firstLine="0" w:firstLineChars="0"/>
              <w:jc w:val="center"/>
              <w:rPr>
                <w:rFonts w:hint="eastAsia" w:ascii="宋体" w:hAnsi="宋体" w:eastAsia="宋体" w:cs="宋体"/>
                <w:bCs/>
                <w:color w:val="auto"/>
                <w:sz w:val="24"/>
                <w:szCs w:val="24"/>
                <w:highlight w:val="none"/>
              </w:rPr>
            </w:pPr>
          </w:p>
        </w:tc>
        <w:tc>
          <w:tcPr>
            <w:tcW w:w="1520" w:type="dxa"/>
            <w:gridSpan w:val="2"/>
            <w:noWrap w:val="0"/>
            <w:vAlign w:val="center"/>
          </w:tcPr>
          <w:p w14:paraId="5682FF49">
            <w:pPr>
              <w:spacing w:line="360" w:lineRule="auto"/>
              <w:ind w:firstLine="0" w:firstLineChars="0"/>
              <w:jc w:val="center"/>
              <w:rPr>
                <w:rFonts w:hint="eastAsia" w:ascii="宋体" w:hAnsi="宋体" w:eastAsia="宋体" w:cs="宋体"/>
                <w:bCs/>
                <w:color w:val="auto"/>
                <w:sz w:val="24"/>
                <w:szCs w:val="24"/>
                <w:highlight w:val="none"/>
              </w:rPr>
            </w:pPr>
          </w:p>
        </w:tc>
        <w:tc>
          <w:tcPr>
            <w:tcW w:w="1427" w:type="dxa"/>
            <w:noWrap w:val="0"/>
            <w:vAlign w:val="center"/>
          </w:tcPr>
          <w:p w14:paraId="4E9BF8AB">
            <w:pPr>
              <w:spacing w:line="360" w:lineRule="auto"/>
              <w:ind w:firstLine="0" w:firstLineChars="0"/>
              <w:jc w:val="center"/>
              <w:rPr>
                <w:rFonts w:hint="eastAsia" w:ascii="宋体" w:hAnsi="宋体" w:eastAsia="宋体" w:cs="宋体"/>
                <w:bCs/>
                <w:color w:val="auto"/>
                <w:sz w:val="24"/>
                <w:szCs w:val="24"/>
                <w:highlight w:val="none"/>
              </w:rPr>
            </w:pPr>
          </w:p>
        </w:tc>
        <w:tc>
          <w:tcPr>
            <w:tcW w:w="1676" w:type="dxa"/>
            <w:tcBorders>
              <w:right w:val="double" w:color="auto" w:sz="4" w:space="0"/>
            </w:tcBorders>
            <w:noWrap w:val="0"/>
            <w:vAlign w:val="center"/>
          </w:tcPr>
          <w:p w14:paraId="45EFE873">
            <w:pPr>
              <w:spacing w:line="360" w:lineRule="auto"/>
              <w:ind w:firstLine="0" w:firstLineChars="0"/>
              <w:jc w:val="center"/>
              <w:rPr>
                <w:rFonts w:hint="eastAsia" w:ascii="宋体" w:hAnsi="宋体" w:eastAsia="宋体" w:cs="宋体"/>
                <w:bCs/>
                <w:color w:val="auto"/>
                <w:sz w:val="24"/>
                <w:szCs w:val="24"/>
                <w:highlight w:val="none"/>
              </w:rPr>
            </w:pPr>
          </w:p>
        </w:tc>
      </w:tr>
      <w:tr w14:paraId="58622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110" w:type="dxa"/>
            <w:tcBorders>
              <w:left w:val="double" w:color="auto" w:sz="4" w:space="0"/>
            </w:tcBorders>
            <w:noWrap w:val="0"/>
            <w:vAlign w:val="center"/>
          </w:tcPr>
          <w:p w14:paraId="4E9A33A7">
            <w:pPr>
              <w:spacing w:line="360" w:lineRule="auto"/>
              <w:ind w:firstLine="0" w:firstLineChars="0"/>
              <w:jc w:val="center"/>
              <w:rPr>
                <w:rFonts w:hint="eastAsia" w:ascii="宋体" w:hAnsi="宋体" w:eastAsia="宋体" w:cs="宋体"/>
                <w:bCs/>
                <w:color w:val="auto"/>
                <w:sz w:val="24"/>
                <w:szCs w:val="24"/>
                <w:highlight w:val="none"/>
              </w:rPr>
            </w:pPr>
          </w:p>
        </w:tc>
        <w:tc>
          <w:tcPr>
            <w:tcW w:w="1982" w:type="dxa"/>
            <w:noWrap w:val="0"/>
            <w:vAlign w:val="center"/>
          </w:tcPr>
          <w:p w14:paraId="1F911C2B">
            <w:pPr>
              <w:spacing w:line="360" w:lineRule="auto"/>
              <w:ind w:firstLine="0" w:firstLineChars="0"/>
              <w:jc w:val="center"/>
              <w:rPr>
                <w:rFonts w:hint="eastAsia" w:ascii="宋体" w:hAnsi="宋体" w:eastAsia="宋体" w:cs="宋体"/>
                <w:bCs/>
                <w:color w:val="auto"/>
                <w:sz w:val="24"/>
                <w:szCs w:val="24"/>
                <w:highlight w:val="none"/>
              </w:rPr>
            </w:pPr>
          </w:p>
        </w:tc>
        <w:tc>
          <w:tcPr>
            <w:tcW w:w="1983" w:type="dxa"/>
            <w:noWrap w:val="0"/>
            <w:vAlign w:val="center"/>
          </w:tcPr>
          <w:p w14:paraId="14FD2C48">
            <w:pPr>
              <w:spacing w:line="360" w:lineRule="auto"/>
              <w:ind w:firstLine="0" w:firstLineChars="0"/>
              <w:jc w:val="center"/>
              <w:rPr>
                <w:rFonts w:hint="eastAsia" w:ascii="宋体" w:hAnsi="宋体" w:eastAsia="宋体" w:cs="宋体"/>
                <w:bCs/>
                <w:color w:val="auto"/>
                <w:sz w:val="24"/>
                <w:szCs w:val="24"/>
                <w:highlight w:val="none"/>
              </w:rPr>
            </w:pPr>
          </w:p>
        </w:tc>
        <w:tc>
          <w:tcPr>
            <w:tcW w:w="1520" w:type="dxa"/>
            <w:gridSpan w:val="2"/>
            <w:noWrap w:val="0"/>
            <w:vAlign w:val="center"/>
          </w:tcPr>
          <w:p w14:paraId="2528FFD5">
            <w:pPr>
              <w:spacing w:line="360" w:lineRule="auto"/>
              <w:ind w:firstLine="0" w:firstLineChars="0"/>
              <w:jc w:val="center"/>
              <w:rPr>
                <w:rFonts w:hint="eastAsia" w:ascii="宋体" w:hAnsi="宋体" w:eastAsia="宋体" w:cs="宋体"/>
                <w:bCs/>
                <w:color w:val="auto"/>
                <w:sz w:val="24"/>
                <w:szCs w:val="24"/>
                <w:highlight w:val="none"/>
              </w:rPr>
            </w:pPr>
          </w:p>
        </w:tc>
        <w:tc>
          <w:tcPr>
            <w:tcW w:w="1427" w:type="dxa"/>
            <w:noWrap w:val="0"/>
            <w:vAlign w:val="center"/>
          </w:tcPr>
          <w:p w14:paraId="48AD253C">
            <w:pPr>
              <w:spacing w:line="360" w:lineRule="auto"/>
              <w:ind w:firstLine="0" w:firstLineChars="0"/>
              <w:jc w:val="center"/>
              <w:rPr>
                <w:rFonts w:hint="eastAsia" w:ascii="宋体" w:hAnsi="宋体" w:eastAsia="宋体" w:cs="宋体"/>
                <w:bCs/>
                <w:color w:val="auto"/>
                <w:sz w:val="24"/>
                <w:szCs w:val="24"/>
                <w:highlight w:val="none"/>
              </w:rPr>
            </w:pPr>
          </w:p>
        </w:tc>
        <w:tc>
          <w:tcPr>
            <w:tcW w:w="1676" w:type="dxa"/>
            <w:tcBorders>
              <w:right w:val="double" w:color="auto" w:sz="4" w:space="0"/>
            </w:tcBorders>
            <w:noWrap w:val="0"/>
            <w:vAlign w:val="center"/>
          </w:tcPr>
          <w:p w14:paraId="6E07A752">
            <w:pPr>
              <w:spacing w:line="360" w:lineRule="auto"/>
              <w:ind w:firstLine="0" w:firstLineChars="0"/>
              <w:jc w:val="center"/>
              <w:rPr>
                <w:rFonts w:hint="eastAsia" w:ascii="宋体" w:hAnsi="宋体" w:eastAsia="宋体" w:cs="宋体"/>
                <w:bCs/>
                <w:color w:val="auto"/>
                <w:sz w:val="24"/>
                <w:szCs w:val="24"/>
                <w:highlight w:val="none"/>
              </w:rPr>
            </w:pPr>
          </w:p>
        </w:tc>
      </w:tr>
      <w:tr w14:paraId="182F1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110" w:type="dxa"/>
            <w:tcBorders>
              <w:left w:val="double" w:color="auto" w:sz="4" w:space="0"/>
            </w:tcBorders>
            <w:noWrap w:val="0"/>
            <w:vAlign w:val="center"/>
          </w:tcPr>
          <w:p w14:paraId="231947F7">
            <w:pPr>
              <w:spacing w:line="360" w:lineRule="auto"/>
              <w:ind w:firstLine="0" w:firstLineChars="0"/>
              <w:jc w:val="center"/>
              <w:rPr>
                <w:rFonts w:hint="eastAsia" w:ascii="宋体" w:hAnsi="宋体" w:eastAsia="宋体" w:cs="宋体"/>
                <w:bCs/>
                <w:color w:val="auto"/>
                <w:sz w:val="24"/>
                <w:szCs w:val="24"/>
                <w:highlight w:val="none"/>
              </w:rPr>
            </w:pPr>
          </w:p>
        </w:tc>
        <w:tc>
          <w:tcPr>
            <w:tcW w:w="1982" w:type="dxa"/>
            <w:noWrap w:val="0"/>
            <w:vAlign w:val="center"/>
          </w:tcPr>
          <w:p w14:paraId="7FCEDC23">
            <w:pPr>
              <w:spacing w:line="360" w:lineRule="auto"/>
              <w:ind w:firstLine="0" w:firstLineChars="0"/>
              <w:jc w:val="center"/>
              <w:rPr>
                <w:rFonts w:hint="eastAsia" w:ascii="宋体" w:hAnsi="宋体" w:eastAsia="宋体" w:cs="宋体"/>
                <w:bCs/>
                <w:color w:val="auto"/>
                <w:sz w:val="24"/>
                <w:szCs w:val="24"/>
                <w:highlight w:val="none"/>
              </w:rPr>
            </w:pPr>
          </w:p>
        </w:tc>
        <w:tc>
          <w:tcPr>
            <w:tcW w:w="1983" w:type="dxa"/>
            <w:noWrap w:val="0"/>
            <w:vAlign w:val="center"/>
          </w:tcPr>
          <w:p w14:paraId="383F23E8">
            <w:pPr>
              <w:spacing w:line="360" w:lineRule="auto"/>
              <w:ind w:firstLine="0" w:firstLineChars="0"/>
              <w:jc w:val="center"/>
              <w:rPr>
                <w:rFonts w:hint="eastAsia" w:ascii="宋体" w:hAnsi="宋体" w:eastAsia="宋体" w:cs="宋体"/>
                <w:bCs/>
                <w:color w:val="auto"/>
                <w:sz w:val="24"/>
                <w:szCs w:val="24"/>
                <w:highlight w:val="none"/>
              </w:rPr>
            </w:pPr>
          </w:p>
        </w:tc>
        <w:tc>
          <w:tcPr>
            <w:tcW w:w="1520" w:type="dxa"/>
            <w:gridSpan w:val="2"/>
            <w:noWrap w:val="0"/>
            <w:vAlign w:val="center"/>
          </w:tcPr>
          <w:p w14:paraId="6050975F">
            <w:pPr>
              <w:spacing w:line="360" w:lineRule="auto"/>
              <w:ind w:firstLine="0" w:firstLineChars="0"/>
              <w:jc w:val="center"/>
              <w:rPr>
                <w:rFonts w:hint="eastAsia" w:ascii="宋体" w:hAnsi="宋体" w:eastAsia="宋体" w:cs="宋体"/>
                <w:bCs/>
                <w:color w:val="auto"/>
                <w:sz w:val="24"/>
                <w:szCs w:val="24"/>
                <w:highlight w:val="none"/>
              </w:rPr>
            </w:pPr>
          </w:p>
        </w:tc>
        <w:tc>
          <w:tcPr>
            <w:tcW w:w="1427" w:type="dxa"/>
            <w:noWrap w:val="0"/>
            <w:vAlign w:val="center"/>
          </w:tcPr>
          <w:p w14:paraId="6EDF0FFA">
            <w:pPr>
              <w:spacing w:line="360" w:lineRule="auto"/>
              <w:ind w:firstLine="0" w:firstLineChars="0"/>
              <w:jc w:val="center"/>
              <w:rPr>
                <w:rFonts w:hint="eastAsia" w:ascii="宋体" w:hAnsi="宋体" w:eastAsia="宋体" w:cs="宋体"/>
                <w:bCs/>
                <w:color w:val="auto"/>
                <w:sz w:val="24"/>
                <w:szCs w:val="24"/>
                <w:highlight w:val="none"/>
              </w:rPr>
            </w:pPr>
          </w:p>
        </w:tc>
        <w:tc>
          <w:tcPr>
            <w:tcW w:w="1676" w:type="dxa"/>
            <w:tcBorders>
              <w:right w:val="double" w:color="auto" w:sz="4" w:space="0"/>
            </w:tcBorders>
            <w:noWrap w:val="0"/>
            <w:vAlign w:val="center"/>
          </w:tcPr>
          <w:p w14:paraId="751DE4D0">
            <w:pPr>
              <w:spacing w:line="360" w:lineRule="auto"/>
              <w:ind w:firstLine="0" w:firstLineChars="0"/>
              <w:jc w:val="center"/>
              <w:rPr>
                <w:rFonts w:hint="eastAsia" w:ascii="宋体" w:hAnsi="宋体" w:eastAsia="宋体" w:cs="宋体"/>
                <w:bCs/>
                <w:color w:val="auto"/>
                <w:sz w:val="24"/>
                <w:szCs w:val="24"/>
                <w:highlight w:val="none"/>
              </w:rPr>
            </w:pPr>
          </w:p>
        </w:tc>
      </w:tr>
      <w:tr w14:paraId="2323D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110" w:type="dxa"/>
            <w:tcBorders>
              <w:left w:val="double" w:color="auto" w:sz="4" w:space="0"/>
            </w:tcBorders>
            <w:noWrap w:val="0"/>
            <w:vAlign w:val="center"/>
          </w:tcPr>
          <w:p w14:paraId="2798459C">
            <w:pPr>
              <w:spacing w:line="360" w:lineRule="auto"/>
              <w:ind w:firstLine="0" w:firstLineChars="0"/>
              <w:jc w:val="center"/>
              <w:rPr>
                <w:rFonts w:hint="eastAsia" w:ascii="宋体" w:hAnsi="宋体" w:eastAsia="宋体" w:cs="宋体"/>
                <w:bCs/>
                <w:color w:val="auto"/>
                <w:sz w:val="24"/>
                <w:szCs w:val="24"/>
                <w:highlight w:val="none"/>
              </w:rPr>
            </w:pPr>
          </w:p>
        </w:tc>
        <w:tc>
          <w:tcPr>
            <w:tcW w:w="1982" w:type="dxa"/>
            <w:noWrap w:val="0"/>
            <w:vAlign w:val="center"/>
          </w:tcPr>
          <w:p w14:paraId="53CB1E74">
            <w:pPr>
              <w:spacing w:line="360" w:lineRule="auto"/>
              <w:ind w:firstLine="0" w:firstLineChars="0"/>
              <w:jc w:val="center"/>
              <w:rPr>
                <w:rFonts w:hint="eastAsia" w:ascii="宋体" w:hAnsi="宋体" w:eastAsia="宋体" w:cs="宋体"/>
                <w:bCs/>
                <w:color w:val="auto"/>
                <w:sz w:val="24"/>
                <w:szCs w:val="24"/>
                <w:highlight w:val="none"/>
              </w:rPr>
            </w:pPr>
          </w:p>
        </w:tc>
        <w:tc>
          <w:tcPr>
            <w:tcW w:w="1983" w:type="dxa"/>
            <w:noWrap w:val="0"/>
            <w:vAlign w:val="center"/>
          </w:tcPr>
          <w:p w14:paraId="3E1696DD">
            <w:pPr>
              <w:spacing w:line="360" w:lineRule="auto"/>
              <w:ind w:firstLine="0" w:firstLineChars="0"/>
              <w:jc w:val="center"/>
              <w:rPr>
                <w:rFonts w:hint="eastAsia" w:ascii="宋体" w:hAnsi="宋体" w:eastAsia="宋体" w:cs="宋体"/>
                <w:bCs/>
                <w:color w:val="auto"/>
                <w:sz w:val="24"/>
                <w:szCs w:val="24"/>
                <w:highlight w:val="none"/>
              </w:rPr>
            </w:pPr>
          </w:p>
        </w:tc>
        <w:tc>
          <w:tcPr>
            <w:tcW w:w="1520" w:type="dxa"/>
            <w:gridSpan w:val="2"/>
            <w:noWrap w:val="0"/>
            <w:vAlign w:val="center"/>
          </w:tcPr>
          <w:p w14:paraId="42E712AD">
            <w:pPr>
              <w:spacing w:line="360" w:lineRule="auto"/>
              <w:ind w:firstLine="0" w:firstLineChars="0"/>
              <w:jc w:val="center"/>
              <w:rPr>
                <w:rFonts w:hint="eastAsia" w:ascii="宋体" w:hAnsi="宋体" w:eastAsia="宋体" w:cs="宋体"/>
                <w:bCs/>
                <w:color w:val="auto"/>
                <w:sz w:val="24"/>
                <w:szCs w:val="24"/>
                <w:highlight w:val="none"/>
              </w:rPr>
            </w:pPr>
          </w:p>
        </w:tc>
        <w:tc>
          <w:tcPr>
            <w:tcW w:w="1427" w:type="dxa"/>
            <w:noWrap w:val="0"/>
            <w:vAlign w:val="center"/>
          </w:tcPr>
          <w:p w14:paraId="75C2A5B0">
            <w:pPr>
              <w:spacing w:line="360" w:lineRule="auto"/>
              <w:ind w:firstLine="0" w:firstLineChars="0"/>
              <w:jc w:val="center"/>
              <w:rPr>
                <w:rFonts w:hint="eastAsia" w:ascii="宋体" w:hAnsi="宋体" w:eastAsia="宋体" w:cs="宋体"/>
                <w:bCs/>
                <w:color w:val="auto"/>
                <w:sz w:val="24"/>
                <w:szCs w:val="24"/>
                <w:highlight w:val="none"/>
              </w:rPr>
            </w:pPr>
          </w:p>
        </w:tc>
        <w:tc>
          <w:tcPr>
            <w:tcW w:w="1676" w:type="dxa"/>
            <w:tcBorders>
              <w:right w:val="double" w:color="auto" w:sz="4" w:space="0"/>
            </w:tcBorders>
            <w:noWrap w:val="0"/>
            <w:vAlign w:val="center"/>
          </w:tcPr>
          <w:p w14:paraId="2D87BAEC">
            <w:pPr>
              <w:spacing w:line="360" w:lineRule="auto"/>
              <w:ind w:firstLine="0" w:firstLineChars="0"/>
              <w:jc w:val="center"/>
              <w:rPr>
                <w:rFonts w:hint="eastAsia" w:ascii="宋体" w:hAnsi="宋体" w:eastAsia="宋体" w:cs="宋体"/>
                <w:bCs/>
                <w:color w:val="auto"/>
                <w:sz w:val="24"/>
                <w:szCs w:val="24"/>
                <w:highlight w:val="none"/>
              </w:rPr>
            </w:pPr>
          </w:p>
        </w:tc>
      </w:tr>
      <w:tr w14:paraId="6DB21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110" w:type="dxa"/>
            <w:tcBorders>
              <w:left w:val="double" w:color="auto" w:sz="4" w:space="0"/>
            </w:tcBorders>
            <w:noWrap w:val="0"/>
            <w:vAlign w:val="center"/>
          </w:tcPr>
          <w:p w14:paraId="060E36CB">
            <w:pPr>
              <w:spacing w:line="360" w:lineRule="auto"/>
              <w:ind w:firstLine="0" w:firstLineChars="0"/>
              <w:jc w:val="center"/>
              <w:rPr>
                <w:rFonts w:hint="eastAsia" w:ascii="宋体" w:hAnsi="宋体" w:eastAsia="宋体" w:cs="宋体"/>
                <w:bCs/>
                <w:color w:val="auto"/>
                <w:sz w:val="24"/>
                <w:szCs w:val="24"/>
                <w:highlight w:val="none"/>
              </w:rPr>
            </w:pPr>
          </w:p>
        </w:tc>
        <w:tc>
          <w:tcPr>
            <w:tcW w:w="1982" w:type="dxa"/>
            <w:noWrap w:val="0"/>
            <w:vAlign w:val="center"/>
          </w:tcPr>
          <w:p w14:paraId="20106C89">
            <w:pPr>
              <w:spacing w:line="360" w:lineRule="auto"/>
              <w:ind w:firstLine="0" w:firstLineChars="0"/>
              <w:jc w:val="center"/>
              <w:rPr>
                <w:rFonts w:hint="eastAsia" w:ascii="宋体" w:hAnsi="宋体" w:eastAsia="宋体" w:cs="宋体"/>
                <w:bCs/>
                <w:color w:val="auto"/>
                <w:sz w:val="24"/>
                <w:szCs w:val="24"/>
                <w:highlight w:val="none"/>
              </w:rPr>
            </w:pPr>
          </w:p>
        </w:tc>
        <w:tc>
          <w:tcPr>
            <w:tcW w:w="1983" w:type="dxa"/>
            <w:noWrap w:val="0"/>
            <w:vAlign w:val="center"/>
          </w:tcPr>
          <w:p w14:paraId="61314904">
            <w:pPr>
              <w:spacing w:line="360" w:lineRule="auto"/>
              <w:ind w:firstLine="0" w:firstLineChars="0"/>
              <w:jc w:val="center"/>
              <w:rPr>
                <w:rFonts w:hint="eastAsia" w:ascii="宋体" w:hAnsi="宋体" w:eastAsia="宋体" w:cs="宋体"/>
                <w:bCs/>
                <w:color w:val="auto"/>
                <w:sz w:val="24"/>
                <w:szCs w:val="24"/>
                <w:highlight w:val="none"/>
              </w:rPr>
            </w:pPr>
          </w:p>
        </w:tc>
        <w:tc>
          <w:tcPr>
            <w:tcW w:w="1520" w:type="dxa"/>
            <w:gridSpan w:val="2"/>
            <w:noWrap w:val="0"/>
            <w:vAlign w:val="center"/>
          </w:tcPr>
          <w:p w14:paraId="7FE91786">
            <w:pPr>
              <w:spacing w:line="360" w:lineRule="auto"/>
              <w:ind w:firstLine="0" w:firstLineChars="0"/>
              <w:jc w:val="center"/>
              <w:rPr>
                <w:rFonts w:hint="eastAsia" w:ascii="宋体" w:hAnsi="宋体" w:eastAsia="宋体" w:cs="宋体"/>
                <w:bCs/>
                <w:color w:val="auto"/>
                <w:sz w:val="24"/>
                <w:szCs w:val="24"/>
                <w:highlight w:val="none"/>
              </w:rPr>
            </w:pPr>
          </w:p>
        </w:tc>
        <w:tc>
          <w:tcPr>
            <w:tcW w:w="1427" w:type="dxa"/>
            <w:noWrap w:val="0"/>
            <w:vAlign w:val="center"/>
          </w:tcPr>
          <w:p w14:paraId="019C0453">
            <w:pPr>
              <w:spacing w:line="360" w:lineRule="auto"/>
              <w:ind w:firstLine="0" w:firstLineChars="0"/>
              <w:jc w:val="center"/>
              <w:rPr>
                <w:rFonts w:hint="eastAsia" w:ascii="宋体" w:hAnsi="宋体" w:eastAsia="宋体" w:cs="宋体"/>
                <w:bCs/>
                <w:color w:val="auto"/>
                <w:sz w:val="24"/>
                <w:szCs w:val="24"/>
                <w:highlight w:val="none"/>
              </w:rPr>
            </w:pPr>
          </w:p>
        </w:tc>
        <w:tc>
          <w:tcPr>
            <w:tcW w:w="1676" w:type="dxa"/>
            <w:tcBorders>
              <w:right w:val="double" w:color="auto" w:sz="4" w:space="0"/>
            </w:tcBorders>
            <w:noWrap w:val="0"/>
            <w:vAlign w:val="center"/>
          </w:tcPr>
          <w:p w14:paraId="0F286FA4">
            <w:pPr>
              <w:spacing w:line="360" w:lineRule="auto"/>
              <w:ind w:firstLine="0" w:firstLineChars="0"/>
              <w:jc w:val="center"/>
              <w:rPr>
                <w:rFonts w:hint="eastAsia" w:ascii="宋体" w:hAnsi="宋体" w:eastAsia="宋体" w:cs="宋体"/>
                <w:bCs/>
                <w:color w:val="auto"/>
                <w:sz w:val="24"/>
                <w:szCs w:val="24"/>
                <w:highlight w:val="none"/>
              </w:rPr>
            </w:pPr>
          </w:p>
        </w:tc>
      </w:tr>
      <w:tr w14:paraId="19DD5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110" w:type="dxa"/>
            <w:tcBorders>
              <w:left w:val="double" w:color="auto" w:sz="4" w:space="0"/>
            </w:tcBorders>
            <w:noWrap w:val="0"/>
            <w:vAlign w:val="center"/>
          </w:tcPr>
          <w:p w14:paraId="4BEF06EA">
            <w:pPr>
              <w:spacing w:line="360" w:lineRule="auto"/>
              <w:ind w:firstLine="0" w:firstLineChars="0"/>
              <w:jc w:val="center"/>
              <w:rPr>
                <w:rFonts w:hint="eastAsia" w:ascii="宋体" w:hAnsi="宋体" w:eastAsia="宋体" w:cs="宋体"/>
                <w:bCs/>
                <w:color w:val="auto"/>
                <w:sz w:val="24"/>
                <w:szCs w:val="24"/>
                <w:highlight w:val="none"/>
              </w:rPr>
            </w:pPr>
          </w:p>
        </w:tc>
        <w:tc>
          <w:tcPr>
            <w:tcW w:w="1982" w:type="dxa"/>
            <w:noWrap w:val="0"/>
            <w:vAlign w:val="center"/>
          </w:tcPr>
          <w:p w14:paraId="330DDDE1">
            <w:pPr>
              <w:spacing w:line="360" w:lineRule="auto"/>
              <w:ind w:firstLine="0" w:firstLineChars="0"/>
              <w:jc w:val="center"/>
              <w:rPr>
                <w:rFonts w:hint="eastAsia" w:ascii="宋体" w:hAnsi="宋体" w:eastAsia="宋体" w:cs="宋体"/>
                <w:bCs/>
                <w:color w:val="auto"/>
                <w:sz w:val="24"/>
                <w:szCs w:val="24"/>
                <w:highlight w:val="none"/>
              </w:rPr>
            </w:pPr>
          </w:p>
        </w:tc>
        <w:tc>
          <w:tcPr>
            <w:tcW w:w="1983" w:type="dxa"/>
            <w:noWrap w:val="0"/>
            <w:vAlign w:val="center"/>
          </w:tcPr>
          <w:p w14:paraId="5BEA6361">
            <w:pPr>
              <w:spacing w:line="360" w:lineRule="auto"/>
              <w:ind w:firstLine="0" w:firstLineChars="0"/>
              <w:jc w:val="center"/>
              <w:rPr>
                <w:rFonts w:hint="eastAsia" w:ascii="宋体" w:hAnsi="宋体" w:eastAsia="宋体" w:cs="宋体"/>
                <w:bCs/>
                <w:color w:val="auto"/>
                <w:sz w:val="24"/>
                <w:szCs w:val="24"/>
                <w:highlight w:val="none"/>
              </w:rPr>
            </w:pPr>
          </w:p>
        </w:tc>
        <w:tc>
          <w:tcPr>
            <w:tcW w:w="1520" w:type="dxa"/>
            <w:gridSpan w:val="2"/>
            <w:noWrap w:val="0"/>
            <w:vAlign w:val="center"/>
          </w:tcPr>
          <w:p w14:paraId="732A5007">
            <w:pPr>
              <w:spacing w:line="360" w:lineRule="auto"/>
              <w:ind w:firstLine="0" w:firstLineChars="0"/>
              <w:jc w:val="center"/>
              <w:rPr>
                <w:rFonts w:hint="eastAsia" w:ascii="宋体" w:hAnsi="宋体" w:eastAsia="宋体" w:cs="宋体"/>
                <w:bCs/>
                <w:color w:val="auto"/>
                <w:sz w:val="24"/>
                <w:szCs w:val="24"/>
                <w:highlight w:val="none"/>
              </w:rPr>
            </w:pPr>
          </w:p>
        </w:tc>
        <w:tc>
          <w:tcPr>
            <w:tcW w:w="1427" w:type="dxa"/>
            <w:noWrap w:val="0"/>
            <w:vAlign w:val="center"/>
          </w:tcPr>
          <w:p w14:paraId="7DB09F70">
            <w:pPr>
              <w:spacing w:line="360" w:lineRule="auto"/>
              <w:ind w:firstLine="0" w:firstLineChars="0"/>
              <w:jc w:val="center"/>
              <w:rPr>
                <w:rFonts w:hint="eastAsia" w:ascii="宋体" w:hAnsi="宋体" w:eastAsia="宋体" w:cs="宋体"/>
                <w:bCs/>
                <w:color w:val="auto"/>
                <w:sz w:val="24"/>
                <w:szCs w:val="24"/>
                <w:highlight w:val="none"/>
              </w:rPr>
            </w:pPr>
          </w:p>
        </w:tc>
        <w:tc>
          <w:tcPr>
            <w:tcW w:w="1676" w:type="dxa"/>
            <w:tcBorders>
              <w:right w:val="double" w:color="auto" w:sz="4" w:space="0"/>
            </w:tcBorders>
            <w:noWrap w:val="0"/>
            <w:vAlign w:val="center"/>
          </w:tcPr>
          <w:p w14:paraId="5A311CFB">
            <w:pPr>
              <w:spacing w:line="360" w:lineRule="auto"/>
              <w:ind w:firstLine="0" w:firstLineChars="0"/>
              <w:jc w:val="center"/>
              <w:rPr>
                <w:rFonts w:hint="eastAsia" w:ascii="宋体" w:hAnsi="宋体" w:eastAsia="宋体" w:cs="宋体"/>
                <w:bCs/>
                <w:color w:val="auto"/>
                <w:sz w:val="24"/>
                <w:szCs w:val="24"/>
                <w:highlight w:val="none"/>
              </w:rPr>
            </w:pPr>
          </w:p>
        </w:tc>
      </w:tr>
      <w:tr w14:paraId="5BD82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110" w:type="dxa"/>
            <w:tcBorders>
              <w:left w:val="double" w:color="auto" w:sz="4" w:space="0"/>
            </w:tcBorders>
            <w:noWrap w:val="0"/>
            <w:vAlign w:val="center"/>
          </w:tcPr>
          <w:p w14:paraId="35B7AD9F">
            <w:pPr>
              <w:spacing w:line="360" w:lineRule="auto"/>
              <w:ind w:firstLine="0" w:firstLineChars="0"/>
              <w:jc w:val="center"/>
              <w:rPr>
                <w:rFonts w:hint="eastAsia" w:ascii="宋体" w:hAnsi="宋体" w:eastAsia="宋体" w:cs="宋体"/>
                <w:bCs/>
                <w:color w:val="auto"/>
                <w:sz w:val="24"/>
                <w:szCs w:val="24"/>
                <w:highlight w:val="none"/>
              </w:rPr>
            </w:pPr>
          </w:p>
        </w:tc>
        <w:tc>
          <w:tcPr>
            <w:tcW w:w="1982" w:type="dxa"/>
            <w:noWrap w:val="0"/>
            <w:vAlign w:val="center"/>
          </w:tcPr>
          <w:p w14:paraId="427ABEC5">
            <w:pPr>
              <w:spacing w:line="360" w:lineRule="auto"/>
              <w:ind w:firstLine="0" w:firstLineChars="0"/>
              <w:jc w:val="center"/>
              <w:rPr>
                <w:rFonts w:hint="eastAsia" w:ascii="宋体" w:hAnsi="宋体" w:eastAsia="宋体" w:cs="宋体"/>
                <w:bCs/>
                <w:color w:val="auto"/>
                <w:sz w:val="24"/>
                <w:szCs w:val="24"/>
                <w:highlight w:val="none"/>
              </w:rPr>
            </w:pPr>
          </w:p>
        </w:tc>
        <w:tc>
          <w:tcPr>
            <w:tcW w:w="1983" w:type="dxa"/>
            <w:noWrap w:val="0"/>
            <w:vAlign w:val="center"/>
          </w:tcPr>
          <w:p w14:paraId="696E4065">
            <w:pPr>
              <w:spacing w:line="360" w:lineRule="auto"/>
              <w:ind w:firstLine="0" w:firstLineChars="0"/>
              <w:jc w:val="center"/>
              <w:rPr>
                <w:rFonts w:hint="eastAsia" w:ascii="宋体" w:hAnsi="宋体" w:eastAsia="宋体" w:cs="宋体"/>
                <w:bCs/>
                <w:color w:val="auto"/>
                <w:sz w:val="24"/>
                <w:szCs w:val="24"/>
                <w:highlight w:val="none"/>
              </w:rPr>
            </w:pPr>
          </w:p>
        </w:tc>
        <w:tc>
          <w:tcPr>
            <w:tcW w:w="1520" w:type="dxa"/>
            <w:gridSpan w:val="2"/>
            <w:noWrap w:val="0"/>
            <w:vAlign w:val="center"/>
          </w:tcPr>
          <w:p w14:paraId="0C36176B">
            <w:pPr>
              <w:spacing w:line="360" w:lineRule="auto"/>
              <w:ind w:firstLine="0" w:firstLineChars="0"/>
              <w:jc w:val="center"/>
              <w:rPr>
                <w:rFonts w:hint="eastAsia" w:ascii="宋体" w:hAnsi="宋体" w:eastAsia="宋体" w:cs="宋体"/>
                <w:bCs/>
                <w:color w:val="auto"/>
                <w:sz w:val="24"/>
                <w:szCs w:val="24"/>
                <w:highlight w:val="none"/>
              </w:rPr>
            </w:pPr>
          </w:p>
        </w:tc>
        <w:tc>
          <w:tcPr>
            <w:tcW w:w="1427" w:type="dxa"/>
            <w:noWrap w:val="0"/>
            <w:vAlign w:val="center"/>
          </w:tcPr>
          <w:p w14:paraId="414E4918">
            <w:pPr>
              <w:spacing w:line="360" w:lineRule="auto"/>
              <w:ind w:firstLine="0" w:firstLineChars="0"/>
              <w:jc w:val="center"/>
              <w:rPr>
                <w:rFonts w:hint="eastAsia" w:ascii="宋体" w:hAnsi="宋体" w:eastAsia="宋体" w:cs="宋体"/>
                <w:bCs/>
                <w:color w:val="auto"/>
                <w:sz w:val="24"/>
                <w:szCs w:val="24"/>
                <w:highlight w:val="none"/>
              </w:rPr>
            </w:pPr>
          </w:p>
        </w:tc>
        <w:tc>
          <w:tcPr>
            <w:tcW w:w="1676" w:type="dxa"/>
            <w:tcBorders>
              <w:right w:val="double" w:color="auto" w:sz="4" w:space="0"/>
            </w:tcBorders>
            <w:noWrap w:val="0"/>
            <w:vAlign w:val="center"/>
          </w:tcPr>
          <w:p w14:paraId="606EBE3F">
            <w:pPr>
              <w:spacing w:line="360" w:lineRule="auto"/>
              <w:ind w:firstLine="0" w:firstLineChars="0"/>
              <w:jc w:val="center"/>
              <w:rPr>
                <w:rFonts w:hint="eastAsia" w:ascii="宋体" w:hAnsi="宋体" w:eastAsia="宋体" w:cs="宋体"/>
                <w:bCs/>
                <w:color w:val="auto"/>
                <w:sz w:val="24"/>
                <w:szCs w:val="24"/>
                <w:highlight w:val="none"/>
              </w:rPr>
            </w:pPr>
          </w:p>
        </w:tc>
      </w:tr>
      <w:tr w14:paraId="7CC80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110" w:type="dxa"/>
            <w:tcBorders>
              <w:left w:val="double" w:color="auto" w:sz="4" w:space="0"/>
              <w:bottom w:val="double" w:color="auto" w:sz="4" w:space="0"/>
            </w:tcBorders>
            <w:noWrap w:val="0"/>
            <w:vAlign w:val="center"/>
          </w:tcPr>
          <w:p w14:paraId="5E5F0F4E">
            <w:pPr>
              <w:spacing w:line="360" w:lineRule="auto"/>
              <w:ind w:firstLine="0" w:firstLineChars="0"/>
              <w:jc w:val="center"/>
              <w:rPr>
                <w:rFonts w:hint="eastAsia" w:ascii="宋体" w:hAnsi="宋体" w:eastAsia="宋体" w:cs="宋体"/>
                <w:bCs/>
                <w:color w:val="auto"/>
                <w:sz w:val="24"/>
                <w:szCs w:val="24"/>
                <w:highlight w:val="none"/>
              </w:rPr>
            </w:pPr>
          </w:p>
        </w:tc>
        <w:tc>
          <w:tcPr>
            <w:tcW w:w="1982" w:type="dxa"/>
            <w:tcBorders>
              <w:bottom w:val="double" w:color="auto" w:sz="4" w:space="0"/>
            </w:tcBorders>
            <w:noWrap w:val="0"/>
            <w:vAlign w:val="center"/>
          </w:tcPr>
          <w:p w14:paraId="2AF80BC2">
            <w:pPr>
              <w:spacing w:line="360" w:lineRule="auto"/>
              <w:ind w:firstLine="0" w:firstLineChars="0"/>
              <w:jc w:val="center"/>
              <w:rPr>
                <w:rFonts w:hint="eastAsia" w:ascii="宋体" w:hAnsi="宋体" w:eastAsia="宋体" w:cs="宋体"/>
                <w:bCs/>
                <w:color w:val="auto"/>
                <w:sz w:val="24"/>
                <w:szCs w:val="24"/>
                <w:highlight w:val="none"/>
              </w:rPr>
            </w:pPr>
          </w:p>
        </w:tc>
        <w:tc>
          <w:tcPr>
            <w:tcW w:w="1983" w:type="dxa"/>
            <w:tcBorders>
              <w:bottom w:val="double" w:color="auto" w:sz="4" w:space="0"/>
            </w:tcBorders>
            <w:noWrap w:val="0"/>
            <w:vAlign w:val="center"/>
          </w:tcPr>
          <w:p w14:paraId="07459214">
            <w:pPr>
              <w:spacing w:line="360" w:lineRule="auto"/>
              <w:ind w:firstLine="0" w:firstLineChars="0"/>
              <w:jc w:val="center"/>
              <w:rPr>
                <w:rFonts w:hint="eastAsia" w:ascii="宋体" w:hAnsi="宋体" w:eastAsia="宋体" w:cs="宋体"/>
                <w:bCs/>
                <w:color w:val="auto"/>
                <w:sz w:val="24"/>
                <w:szCs w:val="24"/>
                <w:highlight w:val="none"/>
              </w:rPr>
            </w:pPr>
          </w:p>
        </w:tc>
        <w:tc>
          <w:tcPr>
            <w:tcW w:w="1472" w:type="dxa"/>
            <w:tcBorders>
              <w:bottom w:val="double" w:color="auto" w:sz="4" w:space="0"/>
            </w:tcBorders>
            <w:noWrap w:val="0"/>
            <w:vAlign w:val="center"/>
          </w:tcPr>
          <w:p w14:paraId="3E496A8C">
            <w:pPr>
              <w:spacing w:line="360" w:lineRule="auto"/>
              <w:ind w:firstLine="0" w:firstLineChars="0"/>
              <w:jc w:val="center"/>
              <w:rPr>
                <w:rFonts w:hint="eastAsia" w:ascii="宋体" w:hAnsi="宋体" w:eastAsia="宋体" w:cs="宋体"/>
                <w:bCs/>
                <w:color w:val="auto"/>
                <w:sz w:val="24"/>
                <w:szCs w:val="24"/>
                <w:highlight w:val="none"/>
              </w:rPr>
            </w:pPr>
          </w:p>
        </w:tc>
        <w:tc>
          <w:tcPr>
            <w:tcW w:w="1475" w:type="dxa"/>
            <w:gridSpan w:val="2"/>
            <w:tcBorders>
              <w:bottom w:val="double" w:color="auto" w:sz="4" w:space="0"/>
            </w:tcBorders>
            <w:noWrap w:val="0"/>
            <w:vAlign w:val="center"/>
          </w:tcPr>
          <w:p w14:paraId="1601CBD4">
            <w:pPr>
              <w:spacing w:line="360" w:lineRule="auto"/>
              <w:ind w:firstLine="0" w:firstLineChars="0"/>
              <w:jc w:val="center"/>
              <w:rPr>
                <w:rFonts w:hint="eastAsia" w:ascii="宋体" w:hAnsi="宋体" w:eastAsia="宋体" w:cs="宋体"/>
                <w:bCs/>
                <w:color w:val="auto"/>
                <w:sz w:val="24"/>
                <w:szCs w:val="24"/>
                <w:highlight w:val="none"/>
              </w:rPr>
            </w:pPr>
          </w:p>
        </w:tc>
        <w:tc>
          <w:tcPr>
            <w:tcW w:w="1676" w:type="dxa"/>
            <w:tcBorders>
              <w:bottom w:val="double" w:color="auto" w:sz="4" w:space="0"/>
              <w:right w:val="double" w:color="auto" w:sz="4" w:space="0"/>
            </w:tcBorders>
            <w:noWrap w:val="0"/>
            <w:vAlign w:val="center"/>
          </w:tcPr>
          <w:p w14:paraId="7F318D83">
            <w:pPr>
              <w:spacing w:line="360" w:lineRule="auto"/>
              <w:ind w:firstLine="0" w:firstLineChars="0"/>
              <w:jc w:val="center"/>
              <w:rPr>
                <w:rFonts w:hint="eastAsia" w:ascii="宋体" w:hAnsi="宋体" w:eastAsia="宋体" w:cs="宋体"/>
                <w:bCs/>
                <w:color w:val="auto"/>
                <w:sz w:val="24"/>
                <w:szCs w:val="24"/>
                <w:highlight w:val="none"/>
              </w:rPr>
            </w:pPr>
          </w:p>
        </w:tc>
      </w:tr>
    </w:tbl>
    <w:p w14:paraId="28BD1288">
      <w:pPr>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 1.“偏差说明”一栏必须写明偏差情况“正偏离、符合、负偏离”，并根据</w:t>
      </w:r>
      <w:r>
        <w:rPr>
          <w:rFonts w:hint="eastAsia" w:ascii="宋体" w:hAnsi="宋体" w:eastAsia="宋体" w:cs="宋体"/>
          <w:color w:val="auto"/>
          <w:sz w:val="24"/>
          <w:szCs w:val="24"/>
          <w:highlight w:val="none"/>
          <w:lang w:val="en-US" w:eastAsia="zh-CN"/>
        </w:rPr>
        <w:t>技术</w:t>
      </w:r>
      <w:r>
        <w:rPr>
          <w:rFonts w:hint="eastAsia" w:ascii="宋体" w:hAnsi="宋体" w:eastAsia="宋体" w:cs="宋体"/>
          <w:color w:val="auto"/>
          <w:sz w:val="24"/>
          <w:szCs w:val="24"/>
          <w:highlight w:val="none"/>
        </w:rPr>
        <w:t>参数在相应的技术支持文件上做出醒目标注。</w:t>
      </w:r>
    </w:p>
    <w:p w14:paraId="17091355">
      <w:pPr>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2.提供货物为正规厂家生产的原装正品的承诺</w:t>
      </w:r>
      <w:bookmarkStart w:id="115" w:name="OLE_LINK9"/>
      <w:r>
        <w:rPr>
          <w:rFonts w:hint="eastAsia" w:ascii="宋体" w:hAnsi="宋体" w:eastAsia="宋体" w:cs="宋体"/>
          <w:color w:val="auto"/>
          <w:sz w:val="24"/>
          <w:szCs w:val="24"/>
          <w:highlight w:val="none"/>
        </w:rPr>
        <w:t>（若有）</w:t>
      </w:r>
      <w:bookmarkEnd w:id="115"/>
      <w:r>
        <w:rPr>
          <w:rFonts w:hint="eastAsia" w:ascii="宋体" w:hAnsi="宋体" w:eastAsia="宋体" w:cs="宋体"/>
          <w:color w:val="auto"/>
          <w:sz w:val="24"/>
          <w:szCs w:val="24"/>
          <w:highlight w:val="none"/>
        </w:rPr>
        <w:t>。</w:t>
      </w:r>
    </w:p>
    <w:p w14:paraId="0AE955BB">
      <w:pPr>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3.所投合格产品检测报告、彩页等相关证明资料（若有）。</w:t>
      </w:r>
    </w:p>
    <w:p w14:paraId="7ADC1A9E">
      <w:pPr>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4.节能产品或环境标志产品有效证明材料（若有）。</w:t>
      </w:r>
    </w:p>
    <w:p w14:paraId="1EB2ABEB">
      <w:pPr>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认为需要提供的其他材料。</w:t>
      </w:r>
    </w:p>
    <w:p w14:paraId="42F3323F">
      <w:pPr>
        <w:spacing w:line="360" w:lineRule="auto"/>
        <w:ind w:firstLine="480" w:firstLineChars="200"/>
        <w:jc w:val="both"/>
        <w:rPr>
          <w:rFonts w:hint="eastAsia" w:ascii="宋体" w:hAnsi="宋体" w:eastAsia="宋体" w:cs="宋体"/>
          <w:color w:val="auto"/>
          <w:sz w:val="24"/>
          <w:szCs w:val="24"/>
          <w:highlight w:val="none"/>
        </w:rPr>
      </w:pP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保证：除技术偏差表列出的偏差外，</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响应</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的全部要求。</w:t>
      </w:r>
    </w:p>
    <w:p w14:paraId="1DEF5B7A">
      <w:pPr>
        <w:pStyle w:val="2"/>
        <w:spacing w:line="360" w:lineRule="auto"/>
        <w:ind w:left="277" w:hanging="277" w:hangingChars="115"/>
        <w:jc w:val="center"/>
        <w:rPr>
          <w:rFonts w:hint="default" w:ascii="宋体" w:hAnsi="宋体" w:eastAsia="宋体" w:cs="宋体"/>
          <w:color w:val="auto"/>
          <w:sz w:val="24"/>
          <w:szCs w:val="24"/>
          <w:highlight w:val="none"/>
          <w:lang w:val="en-US" w:eastAsia="zh-CN"/>
        </w:rPr>
      </w:pPr>
      <w:bookmarkStart w:id="116" w:name="_Toc17912"/>
      <w:r>
        <w:rPr>
          <w:rFonts w:hint="eastAsia" w:ascii="宋体" w:hAnsi="宋体" w:eastAsia="宋体" w:cs="宋体"/>
          <w:color w:val="auto"/>
          <w:sz w:val="24"/>
          <w:szCs w:val="24"/>
          <w:highlight w:val="none"/>
        </w:rPr>
        <w:t>六、</w:t>
      </w: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资格证明文件</w:t>
      </w:r>
      <w:bookmarkEnd w:id="116"/>
      <w:r>
        <w:rPr>
          <w:rFonts w:hint="eastAsia" w:ascii="宋体" w:hAnsi="宋体" w:cs="宋体"/>
          <w:color w:val="auto"/>
          <w:sz w:val="24"/>
          <w:szCs w:val="24"/>
          <w:highlight w:val="none"/>
          <w:lang w:val="en-US" w:eastAsia="zh-CN"/>
        </w:rPr>
        <w:t>及承诺书</w:t>
      </w:r>
    </w:p>
    <w:p w14:paraId="6F5EB2BC">
      <w:pPr>
        <w:pStyle w:val="3"/>
        <w:spacing w:line="360" w:lineRule="auto"/>
        <w:ind w:left="0" w:firstLine="0" w:firstLineChars="0"/>
        <w:jc w:val="center"/>
        <w:rPr>
          <w:rFonts w:hint="eastAsia" w:ascii="宋体" w:hAnsi="宋体" w:eastAsia="宋体" w:cs="宋体"/>
          <w:color w:val="auto"/>
          <w:sz w:val="24"/>
          <w:szCs w:val="24"/>
          <w:highlight w:val="none"/>
        </w:rPr>
      </w:pPr>
      <w:bookmarkStart w:id="117" w:name="_Toc25007"/>
      <w:r>
        <w:rPr>
          <w:rFonts w:hint="eastAsia" w:ascii="宋体" w:hAnsi="宋体" w:eastAsia="宋体" w:cs="宋体"/>
          <w:color w:val="auto"/>
          <w:sz w:val="24"/>
          <w:szCs w:val="24"/>
          <w:highlight w:val="none"/>
        </w:rPr>
        <w:t>（一）</w:t>
      </w:r>
      <w:r>
        <w:rPr>
          <w:rFonts w:hint="eastAsia" w:cs="宋体"/>
          <w:color w:val="auto"/>
          <w:sz w:val="24"/>
          <w:szCs w:val="24"/>
          <w:highlight w:val="none"/>
          <w:lang w:eastAsia="zh-CN"/>
        </w:rPr>
        <w:t>响应人</w:t>
      </w:r>
      <w:r>
        <w:rPr>
          <w:rFonts w:hint="eastAsia" w:ascii="宋体" w:hAnsi="宋体" w:eastAsia="宋体" w:cs="宋体"/>
          <w:color w:val="auto"/>
          <w:sz w:val="24"/>
          <w:szCs w:val="24"/>
          <w:highlight w:val="none"/>
        </w:rPr>
        <w:t>基本情况表</w:t>
      </w:r>
      <w:bookmarkEnd w:id="117"/>
    </w:p>
    <w:tbl>
      <w:tblPr>
        <w:tblStyle w:val="17"/>
        <w:tblpPr w:leftFromText="180" w:rightFromText="180" w:vertAnchor="text" w:horzAnchor="page" w:tblpXSpec="center" w:tblpY="275"/>
        <w:tblOverlap w:val="never"/>
        <w:tblW w:w="9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9"/>
        <w:gridCol w:w="1378"/>
        <w:gridCol w:w="1350"/>
        <w:gridCol w:w="1513"/>
        <w:gridCol w:w="1679"/>
      </w:tblGrid>
      <w:tr w14:paraId="4656A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559" w:type="dxa"/>
            <w:noWrap w:val="0"/>
            <w:vAlign w:val="center"/>
          </w:tcPr>
          <w:p w14:paraId="018ABA16">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响应人</w:t>
            </w:r>
            <w:r>
              <w:rPr>
                <w:rFonts w:hint="eastAsia" w:ascii="宋体" w:hAnsi="宋体" w:eastAsia="宋体" w:cs="宋体"/>
                <w:color w:val="auto"/>
                <w:sz w:val="24"/>
                <w:szCs w:val="24"/>
                <w:highlight w:val="none"/>
              </w:rPr>
              <w:t>名称</w:t>
            </w:r>
          </w:p>
        </w:tc>
        <w:tc>
          <w:tcPr>
            <w:tcW w:w="5920" w:type="dxa"/>
            <w:gridSpan w:val="4"/>
            <w:noWrap w:val="0"/>
            <w:vAlign w:val="center"/>
          </w:tcPr>
          <w:p w14:paraId="5CC11AAE">
            <w:pPr>
              <w:topLinePunct/>
              <w:spacing w:line="360" w:lineRule="auto"/>
              <w:ind w:firstLine="0" w:firstLineChars="0"/>
              <w:jc w:val="center"/>
              <w:rPr>
                <w:rFonts w:hint="eastAsia" w:ascii="宋体" w:hAnsi="宋体" w:eastAsia="宋体" w:cs="宋体"/>
                <w:color w:val="auto"/>
                <w:sz w:val="24"/>
                <w:szCs w:val="24"/>
                <w:highlight w:val="none"/>
              </w:rPr>
            </w:pPr>
          </w:p>
        </w:tc>
      </w:tr>
      <w:tr w14:paraId="42074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559" w:type="dxa"/>
            <w:noWrap w:val="0"/>
            <w:vAlign w:val="center"/>
          </w:tcPr>
          <w:p w14:paraId="49E1424A">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注册地址</w:t>
            </w:r>
          </w:p>
        </w:tc>
        <w:tc>
          <w:tcPr>
            <w:tcW w:w="5920" w:type="dxa"/>
            <w:gridSpan w:val="4"/>
            <w:noWrap w:val="0"/>
            <w:vAlign w:val="center"/>
          </w:tcPr>
          <w:p w14:paraId="733D838E">
            <w:pPr>
              <w:topLinePunct/>
              <w:spacing w:line="360" w:lineRule="auto"/>
              <w:ind w:firstLine="0" w:firstLineChars="0"/>
              <w:jc w:val="center"/>
              <w:rPr>
                <w:rFonts w:hint="eastAsia" w:ascii="宋体" w:hAnsi="宋体" w:eastAsia="宋体" w:cs="宋体"/>
                <w:color w:val="auto"/>
                <w:sz w:val="24"/>
                <w:szCs w:val="24"/>
                <w:highlight w:val="none"/>
              </w:rPr>
            </w:pPr>
          </w:p>
        </w:tc>
      </w:tr>
      <w:tr w14:paraId="39703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3559" w:type="dxa"/>
            <w:vMerge w:val="restart"/>
            <w:noWrap w:val="0"/>
            <w:vAlign w:val="center"/>
          </w:tcPr>
          <w:p w14:paraId="4608B916">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tc>
        <w:tc>
          <w:tcPr>
            <w:tcW w:w="1378" w:type="dxa"/>
            <w:noWrap w:val="0"/>
            <w:vAlign w:val="center"/>
          </w:tcPr>
          <w:p w14:paraId="5FB7D85B">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p>
        </w:tc>
        <w:tc>
          <w:tcPr>
            <w:tcW w:w="1350" w:type="dxa"/>
            <w:noWrap w:val="0"/>
            <w:vAlign w:val="center"/>
          </w:tcPr>
          <w:p w14:paraId="6F185B82">
            <w:pPr>
              <w:spacing w:line="240" w:lineRule="auto"/>
              <w:ind w:firstLineChars="0"/>
              <w:jc w:val="center"/>
              <w:rPr>
                <w:rFonts w:hint="eastAsia" w:ascii="宋体" w:hAnsi="宋体" w:eastAsia="宋体" w:cs="宋体"/>
                <w:color w:val="auto"/>
                <w:sz w:val="24"/>
                <w:szCs w:val="24"/>
                <w:highlight w:val="none"/>
              </w:rPr>
            </w:pPr>
          </w:p>
        </w:tc>
        <w:tc>
          <w:tcPr>
            <w:tcW w:w="1513" w:type="dxa"/>
            <w:noWrap w:val="0"/>
            <w:vAlign w:val="center"/>
          </w:tcPr>
          <w:p w14:paraId="7FF6148E">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w:t>
            </w:r>
          </w:p>
        </w:tc>
        <w:tc>
          <w:tcPr>
            <w:tcW w:w="1679" w:type="dxa"/>
            <w:noWrap w:val="0"/>
            <w:vAlign w:val="center"/>
          </w:tcPr>
          <w:p w14:paraId="5EF54AD2">
            <w:pPr>
              <w:topLinePunct/>
              <w:spacing w:line="360" w:lineRule="auto"/>
              <w:ind w:firstLine="0" w:firstLineChars="0"/>
              <w:jc w:val="center"/>
              <w:rPr>
                <w:rFonts w:hint="eastAsia" w:ascii="宋体" w:hAnsi="宋体" w:eastAsia="宋体" w:cs="宋体"/>
                <w:color w:val="auto"/>
                <w:sz w:val="24"/>
                <w:szCs w:val="24"/>
                <w:highlight w:val="none"/>
              </w:rPr>
            </w:pPr>
          </w:p>
        </w:tc>
      </w:tr>
      <w:tr w14:paraId="1F21D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3559" w:type="dxa"/>
            <w:vMerge w:val="continue"/>
            <w:noWrap w:val="0"/>
            <w:vAlign w:val="center"/>
          </w:tcPr>
          <w:p w14:paraId="0EB8C672">
            <w:pPr>
              <w:spacing w:line="240" w:lineRule="auto"/>
              <w:ind w:firstLineChars="0"/>
              <w:jc w:val="center"/>
              <w:rPr>
                <w:rFonts w:hint="eastAsia" w:ascii="宋体" w:hAnsi="宋体" w:eastAsia="宋体" w:cs="宋体"/>
                <w:color w:val="auto"/>
                <w:sz w:val="24"/>
                <w:szCs w:val="24"/>
                <w:highlight w:val="none"/>
              </w:rPr>
            </w:pPr>
          </w:p>
        </w:tc>
        <w:tc>
          <w:tcPr>
            <w:tcW w:w="1378" w:type="dxa"/>
            <w:noWrap w:val="0"/>
            <w:vAlign w:val="center"/>
          </w:tcPr>
          <w:p w14:paraId="54E3D91C">
            <w:pPr>
              <w:spacing w:line="240" w:lineRule="auto"/>
              <w:ind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邮  箱</w:t>
            </w:r>
          </w:p>
        </w:tc>
        <w:tc>
          <w:tcPr>
            <w:tcW w:w="1350" w:type="dxa"/>
            <w:noWrap w:val="0"/>
            <w:vAlign w:val="center"/>
          </w:tcPr>
          <w:p w14:paraId="2C3AFE20">
            <w:pPr>
              <w:spacing w:line="240" w:lineRule="auto"/>
              <w:ind w:firstLineChars="0"/>
              <w:jc w:val="center"/>
              <w:rPr>
                <w:rFonts w:hint="eastAsia" w:ascii="宋体" w:hAnsi="宋体" w:eastAsia="宋体" w:cs="宋体"/>
                <w:color w:val="auto"/>
                <w:sz w:val="24"/>
                <w:szCs w:val="24"/>
                <w:highlight w:val="none"/>
              </w:rPr>
            </w:pPr>
          </w:p>
        </w:tc>
        <w:tc>
          <w:tcPr>
            <w:tcW w:w="1513" w:type="dxa"/>
            <w:noWrap w:val="0"/>
            <w:vAlign w:val="center"/>
          </w:tcPr>
          <w:p w14:paraId="2B426AF1">
            <w:pPr>
              <w:spacing w:line="240" w:lineRule="auto"/>
              <w:ind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邮编</w:t>
            </w:r>
          </w:p>
        </w:tc>
        <w:tc>
          <w:tcPr>
            <w:tcW w:w="1679" w:type="dxa"/>
            <w:noWrap w:val="0"/>
            <w:vAlign w:val="center"/>
          </w:tcPr>
          <w:p w14:paraId="5E71D3D7">
            <w:pPr>
              <w:topLinePunct/>
              <w:spacing w:line="360" w:lineRule="auto"/>
              <w:ind w:firstLine="0" w:firstLineChars="0"/>
              <w:jc w:val="center"/>
              <w:rPr>
                <w:rFonts w:hint="eastAsia" w:ascii="宋体" w:hAnsi="宋体" w:eastAsia="宋体" w:cs="宋体"/>
                <w:color w:val="auto"/>
                <w:sz w:val="24"/>
                <w:szCs w:val="24"/>
                <w:highlight w:val="none"/>
              </w:rPr>
            </w:pPr>
          </w:p>
        </w:tc>
      </w:tr>
      <w:tr w14:paraId="64A72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3559" w:type="dxa"/>
            <w:noWrap w:val="0"/>
            <w:vAlign w:val="center"/>
          </w:tcPr>
          <w:p w14:paraId="5C4D4205">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法定代表人        </w:t>
            </w:r>
          </w:p>
        </w:tc>
        <w:tc>
          <w:tcPr>
            <w:tcW w:w="1378" w:type="dxa"/>
            <w:noWrap w:val="0"/>
            <w:vAlign w:val="center"/>
          </w:tcPr>
          <w:p w14:paraId="11A81C78">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1350" w:type="dxa"/>
            <w:noWrap w:val="0"/>
            <w:vAlign w:val="center"/>
          </w:tcPr>
          <w:p w14:paraId="37CC0680">
            <w:pPr>
              <w:spacing w:line="240" w:lineRule="auto"/>
              <w:ind w:firstLineChars="0"/>
              <w:jc w:val="center"/>
              <w:rPr>
                <w:rFonts w:hint="eastAsia" w:ascii="宋体" w:hAnsi="宋体" w:eastAsia="宋体" w:cs="宋体"/>
                <w:color w:val="auto"/>
                <w:sz w:val="24"/>
                <w:szCs w:val="24"/>
                <w:highlight w:val="none"/>
              </w:rPr>
            </w:pPr>
          </w:p>
        </w:tc>
        <w:tc>
          <w:tcPr>
            <w:tcW w:w="1513" w:type="dxa"/>
            <w:noWrap w:val="0"/>
            <w:vAlign w:val="center"/>
          </w:tcPr>
          <w:p w14:paraId="301841AF">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c>
          <w:tcPr>
            <w:tcW w:w="1679" w:type="dxa"/>
            <w:noWrap w:val="0"/>
            <w:vAlign w:val="center"/>
          </w:tcPr>
          <w:p w14:paraId="457E6C44">
            <w:pPr>
              <w:topLinePunct/>
              <w:spacing w:line="360" w:lineRule="auto"/>
              <w:ind w:firstLine="0" w:firstLineChars="0"/>
              <w:jc w:val="center"/>
              <w:rPr>
                <w:rFonts w:hint="eastAsia" w:ascii="宋体" w:hAnsi="宋体" w:eastAsia="宋体" w:cs="宋体"/>
                <w:color w:val="auto"/>
                <w:sz w:val="24"/>
                <w:szCs w:val="24"/>
                <w:highlight w:val="none"/>
              </w:rPr>
            </w:pPr>
          </w:p>
        </w:tc>
      </w:tr>
      <w:tr w14:paraId="77A2E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5" w:hRule="atLeast"/>
          <w:jc w:val="center"/>
        </w:trPr>
        <w:tc>
          <w:tcPr>
            <w:tcW w:w="3559" w:type="dxa"/>
            <w:noWrap w:val="0"/>
            <w:vAlign w:val="center"/>
          </w:tcPr>
          <w:p w14:paraId="10EB42AA">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营业执照号</w:t>
            </w:r>
          </w:p>
        </w:tc>
        <w:tc>
          <w:tcPr>
            <w:tcW w:w="5920" w:type="dxa"/>
            <w:gridSpan w:val="4"/>
            <w:noWrap w:val="0"/>
            <w:vAlign w:val="center"/>
          </w:tcPr>
          <w:p w14:paraId="6372CEED">
            <w:pPr>
              <w:topLinePunct/>
              <w:spacing w:line="360" w:lineRule="auto"/>
              <w:ind w:firstLine="0" w:firstLineChars="0"/>
              <w:jc w:val="center"/>
              <w:rPr>
                <w:rFonts w:hint="eastAsia" w:ascii="宋体" w:hAnsi="宋体" w:eastAsia="宋体" w:cs="宋体"/>
                <w:color w:val="auto"/>
                <w:sz w:val="24"/>
                <w:szCs w:val="24"/>
                <w:highlight w:val="none"/>
              </w:rPr>
            </w:pPr>
          </w:p>
        </w:tc>
      </w:tr>
      <w:tr w14:paraId="68D65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3559" w:type="dxa"/>
            <w:noWrap w:val="0"/>
            <w:vAlign w:val="center"/>
          </w:tcPr>
          <w:p w14:paraId="3151D718">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注册资金</w:t>
            </w:r>
          </w:p>
        </w:tc>
        <w:tc>
          <w:tcPr>
            <w:tcW w:w="5920" w:type="dxa"/>
            <w:gridSpan w:val="4"/>
            <w:noWrap w:val="0"/>
            <w:vAlign w:val="center"/>
          </w:tcPr>
          <w:p w14:paraId="1C97C4E8">
            <w:pPr>
              <w:topLinePunct/>
              <w:spacing w:line="360" w:lineRule="auto"/>
              <w:ind w:firstLine="0" w:firstLineChars="0"/>
              <w:jc w:val="center"/>
              <w:rPr>
                <w:rFonts w:hint="eastAsia" w:ascii="宋体" w:hAnsi="宋体" w:eastAsia="宋体" w:cs="宋体"/>
                <w:color w:val="auto"/>
                <w:sz w:val="24"/>
                <w:szCs w:val="24"/>
                <w:highlight w:val="none"/>
              </w:rPr>
            </w:pPr>
          </w:p>
        </w:tc>
      </w:tr>
      <w:tr w14:paraId="169E8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6" w:hRule="atLeast"/>
          <w:jc w:val="center"/>
        </w:trPr>
        <w:tc>
          <w:tcPr>
            <w:tcW w:w="3559" w:type="dxa"/>
            <w:noWrap w:val="0"/>
            <w:vAlign w:val="center"/>
          </w:tcPr>
          <w:p w14:paraId="78F3F915">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响应人</w:t>
            </w:r>
            <w:r>
              <w:rPr>
                <w:rFonts w:hint="eastAsia" w:ascii="宋体" w:hAnsi="宋体" w:eastAsia="宋体" w:cs="宋体"/>
                <w:color w:val="auto"/>
                <w:sz w:val="24"/>
                <w:szCs w:val="24"/>
                <w:highlight w:val="none"/>
              </w:rPr>
              <w:t>关联企业情况（包括但不限于与</w:t>
            </w:r>
            <w:r>
              <w:rPr>
                <w:rFonts w:hint="eastAsia" w:ascii="宋体" w:hAnsi="宋体" w:eastAsia="宋体" w:cs="宋体"/>
                <w:color w:val="auto"/>
                <w:sz w:val="24"/>
                <w:szCs w:val="24"/>
                <w:highlight w:val="none"/>
                <w:lang w:eastAsia="zh-CN"/>
              </w:rPr>
              <w:t>响应人</w:t>
            </w:r>
            <w:r>
              <w:rPr>
                <w:rFonts w:hint="eastAsia" w:ascii="宋体" w:hAnsi="宋体" w:eastAsia="宋体" w:cs="宋体"/>
                <w:color w:val="auto"/>
                <w:sz w:val="24"/>
                <w:szCs w:val="24"/>
                <w:highlight w:val="none"/>
              </w:rPr>
              <w:t>法定代表人（单位负责人）为同一人或者存在直接控股、管理关系的不同</w:t>
            </w:r>
            <w:r>
              <w:rPr>
                <w:rFonts w:hint="eastAsia" w:ascii="宋体" w:hAnsi="宋体" w:eastAsia="宋体" w:cs="宋体"/>
                <w:color w:val="auto"/>
                <w:sz w:val="24"/>
                <w:szCs w:val="24"/>
                <w:highlight w:val="none"/>
                <w:lang w:eastAsia="zh-CN"/>
              </w:rPr>
              <w:t>响应人</w:t>
            </w:r>
            <w:r>
              <w:rPr>
                <w:rFonts w:hint="eastAsia" w:ascii="宋体" w:hAnsi="宋体" w:eastAsia="宋体" w:cs="宋体"/>
                <w:color w:val="auto"/>
                <w:sz w:val="24"/>
                <w:szCs w:val="24"/>
                <w:highlight w:val="none"/>
              </w:rPr>
              <w:t>）</w:t>
            </w:r>
          </w:p>
        </w:tc>
        <w:tc>
          <w:tcPr>
            <w:tcW w:w="5920" w:type="dxa"/>
            <w:gridSpan w:val="4"/>
            <w:noWrap w:val="0"/>
            <w:vAlign w:val="center"/>
          </w:tcPr>
          <w:p w14:paraId="120AA7A1">
            <w:pPr>
              <w:topLinePunct/>
              <w:spacing w:line="360" w:lineRule="auto"/>
              <w:ind w:firstLine="0" w:firstLineChars="0"/>
              <w:jc w:val="center"/>
              <w:rPr>
                <w:rFonts w:hint="eastAsia" w:ascii="宋体" w:hAnsi="宋体" w:eastAsia="宋体" w:cs="宋体"/>
                <w:color w:val="auto"/>
                <w:sz w:val="24"/>
                <w:szCs w:val="24"/>
                <w:highlight w:val="none"/>
              </w:rPr>
            </w:pPr>
          </w:p>
        </w:tc>
      </w:tr>
      <w:tr w14:paraId="7285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5" w:hRule="atLeast"/>
          <w:jc w:val="center"/>
        </w:trPr>
        <w:tc>
          <w:tcPr>
            <w:tcW w:w="3559" w:type="dxa"/>
            <w:noWrap w:val="0"/>
            <w:vAlign w:val="center"/>
          </w:tcPr>
          <w:p w14:paraId="60F9E2FD">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c>
          <w:tcPr>
            <w:tcW w:w="5920" w:type="dxa"/>
            <w:gridSpan w:val="4"/>
            <w:noWrap w:val="0"/>
            <w:vAlign w:val="center"/>
          </w:tcPr>
          <w:p w14:paraId="3AD49A41">
            <w:pPr>
              <w:topLinePunct/>
              <w:spacing w:line="360" w:lineRule="auto"/>
              <w:ind w:firstLine="0" w:firstLineChars="0"/>
              <w:jc w:val="center"/>
              <w:rPr>
                <w:rFonts w:hint="eastAsia" w:ascii="宋体" w:hAnsi="宋体" w:eastAsia="宋体" w:cs="宋体"/>
                <w:color w:val="auto"/>
                <w:sz w:val="24"/>
                <w:szCs w:val="24"/>
                <w:highlight w:val="none"/>
              </w:rPr>
            </w:pPr>
          </w:p>
        </w:tc>
      </w:tr>
      <w:tr w14:paraId="7D319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jc w:val="center"/>
        </w:trPr>
        <w:tc>
          <w:tcPr>
            <w:tcW w:w="3559" w:type="dxa"/>
            <w:noWrap w:val="0"/>
            <w:vAlign w:val="center"/>
          </w:tcPr>
          <w:p w14:paraId="414BDE1E">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tc>
        <w:tc>
          <w:tcPr>
            <w:tcW w:w="5920" w:type="dxa"/>
            <w:gridSpan w:val="4"/>
            <w:noWrap w:val="0"/>
            <w:vAlign w:val="center"/>
          </w:tcPr>
          <w:p w14:paraId="23E0A0DD">
            <w:pPr>
              <w:topLinePunct/>
              <w:spacing w:line="360" w:lineRule="auto"/>
              <w:ind w:firstLine="0" w:firstLineChars="0"/>
              <w:jc w:val="center"/>
              <w:rPr>
                <w:rFonts w:hint="eastAsia" w:ascii="宋体" w:hAnsi="宋体" w:eastAsia="宋体" w:cs="宋体"/>
                <w:color w:val="auto"/>
                <w:sz w:val="24"/>
                <w:szCs w:val="24"/>
                <w:highlight w:val="none"/>
              </w:rPr>
            </w:pPr>
          </w:p>
        </w:tc>
      </w:tr>
      <w:tr w14:paraId="2155C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2" w:hRule="atLeast"/>
          <w:jc w:val="center"/>
        </w:trPr>
        <w:tc>
          <w:tcPr>
            <w:tcW w:w="3559" w:type="dxa"/>
            <w:noWrap w:val="0"/>
            <w:vAlign w:val="center"/>
          </w:tcPr>
          <w:p w14:paraId="7B9F825F">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所投产品制造商</w:t>
            </w:r>
          </w:p>
          <w:p w14:paraId="143B3496">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名称</w:t>
            </w:r>
          </w:p>
        </w:tc>
        <w:tc>
          <w:tcPr>
            <w:tcW w:w="5920" w:type="dxa"/>
            <w:gridSpan w:val="4"/>
            <w:noWrap w:val="0"/>
            <w:vAlign w:val="center"/>
          </w:tcPr>
          <w:p w14:paraId="5A8B1612">
            <w:pPr>
              <w:topLinePunct/>
              <w:spacing w:line="360" w:lineRule="auto"/>
              <w:ind w:firstLine="0" w:firstLineChars="0"/>
              <w:jc w:val="center"/>
              <w:rPr>
                <w:rFonts w:hint="eastAsia" w:ascii="宋体" w:hAnsi="宋体" w:eastAsia="宋体" w:cs="宋体"/>
                <w:color w:val="auto"/>
                <w:sz w:val="24"/>
                <w:szCs w:val="24"/>
                <w:highlight w:val="none"/>
              </w:rPr>
            </w:pPr>
          </w:p>
        </w:tc>
      </w:tr>
      <w:tr w14:paraId="021E4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3559" w:type="dxa"/>
            <w:noWrap w:val="0"/>
            <w:vAlign w:val="center"/>
          </w:tcPr>
          <w:p w14:paraId="082417D7">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经营范围</w:t>
            </w:r>
          </w:p>
        </w:tc>
        <w:tc>
          <w:tcPr>
            <w:tcW w:w="5920" w:type="dxa"/>
            <w:gridSpan w:val="4"/>
            <w:noWrap w:val="0"/>
            <w:vAlign w:val="center"/>
          </w:tcPr>
          <w:p w14:paraId="6779407D">
            <w:pPr>
              <w:topLinePunct/>
              <w:spacing w:line="360" w:lineRule="auto"/>
              <w:ind w:firstLine="0" w:firstLineChars="0"/>
              <w:jc w:val="both"/>
              <w:rPr>
                <w:rFonts w:hint="eastAsia" w:ascii="宋体" w:hAnsi="宋体" w:eastAsia="宋体" w:cs="宋体"/>
                <w:color w:val="auto"/>
                <w:sz w:val="24"/>
                <w:szCs w:val="24"/>
                <w:highlight w:val="none"/>
              </w:rPr>
            </w:pPr>
          </w:p>
          <w:p w14:paraId="48BF4467">
            <w:pPr>
              <w:topLinePunct/>
              <w:spacing w:line="360" w:lineRule="auto"/>
              <w:ind w:firstLine="0" w:firstLineChars="0"/>
              <w:jc w:val="center"/>
              <w:rPr>
                <w:rFonts w:hint="eastAsia" w:ascii="宋体" w:hAnsi="宋体" w:eastAsia="宋体" w:cs="宋体"/>
                <w:color w:val="auto"/>
                <w:sz w:val="24"/>
                <w:szCs w:val="24"/>
                <w:highlight w:val="none"/>
              </w:rPr>
            </w:pPr>
          </w:p>
        </w:tc>
      </w:tr>
      <w:tr w14:paraId="390B7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3559" w:type="dxa"/>
            <w:noWrap w:val="0"/>
            <w:vAlign w:val="center"/>
          </w:tcPr>
          <w:p w14:paraId="5E9C70C3">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5920" w:type="dxa"/>
            <w:gridSpan w:val="4"/>
            <w:noWrap w:val="0"/>
            <w:vAlign w:val="center"/>
          </w:tcPr>
          <w:p w14:paraId="1C022AA2">
            <w:pPr>
              <w:topLinePunct/>
              <w:spacing w:line="360" w:lineRule="auto"/>
              <w:ind w:firstLine="0" w:firstLineChars="0"/>
              <w:jc w:val="center"/>
              <w:rPr>
                <w:rFonts w:hint="eastAsia" w:ascii="宋体" w:hAnsi="宋体" w:eastAsia="宋体" w:cs="宋体"/>
                <w:color w:val="auto"/>
                <w:sz w:val="24"/>
                <w:szCs w:val="24"/>
                <w:highlight w:val="none"/>
              </w:rPr>
            </w:pPr>
          </w:p>
        </w:tc>
      </w:tr>
    </w:tbl>
    <w:p w14:paraId="6BCA0DB9">
      <w:pPr>
        <w:spacing w:line="360" w:lineRule="auto"/>
        <w:ind w:firstLine="0" w:firstLineChars="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注：后附营业执照副本（若为代理商须提供制造商相关资质</w:t>
      </w:r>
      <w:r>
        <w:rPr>
          <w:rFonts w:hint="eastAsia" w:eastAsia="宋体" w:cs="宋体"/>
          <w:color w:val="auto"/>
          <w:sz w:val="24"/>
          <w:szCs w:val="24"/>
          <w:highlight w:val="none"/>
          <w:shd w:val="clear" w:color="auto" w:fill="FFFFFF"/>
          <w:lang w:val="en-US" w:eastAsia="zh-CN" w:bidi="ar"/>
        </w:rPr>
        <w:t>证明</w:t>
      </w:r>
      <w:r>
        <w:rPr>
          <w:rFonts w:hint="eastAsia" w:ascii="宋体" w:hAnsi="宋体" w:eastAsia="宋体" w:cs="宋体"/>
          <w:color w:val="auto"/>
          <w:sz w:val="24"/>
          <w:szCs w:val="24"/>
          <w:highlight w:val="none"/>
          <w:shd w:val="clear" w:color="auto" w:fill="FFFFFF"/>
          <w:lang w:bidi="ar"/>
        </w:rPr>
        <w:t>扫描件）等相关资料扫描件。</w:t>
      </w:r>
    </w:p>
    <w:p w14:paraId="413E7C2E">
      <w:pPr>
        <w:spacing w:line="360" w:lineRule="auto"/>
        <w:ind w:firstLine="4080" w:firstLineChars="1700"/>
        <w:jc w:val="both"/>
        <w:rPr>
          <w:rFonts w:hint="eastAsia" w:eastAsia="宋体" w:cs="宋体"/>
          <w:color w:val="auto"/>
          <w:sz w:val="24"/>
          <w:szCs w:val="24"/>
          <w:highlight w:val="none"/>
          <w:shd w:val="clear" w:color="auto" w:fill="FFFFFF"/>
          <w:lang w:eastAsia="zh-CN" w:bidi="ar"/>
        </w:rPr>
      </w:pPr>
    </w:p>
    <w:p w14:paraId="417C0DFE">
      <w:pPr>
        <w:spacing w:line="360" w:lineRule="auto"/>
        <w:ind w:firstLine="4080" w:firstLineChars="1700"/>
        <w:jc w:val="both"/>
        <w:rPr>
          <w:rFonts w:hint="eastAsia" w:ascii="宋体" w:hAnsi="宋体" w:eastAsia="宋体" w:cs="宋体"/>
          <w:color w:val="auto"/>
          <w:sz w:val="24"/>
          <w:szCs w:val="24"/>
          <w:highlight w:val="none"/>
          <w:shd w:val="clear" w:color="auto" w:fill="FFFFFF"/>
          <w:lang w:bidi="ar"/>
        </w:rPr>
      </w:pPr>
      <w:r>
        <w:rPr>
          <w:rFonts w:hint="eastAsia" w:eastAsia="宋体" w:cs="宋体"/>
          <w:color w:val="auto"/>
          <w:sz w:val="24"/>
          <w:szCs w:val="24"/>
          <w:highlight w:val="none"/>
          <w:shd w:val="clear" w:color="auto" w:fill="FFFFFF"/>
          <w:lang w:eastAsia="zh-CN" w:bidi="ar"/>
        </w:rPr>
        <w:t>响应人</w:t>
      </w:r>
      <w:r>
        <w:rPr>
          <w:rFonts w:hint="eastAsia" w:ascii="宋体" w:hAnsi="宋体" w:eastAsia="宋体" w:cs="宋体"/>
          <w:color w:val="auto"/>
          <w:sz w:val="24"/>
          <w:szCs w:val="24"/>
          <w:highlight w:val="none"/>
          <w:shd w:val="clear" w:color="auto" w:fill="FFFFFF"/>
          <w:lang w:bidi="ar"/>
        </w:rPr>
        <w:t>：</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w:t>
      </w:r>
      <w:r>
        <w:rPr>
          <w:rFonts w:hint="eastAsia" w:ascii="宋体" w:hAnsi="宋体" w:eastAsia="宋体" w:cs="宋体"/>
          <w:color w:val="auto"/>
          <w:sz w:val="24"/>
          <w:szCs w:val="24"/>
          <w:highlight w:val="none"/>
          <w:shd w:val="clear" w:color="auto" w:fill="FFFFFF"/>
          <w:lang w:eastAsia="zh-CN" w:bidi="ar"/>
        </w:rPr>
        <w:t>单位电子公章</w:t>
      </w:r>
      <w:r>
        <w:rPr>
          <w:rFonts w:hint="eastAsia" w:ascii="宋体" w:hAnsi="宋体" w:eastAsia="宋体" w:cs="宋体"/>
          <w:color w:val="auto"/>
          <w:sz w:val="24"/>
          <w:szCs w:val="24"/>
          <w:highlight w:val="none"/>
          <w:shd w:val="clear" w:color="auto" w:fill="FFFFFF"/>
          <w:lang w:bidi="ar"/>
        </w:rPr>
        <w:t xml:space="preserve">) </w:t>
      </w:r>
    </w:p>
    <w:p w14:paraId="371AB04D">
      <w:pPr>
        <w:spacing w:line="360" w:lineRule="auto"/>
        <w:ind w:firstLine="4080" w:firstLineChars="170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法定代表人 ：</w:t>
      </w:r>
      <w:r>
        <w:rPr>
          <w:rFonts w:hint="eastAsia" w:ascii="宋体" w:hAnsi="宋体" w:eastAsia="宋体" w:cs="宋体"/>
          <w:color w:val="auto"/>
          <w:sz w:val="24"/>
          <w:szCs w:val="24"/>
          <w:highlight w:val="none"/>
          <w:u w:val="single"/>
          <w:shd w:val="clear" w:color="auto" w:fill="FFFFFF"/>
          <w:lang w:bidi="ar"/>
        </w:rPr>
        <w:t xml:space="preserve">  </w:t>
      </w:r>
      <w:r>
        <w:rPr>
          <w:rFonts w:hint="eastAsia" w:eastAsia="宋体" w:cs="宋体"/>
          <w:color w:val="auto"/>
          <w:sz w:val="24"/>
          <w:szCs w:val="24"/>
          <w:highlight w:val="none"/>
          <w:u w:val="single"/>
          <w:shd w:val="clear" w:color="auto" w:fill="FFFFFF"/>
          <w:lang w:val="en-US" w:eastAsia="zh-CN" w:bidi="ar"/>
        </w:rPr>
        <w:t xml:space="preserve">           </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 xml:space="preserve">(法人电子签章) </w:t>
      </w:r>
    </w:p>
    <w:p w14:paraId="671A7C7E">
      <w:pPr>
        <w:spacing w:line="360" w:lineRule="auto"/>
        <w:ind w:firstLine="4080" w:firstLineChars="170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日       期：</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 xml:space="preserve">年 </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月</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日</w:t>
      </w:r>
    </w:p>
    <w:p w14:paraId="79395E1C">
      <w:pPr>
        <w:spacing w:line="360" w:lineRule="auto"/>
        <w:ind w:firstLine="0" w:firstLineChars="0"/>
        <w:jc w:val="center"/>
        <w:rPr>
          <w:rFonts w:hint="eastAsia" w:ascii="宋体" w:hAnsi="宋体" w:eastAsia="宋体" w:cs="宋体"/>
          <w:color w:val="auto"/>
          <w:kern w:val="0"/>
          <w:sz w:val="24"/>
          <w:szCs w:val="24"/>
          <w:highlight w:val="none"/>
        </w:rPr>
      </w:pPr>
    </w:p>
    <w:p w14:paraId="7023AA60">
      <w:pPr>
        <w:jc w:val="center"/>
        <w:outlineLvl w:val="2"/>
        <w:rPr>
          <w:rFonts w:hint="eastAsia" w:ascii="宋体" w:hAnsi="宋体" w:eastAsia="宋体" w:cs="宋体"/>
          <w:b/>
          <w:bCs/>
          <w:color w:val="auto"/>
          <w:sz w:val="24"/>
          <w:szCs w:val="24"/>
          <w:highlight w:val="none"/>
        </w:rPr>
      </w:pPr>
      <w:bookmarkStart w:id="118" w:name="_Toc94092131"/>
      <w:bookmarkStart w:id="119" w:name="_Toc25333"/>
      <w:bookmarkStart w:id="120" w:name="_Toc96965864"/>
    </w:p>
    <w:p w14:paraId="45189F4A">
      <w:pPr>
        <w:jc w:val="center"/>
        <w:outlineLvl w:val="2"/>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rPr>
        <w:t>）近年完成的类似项目情况表</w:t>
      </w:r>
      <w:bookmarkEnd w:id="118"/>
      <w:bookmarkEnd w:id="119"/>
      <w:bookmarkEnd w:id="120"/>
    </w:p>
    <w:tbl>
      <w:tblPr>
        <w:tblStyle w:val="17"/>
        <w:tblW w:w="94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1498"/>
        <w:gridCol w:w="1860"/>
        <w:gridCol w:w="1276"/>
        <w:gridCol w:w="1418"/>
        <w:gridCol w:w="1990"/>
        <w:gridCol w:w="712"/>
      </w:tblGrid>
      <w:tr w14:paraId="4B495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742" w:type="dxa"/>
            <w:noWrap w:val="0"/>
            <w:vAlign w:val="center"/>
          </w:tcPr>
          <w:p w14:paraId="52A41087">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498" w:type="dxa"/>
            <w:noWrap w:val="0"/>
            <w:vAlign w:val="center"/>
          </w:tcPr>
          <w:p w14:paraId="05EAD02D">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1860" w:type="dxa"/>
            <w:noWrap w:val="0"/>
            <w:vAlign w:val="center"/>
          </w:tcPr>
          <w:p w14:paraId="335EFA39">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合同金额（元）</w:t>
            </w:r>
          </w:p>
        </w:tc>
        <w:tc>
          <w:tcPr>
            <w:tcW w:w="1276" w:type="dxa"/>
            <w:noWrap w:val="0"/>
            <w:vAlign w:val="center"/>
          </w:tcPr>
          <w:p w14:paraId="3F70EE98">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合同时间</w:t>
            </w:r>
          </w:p>
        </w:tc>
        <w:tc>
          <w:tcPr>
            <w:tcW w:w="1418" w:type="dxa"/>
            <w:noWrap w:val="0"/>
            <w:vAlign w:val="center"/>
          </w:tcPr>
          <w:p w14:paraId="61578974">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委托人名称</w:t>
            </w:r>
          </w:p>
        </w:tc>
        <w:tc>
          <w:tcPr>
            <w:tcW w:w="1990" w:type="dxa"/>
            <w:noWrap w:val="0"/>
            <w:vAlign w:val="center"/>
          </w:tcPr>
          <w:p w14:paraId="4DD9A3C0">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委托人联系方式</w:t>
            </w:r>
          </w:p>
        </w:tc>
        <w:tc>
          <w:tcPr>
            <w:tcW w:w="712" w:type="dxa"/>
            <w:noWrap w:val="0"/>
            <w:vAlign w:val="center"/>
          </w:tcPr>
          <w:p w14:paraId="724DB853">
            <w:pPr>
              <w:spacing w:line="240" w:lineRule="auto"/>
              <w:ind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3FF64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742" w:type="dxa"/>
            <w:noWrap w:val="0"/>
            <w:vAlign w:val="center"/>
          </w:tcPr>
          <w:p w14:paraId="0CCF69EF">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498" w:type="dxa"/>
            <w:noWrap w:val="0"/>
            <w:vAlign w:val="center"/>
          </w:tcPr>
          <w:p w14:paraId="621395C8">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860" w:type="dxa"/>
            <w:noWrap w:val="0"/>
            <w:vAlign w:val="center"/>
          </w:tcPr>
          <w:p w14:paraId="31F7CFCF">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276" w:type="dxa"/>
            <w:noWrap w:val="0"/>
            <w:vAlign w:val="center"/>
          </w:tcPr>
          <w:p w14:paraId="642830FB">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418" w:type="dxa"/>
            <w:noWrap w:val="0"/>
            <w:vAlign w:val="center"/>
          </w:tcPr>
          <w:p w14:paraId="775A9465">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990" w:type="dxa"/>
            <w:noWrap w:val="0"/>
            <w:vAlign w:val="center"/>
          </w:tcPr>
          <w:p w14:paraId="794DD77A">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712" w:type="dxa"/>
            <w:noWrap w:val="0"/>
            <w:vAlign w:val="center"/>
          </w:tcPr>
          <w:p w14:paraId="52879C6C">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r>
      <w:tr w14:paraId="69EB1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742" w:type="dxa"/>
            <w:noWrap w:val="0"/>
            <w:vAlign w:val="center"/>
          </w:tcPr>
          <w:p w14:paraId="23F7AA05">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498" w:type="dxa"/>
            <w:noWrap w:val="0"/>
            <w:vAlign w:val="center"/>
          </w:tcPr>
          <w:p w14:paraId="01864649">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860" w:type="dxa"/>
            <w:noWrap w:val="0"/>
            <w:vAlign w:val="center"/>
          </w:tcPr>
          <w:p w14:paraId="0CEEAD7F">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276" w:type="dxa"/>
            <w:noWrap w:val="0"/>
            <w:vAlign w:val="center"/>
          </w:tcPr>
          <w:p w14:paraId="28E3F371">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418" w:type="dxa"/>
            <w:noWrap w:val="0"/>
            <w:vAlign w:val="center"/>
          </w:tcPr>
          <w:p w14:paraId="586E244D">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990" w:type="dxa"/>
            <w:noWrap w:val="0"/>
            <w:vAlign w:val="center"/>
          </w:tcPr>
          <w:p w14:paraId="70AC5A04">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712" w:type="dxa"/>
            <w:noWrap w:val="0"/>
            <w:vAlign w:val="center"/>
          </w:tcPr>
          <w:p w14:paraId="04A82AE9">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r>
      <w:tr w14:paraId="55E05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742" w:type="dxa"/>
            <w:noWrap w:val="0"/>
            <w:vAlign w:val="center"/>
          </w:tcPr>
          <w:p w14:paraId="3627F366">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498" w:type="dxa"/>
            <w:noWrap w:val="0"/>
            <w:vAlign w:val="center"/>
          </w:tcPr>
          <w:p w14:paraId="21860676">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860" w:type="dxa"/>
            <w:noWrap w:val="0"/>
            <w:vAlign w:val="center"/>
          </w:tcPr>
          <w:p w14:paraId="79BD7DC1">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276" w:type="dxa"/>
            <w:noWrap w:val="0"/>
            <w:vAlign w:val="center"/>
          </w:tcPr>
          <w:p w14:paraId="317FE012">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418" w:type="dxa"/>
            <w:noWrap w:val="0"/>
            <w:vAlign w:val="center"/>
          </w:tcPr>
          <w:p w14:paraId="60809891">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990" w:type="dxa"/>
            <w:noWrap w:val="0"/>
            <w:vAlign w:val="center"/>
          </w:tcPr>
          <w:p w14:paraId="7CD6F915">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712" w:type="dxa"/>
            <w:noWrap w:val="0"/>
            <w:vAlign w:val="center"/>
          </w:tcPr>
          <w:p w14:paraId="408B7320">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r>
      <w:tr w14:paraId="25A32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742" w:type="dxa"/>
            <w:noWrap w:val="0"/>
            <w:vAlign w:val="center"/>
          </w:tcPr>
          <w:p w14:paraId="5D07690E">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498" w:type="dxa"/>
            <w:noWrap w:val="0"/>
            <w:vAlign w:val="center"/>
          </w:tcPr>
          <w:p w14:paraId="66E89063">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860" w:type="dxa"/>
            <w:noWrap w:val="0"/>
            <w:vAlign w:val="center"/>
          </w:tcPr>
          <w:p w14:paraId="6DF47567">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276" w:type="dxa"/>
            <w:noWrap w:val="0"/>
            <w:vAlign w:val="center"/>
          </w:tcPr>
          <w:p w14:paraId="585AE998">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418" w:type="dxa"/>
            <w:noWrap w:val="0"/>
            <w:vAlign w:val="center"/>
          </w:tcPr>
          <w:p w14:paraId="6A0C730C">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990" w:type="dxa"/>
            <w:noWrap w:val="0"/>
            <w:vAlign w:val="center"/>
          </w:tcPr>
          <w:p w14:paraId="64268D30">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712" w:type="dxa"/>
            <w:noWrap w:val="0"/>
            <w:vAlign w:val="center"/>
          </w:tcPr>
          <w:p w14:paraId="589A3AD5">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r>
      <w:tr w14:paraId="26A12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742" w:type="dxa"/>
            <w:noWrap w:val="0"/>
            <w:vAlign w:val="center"/>
          </w:tcPr>
          <w:p w14:paraId="6DBA4FD0">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498" w:type="dxa"/>
            <w:noWrap w:val="0"/>
            <w:vAlign w:val="center"/>
          </w:tcPr>
          <w:p w14:paraId="72AA04CB">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860" w:type="dxa"/>
            <w:noWrap w:val="0"/>
            <w:vAlign w:val="center"/>
          </w:tcPr>
          <w:p w14:paraId="40C4FA68">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276" w:type="dxa"/>
            <w:noWrap w:val="0"/>
            <w:vAlign w:val="center"/>
          </w:tcPr>
          <w:p w14:paraId="27B83B4A">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418" w:type="dxa"/>
            <w:noWrap w:val="0"/>
            <w:vAlign w:val="center"/>
          </w:tcPr>
          <w:p w14:paraId="23A9F339">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990" w:type="dxa"/>
            <w:noWrap w:val="0"/>
            <w:vAlign w:val="center"/>
          </w:tcPr>
          <w:p w14:paraId="26BCD828">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712" w:type="dxa"/>
            <w:noWrap w:val="0"/>
            <w:vAlign w:val="center"/>
          </w:tcPr>
          <w:p w14:paraId="4565A9B9">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r>
      <w:tr w14:paraId="5D0EC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742" w:type="dxa"/>
            <w:noWrap w:val="0"/>
            <w:vAlign w:val="center"/>
          </w:tcPr>
          <w:p w14:paraId="2FC9098F">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498" w:type="dxa"/>
            <w:noWrap w:val="0"/>
            <w:vAlign w:val="center"/>
          </w:tcPr>
          <w:p w14:paraId="1822D7D3">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860" w:type="dxa"/>
            <w:noWrap w:val="0"/>
            <w:vAlign w:val="center"/>
          </w:tcPr>
          <w:p w14:paraId="214AE3EC">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276" w:type="dxa"/>
            <w:noWrap w:val="0"/>
            <w:vAlign w:val="center"/>
          </w:tcPr>
          <w:p w14:paraId="2093DBA7">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418" w:type="dxa"/>
            <w:noWrap w:val="0"/>
            <w:vAlign w:val="center"/>
          </w:tcPr>
          <w:p w14:paraId="579BACF5">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990" w:type="dxa"/>
            <w:noWrap w:val="0"/>
            <w:vAlign w:val="center"/>
          </w:tcPr>
          <w:p w14:paraId="52383455">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712" w:type="dxa"/>
            <w:noWrap w:val="0"/>
            <w:vAlign w:val="center"/>
          </w:tcPr>
          <w:p w14:paraId="38ED55AD">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r>
      <w:tr w14:paraId="09788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742" w:type="dxa"/>
            <w:noWrap w:val="0"/>
            <w:vAlign w:val="center"/>
          </w:tcPr>
          <w:p w14:paraId="6328703B">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498" w:type="dxa"/>
            <w:noWrap w:val="0"/>
            <w:vAlign w:val="center"/>
          </w:tcPr>
          <w:p w14:paraId="08950B68">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860" w:type="dxa"/>
            <w:noWrap w:val="0"/>
            <w:vAlign w:val="center"/>
          </w:tcPr>
          <w:p w14:paraId="6FCD2844">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276" w:type="dxa"/>
            <w:noWrap w:val="0"/>
            <w:vAlign w:val="center"/>
          </w:tcPr>
          <w:p w14:paraId="300D47A2">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418" w:type="dxa"/>
            <w:noWrap w:val="0"/>
            <w:vAlign w:val="center"/>
          </w:tcPr>
          <w:p w14:paraId="3252778F">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1990" w:type="dxa"/>
            <w:noWrap w:val="0"/>
            <w:vAlign w:val="center"/>
          </w:tcPr>
          <w:p w14:paraId="602FC4FA">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c>
          <w:tcPr>
            <w:tcW w:w="712" w:type="dxa"/>
            <w:noWrap w:val="0"/>
            <w:vAlign w:val="center"/>
          </w:tcPr>
          <w:p w14:paraId="796784FE">
            <w:pPr>
              <w:spacing w:line="360" w:lineRule="auto"/>
              <w:ind w:firstLine="0" w:firstLineChars="0"/>
              <w:jc w:val="center"/>
              <w:rPr>
                <w:rFonts w:hint="eastAsia" w:ascii="宋体" w:hAnsi="宋体" w:eastAsia="宋体" w:cs="宋体"/>
                <w:color w:val="auto"/>
                <w:sz w:val="24"/>
                <w:szCs w:val="24"/>
                <w:highlight w:val="none"/>
                <w:shd w:val="clear" w:color="auto" w:fill="FFFFFF"/>
                <w:lang w:bidi="ar"/>
              </w:rPr>
            </w:pPr>
          </w:p>
        </w:tc>
      </w:tr>
    </w:tbl>
    <w:p w14:paraId="28FB5EDC">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注：</w:t>
      </w:r>
      <w:r>
        <w:rPr>
          <w:rFonts w:hint="eastAsia" w:ascii="宋体" w:hAnsi="宋体" w:eastAsia="宋体" w:cs="宋体"/>
          <w:color w:val="auto"/>
          <w:sz w:val="24"/>
          <w:szCs w:val="24"/>
          <w:highlight w:val="none"/>
        </w:rPr>
        <w:t>具体年份要求为20</w:t>
      </w:r>
      <w:r>
        <w:rPr>
          <w:rFonts w:hint="eastAsia" w:ascii="宋体" w:hAnsi="宋体" w:eastAsia="宋体" w:cs="宋体"/>
          <w:color w:val="auto"/>
          <w:sz w:val="24"/>
          <w:szCs w:val="24"/>
          <w:highlight w:val="none"/>
          <w:lang w:val="en-US" w:eastAsia="zh-CN"/>
        </w:rPr>
        <w:t>2</w:t>
      </w:r>
      <w:r>
        <w:rPr>
          <w:rFonts w:hint="eastAsia"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年1月1日以来</w:t>
      </w:r>
      <w:r>
        <w:rPr>
          <w:rFonts w:hint="eastAsia" w:eastAsia="宋体" w:cs="宋体"/>
          <w:color w:val="auto"/>
          <w:sz w:val="24"/>
          <w:szCs w:val="24"/>
          <w:highlight w:val="none"/>
          <w:lang w:eastAsia="zh-CN"/>
        </w:rPr>
        <w:t>，</w:t>
      </w:r>
      <w:r>
        <w:rPr>
          <w:rFonts w:hint="eastAsia" w:ascii="宋体" w:hAnsi="宋体" w:eastAsia="宋体" w:cs="宋体"/>
          <w:color w:val="auto"/>
          <w:sz w:val="24"/>
          <w:szCs w:val="24"/>
          <w:highlight w:val="none"/>
        </w:rPr>
        <w:t>业绩应</w:t>
      </w:r>
      <w:r>
        <w:rPr>
          <w:rFonts w:hint="eastAsia" w:ascii="宋体" w:hAnsi="宋体" w:eastAsia="宋体" w:cs="宋体"/>
          <w:bCs/>
          <w:color w:val="auto"/>
          <w:sz w:val="24"/>
          <w:szCs w:val="24"/>
          <w:highlight w:val="none"/>
          <w:shd w:val="clear" w:color="auto" w:fill="auto"/>
        </w:rPr>
        <w:t>附合同</w:t>
      </w:r>
      <w:r>
        <w:rPr>
          <w:rFonts w:hint="eastAsia" w:ascii="宋体" w:hAnsi="宋体" w:eastAsia="宋体" w:cs="宋体"/>
          <w:bCs/>
          <w:color w:val="auto"/>
          <w:sz w:val="24"/>
          <w:szCs w:val="24"/>
          <w:highlight w:val="none"/>
          <w:shd w:val="clear" w:color="auto" w:fill="auto"/>
          <w:lang w:val="en-US" w:eastAsia="zh-CN"/>
        </w:rPr>
        <w:t>关键页或中标（成交）通知书</w:t>
      </w:r>
      <w:r>
        <w:rPr>
          <w:rFonts w:hint="eastAsia" w:ascii="宋体" w:hAnsi="宋体" w:eastAsia="宋体" w:cs="宋体"/>
          <w:bCs/>
          <w:color w:val="auto"/>
          <w:sz w:val="24"/>
          <w:szCs w:val="24"/>
          <w:highlight w:val="none"/>
          <w:shd w:val="clear" w:color="auto" w:fill="auto"/>
        </w:rPr>
        <w:t>原件扫描件</w:t>
      </w:r>
      <w:r>
        <w:rPr>
          <w:rFonts w:hint="eastAsia" w:ascii="宋体" w:hAnsi="宋体" w:eastAsia="宋体" w:cs="宋体"/>
          <w:color w:val="auto"/>
          <w:sz w:val="24"/>
          <w:szCs w:val="24"/>
          <w:highlight w:val="none"/>
        </w:rPr>
        <w:t>。每张表格只填写一个项目，并标明序号。</w:t>
      </w:r>
    </w:p>
    <w:p w14:paraId="3C3C3396">
      <w:pPr>
        <w:spacing w:line="360" w:lineRule="auto"/>
        <w:ind w:firstLine="480" w:firstLineChars="0"/>
        <w:jc w:val="both"/>
        <w:rPr>
          <w:rFonts w:hint="eastAsia" w:ascii="宋体" w:hAnsi="宋体" w:eastAsia="宋体" w:cs="宋体"/>
          <w:color w:val="auto"/>
          <w:sz w:val="24"/>
          <w:szCs w:val="24"/>
          <w:highlight w:val="none"/>
        </w:rPr>
      </w:pPr>
    </w:p>
    <w:p w14:paraId="68A85664">
      <w:pPr>
        <w:spacing w:line="360" w:lineRule="auto"/>
        <w:ind w:firstLine="4080" w:firstLineChars="1700"/>
        <w:jc w:val="both"/>
        <w:rPr>
          <w:rFonts w:hint="eastAsia" w:ascii="宋体" w:hAnsi="宋体" w:eastAsia="宋体" w:cs="宋体"/>
          <w:color w:val="auto"/>
          <w:sz w:val="24"/>
          <w:szCs w:val="24"/>
          <w:highlight w:val="none"/>
          <w:shd w:val="clear" w:color="auto" w:fill="FFFFFF"/>
          <w:lang w:bidi="ar"/>
        </w:rPr>
      </w:pPr>
      <w:r>
        <w:rPr>
          <w:rFonts w:hint="eastAsia" w:eastAsia="宋体" w:cs="宋体"/>
          <w:color w:val="auto"/>
          <w:sz w:val="24"/>
          <w:szCs w:val="24"/>
          <w:highlight w:val="none"/>
          <w:shd w:val="clear" w:color="auto" w:fill="FFFFFF"/>
          <w:lang w:eastAsia="zh-CN" w:bidi="ar"/>
        </w:rPr>
        <w:t>响应人</w:t>
      </w:r>
      <w:r>
        <w:rPr>
          <w:rFonts w:hint="eastAsia" w:ascii="宋体" w:hAnsi="宋体" w:eastAsia="宋体" w:cs="宋体"/>
          <w:color w:val="auto"/>
          <w:sz w:val="24"/>
          <w:szCs w:val="24"/>
          <w:highlight w:val="none"/>
          <w:shd w:val="clear" w:color="auto" w:fill="FFFFFF"/>
          <w:lang w:bidi="ar"/>
        </w:rPr>
        <w:t>：</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w:t>
      </w:r>
      <w:r>
        <w:rPr>
          <w:rFonts w:hint="eastAsia" w:ascii="宋体" w:hAnsi="宋体" w:eastAsia="宋体" w:cs="宋体"/>
          <w:color w:val="auto"/>
          <w:sz w:val="24"/>
          <w:szCs w:val="24"/>
          <w:highlight w:val="none"/>
          <w:shd w:val="clear" w:color="auto" w:fill="FFFFFF"/>
          <w:lang w:eastAsia="zh-CN" w:bidi="ar"/>
        </w:rPr>
        <w:t>单位电子公章</w:t>
      </w:r>
      <w:r>
        <w:rPr>
          <w:rFonts w:hint="eastAsia" w:ascii="宋体" w:hAnsi="宋体" w:eastAsia="宋体" w:cs="宋体"/>
          <w:color w:val="auto"/>
          <w:sz w:val="24"/>
          <w:szCs w:val="24"/>
          <w:highlight w:val="none"/>
          <w:shd w:val="clear" w:color="auto" w:fill="FFFFFF"/>
          <w:lang w:bidi="ar"/>
        </w:rPr>
        <w:t xml:space="preserve">) </w:t>
      </w:r>
    </w:p>
    <w:p w14:paraId="3A55BB99">
      <w:pPr>
        <w:spacing w:line="360" w:lineRule="auto"/>
        <w:ind w:firstLine="4080" w:firstLineChars="170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法定代表人 ：</w:t>
      </w:r>
      <w:r>
        <w:rPr>
          <w:rFonts w:hint="eastAsia" w:ascii="宋体" w:hAnsi="宋体" w:eastAsia="宋体" w:cs="宋体"/>
          <w:color w:val="auto"/>
          <w:sz w:val="24"/>
          <w:szCs w:val="24"/>
          <w:highlight w:val="none"/>
          <w:u w:val="single"/>
          <w:shd w:val="clear" w:color="auto" w:fill="FFFFFF"/>
          <w:lang w:bidi="ar"/>
        </w:rPr>
        <w:t xml:space="preserve">  </w:t>
      </w:r>
      <w:r>
        <w:rPr>
          <w:rFonts w:hint="eastAsia" w:eastAsia="宋体" w:cs="宋体"/>
          <w:color w:val="auto"/>
          <w:sz w:val="24"/>
          <w:szCs w:val="24"/>
          <w:highlight w:val="none"/>
          <w:u w:val="single"/>
          <w:shd w:val="clear" w:color="auto" w:fill="FFFFFF"/>
          <w:lang w:val="en-US" w:eastAsia="zh-CN" w:bidi="ar"/>
        </w:rPr>
        <w:t xml:space="preserve">           </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 xml:space="preserve">(法人电子签章) </w:t>
      </w:r>
    </w:p>
    <w:p w14:paraId="47E00B32">
      <w:pPr>
        <w:spacing w:line="360" w:lineRule="auto"/>
        <w:ind w:firstLine="4080" w:firstLineChars="170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日       期：</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 xml:space="preserve">年 </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月</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日</w:t>
      </w:r>
    </w:p>
    <w:p w14:paraId="58972B61">
      <w:pPr>
        <w:spacing w:line="360" w:lineRule="auto"/>
        <w:ind w:firstLine="480" w:firstLineChars="0"/>
        <w:jc w:val="both"/>
        <w:rPr>
          <w:rFonts w:hint="eastAsia" w:ascii="宋体" w:hAnsi="宋体" w:eastAsia="宋体" w:cs="宋体"/>
          <w:color w:val="auto"/>
          <w:sz w:val="24"/>
          <w:szCs w:val="24"/>
          <w:highlight w:val="none"/>
        </w:rPr>
      </w:pPr>
    </w:p>
    <w:p w14:paraId="2FC2558D">
      <w:pPr>
        <w:spacing w:line="360" w:lineRule="auto"/>
        <w:ind w:firstLine="480" w:firstLineChars="0"/>
        <w:jc w:val="both"/>
        <w:rPr>
          <w:rFonts w:hint="eastAsia" w:ascii="宋体" w:hAnsi="宋体" w:eastAsia="宋体" w:cs="宋体"/>
          <w:color w:val="auto"/>
          <w:sz w:val="24"/>
          <w:szCs w:val="24"/>
          <w:highlight w:val="none"/>
        </w:rPr>
      </w:pPr>
    </w:p>
    <w:p w14:paraId="37322E18">
      <w:pPr>
        <w:spacing w:line="360" w:lineRule="auto"/>
        <w:ind w:firstLine="480" w:firstLineChars="0"/>
        <w:jc w:val="both"/>
        <w:rPr>
          <w:rFonts w:hint="eastAsia" w:ascii="宋体" w:hAnsi="宋体" w:eastAsia="宋体" w:cs="宋体"/>
          <w:color w:val="auto"/>
          <w:sz w:val="24"/>
          <w:szCs w:val="24"/>
          <w:highlight w:val="none"/>
        </w:rPr>
      </w:pPr>
    </w:p>
    <w:p w14:paraId="208EED84">
      <w:pPr>
        <w:pStyle w:val="3"/>
        <w:spacing w:line="360" w:lineRule="auto"/>
        <w:ind w:left="0" w:firstLine="0" w:firstLineChars="0"/>
        <w:outlineLvl w:val="9"/>
        <w:rPr>
          <w:rFonts w:hint="eastAsia" w:ascii="宋体" w:hAnsi="宋体" w:eastAsia="宋体" w:cs="宋体"/>
          <w:color w:val="auto"/>
          <w:sz w:val="24"/>
          <w:szCs w:val="24"/>
          <w:highlight w:val="none"/>
        </w:rPr>
      </w:pPr>
      <w:bookmarkStart w:id="121" w:name="_Toc96965865"/>
    </w:p>
    <w:p w14:paraId="51A9194C">
      <w:pPr>
        <w:pStyle w:val="3"/>
        <w:spacing w:line="360" w:lineRule="auto"/>
        <w:ind w:left="0" w:firstLine="0" w:firstLineChars="0"/>
        <w:jc w:val="center"/>
        <w:rPr>
          <w:rFonts w:hint="eastAsia" w:ascii="宋体" w:hAnsi="宋体" w:eastAsia="宋体" w:cs="宋体"/>
          <w:color w:val="auto"/>
          <w:sz w:val="24"/>
          <w:szCs w:val="24"/>
          <w:highlight w:val="none"/>
        </w:rPr>
      </w:pPr>
      <w:bookmarkStart w:id="122" w:name="_Toc2314"/>
      <w:r>
        <w:rPr>
          <w:rFonts w:hint="eastAsia" w:ascii="宋体" w:hAnsi="宋体" w:eastAsia="宋体" w:cs="宋体"/>
          <w:color w:val="auto"/>
          <w:sz w:val="24"/>
          <w:szCs w:val="24"/>
          <w:highlight w:val="none"/>
        </w:rPr>
        <w:br w:type="page"/>
      </w:r>
    </w:p>
    <w:p w14:paraId="68228A7F">
      <w:pPr>
        <w:pStyle w:val="3"/>
        <w:spacing w:line="36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bidi="zh-CN"/>
        </w:rPr>
        <w:t>（</w:t>
      </w:r>
      <w:r>
        <w:rPr>
          <w:rFonts w:hint="eastAsia" w:cs="宋体"/>
          <w:b/>
          <w:bCs/>
          <w:color w:val="auto"/>
          <w:sz w:val="24"/>
          <w:szCs w:val="24"/>
          <w:highlight w:val="none"/>
          <w:lang w:val="en-US" w:eastAsia="zh-CN" w:bidi="zh-CN"/>
        </w:rPr>
        <w:t>三</w:t>
      </w:r>
      <w:r>
        <w:rPr>
          <w:rFonts w:hint="eastAsia" w:ascii="宋体" w:hAnsi="宋体" w:eastAsia="宋体" w:cs="宋体"/>
          <w:b/>
          <w:bCs/>
          <w:color w:val="auto"/>
          <w:sz w:val="24"/>
          <w:szCs w:val="24"/>
          <w:highlight w:val="none"/>
          <w:lang w:val="en-US" w:eastAsia="zh-CN" w:bidi="zh-CN"/>
        </w:rPr>
        <w:t>）</w:t>
      </w:r>
      <w:r>
        <w:rPr>
          <w:rFonts w:hint="eastAsia" w:ascii="宋体" w:hAnsi="宋体" w:eastAsia="宋体" w:cs="宋体"/>
          <w:b/>
          <w:bCs/>
          <w:color w:val="auto"/>
          <w:sz w:val="24"/>
          <w:szCs w:val="24"/>
          <w:highlight w:val="none"/>
        </w:rPr>
        <w:t>符合《中华人民共和国政府采</w:t>
      </w:r>
      <w:r>
        <w:rPr>
          <w:rFonts w:hint="eastAsia" w:ascii="宋体" w:hAnsi="宋体" w:eastAsia="宋体" w:cs="宋体"/>
          <w:color w:val="auto"/>
          <w:sz w:val="24"/>
          <w:szCs w:val="24"/>
          <w:highlight w:val="none"/>
        </w:rPr>
        <w:t>购法》第二十二条规定的资格声明承诺函</w:t>
      </w:r>
    </w:p>
    <w:p w14:paraId="0858B48C">
      <w:pPr>
        <w:spacing w:line="360" w:lineRule="auto"/>
        <w:ind w:firstLine="708" w:firstLineChars="295"/>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我方符合《中华人民共和国政府采购法》二十二条规定的资格条件：</w:t>
      </w:r>
    </w:p>
    <w:p w14:paraId="556190A7">
      <w:pPr>
        <w:spacing w:line="360" w:lineRule="auto"/>
        <w:ind w:firstLine="708" w:firstLineChars="295"/>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1.具有独立承担民事责任的能力； </w:t>
      </w:r>
    </w:p>
    <w:p w14:paraId="38A78ACA">
      <w:pPr>
        <w:spacing w:line="360" w:lineRule="auto"/>
        <w:ind w:firstLine="708" w:firstLineChars="295"/>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2.具有良好的商业信誉和健全的财务会计制度； </w:t>
      </w:r>
    </w:p>
    <w:p w14:paraId="2C7C3433">
      <w:pPr>
        <w:spacing w:line="360" w:lineRule="auto"/>
        <w:ind w:firstLine="708" w:firstLineChars="295"/>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3.具有履行合同所必需的设备和专业技术能力； </w:t>
      </w:r>
    </w:p>
    <w:p w14:paraId="474F700F">
      <w:pPr>
        <w:spacing w:line="360" w:lineRule="auto"/>
        <w:ind w:firstLine="708" w:firstLineChars="295"/>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4.有依法缴纳税收和社会保障资金的良好记录； </w:t>
      </w:r>
    </w:p>
    <w:p w14:paraId="69B5F6A2">
      <w:pPr>
        <w:spacing w:line="360" w:lineRule="auto"/>
        <w:ind w:firstLine="708" w:firstLineChars="295"/>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5.参加政府采购活动前三年内，在经营活动中没有重大违法记录； </w:t>
      </w:r>
    </w:p>
    <w:p w14:paraId="384D27A0">
      <w:pPr>
        <w:spacing w:line="360" w:lineRule="auto"/>
        <w:ind w:firstLine="708" w:firstLineChars="295"/>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6.法律、行政法规规定的其他条件。</w:t>
      </w:r>
    </w:p>
    <w:p w14:paraId="6C9DF13B">
      <w:pPr>
        <w:spacing w:line="360" w:lineRule="auto"/>
        <w:ind w:firstLine="708" w:firstLineChars="295"/>
        <w:jc w:val="both"/>
        <w:rPr>
          <w:rFonts w:hint="eastAsia" w:ascii="宋体" w:hAnsi="宋体" w:eastAsia="宋体" w:cs="宋体"/>
          <w:color w:val="auto"/>
          <w:sz w:val="24"/>
          <w:szCs w:val="24"/>
          <w:highlight w:val="none"/>
        </w:rPr>
      </w:pPr>
    </w:p>
    <w:p w14:paraId="2F3B7D89">
      <w:pPr>
        <w:spacing w:line="360" w:lineRule="auto"/>
        <w:ind w:firstLine="708" w:firstLineChars="295"/>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特此承诺！</w:t>
      </w:r>
    </w:p>
    <w:p w14:paraId="50423557">
      <w:pPr>
        <w:spacing w:line="360" w:lineRule="auto"/>
        <w:ind w:firstLine="4080" w:firstLineChars="1700"/>
        <w:jc w:val="both"/>
        <w:rPr>
          <w:rFonts w:hint="eastAsia" w:ascii="宋体" w:hAnsi="宋体" w:eastAsia="宋体" w:cs="宋体"/>
          <w:color w:val="auto"/>
          <w:sz w:val="24"/>
          <w:szCs w:val="24"/>
          <w:highlight w:val="none"/>
          <w:shd w:val="clear" w:color="auto" w:fill="FFFFFF"/>
          <w:lang w:bidi="ar"/>
        </w:rPr>
      </w:pPr>
      <w:r>
        <w:rPr>
          <w:rFonts w:hint="eastAsia" w:eastAsia="宋体" w:cs="宋体"/>
          <w:color w:val="auto"/>
          <w:sz w:val="24"/>
          <w:szCs w:val="24"/>
          <w:highlight w:val="none"/>
          <w:shd w:val="clear" w:color="auto" w:fill="FFFFFF"/>
          <w:lang w:eastAsia="zh-CN" w:bidi="ar"/>
        </w:rPr>
        <w:t>响应人</w:t>
      </w:r>
      <w:r>
        <w:rPr>
          <w:rFonts w:hint="eastAsia" w:ascii="宋体" w:hAnsi="宋体" w:eastAsia="宋体" w:cs="宋体"/>
          <w:color w:val="auto"/>
          <w:sz w:val="24"/>
          <w:szCs w:val="24"/>
          <w:highlight w:val="none"/>
          <w:shd w:val="clear" w:color="auto" w:fill="FFFFFF"/>
          <w:lang w:bidi="ar"/>
        </w:rPr>
        <w:t>：</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w:t>
      </w:r>
      <w:r>
        <w:rPr>
          <w:rFonts w:hint="eastAsia" w:ascii="宋体" w:hAnsi="宋体" w:eastAsia="宋体" w:cs="宋体"/>
          <w:color w:val="auto"/>
          <w:sz w:val="24"/>
          <w:szCs w:val="24"/>
          <w:highlight w:val="none"/>
          <w:shd w:val="clear" w:color="auto" w:fill="FFFFFF"/>
          <w:lang w:eastAsia="zh-CN" w:bidi="ar"/>
        </w:rPr>
        <w:t>单位电子公章</w:t>
      </w:r>
      <w:r>
        <w:rPr>
          <w:rFonts w:hint="eastAsia" w:ascii="宋体" w:hAnsi="宋体" w:eastAsia="宋体" w:cs="宋体"/>
          <w:color w:val="auto"/>
          <w:sz w:val="24"/>
          <w:szCs w:val="24"/>
          <w:highlight w:val="none"/>
          <w:shd w:val="clear" w:color="auto" w:fill="FFFFFF"/>
          <w:lang w:bidi="ar"/>
        </w:rPr>
        <w:t xml:space="preserve">) </w:t>
      </w:r>
    </w:p>
    <w:p w14:paraId="09AA5B49">
      <w:pPr>
        <w:spacing w:line="360" w:lineRule="auto"/>
        <w:ind w:firstLine="4080" w:firstLineChars="170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法定代表人 ：</w:t>
      </w:r>
      <w:r>
        <w:rPr>
          <w:rFonts w:hint="eastAsia" w:ascii="宋体" w:hAnsi="宋体" w:eastAsia="宋体" w:cs="宋体"/>
          <w:color w:val="auto"/>
          <w:sz w:val="24"/>
          <w:szCs w:val="24"/>
          <w:highlight w:val="none"/>
          <w:u w:val="single"/>
          <w:shd w:val="clear" w:color="auto" w:fill="FFFFFF"/>
          <w:lang w:bidi="ar"/>
        </w:rPr>
        <w:t xml:space="preserve">  </w:t>
      </w:r>
      <w:r>
        <w:rPr>
          <w:rFonts w:hint="eastAsia" w:eastAsia="宋体" w:cs="宋体"/>
          <w:color w:val="auto"/>
          <w:sz w:val="24"/>
          <w:szCs w:val="24"/>
          <w:highlight w:val="none"/>
          <w:u w:val="single"/>
          <w:shd w:val="clear" w:color="auto" w:fill="FFFFFF"/>
          <w:lang w:val="en-US" w:eastAsia="zh-CN" w:bidi="ar"/>
        </w:rPr>
        <w:t xml:space="preserve">          </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 xml:space="preserve">(法人电子签章) </w:t>
      </w:r>
    </w:p>
    <w:p w14:paraId="52CED5B1">
      <w:pPr>
        <w:spacing w:line="360" w:lineRule="auto"/>
        <w:ind w:firstLine="4080" w:firstLineChars="170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日       期：</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 xml:space="preserve">年 </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月</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日</w:t>
      </w:r>
    </w:p>
    <w:p w14:paraId="4A461E99">
      <w:pPr>
        <w:pStyle w:val="10"/>
        <w:rPr>
          <w:rFonts w:hint="default" w:ascii="宋体" w:hAnsi="宋体" w:eastAsia="宋体" w:cs="宋体"/>
          <w:b/>
          <w:bCs/>
          <w:color w:val="auto"/>
          <w:sz w:val="24"/>
          <w:szCs w:val="24"/>
          <w:highlight w:val="none"/>
          <w:lang w:val="en-US" w:eastAsia="zh-CN" w:bidi="zh-CN"/>
        </w:rPr>
      </w:pPr>
    </w:p>
    <w:p w14:paraId="36DEC5CA">
      <w:pPr>
        <w:keepNext w:val="0"/>
        <w:keepLines w:val="0"/>
        <w:pageBreakBefore w:val="0"/>
        <w:widowControl w:val="0"/>
        <w:numPr>
          <w:ilvl w:val="0"/>
          <w:numId w:val="0"/>
        </w:numPr>
        <w:kinsoku/>
        <w:wordWrap/>
        <w:overflowPunct/>
        <w:topLinePunct w:val="0"/>
        <w:autoSpaceDE w:val="0"/>
        <w:autoSpaceDN w:val="0"/>
        <w:bidi w:val="0"/>
        <w:adjustRightInd/>
        <w:snapToGrid w:val="0"/>
        <w:spacing w:line="360" w:lineRule="auto"/>
        <w:jc w:val="left"/>
        <w:textAlignment w:val="auto"/>
        <w:outlineLvl w:val="9"/>
        <w:rPr>
          <w:rFonts w:hint="eastAsia"/>
          <w:b/>
          <w:bCs/>
          <w:color w:val="auto"/>
          <w:kern w:val="2"/>
          <w:sz w:val="24"/>
          <w:szCs w:val="24"/>
          <w:highlight w:val="none"/>
        </w:rPr>
      </w:pPr>
      <w:r>
        <w:rPr>
          <w:rFonts w:hint="eastAsia"/>
          <w:b/>
          <w:bCs/>
          <w:color w:val="auto"/>
          <w:kern w:val="2"/>
          <w:sz w:val="24"/>
          <w:szCs w:val="24"/>
          <w:highlight w:val="none"/>
          <w:lang w:eastAsia="zh-CN"/>
        </w:rPr>
        <w:t>（</w:t>
      </w:r>
      <w:r>
        <w:rPr>
          <w:rFonts w:hint="eastAsia"/>
          <w:b/>
          <w:bCs/>
          <w:color w:val="auto"/>
          <w:kern w:val="2"/>
          <w:sz w:val="24"/>
          <w:szCs w:val="24"/>
          <w:highlight w:val="none"/>
          <w:lang w:val="en-US" w:eastAsia="zh-CN"/>
        </w:rPr>
        <w:t>四）</w:t>
      </w:r>
      <w:r>
        <w:rPr>
          <w:rFonts w:hint="eastAsia"/>
          <w:b/>
          <w:bCs/>
          <w:color w:val="auto"/>
          <w:kern w:val="2"/>
          <w:sz w:val="24"/>
          <w:szCs w:val="24"/>
          <w:highlight w:val="none"/>
          <w:lang w:eastAsia="zh-CN"/>
        </w:rPr>
        <w:t>具有履行合同所必需的设备和专业技术能力（自行作出承诺，格式自拟）</w:t>
      </w:r>
    </w:p>
    <w:p w14:paraId="1F3D5089">
      <w:pPr>
        <w:pStyle w:val="3"/>
        <w:spacing w:line="36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cs="宋体"/>
          <w:color w:val="auto"/>
          <w:sz w:val="24"/>
          <w:szCs w:val="24"/>
          <w:highlight w:val="none"/>
          <w:lang w:val="en-US" w:eastAsia="zh-CN"/>
        </w:rPr>
        <w:t>五</w:t>
      </w:r>
      <w:r>
        <w:rPr>
          <w:rFonts w:hint="eastAsia" w:ascii="宋体" w:hAnsi="宋体" w:eastAsia="宋体" w:cs="宋体"/>
          <w:color w:val="auto"/>
          <w:sz w:val="24"/>
          <w:szCs w:val="24"/>
          <w:highlight w:val="none"/>
        </w:rPr>
        <w:t>）</w:t>
      </w:r>
      <w:bookmarkEnd w:id="121"/>
      <w:r>
        <w:rPr>
          <w:rFonts w:hint="eastAsia" w:ascii="宋体" w:hAnsi="宋体" w:eastAsia="宋体" w:cs="宋体"/>
          <w:color w:val="auto"/>
          <w:sz w:val="24"/>
          <w:szCs w:val="24"/>
          <w:highlight w:val="none"/>
        </w:rPr>
        <w:t>无商业贿赂及不正当竞争行为承诺书</w:t>
      </w:r>
      <w:bookmarkEnd w:id="122"/>
    </w:p>
    <w:p w14:paraId="251622AE">
      <w:pPr>
        <w:pStyle w:val="3"/>
        <w:numPr>
          <w:ilvl w:val="0"/>
          <w:numId w:val="0"/>
        </w:numPr>
        <w:spacing w:line="360" w:lineRule="auto"/>
        <w:ind w:left="0" w:leftChars="0" w:firstLine="0" w:firstLineChars="0"/>
        <w:jc w:val="left"/>
        <w:rPr>
          <w:rFonts w:hint="eastAsia" w:ascii="宋体" w:hAnsi="宋体" w:eastAsia="宋体" w:cs="宋体"/>
          <w:b/>
          <w:bCs/>
          <w:color w:val="auto"/>
          <w:sz w:val="24"/>
          <w:szCs w:val="24"/>
          <w:highlight w:val="none"/>
        </w:rPr>
      </w:pPr>
      <w:bookmarkStart w:id="123" w:name="_Toc96965868"/>
      <w:bookmarkStart w:id="124" w:name="_Toc2249"/>
      <w:r>
        <w:rPr>
          <w:rFonts w:hint="eastAsia" w:ascii="宋体" w:hAnsi="宋体" w:eastAsia="宋体" w:cs="宋体"/>
          <w:b/>
          <w:bCs/>
          <w:color w:val="auto"/>
          <w:sz w:val="24"/>
          <w:szCs w:val="24"/>
          <w:highlight w:val="none"/>
        </w:rPr>
        <w:t>（</w:t>
      </w:r>
      <w:r>
        <w:rPr>
          <w:rFonts w:hint="eastAsia" w:cs="宋体"/>
          <w:b/>
          <w:bCs/>
          <w:color w:val="auto"/>
          <w:sz w:val="24"/>
          <w:szCs w:val="24"/>
          <w:highlight w:val="none"/>
          <w:lang w:val="en-US" w:eastAsia="zh-CN"/>
        </w:rPr>
        <w:t>六</w:t>
      </w:r>
      <w:r>
        <w:rPr>
          <w:rFonts w:hint="eastAsia" w:ascii="宋体" w:hAnsi="宋体" w:eastAsia="宋体" w:cs="宋体"/>
          <w:b/>
          <w:bCs/>
          <w:color w:val="auto"/>
          <w:sz w:val="24"/>
          <w:szCs w:val="24"/>
          <w:highlight w:val="none"/>
        </w:rPr>
        <w:t>）信用查询证明</w:t>
      </w:r>
      <w:bookmarkStart w:id="125" w:name="_Toc28759"/>
      <w:bookmarkStart w:id="126" w:name="_Toc96965867"/>
    </w:p>
    <w:p w14:paraId="6C7233B3">
      <w:pPr>
        <w:pStyle w:val="3"/>
        <w:spacing w:line="360" w:lineRule="auto"/>
        <w:ind w:left="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七）单位负责人为同一人或者存在直接控股、管理关系的不同供应商，不得参加同一合同项下的采购活动；（提供“国家企业信用信息公示系统”中查询打印的相关信息并加盖公章或响应人自行出具的承诺书，查询信息需包含公司基本信息、股东信息及股权变更信息等相关信息，查询时间自公告发布之日起至投标截止时间止）</w:t>
      </w:r>
    </w:p>
    <w:p w14:paraId="21C56C3F">
      <w:pPr>
        <w:pStyle w:val="3"/>
        <w:spacing w:line="360" w:lineRule="auto"/>
        <w:ind w:left="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（八）非联合体承诺书</w:t>
      </w:r>
    </w:p>
    <w:p w14:paraId="42C1AEEB">
      <w:pPr>
        <w:jc w:val="left"/>
        <w:rPr>
          <w:rFonts w:hint="default"/>
          <w:color w:val="auto"/>
          <w:highlight w:val="none"/>
          <w:lang w:val="en-US" w:eastAsia="zh-CN"/>
        </w:rPr>
      </w:pPr>
    </w:p>
    <w:bookmarkEnd w:id="123"/>
    <w:bookmarkEnd w:id="124"/>
    <w:bookmarkEnd w:id="125"/>
    <w:bookmarkEnd w:id="126"/>
    <w:p w14:paraId="79F9F125">
      <w:pPr>
        <w:pStyle w:val="14"/>
        <w:spacing w:line="360" w:lineRule="auto"/>
        <w:ind w:firstLine="480"/>
        <w:jc w:val="left"/>
        <w:rPr>
          <w:rFonts w:hint="eastAsia" w:ascii="宋体" w:hAnsi="宋体" w:eastAsia="宋体" w:cs="宋体"/>
          <w:color w:val="auto"/>
          <w:sz w:val="24"/>
          <w:szCs w:val="24"/>
          <w:highlight w:val="none"/>
          <w:lang w:bidi="ar"/>
        </w:rPr>
      </w:pPr>
    </w:p>
    <w:p w14:paraId="3C81582A">
      <w:pPr>
        <w:spacing w:line="360" w:lineRule="auto"/>
        <w:ind w:left="0" w:leftChars="0" w:firstLine="0" w:firstLineChars="0"/>
        <w:jc w:val="center"/>
        <w:outlineLvl w:val="1"/>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val="en-US" w:eastAsia="zh-CN"/>
        </w:rPr>
        <w:br w:type="page"/>
      </w:r>
      <w:r>
        <w:rPr>
          <w:rFonts w:hint="eastAsia" w:ascii="宋体" w:hAnsi="宋体" w:eastAsia="宋体" w:cs="宋体"/>
          <w:b/>
          <w:bCs/>
          <w:color w:val="auto"/>
          <w:sz w:val="24"/>
          <w:szCs w:val="24"/>
          <w:highlight w:val="none"/>
          <w:lang w:val="en-US" w:eastAsia="zh-CN"/>
        </w:rPr>
        <w:t>七</w:t>
      </w:r>
      <w:r>
        <w:rPr>
          <w:rFonts w:hint="eastAsia" w:ascii="宋体" w:hAnsi="宋体" w:eastAsia="宋体" w:cs="宋体"/>
          <w:b/>
          <w:bCs/>
          <w:color w:val="auto"/>
          <w:sz w:val="24"/>
          <w:szCs w:val="24"/>
          <w:highlight w:val="none"/>
        </w:rPr>
        <w:t>、</w:t>
      </w:r>
      <w:r>
        <w:rPr>
          <w:rFonts w:hint="eastAsia" w:eastAsia="宋体" w:cs="宋体"/>
          <w:b/>
          <w:bCs/>
          <w:color w:val="auto"/>
          <w:sz w:val="24"/>
          <w:szCs w:val="24"/>
          <w:highlight w:val="none"/>
          <w:lang w:eastAsia="zh-CN"/>
        </w:rPr>
        <w:t>项目实施方案</w:t>
      </w:r>
    </w:p>
    <w:p w14:paraId="18846BE2">
      <w:pPr>
        <w:pStyle w:val="14"/>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响应人</w:t>
      </w:r>
      <w:r>
        <w:rPr>
          <w:rFonts w:hint="eastAsia" w:ascii="宋体" w:hAnsi="宋体" w:eastAsia="宋体" w:cs="宋体"/>
          <w:color w:val="auto"/>
          <w:sz w:val="24"/>
          <w:szCs w:val="24"/>
          <w:highlight w:val="none"/>
        </w:rPr>
        <w:t>根据</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评审细则，自行编拟。</w:t>
      </w:r>
    </w:p>
    <w:p w14:paraId="037C8B10">
      <w:pPr>
        <w:spacing w:line="360" w:lineRule="auto"/>
        <w:ind w:firstLine="480"/>
        <w:rPr>
          <w:rFonts w:hint="eastAsia" w:ascii="宋体" w:hAnsi="宋体" w:eastAsia="宋体" w:cs="宋体"/>
          <w:color w:val="auto"/>
          <w:sz w:val="24"/>
          <w:szCs w:val="24"/>
          <w:highlight w:val="none"/>
          <w:lang w:bidi="ar"/>
        </w:rPr>
      </w:pPr>
    </w:p>
    <w:p w14:paraId="441E95EC">
      <w:pPr>
        <w:spacing w:line="360" w:lineRule="auto"/>
        <w:ind w:firstLine="480"/>
        <w:jc w:val="center"/>
        <w:outlineLvl w:val="1"/>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br w:type="page"/>
      </w:r>
      <w:bookmarkStart w:id="127" w:name="_Toc23335"/>
      <w:r>
        <w:rPr>
          <w:rFonts w:hint="eastAsia" w:ascii="宋体" w:hAnsi="宋体" w:eastAsia="宋体" w:cs="宋体"/>
          <w:b/>
          <w:bCs/>
          <w:color w:val="auto"/>
          <w:sz w:val="24"/>
          <w:szCs w:val="24"/>
          <w:highlight w:val="none"/>
          <w:lang w:val="en-US" w:eastAsia="zh-CN"/>
        </w:rPr>
        <w:t>八</w:t>
      </w:r>
      <w:r>
        <w:rPr>
          <w:rFonts w:hint="eastAsia" w:ascii="宋体" w:hAnsi="宋体" w:eastAsia="宋体" w:cs="宋体"/>
          <w:b/>
          <w:bCs/>
          <w:color w:val="auto"/>
          <w:sz w:val="24"/>
          <w:szCs w:val="24"/>
          <w:highlight w:val="none"/>
        </w:rPr>
        <w:t>、投标承诺函</w:t>
      </w:r>
      <w:bookmarkEnd w:id="127"/>
    </w:p>
    <w:p w14:paraId="06208DF9">
      <w:pPr>
        <w:spacing w:line="360" w:lineRule="auto"/>
        <w:jc w:val="both"/>
        <w:rPr>
          <w:rFonts w:hint="eastAsia" w:ascii="宋体" w:hAnsi="宋体" w:eastAsia="宋体" w:cs="宋体"/>
          <w:color w:val="auto"/>
          <w:sz w:val="24"/>
          <w:szCs w:val="24"/>
          <w:highlight w:val="none"/>
          <w:u w:val="single"/>
          <w:shd w:val="clear" w:color="auto" w:fill="FFFFFF"/>
          <w:lang w:bidi="ar"/>
        </w:rPr>
      </w:pPr>
      <w:r>
        <w:rPr>
          <w:rFonts w:hint="eastAsia" w:ascii="宋体" w:hAnsi="宋体" w:eastAsia="宋体" w:cs="宋体"/>
          <w:color w:val="auto"/>
          <w:sz w:val="24"/>
          <w:szCs w:val="24"/>
          <w:highlight w:val="none"/>
          <w:shd w:val="clear" w:color="auto" w:fill="FFFFFF"/>
          <w:lang w:bidi="ar"/>
        </w:rPr>
        <w:t>致：</w:t>
      </w:r>
      <w:r>
        <w:rPr>
          <w:rFonts w:hint="eastAsia" w:ascii="宋体" w:hAnsi="宋体" w:eastAsia="宋体" w:cs="宋体"/>
          <w:color w:val="auto"/>
          <w:sz w:val="24"/>
          <w:szCs w:val="24"/>
          <w:highlight w:val="none"/>
          <w:u w:val="single"/>
          <w:shd w:val="clear" w:color="auto" w:fill="FFFFFF"/>
          <w:lang w:bidi="ar"/>
        </w:rPr>
        <w:t>（采购人名称/代理机构名称）</w:t>
      </w:r>
      <w:r>
        <w:rPr>
          <w:rFonts w:hint="eastAsia" w:ascii="宋体" w:hAnsi="宋体" w:eastAsia="宋体" w:cs="宋体"/>
          <w:color w:val="auto"/>
          <w:sz w:val="24"/>
          <w:szCs w:val="24"/>
          <w:highlight w:val="none"/>
          <w:u w:val="single"/>
          <w:shd w:val="clear" w:color="auto" w:fill="FFFFFF"/>
          <w:lang w:bidi="ar"/>
        </w:rPr>
        <w:tab/>
      </w:r>
    </w:p>
    <w:p w14:paraId="7A0376CF">
      <w:pPr>
        <w:spacing w:line="360" w:lineRule="auto"/>
        <w:ind w:firstLine="48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我公司作为本次采购项目的</w:t>
      </w:r>
      <w:r>
        <w:rPr>
          <w:rFonts w:hint="eastAsia" w:eastAsia="宋体" w:cs="宋体"/>
          <w:color w:val="auto"/>
          <w:sz w:val="24"/>
          <w:szCs w:val="24"/>
          <w:highlight w:val="none"/>
          <w:shd w:val="clear" w:color="auto" w:fill="FFFFFF"/>
          <w:lang w:eastAsia="zh-CN" w:bidi="ar"/>
        </w:rPr>
        <w:t>响应人</w:t>
      </w:r>
      <w:r>
        <w:rPr>
          <w:rFonts w:hint="eastAsia" w:ascii="宋体" w:hAnsi="宋体" w:eastAsia="宋体" w:cs="宋体"/>
          <w:color w:val="auto"/>
          <w:sz w:val="24"/>
          <w:szCs w:val="24"/>
          <w:highlight w:val="none"/>
          <w:shd w:val="clear" w:color="auto" w:fill="FFFFFF"/>
          <w:lang w:bidi="ar"/>
        </w:rPr>
        <w:t>，根据</w:t>
      </w:r>
      <w:r>
        <w:rPr>
          <w:rFonts w:hint="eastAsia" w:ascii="宋体" w:hAnsi="宋体" w:eastAsia="宋体" w:cs="宋体"/>
          <w:color w:val="auto"/>
          <w:sz w:val="24"/>
          <w:szCs w:val="24"/>
          <w:highlight w:val="none"/>
          <w:shd w:val="clear" w:color="auto" w:fill="FFFFFF"/>
          <w:lang w:eastAsia="zh-CN" w:bidi="ar"/>
        </w:rPr>
        <w:t>磋商文件</w:t>
      </w:r>
      <w:r>
        <w:rPr>
          <w:rFonts w:hint="eastAsia" w:ascii="宋体" w:hAnsi="宋体" w:eastAsia="宋体" w:cs="宋体"/>
          <w:color w:val="auto"/>
          <w:sz w:val="24"/>
          <w:szCs w:val="24"/>
          <w:highlight w:val="none"/>
          <w:shd w:val="clear" w:color="auto" w:fill="FFFFFF"/>
          <w:lang w:bidi="ar"/>
        </w:rPr>
        <w:t>要求，现郑重承诺如下：</w:t>
      </w:r>
    </w:p>
    <w:p w14:paraId="27D0E64E">
      <w:pPr>
        <w:spacing w:line="360" w:lineRule="auto"/>
        <w:ind w:firstLine="48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1、我方完全接受和满足本项目</w:t>
      </w:r>
      <w:r>
        <w:rPr>
          <w:rFonts w:hint="eastAsia" w:ascii="宋体" w:hAnsi="宋体" w:eastAsia="宋体" w:cs="宋体"/>
          <w:color w:val="auto"/>
          <w:sz w:val="24"/>
          <w:szCs w:val="24"/>
          <w:highlight w:val="none"/>
          <w:shd w:val="clear" w:color="auto" w:fill="FFFFFF"/>
          <w:lang w:eastAsia="zh-CN" w:bidi="ar"/>
        </w:rPr>
        <w:t>磋商文件</w:t>
      </w:r>
      <w:r>
        <w:rPr>
          <w:rFonts w:hint="eastAsia" w:ascii="宋体" w:hAnsi="宋体" w:eastAsia="宋体" w:cs="宋体"/>
          <w:color w:val="auto"/>
          <w:sz w:val="24"/>
          <w:szCs w:val="24"/>
          <w:highlight w:val="none"/>
          <w:shd w:val="clear" w:color="auto" w:fill="FFFFFF"/>
          <w:lang w:bidi="ar"/>
        </w:rPr>
        <w:t>中规定的实质性要求，不存在对</w:t>
      </w:r>
      <w:r>
        <w:rPr>
          <w:rFonts w:hint="eastAsia" w:ascii="宋体" w:hAnsi="宋体" w:eastAsia="宋体" w:cs="宋体"/>
          <w:color w:val="auto"/>
          <w:sz w:val="24"/>
          <w:szCs w:val="24"/>
          <w:highlight w:val="none"/>
          <w:shd w:val="clear" w:color="auto" w:fill="FFFFFF"/>
          <w:lang w:eastAsia="zh-CN" w:bidi="ar"/>
        </w:rPr>
        <w:t>磋商文件</w:t>
      </w:r>
      <w:r>
        <w:rPr>
          <w:rFonts w:hint="eastAsia" w:ascii="宋体" w:hAnsi="宋体" w:eastAsia="宋体" w:cs="宋体"/>
          <w:color w:val="auto"/>
          <w:sz w:val="24"/>
          <w:szCs w:val="24"/>
          <w:highlight w:val="none"/>
          <w:shd w:val="clear" w:color="auto" w:fill="FFFFFF"/>
          <w:lang w:bidi="ar"/>
        </w:rPr>
        <w:t>有异议的同时参加本次采购活动。</w:t>
      </w:r>
    </w:p>
    <w:p w14:paraId="0E1806AA">
      <w:pPr>
        <w:spacing w:line="360" w:lineRule="auto"/>
        <w:ind w:firstLine="48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2、参加本次采购活动，不存在与单位负责人为同一人或者存在直接控股、管理关系的其他</w:t>
      </w:r>
      <w:r>
        <w:rPr>
          <w:rFonts w:hint="eastAsia" w:eastAsia="宋体" w:cs="宋体"/>
          <w:color w:val="auto"/>
          <w:sz w:val="24"/>
          <w:szCs w:val="24"/>
          <w:highlight w:val="none"/>
          <w:shd w:val="clear" w:color="auto" w:fill="FFFFFF"/>
          <w:lang w:eastAsia="zh-CN" w:bidi="ar"/>
        </w:rPr>
        <w:t>响应人</w:t>
      </w:r>
      <w:r>
        <w:rPr>
          <w:rFonts w:hint="eastAsia" w:ascii="宋体" w:hAnsi="宋体" w:eastAsia="宋体" w:cs="宋体"/>
          <w:color w:val="auto"/>
          <w:sz w:val="24"/>
          <w:szCs w:val="24"/>
          <w:highlight w:val="none"/>
          <w:shd w:val="clear" w:color="auto" w:fill="FFFFFF"/>
          <w:lang w:bidi="ar"/>
        </w:rPr>
        <w:t>参与同一合同项下的政府采购活动的行为。</w:t>
      </w:r>
    </w:p>
    <w:p w14:paraId="7DD9B9F2">
      <w:pPr>
        <w:spacing w:line="360" w:lineRule="auto"/>
        <w:ind w:firstLine="48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3、我方参加政府采购活动无商业贿赂和不正当竞争行为。</w:t>
      </w:r>
    </w:p>
    <w:p w14:paraId="4DA405AB">
      <w:pPr>
        <w:spacing w:line="360" w:lineRule="auto"/>
        <w:ind w:firstLine="48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4、存在以下行为之一的愿意接受相关部门的处理：</w:t>
      </w:r>
    </w:p>
    <w:p w14:paraId="492C2475">
      <w:pPr>
        <w:spacing w:line="360" w:lineRule="auto"/>
        <w:ind w:firstLine="48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（1）投标有效期内撤回</w:t>
      </w:r>
      <w:r>
        <w:rPr>
          <w:rFonts w:hint="eastAsia" w:ascii="宋体" w:hAnsi="宋体" w:eastAsia="宋体" w:cs="宋体"/>
          <w:color w:val="auto"/>
          <w:sz w:val="24"/>
          <w:szCs w:val="24"/>
          <w:highlight w:val="none"/>
          <w:shd w:val="clear" w:color="auto" w:fill="FFFFFF"/>
          <w:lang w:eastAsia="zh-CN" w:bidi="ar"/>
        </w:rPr>
        <w:t>响应文件</w:t>
      </w:r>
      <w:r>
        <w:rPr>
          <w:rFonts w:hint="eastAsia" w:ascii="宋体" w:hAnsi="宋体" w:eastAsia="宋体" w:cs="宋体"/>
          <w:color w:val="auto"/>
          <w:sz w:val="24"/>
          <w:szCs w:val="24"/>
          <w:highlight w:val="none"/>
          <w:shd w:val="clear" w:color="auto" w:fill="FFFFFF"/>
          <w:lang w:bidi="ar"/>
        </w:rPr>
        <w:t>的；</w:t>
      </w:r>
    </w:p>
    <w:p w14:paraId="1EB59C28">
      <w:pPr>
        <w:spacing w:line="360" w:lineRule="auto"/>
        <w:ind w:firstLine="48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（2）在采购人确定</w:t>
      </w:r>
      <w:r>
        <w:rPr>
          <w:rFonts w:hint="eastAsia" w:ascii="宋体" w:hAnsi="宋体" w:eastAsia="宋体" w:cs="宋体"/>
          <w:color w:val="auto"/>
          <w:sz w:val="24"/>
          <w:szCs w:val="24"/>
          <w:highlight w:val="none"/>
          <w:shd w:val="clear" w:color="auto" w:fill="FFFFFF"/>
          <w:lang w:eastAsia="zh-CN" w:bidi="ar"/>
        </w:rPr>
        <w:t>成交</w:t>
      </w:r>
      <w:r>
        <w:rPr>
          <w:rFonts w:hint="eastAsia" w:eastAsia="宋体" w:cs="宋体"/>
          <w:color w:val="auto"/>
          <w:sz w:val="24"/>
          <w:szCs w:val="24"/>
          <w:highlight w:val="none"/>
          <w:shd w:val="clear" w:color="auto" w:fill="FFFFFF"/>
          <w:lang w:eastAsia="zh-CN" w:bidi="ar"/>
        </w:rPr>
        <w:t>响应人</w:t>
      </w:r>
      <w:r>
        <w:rPr>
          <w:rFonts w:hint="eastAsia" w:ascii="宋体" w:hAnsi="宋体" w:eastAsia="宋体" w:cs="宋体"/>
          <w:color w:val="auto"/>
          <w:sz w:val="24"/>
          <w:szCs w:val="24"/>
          <w:highlight w:val="none"/>
          <w:shd w:val="clear" w:color="auto" w:fill="FFFFFF"/>
          <w:lang w:bidi="ar"/>
        </w:rPr>
        <w:t>以前放弃</w:t>
      </w:r>
      <w:r>
        <w:rPr>
          <w:rFonts w:hint="eastAsia" w:ascii="宋体" w:hAnsi="宋体" w:eastAsia="宋体" w:cs="宋体"/>
          <w:color w:val="auto"/>
          <w:sz w:val="24"/>
          <w:szCs w:val="24"/>
          <w:highlight w:val="none"/>
          <w:shd w:val="clear" w:color="auto" w:fill="FFFFFF"/>
          <w:lang w:eastAsia="zh-CN" w:bidi="ar"/>
        </w:rPr>
        <w:t>成交</w:t>
      </w:r>
      <w:r>
        <w:rPr>
          <w:rFonts w:hint="eastAsia" w:ascii="宋体" w:hAnsi="宋体" w:eastAsia="宋体" w:cs="宋体"/>
          <w:color w:val="auto"/>
          <w:sz w:val="24"/>
          <w:szCs w:val="24"/>
          <w:highlight w:val="none"/>
          <w:shd w:val="clear" w:color="auto" w:fill="FFFFFF"/>
          <w:lang w:bidi="ar"/>
        </w:rPr>
        <w:t>候选资格的；</w:t>
      </w:r>
    </w:p>
    <w:p w14:paraId="5F4C02A9">
      <w:pPr>
        <w:spacing w:line="360" w:lineRule="auto"/>
        <w:ind w:firstLine="48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（3）除不可抗力的因素外，由于</w:t>
      </w:r>
      <w:r>
        <w:rPr>
          <w:rFonts w:hint="eastAsia" w:ascii="宋体" w:hAnsi="宋体" w:eastAsia="宋体" w:cs="宋体"/>
          <w:color w:val="auto"/>
          <w:sz w:val="24"/>
          <w:szCs w:val="24"/>
          <w:highlight w:val="none"/>
          <w:shd w:val="clear" w:color="auto" w:fill="FFFFFF"/>
          <w:lang w:eastAsia="zh-CN" w:bidi="ar"/>
        </w:rPr>
        <w:t>成交</w:t>
      </w:r>
      <w:r>
        <w:rPr>
          <w:rFonts w:hint="eastAsia" w:eastAsia="宋体" w:cs="宋体"/>
          <w:color w:val="auto"/>
          <w:sz w:val="24"/>
          <w:szCs w:val="24"/>
          <w:highlight w:val="none"/>
          <w:shd w:val="clear" w:color="auto" w:fill="FFFFFF"/>
          <w:lang w:eastAsia="zh-CN" w:bidi="ar"/>
        </w:rPr>
        <w:t>响应人</w:t>
      </w:r>
      <w:r>
        <w:rPr>
          <w:rFonts w:hint="eastAsia" w:ascii="宋体" w:hAnsi="宋体" w:eastAsia="宋体" w:cs="宋体"/>
          <w:color w:val="auto"/>
          <w:sz w:val="24"/>
          <w:szCs w:val="24"/>
          <w:highlight w:val="none"/>
          <w:shd w:val="clear" w:color="auto" w:fill="FFFFFF"/>
          <w:lang w:bidi="ar"/>
        </w:rPr>
        <w:t>的原因未能按照</w:t>
      </w:r>
      <w:r>
        <w:rPr>
          <w:rFonts w:hint="eastAsia" w:ascii="宋体" w:hAnsi="宋体" w:eastAsia="宋体" w:cs="宋体"/>
          <w:color w:val="auto"/>
          <w:sz w:val="24"/>
          <w:szCs w:val="24"/>
          <w:highlight w:val="none"/>
          <w:shd w:val="clear" w:color="auto" w:fill="FFFFFF"/>
          <w:lang w:eastAsia="zh-CN" w:bidi="ar"/>
        </w:rPr>
        <w:t>磋商文件</w:t>
      </w:r>
      <w:r>
        <w:rPr>
          <w:rFonts w:hint="eastAsia" w:ascii="宋体" w:hAnsi="宋体" w:eastAsia="宋体" w:cs="宋体"/>
          <w:color w:val="auto"/>
          <w:sz w:val="24"/>
          <w:szCs w:val="24"/>
          <w:highlight w:val="none"/>
          <w:shd w:val="clear" w:color="auto" w:fill="FFFFFF"/>
          <w:lang w:bidi="ar"/>
        </w:rPr>
        <w:t>的规定与采购人签订合同；</w:t>
      </w:r>
    </w:p>
    <w:p w14:paraId="08939F56">
      <w:pPr>
        <w:spacing w:line="360" w:lineRule="auto"/>
        <w:ind w:firstLine="48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（4）在</w:t>
      </w:r>
      <w:r>
        <w:rPr>
          <w:rFonts w:hint="eastAsia" w:ascii="宋体" w:hAnsi="宋体" w:eastAsia="宋体" w:cs="宋体"/>
          <w:color w:val="auto"/>
          <w:sz w:val="24"/>
          <w:szCs w:val="24"/>
          <w:highlight w:val="none"/>
          <w:shd w:val="clear" w:color="auto" w:fill="FFFFFF"/>
          <w:lang w:eastAsia="zh-CN" w:bidi="ar"/>
        </w:rPr>
        <w:t>磋商文件</w:t>
      </w:r>
      <w:r>
        <w:rPr>
          <w:rFonts w:hint="eastAsia" w:ascii="宋体" w:hAnsi="宋体" w:eastAsia="宋体" w:cs="宋体"/>
          <w:color w:val="auto"/>
          <w:sz w:val="24"/>
          <w:szCs w:val="24"/>
          <w:highlight w:val="none"/>
          <w:shd w:val="clear" w:color="auto" w:fill="FFFFFF"/>
          <w:lang w:bidi="ar"/>
        </w:rPr>
        <w:t>中提供虚假材料谋取</w:t>
      </w:r>
      <w:r>
        <w:rPr>
          <w:rFonts w:hint="eastAsia" w:ascii="宋体" w:hAnsi="宋体" w:eastAsia="宋体" w:cs="宋体"/>
          <w:color w:val="auto"/>
          <w:sz w:val="24"/>
          <w:szCs w:val="24"/>
          <w:highlight w:val="none"/>
          <w:shd w:val="clear" w:color="auto" w:fill="FFFFFF"/>
          <w:lang w:eastAsia="zh-CN" w:bidi="ar"/>
        </w:rPr>
        <w:t>成交</w:t>
      </w:r>
      <w:r>
        <w:rPr>
          <w:rFonts w:hint="eastAsia" w:ascii="宋体" w:hAnsi="宋体" w:eastAsia="宋体" w:cs="宋体"/>
          <w:color w:val="auto"/>
          <w:sz w:val="24"/>
          <w:szCs w:val="24"/>
          <w:highlight w:val="none"/>
          <w:shd w:val="clear" w:color="auto" w:fill="FFFFFF"/>
          <w:lang w:bidi="ar"/>
        </w:rPr>
        <w:t>；</w:t>
      </w:r>
    </w:p>
    <w:p w14:paraId="3012E530">
      <w:pPr>
        <w:spacing w:line="360" w:lineRule="auto"/>
        <w:ind w:firstLine="48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（5）与采购人、其他</w:t>
      </w:r>
      <w:r>
        <w:rPr>
          <w:rFonts w:hint="eastAsia" w:eastAsia="宋体" w:cs="宋体"/>
          <w:color w:val="auto"/>
          <w:sz w:val="24"/>
          <w:szCs w:val="24"/>
          <w:highlight w:val="none"/>
          <w:shd w:val="clear" w:color="auto" w:fill="FFFFFF"/>
          <w:lang w:eastAsia="zh-CN" w:bidi="ar"/>
        </w:rPr>
        <w:t>响应人</w:t>
      </w:r>
      <w:r>
        <w:rPr>
          <w:rFonts w:hint="eastAsia" w:ascii="宋体" w:hAnsi="宋体" w:eastAsia="宋体" w:cs="宋体"/>
          <w:color w:val="auto"/>
          <w:sz w:val="24"/>
          <w:szCs w:val="24"/>
          <w:highlight w:val="none"/>
          <w:shd w:val="clear" w:color="auto" w:fill="FFFFFF"/>
          <w:lang w:bidi="ar"/>
        </w:rPr>
        <w:t>或者采购代理机构恶意串通的；</w:t>
      </w:r>
    </w:p>
    <w:p w14:paraId="249B0FE3">
      <w:pPr>
        <w:spacing w:line="360" w:lineRule="auto"/>
        <w:ind w:firstLine="48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（6）投标有效期内，</w:t>
      </w:r>
      <w:r>
        <w:rPr>
          <w:rFonts w:hint="eastAsia" w:eastAsia="宋体" w:cs="宋体"/>
          <w:color w:val="auto"/>
          <w:sz w:val="24"/>
          <w:szCs w:val="24"/>
          <w:highlight w:val="none"/>
          <w:shd w:val="clear" w:color="auto" w:fill="FFFFFF"/>
          <w:lang w:eastAsia="zh-CN" w:bidi="ar"/>
        </w:rPr>
        <w:t>响应人</w:t>
      </w:r>
      <w:r>
        <w:rPr>
          <w:rFonts w:hint="eastAsia" w:ascii="宋体" w:hAnsi="宋体" w:eastAsia="宋体" w:cs="宋体"/>
          <w:color w:val="auto"/>
          <w:sz w:val="24"/>
          <w:szCs w:val="24"/>
          <w:highlight w:val="none"/>
          <w:shd w:val="clear" w:color="auto" w:fill="FFFFFF"/>
          <w:lang w:bidi="ar"/>
        </w:rPr>
        <w:t>在政府采购活动中有违法、违规、违纪行为。由此产生的一切法律后果和责任由我公司承担。我公司声明放弃对此提出任何异议和追索的权利。</w:t>
      </w:r>
    </w:p>
    <w:p w14:paraId="1F13E743">
      <w:pPr>
        <w:spacing w:line="360" w:lineRule="auto"/>
        <w:ind w:firstLine="480"/>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本公司对上述承诺的内容事项真实性负责。如经查实上述承诺的内容事项存在虚假，我公司愿意接受以提供虚假材料谋取</w:t>
      </w:r>
      <w:r>
        <w:rPr>
          <w:rFonts w:hint="eastAsia" w:ascii="宋体" w:hAnsi="宋体" w:eastAsia="宋体" w:cs="宋体"/>
          <w:color w:val="auto"/>
          <w:sz w:val="24"/>
          <w:szCs w:val="24"/>
          <w:highlight w:val="none"/>
          <w:shd w:val="clear" w:color="auto" w:fill="FFFFFF"/>
          <w:lang w:eastAsia="zh-CN" w:bidi="ar"/>
        </w:rPr>
        <w:t>成交</w:t>
      </w:r>
      <w:r>
        <w:rPr>
          <w:rFonts w:hint="eastAsia" w:ascii="宋体" w:hAnsi="宋体" w:eastAsia="宋体" w:cs="宋体"/>
          <w:color w:val="auto"/>
          <w:sz w:val="24"/>
          <w:szCs w:val="24"/>
          <w:highlight w:val="none"/>
          <w:shd w:val="clear" w:color="auto" w:fill="FFFFFF"/>
          <w:lang w:bidi="ar"/>
        </w:rPr>
        <w:t>追究法律责任。</w:t>
      </w:r>
    </w:p>
    <w:p w14:paraId="1C39CA1C">
      <w:pPr>
        <w:spacing w:line="360" w:lineRule="auto"/>
        <w:ind w:firstLine="3400" w:firstLineChars="1417"/>
        <w:jc w:val="both"/>
        <w:rPr>
          <w:rFonts w:hint="eastAsia" w:ascii="宋体" w:hAnsi="宋体" w:eastAsia="宋体" w:cs="宋体"/>
          <w:color w:val="auto"/>
          <w:sz w:val="24"/>
          <w:szCs w:val="24"/>
          <w:highlight w:val="none"/>
          <w:shd w:val="clear" w:color="auto" w:fill="FFFFFF"/>
          <w:lang w:bidi="ar"/>
        </w:rPr>
      </w:pPr>
      <w:r>
        <w:rPr>
          <w:rFonts w:hint="eastAsia" w:eastAsia="宋体" w:cs="宋体"/>
          <w:color w:val="auto"/>
          <w:sz w:val="24"/>
          <w:szCs w:val="24"/>
          <w:highlight w:val="none"/>
          <w:shd w:val="clear" w:color="auto" w:fill="FFFFFF"/>
          <w:lang w:eastAsia="zh-CN" w:bidi="ar"/>
        </w:rPr>
        <w:t>响应人</w:t>
      </w:r>
      <w:r>
        <w:rPr>
          <w:rFonts w:hint="eastAsia" w:ascii="宋体" w:hAnsi="宋体" w:eastAsia="宋体" w:cs="宋体"/>
          <w:color w:val="auto"/>
          <w:sz w:val="24"/>
          <w:szCs w:val="24"/>
          <w:highlight w:val="none"/>
          <w:shd w:val="clear" w:color="auto" w:fill="FFFFFF"/>
          <w:lang w:bidi="ar"/>
        </w:rPr>
        <w:t>：</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w:t>
      </w:r>
      <w:r>
        <w:rPr>
          <w:rFonts w:hint="eastAsia" w:ascii="宋体" w:hAnsi="宋体" w:eastAsia="宋体" w:cs="宋体"/>
          <w:color w:val="auto"/>
          <w:sz w:val="24"/>
          <w:szCs w:val="24"/>
          <w:highlight w:val="none"/>
          <w:shd w:val="clear" w:color="auto" w:fill="FFFFFF"/>
          <w:lang w:eastAsia="zh-CN" w:bidi="ar"/>
        </w:rPr>
        <w:t>单位电子公章</w:t>
      </w:r>
      <w:r>
        <w:rPr>
          <w:rFonts w:hint="eastAsia" w:ascii="宋体" w:hAnsi="宋体" w:eastAsia="宋体" w:cs="宋体"/>
          <w:color w:val="auto"/>
          <w:sz w:val="24"/>
          <w:szCs w:val="24"/>
          <w:highlight w:val="none"/>
          <w:shd w:val="clear" w:color="auto" w:fill="FFFFFF"/>
          <w:lang w:bidi="ar"/>
        </w:rPr>
        <w:t xml:space="preserve">) </w:t>
      </w:r>
    </w:p>
    <w:p w14:paraId="2064665E">
      <w:pPr>
        <w:spacing w:line="360" w:lineRule="auto"/>
        <w:ind w:firstLine="3400" w:firstLineChars="1417"/>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法定代表人 ：</w:t>
      </w:r>
      <w:r>
        <w:rPr>
          <w:rFonts w:hint="eastAsia" w:ascii="宋体" w:hAnsi="宋体" w:eastAsia="宋体" w:cs="宋体"/>
          <w:color w:val="auto"/>
          <w:sz w:val="24"/>
          <w:szCs w:val="24"/>
          <w:highlight w:val="none"/>
          <w:u w:val="single"/>
          <w:shd w:val="clear" w:color="auto" w:fill="FFFFFF"/>
          <w:lang w:bidi="ar"/>
        </w:rPr>
        <w:t xml:space="preserve">  </w:t>
      </w:r>
      <w:r>
        <w:rPr>
          <w:rFonts w:hint="eastAsia" w:eastAsia="宋体" w:cs="宋体"/>
          <w:color w:val="auto"/>
          <w:sz w:val="24"/>
          <w:szCs w:val="24"/>
          <w:highlight w:val="none"/>
          <w:u w:val="single"/>
          <w:shd w:val="clear" w:color="auto" w:fill="FFFFFF"/>
          <w:lang w:val="en-US" w:eastAsia="zh-CN" w:bidi="ar"/>
        </w:rPr>
        <w:t xml:space="preserve">                 </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 xml:space="preserve">(法人电子签章) </w:t>
      </w:r>
    </w:p>
    <w:p w14:paraId="2A422887">
      <w:pPr>
        <w:spacing w:line="360" w:lineRule="auto"/>
        <w:ind w:firstLine="3400" w:firstLineChars="1417"/>
        <w:jc w:val="both"/>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日       期：</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 xml:space="preserve">年 </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月</w:t>
      </w:r>
      <w:r>
        <w:rPr>
          <w:rFonts w:hint="eastAsia" w:ascii="宋体" w:hAnsi="宋体" w:eastAsia="宋体" w:cs="宋体"/>
          <w:color w:val="auto"/>
          <w:sz w:val="24"/>
          <w:szCs w:val="24"/>
          <w:highlight w:val="none"/>
          <w:u w:val="single"/>
          <w:shd w:val="clear" w:color="auto" w:fill="FFFFFF"/>
          <w:lang w:bidi="ar"/>
        </w:rPr>
        <w:t xml:space="preserve">    </w:t>
      </w:r>
      <w:r>
        <w:rPr>
          <w:rFonts w:hint="eastAsia" w:ascii="宋体" w:hAnsi="宋体" w:eastAsia="宋体" w:cs="宋体"/>
          <w:color w:val="auto"/>
          <w:sz w:val="24"/>
          <w:szCs w:val="24"/>
          <w:highlight w:val="none"/>
          <w:shd w:val="clear" w:color="auto" w:fill="FFFFFF"/>
          <w:lang w:bidi="ar"/>
        </w:rPr>
        <w:t>日</w:t>
      </w:r>
    </w:p>
    <w:p w14:paraId="19F56E55">
      <w:pPr>
        <w:spacing w:line="360" w:lineRule="auto"/>
        <w:ind w:left="277" w:hanging="276" w:hangingChars="115"/>
        <w:outlineLvl w:val="9"/>
        <w:rPr>
          <w:rFonts w:hint="eastAsia" w:ascii="宋体" w:hAnsi="宋体" w:eastAsia="宋体" w:cs="宋体"/>
          <w:color w:val="auto"/>
          <w:sz w:val="24"/>
          <w:szCs w:val="24"/>
          <w:highlight w:val="none"/>
        </w:rPr>
      </w:pPr>
      <w:bookmarkStart w:id="128" w:name="_Toc13898"/>
    </w:p>
    <w:p w14:paraId="5E649729">
      <w:pPr>
        <w:keepNext w:val="0"/>
        <w:keepLines w:val="0"/>
        <w:pageBreakBefore w:val="0"/>
        <w:kinsoku/>
        <w:wordWrap/>
        <w:overflowPunct/>
        <w:topLinePunct w:val="0"/>
        <w:bidi w:val="0"/>
        <w:adjustRightInd/>
        <w:snapToGrid/>
        <w:spacing w:line="360" w:lineRule="auto"/>
        <w:jc w:val="center"/>
        <w:textAlignment w:val="auto"/>
        <w:outlineLvl w:val="1"/>
        <w:rPr>
          <w:rFonts w:hint="eastAsia" w:ascii="宋体" w:hAnsi="宋体" w:eastAsia="宋体" w:cs="仿宋"/>
          <w:b/>
          <w:bCs/>
          <w:color w:val="auto"/>
          <w:kern w:val="2"/>
          <w:sz w:val="24"/>
          <w:szCs w:val="24"/>
          <w:highlight w:val="none"/>
        </w:rPr>
      </w:pPr>
      <w:r>
        <w:rPr>
          <w:rFonts w:hint="eastAsia" w:ascii="宋体" w:hAnsi="宋体" w:eastAsia="宋体" w:cs="宋体"/>
          <w:color w:val="auto"/>
          <w:sz w:val="24"/>
          <w:szCs w:val="24"/>
          <w:highlight w:val="none"/>
          <w:lang w:val="en-US" w:eastAsia="zh-CN"/>
        </w:rPr>
        <w:br w:type="page"/>
      </w:r>
      <w:r>
        <w:rPr>
          <w:rFonts w:hint="eastAsia" w:ascii="宋体" w:hAnsi="宋体" w:eastAsia="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rPr>
        <w:t>、</w:t>
      </w:r>
      <w:bookmarkEnd w:id="128"/>
      <w:r>
        <w:rPr>
          <w:rFonts w:hint="eastAsia" w:ascii="宋体" w:hAnsi="宋体" w:eastAsia="宋体" w:cs="仿宋"/>
          <w:b/>
          <w:bCs/>
          <w:color w:val="auto"/>
          <w:kern w:val="2"/>
          <w:sz w:val="24"/>
          <w:szCs w:val="24"/>
          <w:highlight w:val="none"/>
        </w:rPr>
        <w:t>关于符合本国产品标准的声明函</w:t>
      </w:r>
    </w:p>
    <w:p w14:paraId="252FDCE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auto"/>
          <w:kern w:val="2"/>
          <w:sz w:val="24"/>
          <w:szCs w:val="24"/>
          <w:highlight w:val="none"/>
        </w:rPr>
      </w:pPr>
      <w:r>
        <w:rPr>
          <w:rFonts w:hint="eastAsia" w:ascii="宋体" w:hAnsi="宋体" w:eastAsia="宋体" w:cs="仿宋"/>
          <w:b w:val="0"/>
          <w:bCs w:val="0"/>
          <w:color w:val="auto"/>
          <w:kern w:val="2"/>
          <w:sz w:val="24"/>
          <w:szCs w:val="24"/>
          <w:highlight w:val="none"/>
        </w:rPr>
        <w:t>本公司（单位）郑重声明，根据《国务院办公厅关于在政府采购中实施本国产品标准及相关政策的通知》（国办发〔2025〕34号）的规定，本公司（单位）提供的以下产品属于本国产品。具体情况如下：</w:t>
      </w:r>
    </w:p>
    <w:p w14:paraId="0F827410">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auto"/>
          <w:kern w:val="2"/>
          <w:sz w:val="24"/>
          <w:szCs w:val="24"/>
          <w:highlight w:val="none"/>
        </w:rPr>
      </w:pPr>
      <w:r>
        <w:rPr>
          <w:rFonts w:hint="eastAsia" w:ascii="宋体" w:hAnsi="宋体" w:eastAsia="宋体" w:cs="仿宋"/>
          <w:b w:val="0"/>
          <w:bCs w:val="0"/>
          <w:color w:val="auto"/>
          <w:kern w:val="2"/>
          <w:sz w:val="24"/>
          <w:szCs w:val="24"/>
          <w:highlight w:val="none"/>
        </w:rPr>
        <w:t>1.</w:t>
      </w:r>
      <w:r>
        <w:rPr>
          <w:rFonts w:hint="eastAsia" w:ascii="宋体" w:hAnsi="宋体" w:eastAsia="宋体" w:cs="仿宋"/>
          <w:b w:val="0"/>
          <w:bCs w:val="0"/>
          <w:color w:val="auto"/>
          <w:kern w:val="2"/>
          <w:sz w:val="24"/>
          <w:szCs w:val="24"/>
          <w:highlight w:val="none"/>
          <w:u w:val="single" w:color="auto"/>
        </w:rPr>
        <w:t>（产品名称1）</w:t>
      </w:r>
      <w:r>
        <w:rPr>
          <w:rFonts w:hint="eastAsia" w:ascii="宋体" w:hAnsi="宋体" w:eastAsia="宋体" w:cs="仿宋"/>
          <w:b w:val="0"/>
          <w:bCs w:val="0"/>
          <w:color w:val="auto"/>
          <w:kern w:val="2"/>
          <w:sz w:val="24"/>
          <w:szCs w:val="24"/>
          <w:highlight w:val="none"/>
        </w:rPr>
        <w:t>1，生产厂为</w:t>
      </w:r>
      <w:r>
        <w:rPr>
          <w:rFonts w:hint="eastAsia" w:ascii="宋体" w:hAnsi="宋体" w:eastAsia="宋体" w:cs="仿宋"/>
          <w:b w:val="0"/>
          <w:bCs w:val="0"/>
          <w:color w:val="auto"/>
          <w:kern w:val="2"/>
          <w:sz w:val="24"/>
          <w:szCs w:val="24"/>
          <w:highlight w:val="none"/>
          <w:u w:val="single" w:color="auto"/>
        </w:rPr>
        <w:t>（厂名）</w:t>
      </w:r>
      <w:r>
        <w:rPr>
          <w:rFonts w:hint="eastAsia" w:ascii="宋体" w:hAnsi="宋体" w:eastAsia="宋体" w:cs="仿宋"/>
          <w:b w:val="0"/>
          <w:bCs w:val="0"/>
          <w:color w:val="auto"/>
          <w:kern w:val="2"/>
          <w:sz w:val="24"/>
          <w:szCs w:val="24"/>
          <w:highlight w:val="none"/>
        </w:rPr>
        <w:t>2，厂址为</w:t>
      </w:r>
      <w:r>
        <w:rPr>
          <w:rFonts w:hint="eastAsia" w:ascii="宋体" w:hAnsi="宋体" w:eastAsia="宋体" w:cs="仿宋"/>
          <w:b w:val="0"/>
          <w:bCs w:val="0"/>
          <w:color w:val="auto"/>
          <w:kern w:val="2"/>
          <w:sz w:val="24"/>
          <w:szCs w:val="24"/>
          <w:highlight w:val="none"/>
          <w:u w:val="single" w:color="auto"/>
        </w:rPr>
        <w:t>（生产厂址）</w:t>
      </w:r>
      <w:r>
        <w:rPr>
          <w:rFonts w:hint="eastAsia" w:ascii="宋体" w:hAnsi="宋体" w:eastAsia="宋体" w:cs="仿宋"/>
          <w:b w:val="0"/>
          <w:bCs w:val="0"/>
          <w:color w:val="auto"/>
          <w:kern w:val="2"/>
          <w:sz w:val="24"/>
          <w:szCs w:val="24"/>
          <w:highlight w:val="none"/>
        </w:rPr>
        <w:t>。</w:t>
      </w:r>
      <w:r>
        <w:rPr>
          <w:rFonts w:hint="eastAsia" w:ascii="宋体" w:hAnsi="宋体" w:eastAsia="宋体" w:cs="仿宋"/>
          <w:b w:val="0"/>
          <w:bCs w:val="0"/>
          <w:color w:val="auto"/>
          <w:kern w:val="2"/>
          <w:sz w:val="24"/>
          <w:szCs w:val="24"/>
          <w:highlight w:val="none"/>
          <w:u w:val="single" w:color="auto"/>
        </w:rPr>
        <w:t>（产品名称1）</w:t>
      </w:r>
      <w:r>
        <w:rPr>
          <w:rFonts w:hint="eastAsia" w:ascii="宋体" w:hAnsi="宋体" w:eastAsia="宋体" w:cs="仿宋"/>
          <w:b w:val="0"/>
          <w:bCs w:val="0"/>
          <w:color w:val="auto"/>
          <w:kern w:val="2"/>
          <w:sz w:val="24"/>
          <w:szCs w:val="24"/>
          <w:highlight w:val="none"/>
        </w:rPr>
        <w:t>的中国境内生产的组件成本占比≥</w:t>
      </w:r>
      <w:r>
        <w:rPr>
          <w:rFonts w:hint="eastAsia" w:ascii="宋体" w:hAnsi="宋体" w:eastAsia="宋体" w:cs="仿宋"/>
          <w:b w:val="0"/>
          <w:bCs w:val="0"/>
          <w:color w:val="auto"/>
          <w:kern w:val="2"/>
          <w:sz w:val="24"/>
          <w:szCs w:val="24"/>
          <w:highlight w:val="none"/>
          <w:u w:val="single" w:color="auto"/>
        </w:rPr>
        <w:t>（规定比例）</w:t>
      </w:r>
      <w:r>
        <w:rPr>
          <w:rFonts w:hint="eastAsia" w:ascii="宋体" w:hAnsi="宋体" w:eastAsia="宋体" w:cs="仿宋"/>
          <w:b w:val="0"/>
          <w:bCs w:val="0"/>
          <w:color w:val="auto"/>
          <w:kern w:val="2"/>
          <w:sz w:val="24"/>
          <w:szCs w:val="24"/>
          <w:highlight w:val="none"/>
        </w:rPr>
        <w:t>3。</w:t>
      </w:r>
      <w:r>
        <w:rPr>
          <w:rFonts w:hint="eastAsia" w:ascii="宋体" w:hAnsi="宋体" w:eastAsia="宋体" w:cs="仿宋"/>
          <w:b w:val="0"/>
          <w:bCs w:val="0"/>
          <w:color w:val="auto"/>
          <w:kern w:val="2"/>
          <w:sz w:val="24"/>
          <w:szCs w:val="24"/>
          <w:highlight w:val="none"/>
          <w:u w:val="single" w:color="auto"/>
        </w:rPr>
        <w:t>（产品名称1）</w:t>
      </w:r>
      <w:r>
        <w:rPr>
          <w:rFonts w:hint="eastAsia" w:ascii="宋体" w:hAnsi="宋体" w:eastAsia="宋体" w:cs="仿宋"/>
          <w:b w:val="0"/>
          <w:bCs w:val="0"/>
          <w:color w:val="auto"/>
          <w:kern w:val="2"/>
          <w:sz w:val="24"/>
          <w:szCs w:val="24"/>
          <w:highlight w:val="none"/>
        </w:rPr>
        <w:t>的</w:t>
      </w:r>
      <w:r>
        <w:rPr>
          <w:rFonts w:hint="eastAsia" w:ascii="宋体" w:hAnsi="宋体" w:eastAsia="宋体" w:cs="仿宋"/>
          <w:b w:val="0"/>
          <w:bCs w:val="0"/>
          <w:color w:val="auto"/>
          <w:kern w:val="2"/>
          <w:sz w:val="24"/>
          <w:szCs w:val="24"/>
          <w:highlight w:val="none"/>
          <w:u w:val="single" w:color="auto"/>
        </w:rPr>
        <w:t>（关键组件）</w:t>
      </w:r>
      <w:r>
        <w:rPr>
          <w:rFonts w:hint="eastAsia" w:ascii="宋体" w:hAnsi="宋体" w:eastAsia="宋体" w:cs="仿宋"/>
          <w:b w:val="0"/>
          <w:bCs w:val="0"/>
          <w:color w:val="auto"/>
          <w:kern w:val="2"/>
          <w:sz w:val="24"/>
          <w:szCs w:val="24"/>
          <w:highlight w:val="none"/>
        </w:rPr>
        <w:t>4在中国境内生产。</w:t>
      </w:r>
      <w:r>
        <w:rPr>
          <w:rFonts w:hint="eastAsia" w:ascii="宋体" w:hAnsi="宋体" w:eastAsia="宋体" w:cs="仿宋"/>
          <w:b w:val="0"/>
          <w:bCs w:val="0"/>
          <w:color w:val="auto"/>
          <w:kern w:val="2"/>
          <w:sz w:val="24"/>
          <w:szCs w:val="24"/>
          <w:highlight w:val="none"/>
          <w:u w:val="single" w:color="auto"/>
        </w:rPr>
        <w:t>（产品名称1）</w:t>
      </w:r>
      <w:r>
        <w:rPr>
          <w:rFonts w:hint="eastAsia" w:ascii="宋体" w:hAnsi="宋体" w:eastAsia="宋体" w:cs="仿宋"/>
          <w:b w:val="0"/>
          <w:bCs w:val="0"/>
          <w:color w:val="auto"/>
          <w:kern w:val="2"/>
          <w:sz w:val="24"/>
          <w:szCs w:val="24"/>
          <w:highlight w:val="none"/>
        </w:rPr>
        <w:t>的</w:t>
      </w:r>
      <w:r>
        <w:rPr>
          <w:rFonts w:hint="eastAsia" w:ascii="宋体" w:hAnsi="宋体" w:eastAsia="宋体" w:cs="仿宋"/>
          <w:b w:val="0"/>
          <w:bCs w:val="0"/>
          <w:color w:val="auto"/>
          <w:kern w:val="2"/>
          <w:sz w:val="24"/>
          <w:szCs w:val="24"/>
          <w:highlight w:val="none"/>
          <w:u w:val="single" w:color="auto"/>
        </w:rPr>
        <w:t>（关键工序）</w:t>
      </w:r>
      <w:r>
        <w:rPr>
          <w:rFonts w:hint="eastAsia" w:ascii="宋体" w:hAnsi="宋体" w:eastAsia="宋体" w:cs="仿宋"/>
          <w:b w:val="0"/>
          <w:bCs w:val="0"/>
          <w:color w:val="auto"/>
          <w:kern w:val="2"/>
          <w:sz w:val="24"/>
          <w:szCs w:val="24"/>
          <w:highlight w:val="none"/>
        </w:rPr>
        <w:t>5在中国境内完成。</w:t>
      </w:r>
    </w:p>
    <w:p w14:paraId="0B91FC26">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auto"/>
          <w:kern w:val="2"/>
          <w:sz w:val="24"/>
          <w:szCs w:val="24"/>
          <w:highlight w:val="none"/>
        </w:rPr>
      </w:pPr>
      <w:r>
        <w:rPr>
          <w:rFonts w:hint="eastAsia" w:ascii="宋体" w:hAnsi="宋体" w:eastAsia="宋体" w:cs="仿宋"/>
          <w:b w:val="0"/>
          <w:bCs w:val="0"/>
          <w:color w:val="auto"/>
          <w:kern w:val="2"/>
          <w:sz w:val="24"/>
          <w:szCs w:val="24"/>
          <w:highlight w:val="none"/>
        </w:rPr>
        <w:t>2.</w:t>
      </w:r>
      <w:r>
        <w:rPr>
          <w:rFonts w:hint="eastAsia" w:ascii="宋体" w:hAnsi="宋体" w:eastAsia="宋体" w:cs="仿宋"/>
          <w:b w:val="0"/>
          <w:bCs w:val="0"/>
          <w:color w:val="auto"/>
          <w:kern w:val="2"/>
          <w:sz w:val="24"/>
          <w:szCs w:val="24"/>
          <w:highlight w:val="none"/>
          <w:u w:val="single" w:color="auto"/>
        </w:rPr>
        <w:t>（产品名称2）</w:t>
      </w:r>
      <w:r>
        <w:rPr>
          <w:rFonts w:hint="eastAsia" w:ascii="宋体" w:hAnsi="宋体" w:eastAsia="宋体" w:cs="仿宋"/>
          <w:b w:val="0"/>
          <w:bCs w:val="0"/>
          <w:color w:val="auto"/>
          <w:kern w:val="2"/>
          <w:sz w:val="24"/>
          <w:szCs w:val="24"/>
          <w:highlight w:val="none"/>
        </w:rPr>
        <w:t>，生产厂为</w:t>
      </w:r>
      <w:r>
        <w:rPr>
          <w:rFonts w:hint="eastAsia" w:ascii="宋体" w:hAnsi="宋体" w:eastAsia="宋体" w:cs="仿宋"/>
          <w:b w:val="0"/>
          <w:bCs w:val="0"/>
          <w:color w:val="auto"/>
          <w:kern w:val="2"/>
          <w:sz w:val="24"/>
          <w:szCs w:val="24"/>
          <w:highlight w:val="none"/>
          <w:u w:val="single" w:color="auto"/>
        </w:rPr>
        <w:t>（厂名）</w:t>
      </w:r>
      <w:r>
        <w:rPr>
          <w:rFonts w:hint="eastAsia" w:ascii="宋体" w:hAnsi="宋体" w:eastAsia="宋体" w:cs="仿宋"/>
          <w:b w:val="0"/>
          <w:bCs w:val="0"/>
          <w:color w:val="auto"/>
          <w:kern w:val="2"/>
          <w:sz w:val="24"/>
          <w:szCs w:val="24"/>
          <w:highlight w:val="none"/>
        </w:rPr>
        <w:t>，厂址为</w:t>
      </w:r>
      <w:r>
        <w:rPr>
          <w:rFonts w:hint="eastAsia" w:ascii="宋体" w:hAnsi="宋体" w:eastAsia="宋体" w:cs="仿宋"/>
          <w:b w:val="0"/>
          <w:bCs w:val="0"/>
          <w:color w:val="auto"/>
          <w:kern w:val="2"/>
          <w:sz w:val="24"/>
          <w:szCs w:val="24"/>
          <w:highlight w:val="none"/>
          <w:u w:val="single" w:color="auto"/>
        </w:rPr>
        <w:t>（生产厂址）</w:t>
      </w:r>
      <w:r>
        <w:rPr>
          <w:rFonts w:hint="eastAsia" w:ascii="宋体" w:hAnsi="宋体" w:eastAsia="宋体" w:cs="仿宋"/>
          <w:b w:val="0"/>
          <w:bCs w:val="0"/>
          <w:color w:val="auto"/>
          <w:kern w:val="2"/>
          <w:sz w:val="24"/>
          <w:szCs w:val="24"/>
          <w:highlight w:val="none"/>
        </w:rPr>
        <w:t>。</w:t>
      </w:r>
      <w:r>
        <w:rPr>
          <w:rFonts w:hint="eastAsia" w:ascii="宋体" w:hAnsi="宋体" w:eastAsia="宋体" w:cs="仿宋"/>
          <w:b w:val="0"/>
          <w:bCs w:val="0"/>
          <w:color w:val="auto"/>
          <w:kern w:val="2"/>
          <w:sz w:val="24"/>
          <w:szCs w:val="24"/>
          <w:highlight w:val="none"/>
          <w:u w:val="single" w:color="auto"/>
        </w:rPr>
        <w:t>（产品名称2）</w:t>
      </w:r>
      <w:r>
        <w:rPr>
          <w:rFonts w:hint="eastAsia" w:ascii="宋体" w:hAnsi="宋体" w:eastAsia="宋体" w:cs="仿宋"/>
          <w:b w:val="0"/>
          <w:bCs w:val="0"/>
          <w:color w:val="auto"/>
          <w:kern w:val="2"/>
          <w:sz w:val="24"/>
          <w:szCs w:val="24"/>
          <w:highlight w:val="none"/>
        </w:rPr>
        <w:t>的中国境内生产的组件成本占比≥</w:t>
      </w:r>
      <w:r>
        <w:rPr>
          <w:rFonts w:hint="eastAsia" w:ascii="宋体" w:hAnsi="宋体" w:eastAsia="宋体" w:cs="仿宋"/>
          <w:b w:val="0"/>
          <w:bCs w:val="0"/>
          <w:color w:val="auto"/>
          <w:kern w:val="2"/>
          <w:sz w:val="24"/>
          <w:szCs w:val="24"/>
          <w:highlight w:val="none"/>
          <w:u w:val="single" w:color="auto"/>
        </w:rPr>
        <w:t>（规定比例）</w:t>
      </w:r>
      <w:r>
        <w:rPr>
          <w:rFonts w:hint="eastAsia" w:ascii="宋体" w:hAnsi="宋体" w:eastAsia="宋体" w:cs="仿宋"/>
          <w:b w:val="0"/>
          <w:bCs w:val="0"/>
          <w:color w:val="auto"/>
          <w:kern w:val="2"/>
          <w:sz w:val="24"/>
          <w:szCs w:val="24"/>
          <w:highlight w:val="none"/>
        </w:rPr>
        <w:t>。</w:t>
      </w:r>
      <w:r>
        <w:rPr>
          <w:rFonts w:hint="eastAsia" w:ascii="宋体" w:hAnsi="宋体" w:eastAsia="宋体" w:cs="仿宋"/>
          <w:b w:val="0"/>
          <w:bCs w:val="0"/>
          <w:color w:val="auto"/>
          <w:kern w:val="2"/>
          <w:sz w:val="24"/>
          <w:szCs w:val="24"/>
          <w:highlight w:val="none"/>
          <w:u w:val="single" w:color="auto"/>
        </w:rPr>
        <w:t>（产品名称2）</w:t>
      </w:r>
      <w:r>
        <w:rPr>
          <w:rFonts w:hint="eastAsia" w:ascii="宋体" w:hAnsi="宋体" w:eastAsia="宋体" w:cs="仿宋"/>
          <w:b w:val="0"/>
          <w:bCs w:val="0"/>
          <w:color w:val="auto"/>
          <w:kern w:val="2"/>
          <w:sz w:val="24"/>
          <w:szCs w:val="24"/>
          <w:highlight w:val="none"/>
        </w:rPr>
        <w:t>的</w:t>
      </w:r>
      <w:r>
        <w:rPr>
          <w:rFonts w:hint="eastAsia" w:ascii="宋体" w:hAnsi="宋体" w:eastAsia="宋体" w:cs="仿宋"/>
          <w:b w:val="0"/>
          <w:bCs w:val="0"/>
          <w:color w:val="auto"/>
          <w:kern w:val="2"/>
          <w:sz w:val="24"/>
          <w:szCs w:val="24"/>
          <w:highlight w:val="none"/>
          <w:u w:val="single" w:color="auto"/>
        </w:rPr>
        <w:t>（关键组件）</w:t>
      </w:r>
      <w:r>
        <w:rPr>
          <w:rFonts w:hint="eastAsia" w:ascii="宋体" w:hAnsi="宋体" w:eastAsia="宋体" w:cs="仿宋"/>
          <w:b w:val="0"/>
          <w:bCs w:val="0"/>
          <w:color w:val="auto"/>
          <w:kern w:val="2"/>
          <w:sz w:val="24"/>
          <w:szCs w:val="24"/>
          <w:highlight w:val="none"/>
        </w:rPr>
        <w:t>在中国境内生产。</w:t>
      </w:r>
      <w:r>
        <w:rPr>
          <w:rFonts w:hint="eastAsia" w:ascii="宋体" w:hAnsi="宋体" w:eastAsia="宋体" w:cs="仿宋"/>
          <w:b w:val="0"/>
          <w:bCs w:val="0"/>
          <w:color w:val="auto"/>
          <w:kern w:val="2"/>
          <w:sz w:val="24"/>
          <w:szCs w:val="24"/>
          <w:highlight w:val="none"/>
          <w:u w:val="single" w:color="auto"/>
        </w:rPr>
        <w:t>（产品名称2）</w:t>
      </w:r>
      <w:r>
        <w:rPr>
          <w:rFonts w:hint="eastAsia" w:ascii="宋体" w:hAnsi="宋体" w:eastAsia="宋体" w:cs="仿宋"/>
          <w:b w:val="0"/>
          <w:bCs w:val="0"/>
          <w:color w:val="auto"/>
          <w:kern w:val="2"/>
          <w:sz w:val="24"/>
          <w:szCs w:val="24"/>
          <w:highlight w:val="none"/>
        </w:rPr>
        <w:t>的</w:t>
      </w:r>
      <w:r>
        <w:rPr>
          <w:rFonts w:hint="eastAsia" w:ascii="宋体" w:hAnsi="宋体" w:eastAsia="宋体" w:cs="仿宋"/>
          <w:b w:val="0"/>
          <w:bCs w:val="0"/>
          <w:color w:val="auto"/>
          <w:kern w:val="2"/>
          <w:sz w:val="24"/>
          <w:szCs w:val="24"/>
          <w:highlight w:val="none"/>
          <w:u w:val="single" w:color="auto"/>
        </w:rPr>
        <w:t>（关键工序）</w:t>
      </w:r>
      <w:r>
        <w:rPr>
          <w:rFonts w:hint="eastAsia" w:ascii="宋体" w:hAnsi="宋体" w:eastAsia="宋体" w:cs="仿宋"/>
          <w:b w:val="0"/>
          <w:bCs w:val="0"/>
          <w:color w:val="auto"/>
          <w:kern w:val="2"/>
          <w:sz w:val="24"/>
          <w:szCs w:val="24"/>
          <w:highlight w:val="none"/>
        </w:rPr>
        <w:t>在中国境内完成。</w:t>
      </w:r>
    </w:p>
    <w:p w14:paraId="4C8239C5">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auto"/>
          <w:kern w:val="2"/>
          <w:sz w:val="24"/>
          <w:szCs w:val="24"/>
          <w:highlight w:val="none"/>
        </w:rPr>
      </w:pPr>
      <w:r>
        <w:rPr>
          <w:rFonts w:hint="eastAsia" w:ascii="宋体" w:hAnsi="宋体" w:eastAsia="宋体" w:cs="仿宋"/>
          <w:b w:val="0"/>
          <w:bCs w:val="0"/>
          <w:color w:val="auto"/>
          <w:kern w:val="2"/>
          <w:sz w:val="24"/>
          <w:szCs w:val="24"/>
          <w:highlight w:val="none"/>
        </w:rPr>
        <w:t>……</w:t>
      </w:r>
    </w:p>
    <w:p w14:paraId="1FB147CA">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auto"/>
          <w:kern w:val="2"/>
          <w:sz w:val="24"/>
          <w:szCs w:val="24"/>
          <w:highlight w:val="none"/>
        </w:rPr>
      </w:pPr>
      <w:r>
        <w:rPr>
          <w:rFonts w:hint="eastAsia" w:ascii="宋体" w:hAnsi="宋体" w:eastAsia="宋体" w:cs="仿宋"/>
          <w:b w:val="0"/>
          <w:bCs w:val="0"/>
          <w:color w:val="auto"/>
          <w:kern w:val="2"/>
          <w:sz w:val="24"/>
          <w:szCs w:val="24"/>
          <w:highlight w:val="none"/>
        </w:rPr>
        <w:t>本公司（单位）对上述声明内容的真实性负责。如有虚假，愿承担相应法律责任。</w:t>
      </w:r>
    </w:p>
    <w:p w14:paraId="3D2A946A">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auto"/>
          <w:kern w:val="2"/>
          <w:sz w:val="24"/>
          <w:szCs w:val="24"/>
          <w:highlight w:val="none"/>
        </w:rPr>
      </w:pPr>
      <w:r>
        <w:rPr>
          <w:rFonts w:hint="eastAsia" w:ascii="宋体" w:hAnsi="宋体" w:eastAsia="宋体" w:cs="仿宋"/>
          <w:b w:val="0"/>
          <w:bCs w:val="0"/>
          <w:color w:val="auto"/>
          <w:kern w:val="2"/>
          <w:sz w:val="24"/>
          <w:szCs w:val="24"/>
          <w:highlight w:val="none"/>
        </w:rPr>
        <w:t> </w:t>
      </w:r>
    </w:p>
    <w:p w14:paraId="24BFD97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auto"/>
          <w:kern w:val="2"/>
          <w:sz w:val="24"/>
          <w:szCs w:val="24"/>
          <w:highlight w:val="none"/>
        </w:rPr>
      </w:pPr>
      <w:r>
        <w:rPr>
          <w:rFonts w:hint="eastAsia" w:ascii="宋体" w:hAnsi="宋体" w:eastAsia="宋体" w:cs="仿宋"/>
          <w:b w:val="0"/>
          <w:bCs w:val="0"/>
          <w:color w:val="auto"/>
          <w:kern w:val="2"/>
          <w:sz w:val="24"/>
          <w:szCs w:val="24"/>
          <w:highlight w:val="none"/>
        </w:rPr>
        <w:t>公司（单位）名称（盖章）：　        </w:t>
      </w:r>
    </w:p>
    <w:p w14:paraId="449FA3DF">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auto"/>
          <w:kern w:val="2"/>
          <w:sz w:val="24"/>
          <w:szCs w:val="24"/>
          <w:highlight w:val="none"/>
        </w:rPr>
      </w:pPr>
      <w:r>
        <w:rPr>
          <w:rFonts w:hint="eastAsia" w:ascii="宋体" w:hAnsi="宋体" w:eastAsia="宋体" w:cs="仿宋"/>
          <w:b w:val="0"/>
          <w:bCs w:val="0"/>
          <w:color w:val="auto"/>
          <w:kern w:val="2"/>
          <w:sz w:val="24"/>
          <w:szCs w:val="24"/>
          <w:highlight w:val="none"/>
        </w:rPr>
        <w:t>日期：　     年　  月　  日         </w:t>
      </w:r>
    </w:p>
    <w:p w14:paraId="59E721C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auto"/>
          <w:kern w:val="2"/>
          <w:sz w:val="24"/>
          <w:szCs w:val="24"/>
          <w:highlight w:val="none"/>
        </w:rPr>
      </w:pPr>
    </w:p>
    <w:p w14:paraId="374A856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auto"/>
          <w:kern w:val="2"/>
          <w:sz w:val="24"/>
          <w:szCs w:val="24"/>
          <w:highlight w:val="none"/>
        </w:rPr>
      </w:pPr>
      <w:r>
        <w:rPr>
          <w:rFonts w:hint="eastAsia" w:ascii="宋体" w:hAnsi="宋体" w:eastAsia="宋体" w:cs="仿宋"/>
          <w:b w:val="0"/>
          <w:bCs w:val="0"/>
          <w:color w:val="auto"/>
          <w:kern w:val="2"/>
          <w:sz w:val="24"/>
          <w:szCs w:val="24"/>
          <w:highlight w:val="none"/>
        </w:rPr>
        <w:t>1.产品如有型号，请在“产品名称”栏一并填写。</w:t>
      </w:r>
    </w:p>
    <w:p w14:paraId="6E45ECF5">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auto"/>
          <w:kern w:val="2"/>
          <w:sz w:val="24"/>
          <w:szCs w:val="24"/>
          <w:highlight w:val="none"/>
        </w:rPr>
      </w:pPr>
      <w:r>
        <w:rPr>
          <w:rFonts w:hint="eastAsia" w:ascii="宋体" w:hAnsi="宋体" w:eastAsia="宋体" w:cs="仿宋"/>
          <w:b w:val="0"/>
          <w:bCs w:val="0"/>
          <w:color w:val="auto"/>
          <w:kern w:val="2"/>
          <w:sz w:val="24"/>
          <w:szCs w:val="24"/>
          <w:highlight w:val="none"/>
        </w:rPr>
        <w:t>2.生产厂名与厂址应与生产厂营业执照载明的相关信息保持一致。</w:t>
      </w:r>
    </w:p>
    <w:p w14:paraId="6C6EC67F">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auto"/>
          <w:kern w:val="2"/>
          <w:sz w:val="24"/>
          <w:szCs w:val="24"/>
          <w:highlight w:val="none"/>
        </w:rPr>
      </w:pPr>
      <w:r>
        <w:rPr>
          <w:rFonts w:hint="eastAsia" w:ascii="宋体" w:hAnsi="宋体" w:eastAsia="宋体" w:cs="仿宋"/>
          <w:b w:val="0"/>
          <w:bCs w:val="0"/>
          <w:color w:val="auto"/>
          <w:kern w:val="2"/>
          <w:sz w:val="24"/>
          <w:szCs w:val="24"/>
          <w:highlight w:val="none"/>
        </w:rPr>
        <w:t>3.该产品的中国境内生产的组件成本占比相关要求实施前，“规定比例”栏可不填，下同。</w:t>
      </w:r>
    </w:p>
    <w:p w14:paraId="49D853B1">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auto"/>
          <w:kern w:val="2"/>
          <w:sz w:val="24"/>
          <w:szCs w:val="24"/>
          <w:highlight w:val="none"/>
        </w:rPr>
      </w:pPr>
      <w:r>
        <w:rPr>
          <w:rFonts w:hint="eastAsia" w:ascii="宋体" w:hAnsi="宋体" w:eastAsia="宋体" w:cs="仿宋"/>
          <w:b w:val="0"/>
          <w:bCs w:val="0"/>
          <w:color w:val="auto"/>
          <w:kern w:val="2"/>
          <w:sz w:val="24"/>
          <w:szCs w:val="24"/>
          <w:highlight w:val="none"/>
        </w:rPr>
        <w:t>4.该产品的关键组件要求实施前，“关键组件”栏可不填，下同。</w:t>
      </w:r>
    </w:p>
    <w:p w14:paraId="1A37250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auto"/>
          <w:kern w:val="2"/>
          <w:sz w:val="24"/>
          <w:szCs w:val="24"/>
          <w:highlight w:val="none"/>
        </w:rPr>
      </w:pPr>
      <w:r>
        <w:rPr>
          <w:rFonts w:hint="eastAsia" w:ascii="宋体" w:hAnsi="宋体" w:eastAsia="宋体" w:cs="仿宋"/>
          <w:b w:val="0"/>
          <w:bCs w:val="0"/>
          <w:color w:val="auto"/>
          <w:kern w:val="2"/>
          <w:sz w:val="24"/>
          <w:szCs w:val="24"/>
          <w:highlight w:val="none"/>
        </w:rPr>
        <w:t>5.该产品的关键工序要求实施前，“关键工序”栏可不填，下同。</w:t>
      </w:r>
    </w:p>
    <w:p w14:paraId="7F831266">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auto"/>
          <w:kern w:val="2"/>
          <w:sz w:val="24"/>
          <w:szCs w:val="24"/>
          <w:highlight w:val="none"/>
        </w:rPr>
      </w:pPr>
    </w:p>
    <w:p w14:paraId="2CB32728">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color w:val="auto"/>
          <w:highlight w:val="none"/>
        </w:rPr>
      </w:pPr>
      <w:r>
        <w:rPr>
          <w:rFonts w:hint="eastAsia" w:ascii="宋体" w:hAnsi="宋体" w:eastAsia="宋体" w:cs="仿宋"/>
          <w:b w:val="0"/>
          <w:bCs w:val="0"/>
          <w:color w:val="auto"/>
          <w:kern w:val="2"/>
          <w:sz w:val="24"/>
          <w:szCs w:val="24"/>
          <w:highlight w:val="none"/>
        </w:rPr>
        <w:t>https://zfcg.henan.gov.cn/henan/content?infoId=1760598568058963&amp;channelCode=H600301</w:t>
      </w:r>
      <w:r>
        <w:rPr>
          <w:rFonts w:hint="eastAsia" w:ascii="宋体" w:hAnsi="宋体" w:eastAsia="宋体" w:cs="仿宋"/>
          <w:b w:val="0"/>
          <w:bCs w:val="0"/>
          <w:color w:val="auto"/>
          <w:kern w:val="2"/>
          <w:sz w:val="24"/>
          <w:szCs w:val="24"/>
          <w:highlight w:val="none"/>
          <w:lang w:eastAsia="zh-CN"/>
        </w:rPr>
        <w:t>《</w:t>
      </w:r>
      <w:r>
        <w:rPr>
          <w:rFonts w:hint="eastAsia" w:ascii="宋体" w:hAnsi="宋体" w:eastAsia="宋体" w:cs="仿宋"/>
          <w:b w:val="0"/>
          <w:bCs w:val="0"/>
          <w:color w:val="auto"/>
          <w:kern w:val="2"/>
          <w:sz w:val="24"/>
          <w:szCs w:val="24"/>
          <w:highlight w:val="none"/>
        </w:rPr>
        <w:t>国务院办公厅关于在政府采购中实施本国产品标准及相关政策的通知</w:t>
      </w:r>
      <w:r>
        <w:rPr>
          <w:rFonts w:hint="eastAsia" w:ascii="宋体" w:hAnsi="宋体" w:eastAsia="宋体" w:cs="仿宋"/>
          <w:b w:val="0"/>
          <w:bCs w:val="0"/>
          <w:color w:val="auto"/>
          <w:kern w:val="2"/>
          <w:sz w:val="24"/>
          <w:szCs w:val="24"/>
          <w:highlight w:val="none"/>
          <w:lang w:eastAsia="zh-CN"/>
        </w:rPr>
        <w:t>》</w:t>
      </w:r>
    </w:p>
    <w:p w14:paraId="794E677E">
      <w:pPr>
        <w:outlineLvl w:val="9"/>
        <w:rPr>
          <w:rFonts w:hint="default"/>
          <w:color w:val="auto"/>
          <w:highlight w:val="none"/>
          <w:lang w:val="en-US" w:eastAsia="zh-CN"/>
        </w:rPr>
      </w:pPr>
    </w:p>
    <w:p w14:paraId="7C3FCACB">
      <w:pPr>
        <w:pStyle w:val="2"/>
        <w:spacing w:line="360" w:lineRule="auto"/>
        <w:ind w:left="277" w:hanging="277" w:hangingChars="115"/>
        <w:jc w:val="center"/>
        <w:rPr>
          <w:rFonts w:hint="eastAsia" w:ascii="宋体" w:hAnsi="宋体" w:eastAsia="宋体" w:cs="宋体"/>
          <w:color w:val="auto"/>
          <w:sz w:val="24"/>
          <w:szCs w:val="24"/>
          <w:highlight w:val="none"/>
        </w:rPr>
      </w:pPr>
      <w:r>
        <w:rPr>
          <w:rFonts w:hint="eastAsia" w:ascii="宋体" w:hAnsi="宋体" w:cs="仿宋"/>
          <w:b/>
          <w:bCs/>
          <w:color w:val="auto"/>
          <w:kern w:val="2"/>
          <w:sz w:val="24"/>
          <w:szCs w:val="24"/>
          <w:highlight w:val="none"/>
        </w:rPr>
        <w:br w:type="page"/>
      </w:r>
      <w:r>
        <w:rPr>
          <w:rFonts w:hint="eastAsia" w:ascii="宋体" w:hAnsi="宋体" w:eastAsia="宋体" w:cs="宋体"/>
          <w:color w:val="auto"/>
          <w:sz w:val="24"/>
          <w:szCs w:val="24"/>
          <w:highlight w:val="none"/>
          <w:lang w:val="en-US" w:eastAsia="zh-CN"/>
        </w:rPr>
        <w:t>十</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认为需提供的其他资料</w:t>
      </w:r>
    </w:p>
    <w:p w14:paraId="40570647">
      <w:pPr>
        <w:pStyle w:val="14"/>
        <w:spacing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响应人</w:t>
      </w:r>
      <w:r>
        <w:rPr>
          <w:rFonts w:hint="eastAsia" w:ascii="宋体" w:hAnsi="宋体" w:eastAsia="宋体" w:cs="宋体"/>
          <w:color w:val="auto"/>
          <w:sz w:val="24"/>
          <w:szCs w:val="24"/>
          <w:highlight w:val="none"/>
        </w:rPr>
        <w:t>认为</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及评分办法中要求提供的和</w:t>
      </w:r>
      <w:r>
        <w:rPr>
          <w:rFonts w:hint="eastAsia" w:ascii="宋体" w:hAnsi="宋体" w:eastAsia="宋体" w:cs="宋体"/>
          <w:color w:val="auto"/>
          <w:sz w:val="24"/>
          <w:szCs w:val="24"/>
          <w:highlight w:val="none"/>
          <w:lang w:eastAsia="zh-CN"/>
        </w:rPr>
        <w:t>响应人</w:t>
      </w:r>
      <w:r>
        <w:rPr>
          <w:rFonts w:hint="eastAsia" w:ascii="宋体" w:hAnsi="宋体" w:eastAsia="宋体" w:cs="宋体"/>
          <w:color w:val="auto"/>
          <w:sz w:val="24"/>
          <w:szCs w:val="24"/>
          <w:highlight w:val="none"/>
        </w:rPr>
        <w:t>认为有必要提供的各种证明资料或其他材料。</w:t>
      </w:r>
    </w:p>
    <w:p w14:paraId="55D8A28A">
      <w:pPr>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附件一：中小微企业声明函</w:t>
      </w:r>
    </w:p>
    <w:p w14:paraId="2C8B35B3">
      <w:pPr>
        <w:spacing w:line="360" w:lineRule="auto"/>
        <w:ind w:firstLine="849" w:firstLineChars="35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属于中小企业的填写，不属于的无需填写此项内容）</w:t>
      </w:r>
    </w:p>
    <w:p w14:paraId="4469C9DB">
      <w:pPr>
        <w:spacing w:line="360" w:lineRule="auto"/>
        <w:ind w:firstLine="849" w:firstLineChars="354"/>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中小企业声明函（货物）</w:t>
      </w:r>
    </w:p>
    <w:p w14:paraId="6E20D4A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本公司（联合体）郑重声明，根据《政府采购促进中小企业发展管理办法》（财库﹝2020﹞46 号）的规定，本公司（联合体）参加</w:t>
      </w:r>
      <w:r>
        <w:rPr>
          <w:rFonts w:hint="eastAsia" w:ascii="宋体" w:hAnsi="宋体" w:eastAsia="宋体" w:cs="宋体"/>
          <w:color w:val="auto"/>
          <w:sz w:val="24"/>
          <w:szCs w:val="24"/>
          <w:highlight w:val="none"/>
          <w:u w:val="single"/>
        </w:rPr>
        <w:t xml:space="preserve"> （单位名称） </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 xml:space="preserve"> （项目名称） </w:t>
      </w:r>
      <w:r>
        <w:rPr>
          <w:rFonts w:hint="eastAsia" w:ascii="宋体" w:hAnsi="宋体" w:eastAsia="宋体" w:cs="宋体"/>
          <w:color w:val="auto"/>
          <w:sz w:val="24"/>
          <w:szCs w:val="24"/>
          <w:highlight w:val="none"/>
        </w:rPr>
        <w:t>采购活动，提供的货物全部由符合政策要求的中小企业制造。相关企业（含联合体中的中小企业、签订分包意向协议的中小企业）的具体情况如下：</w:t>
      </w:r>
    </w:p>
    <w:p w14:paraId="14A101E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u w:val="single"/>
        </w:rPr>
        <w:t xml:space="preserve"> （标的名称）</w:t>
      </w:r>
      <w:r>
        <w:rPr>
          <w:rFonts w:hint="eastAsia" w:ascii="宋体" w:hAnsi="宋体" w:eastAsia="宋体" w:cs="宋体"/>
          <w:color w:val="auto"/>
          <w:sz w:val="24"/>
          <w:szCs w:val="24"/>
          <w:highlight w:val="none"/>
        </w:rPr>
        <w:t xml:space="preserve"> ，属于</w:t>
      </w:r>
      <w:r>
        <w:rPr>
          <w:rFonts w:hint="eastAsia" w:ascii="宋体" w:hAnsi="宋体" w:eastAsia="宋体" w:cs="宋体"/>
          <w:color w:val="auto"/>
          <w:sz w:val="24"/>
          <w:szCs w:val="24"/>
          <w:highlight w:val="none"/>
          <w:u w:val="single"/>
        </w:rPr>
        <w:t xml:space="preserve"> （采购文件中明确的所属行业）</w:t>
      </w:r>
      <w:r>
        <w:rPr>
          <w:rFonts w:hint="eastAsia" w:ascii="宋体" w:hAnsi="宋体" w:eastAsia="宋体" w:cs="宋体"/>
          <w:color w:val="auto"/>
          <w:sz w:val="24"/>
          <w:szCs w:val="24"/>
          <w:highlight w:val="none"/>
        </w:rPr>
        <w:t>行业 ；制造商为 （企业名称），从业人员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 xml:space="preserve"> （中型企业、小型企业、微型企业）</w:t>
      </w:r>
      <w:r>
        <w:rPr>
          <w:rFonts w:hint="eastAsia" w:ascii="宋体" w:hAnsi="宋体" w:eastAsia="宋体" w:cs="宋体"/>
          <w:color w:val="auto"/>
          <w:sz w:val="24"/>
          <w:szCs w:val="24"/>
          <w:highlight w:val="none"/>
        </w:rPr>
        <w:t xml:space="preserve"> ；</w:t>
      </w:r>
    </w:p>
    <w:p w14:paraId="21D14C5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u w:val="single"/>
        </w:rPr>
        <w:t xml:space="preserve"> （标的名称） </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 xml:space="preserve"> （采购文件中明确的所属行业）</w:t>
      </w:r>
      <w:r>
        <w:rPr>
          <w:rFonts w:hint="eastAsia" w:ascii="宋体" w:hAnsi="宋体" w:eastAsia="宋体" w:cs="宋体"/>
          <w:color w:val="auto"/>
          <w:sz w:val="24"/>
          <w:szCs w:val="24"/>
          <w:highlight w:val="none"/>
        </w:rPr>
        <w:t>行业 ；制造商为 （企业名称） ，从业人员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 xml:space="preserve"> （中型企业、小型企业、微型企业） </w:t>
      </w:r>
      <w:r>
        <w:rPr>
          <w:rFonts w:hint="eastAsia" w:ascii="宋体" w:hAnsi="宋体" w:eastAsia="宋体" w:cs="宋体"/>
          <w:color w:val="auto"/>
          <w:sz w:val="24"/>
          <w:szCs w:val="24"/>
          <w:highlight w:val="none"/>
        </w:rPr>
        <w:t>；</w:t>
      </w:r>
    </w:p>
    <w:p w14:paraId="3C4B936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318E0D5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00C784C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本企业对上述声明内容的真实性负责。如有虚假，将依法承担相应责任。</w:t>
      </w:r>
    </w:p>
    <w:p w14:paraId="404A642C">
      <w:pPr>
        <w:spacing w:line="360" w:lineRule="auto"/>
        <w:ind w:firstLine="5527" w:firstLineChars="230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企业名称（</w:t>
      </w:r>
      <w:r>
        <w:rPr>
          <w:rFonts w:hint="eastAsia" w:ascii="宋体" w:hAnsi="宋体" w:eastAsia="宋体" w:cs="宋体"/>
          <w:color w:val="auto"/>
          <w:sz w:val="24"/>
          <w:szCs w:val="24"/>
          <w:highlight w:val="none"/>
          <w:lang w:eastAsia="zh-CN"/>
        </w:rPr>
        <w:t>单位电子公章</w:t>
      </w:r>
      <w:r>
        <w:rPr>
          <w:rFonts w:hint="eastAsia" w:ascii="宋体" w:hAnsi="宋体" w:eastAsia="宋体" w:cs="宋体"/>
          <w:color w:val="auto"/>
          <w:sz w:val="24"/>
          <w:szCs w:val="24"/>
          <w:highlight w:val="none"/>
        </w:rPr>
        <w:t>）：</w:t>
      </w:r>
    </w:p>
    <w:p w14:paraId="4A5DBEB1">
      <w:pPr>
        <w:spacing w:line="360" w:lineRule="auto"/>
        <w:ind w:firstLine="5527" w:firstLineChars="230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5339A51E">
      <w:pPr>
        <w:spacing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从业人员、营业收入、资产总额填报上一年度数据，无上一年度数据的新成立企业可不填报。</w:t>
      </w:r>
    </w:p>
    <w:p w14:paraId="21AB706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2、填写前请认真阅读《关于印发中小企业划型标准规定的通知》（工信部联企业[2011]300 号）和《关于印发＜政府采购促进中小企业发展管理办法＞的通知》(财库﹝2020﹞46 号 )相关规定。</w:t>
      </w:r>
    </w:p>
    <w:p w14:paraId="5D24330B">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3、未按上述要求提供、填写的，评审时不予以考虑。</w:t>
      </w:r>
    </w:p>
    <w:p w14:paraId="4799F700">
      <w:pPr>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附件二：残疾人福利性单位声明函</w:t>
      </w:r>
    </w:p>
    <w:p w14:paraId="6922F7DF">
      <w:pPr>
        <w:spacing w:line="360" w:lineRule="auto"/>
        <w:ind w:firstLine="0" w:firstLineChars="0"/>
        <w:jc w:val="center"/>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（属于残疾人福利性企业的填写，不属于的无需填写此项内容）</w:t>
      </w:r>
    </w:p>
    <w:p w14:paraId="22EDCD17">
      <w:pPr>
        <w:spacing w:line="360" w:lineRule="auto"/>
        <w:ind w:firstLine="504"/>
        <w:jc w:val="both"/>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中国残疾人联合会关于促进残疾人就业政府采购政策的通知》（财库〔2017〕141 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本单位对上述声明的真实性负责。如有虚假，将依法承担相应责任。</w:t>
      </w:r>
    </w:p>
    <w:p w14:paraId="408DD615">
      <w:pPr>
        <w:spacing w:line="360" w:lineRule="auto"/>
        <w:ind w:firstLine="504"/>
        <w:jc w:val="both"/>
        <w:rPr>
          <w:rFonts w:hint="eastAsia" w:ascii="宋体" w:hAnsi="宋体" w:eastAsia="宋体" w:cs="宋体"/>
          <w:color w:val="auto"/>
          <w:spacing w:val="6"/>
          <w:sz w:val="24"/>
          <w:szCs w:val="24"/>
          <w:highlight w:val="none"/>
        </w:rPr>
      </w:pPr>
    </w:p>
    <w:p w14:paraId="3E4FACBF">
      <w:pPr>
        <w:spacing w:line="360" w:lineRule="auto"/>
        <w:ind w:firstLine="0" w:firstLineChars="0"/>
        <w:jc w:val="right"/>
        <w:rPr>
          <w:rFonts w:hint="eastAsia" w:ascii="宋体" w:hAnsi="宋体" w:eastAsia="宋体" w:cs="宋体"/>
          <w:color w:val="auto"/>
          <w:sz w:val="24"/>
          <w:szCs w:val="24"/>
          <w:highlight w:val="none"/>
        </w:rPr>
      </w:pPr>
      <w:r>
        <w:rPr>
          <w:rFonts w:hint="eastAsia" w:eastAsia="宋体" w:cs="宋体"/>
          <w:color w:val="auto"/>
          <w:sz w:val="24"/>
          <w:szCs w:val="24"/>
          <w:highlight w:val="none"/>
          <w:lang w:eastAsia="zh-CN"/>
        </w:rPr>
        <w:t>响应人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单位电子公章</w:t>
      </w:r>
      <w:r>
        <w:rPr>
          <w:rFonts w:hint="eastAsia" w:ascii="宋体" w:hAnsi="宋体" w:eastAsia="宋体" w:cs="宋体"/>
          <w:color w:val="auto"/>
          <w:sz w:val="24"/>
          <w:szCs w:val="24"/>
          <w:highlight w:val="none"/>
        </w:rPr>
        <w:t>）</w:t>
      </w:r>
    </w:p>
    <w:p w14:paraId="3BD96D80">
      <w:pPr>
        <w:spacing w:line="360" w:lineRule="auto"/>
        <w:ind w:firstLine="0" w:firstLineChars="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日期：    年   月    日</w:t>
      </w:r>
    </w:p>
    <w:p w14:paraId="1F9F2FAF">
      <w:pPr>
        <w:spacing w:line="360" w:lineRule="auto"/>
        <w:ind w:firstLine="504"/>
        <w:jc w:val="both"/>
        <w:rPr>
          <w:rFonts w:hint="eastAsia" w:ascii="宋体" w:hAnsi="宋体" w:eastAsia="宋体" w:cs="宋体"/>
          <w:color w:val="auto"/>
          <w:spacing w:val="6"/>
          <w:sz w:val="24"/>
          <w:szCs w:val="24"/>
          <w:highlight w:val="none"/>
        </w:rPr>
      </w:pPr>
    </w:p>
    <w:p w14:paraId="7A9B47C7">
      <w:pPr>
        <w:spacing w:line="360" w:lineRule="auto"/>
        <w:ind w:firstLine="504"/>
        <w:jc w:val="both"/>
        <w:rPr>
          <w:rFonts w:hint="eastAsia" w:ascii="宋体" w:hAnsi="宋体" w:eastAsia="宋体" w:cs="宋体"/>
          <w:color w:val="auto"/>
          <w:spacing w:val="6"/>
          <w:sz w:val="24"/>
          <w:szCs w:val="24"/>
          <w:highlight w:val="none"/>
        </w:rPr>
      </w:pPr>
    </w:p>
    <w:p w14:paraId="6FA6CF3A">
      <w:pPr>
        <w:spacing w:line="360" w:lineRule="auto"/>
        <w:ind w:firstLine="504"/>
        <w:jc w:val="both"/>
        <w:rPr>
          <w:rFonts w:hint="eastAsia" w:ascii="宋体" w:hAnsi="宋体" w:eastAsia="宋体" w:cs="宋体"/>
          <w:color w:val="auto"/>
          <w:spacing w:val="6"/>
          <w:sz w:val="24"/>
          <w:szCs w:val="24"/>
          <w:highlight w:val="none"/>
        </w:rPr>
      </w:pPr>
    </w:p>
    <w:p w14:paraId="43E5CCE5">
      <w:pPr>
        <w:spacing w:line="360" w:lineRule="auto"/>
        <w:ind w:firstLine="567" w:firstLineChars="225"/>
        <w:jc w:val="both"/>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说明：该声明函是有针对性的，属于残疾人福利性企业的填写，不属于的无需填写此项内容，但保留该声明函的格式在响应文件中并按要求盖章。</w:t>
      </w:r>
    </w:p>
    <w:p w14:paraId="5423EE13">
      <w:pPr>
        <w:spacing w:line="360" w:lineRule="auto"/>
        <w:ind w:firstLine="0" w:firstLineChars="0"/>
        <w:jc w:val="both"/>
        <w:rPr>
          <w:rFonts w:hint="eastAsia" w:ascii="宋体" w:hAnsi="宋体" w:eastAsia="宋体" w:cs="宋体"/>
          <w:color w:val="auto"/>
          <w:sz w:val="24"/>
          <w:szCs w:val="24"/>
          <w:highlight w:val="none"/>
        </w:rPr>
      </w:pPr>
    </w:p>
    <w:p w14:paraId="4D96AF12">
      <w:pPr>
        <w:spacing w:line="360" w:lineRule="auto"/>
        <w:ind w:firstLine="0" w:firstLineChars="0"/>
        <w:jc w:val="both"/>
        <w:rPr>
          <w:rFonts w:hint="eastAsia" w:ascii="宋体" w:hAnsi="宋体" w:eastAsia="宋体" w:cs="宋体"/>
          <w:color w:val="auto"/>
          <w:sz w:val="24"/>
          <w:szCs w:val="24"/>
          <w:highlight w:val="none"/>
        </w:rPr>
      </w:pPr>
    </w:p>
    <w:p w14:paraId="76286060">
      <w:pPr>
        <w:spacing w:line="360" w:lineRule="auto"/>
        <w:ind w:firstLine="0" w:firstLineChars="0"/>
        <w:jc w:val="both"/>
        <w:rPr>
          <w:rFonts w:hint="eastAsia" w:ascii="宋体" w:hAnsi="宋体" w:eastAsia="宋体" w:cs="宋体"/>
          <w:color w:val="auto"/>
          <w:sz w:val="24"/>
          <w:szCs w:val="24"/>
          <w:highlight w:val="none"/>
        </w:rPr>
      </w:pPr>
    </w:p>
    <w:p w14:paraId="22EE880F">
      <w:pPr>
        <w:spacing w:line="360" w:lineRule="auto"/>
        <w:ind w:firstLine="0" w:firstLineChars="0"/>
        <w:jc w:val="both"/>
        <w:rPr>
          <w:rFonts w:hint="eastAsia" w:ascii="宋体" w:hAnsi="宋体" w:eastAsia="宋体" w:cs="宋体"/>
          <w:color w:val="auto"/>
          <w:sz w:val="24"/>
          <w:szCs w:val="24"/>
          <w:highlight w:val="none"/>
        </w:rPr>
      </w:pPr>
    </w:p>
    <w:p w14:paraId="46B19E9B">
      <w:pPr>
        <w:spacing w:line="360" w:lineRule="auto"/>
        <w:ind w:firstLine="0" w:firstLineChars="0"/>
        <w:jc w:val="both"/>
        <w:rPr>
          <w:rFonts w:hint="eastAsia" w:ascii="宋体" w:hAnsi="宋体" w:eastAsia="宋体" w:cs="宋体"/>
          <w:color w:val="auto"/>
          <w:sz w:val="24"/>
          <w:szCs w:val="24"/>
          <w:highlight w:val="none"/>
        </w:rPr>
      </w:pPr>
    </w:p>
    <w:p w14:paraId="4390460A">
      <w:pPr>
        <w:pStyle w:val="14"/>
        <w:spacing w:line="360" w:lineRule="auto"/>
        <w:ind w:firstLine="480"/>
        <w:rPr>
          <w:rFonts w:hint="eastAsia" w:ascii="宋体" w:hAnsi="宋体" w:eastAsia="宋体" w:cs="宋体"/>
          <w:color w:val="auto"/>
          <w:sz w:val="24"/>
          <w:szCs w:val="24"/>
          <w:highlight w:val="none"/>
        </w:rPr>
      </w:pPr>
    </w:p>
    <w:p w14:paraId="1EFA29E8">
      <w:pPr>
        <w:widowControl/>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br w:type="page"/>
      </w:r>
      <w:r>
        <w:rPr>
          <w:rFonts w:hint="eastAsia" w:ascii="宋体" w:hAnsi="宋体" w:eastAsia="宋体" w:cs="宋体"/>
          <w:color w:val="auto"/>
          <w:kern w:val="0"/>
          <w:sz w:val="24"/>
          <w:szCs w:val="24"/>
          <w:highlight w:val="none"/>
        </w:rPr>
        <w:t>附件三 ：监狱企业证明文件</w:t>
      </w:r>
    </w:p>
    <w:p w14:paraId="22BC26F1">
      <w:pPr>
        <w:spacing w:line="360" w:lineRule="auto"/>
        <w:ind w:firstLine="424" w:firstLineChars="177"/>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省级以上监狱管理局、戒毒管理局（含新疆生产建设兵团）出具的属于监狱企业的证明文件。</w:t>
      </w:r>
    </w:p>
    <w:p w14:paraId="0D00AA8F">
      <w:pPr>
        <w:spacing w:line="360" w:lineRule="auto"/>
        <w:ind w:firstLine="424" w:firstLineChars="177"/>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（属于监狱企业的提供，不属于的无需填写此项内容）</w:t>
      </w:r>
    </w:p>
    <w:p w14:paraId="139F51AF">
      <w:pPr>
        <w:spacing w:line="360" w:lineRule="auto"/>
        <w:ind w:firstLine="424" w:firstLineChars="177"/>
        <w:jc w:val="both"/>
        <w:rPr>
          <w:rFonts w:hint="eastAsia" w:ascii="宋体" w:hAnsi="宋体" w:eastAsia="宋体" w:cs="宋体"/>
          <w:color w:val="auto"/>
          <w:sz w:val="24"/>
          <w:szCs w:val="24"/>
          <w:highlight w:val="none"/>
        </w:rPr>
      </w:pPr>
    </w:p>
    <w:p w14:paraId="19D2E1AC">
      <w:pPr>
        <w:spacing w:line="360" w:lineRule="auto"/>
        <w:ind w:firstLine="424" w:firstLineChars="177"/>
        <w:jc w:val="both"/>
        <w:rPr>
          <w:rFonts w:hint="eastAsia" w:ascii="宋体" w:hAnsi="宋体" w:eastAsia="宋体" w:cs="宋体"/>
          <w:color w:val="auto"/>
          <w:sz w:val="24"/>
          <w:szCs w:val="24"/>
          <w:highlight w:val="none"/>
        </w:rPr>
      </w:pPr>
    </w:p>
    <w:p w14:paraId="1022F425">
      <w:pPr>
        <w:spacing w:line="360" w:lineRule="auto"/>
        <w:ind w:firstLine="424" w:firstLineChars="177"/>
        <w:jc w:val="both"/>
        <w:rPr>
          <w:rFonts w:hint="eastAsia" w:ascii="宋体" w:hAnsi="宋体" w:eastAsia="宋体" w:cs="宋体"/>
          <w:color w:val="auto"/>
          <w:sz w:val="24"/>
          <w:szCs w:val="24"/>
          <w:highlight w:val="none"/>
        </w:rPr>
      </w:pPr>
    </w:p>
    <w:p w14:paraId="27E21E70">
      <w:pPr>
        <w:spacing w:line="360" w:lineRule="auto"/>
        <w:ind w:firstLine="424" w:firstLineChars="177"/>
        <w:jc w:val="both"/>
        <w:rPr>
          <w:rFonts w:hint="eastAsia" w:ascii="宋体" w:hAnsi="宋体" w:eastAsia="宋体" w:cs="宋体"/>
          <w:color w:val="auto"/>
          <w:sz w:val="24"/>
          <w:szCs w:val="24"/>
          <w:highlight w:val="none"/>
        </w:rPr>
      </w:pPr>
    </w:p>
    <w:p w14:paraId="3B67A449">
      <w:pPr>
        <w:spacing w:line="360" w:lineRule="auto"/>
        <w:ind w:firstLine="424" w:firstLineChars="177"/>
        <w:jc w:val="both"/>
        <w:rPr>
          <w:rFonts w:hint="eastAsia" w:ascii="宋体" w:hAnsi="宋体" w:eastAsia="宋体" w:cs="宋体"/>
          <w:color w:val="auto"/>
          <w:sz w:val="24"/>
          <w:szCs w:val="24"/>
          <w:highlight w:val="none"/>
        </w:rPr>
      </w:pPr>
    </w:p>
    <w:p w14:paraId="758A3AE9">
      <w:pPr>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附件四：节能环保产品证明文件</w:t>
      </w:r>
    </w:p>
    <w:p w14:paraId="28CEE439">
      <w:pPr>
        <w:spacing w:line="360" w:lineRule="auto"/>
        <w:ind w:firstLine="424" w:firstLineChars="177"/>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国家确定的认证机构出具的、处于有效期之内的节能产品、环境标志产品认证证书。</w:t>
      </w:r>
    </w:p>
    <w:p w14:paraId="4959327B">
      <w:pPr>
        <w:spacing w:line="360" w:lineRule="auto"/>
        <w:ind w:firstLine="0" w:firstLineChars="0"/>
        <w:jc w:val="both"/>
        <w:rPr>
          <w:rFonts w:hint="eastAsia" w:ascii="宋体" w:hAnsi="宋体" w:eastAsia="宋体" w:cs="宋体"/>
          <w:color w:val="auto"/>
          <w:sz w:val="24"/>
          <w:szCs w:val="24"/>
          <w:highlight w:val="none"/>
        </w:rPr>
      </w:pPr>
    </w:p>
    <w:p w14:paraId="7BE76FA0">
      <w:pPr>
        <w:spacing w:line="360" w:lineRule="auto"/>
        <w:ind w:firstLine="424" w:firstLineChars="177"/>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（拟供货物为节能环保产品的提供，不属于的无需填写此项内容）</w:t>
      </w:r>
    </w:p>
    <w:p w14:paraId="31C9BB22">
      <w:pPr>
        <w:rPr>
          <w:color w:val="auto"/>
          <w:highlight w:val="none"/>
        </w:rPr>
      </w:pPr>
    </w:p>
    <w:p w14:paraId="03858E2B">
      <w:pPr>
        <w:rPr>
          <w:color w:val="auto"/>
          <w:highlight w:val="none"/>
        </w:rPr>
      </w:pPr>
    </w:p>
    <w:sectPr>
      <w:headerReference r:id="rId4" w:type="default"/>
      <w:footerReference r:id="rId5" w:type="default"/>
      <w:pgSz w:w="11910" w:h="16840"/>
      <w:pgMar w:top="1440" w:right="1080" w:bottom="1440" w:left="1080" w:header="0" w:footer="993" w:gutter="0"/>
      <w:pgNumType w:fmt="decimal"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88F88">
    <w:pPr>
      <w:spacing w:before="1" w:line="183" w:lineRule="auto"/>
      <w:ind w:left="259"/>
      <w:rPr>
        <w:rFonts w:ascii="宋体" w:hAnsi="宋体" w:eastAsia="宋体" w:cs="宋体"/>
        <w:sz w:val="27"/>
        <w:szCs w:val="2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07706">
    <w:pPr>
      <w:pStyle w:val="6"/>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EF1B26">
                          <w:pPr>
                            <w:pStyle w:val="11"/>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37EF1B26">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2FFF1">
    <w:pPr>
      <w:pBdr>
        <w:bottom w:val="none" w:color="auto" w:sz="0" w:space="1"/>
      </w:pBdr>
      <w:rPr>
        <w:i/>
        <w:sz w:val="18"/>
        <w:szCs w:val="18"/>
      </w:rPr>
    </w:pPr>
    <w:r>
      <w:rPr>
        <w:i/>
        <w:sz w:val="18"/>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82B0AE"/>
    <w:multiLevelType w:val="singleLevel"/>
    <w:tmpl w:val="AC82B0AE"/>
    <w:lvl w:ilvl="0" w:tentative="0">
      <w:start w:val="1"/>
      <w:numFmt w:val="decimal"/>
      <w:suff w:val="nothing"/>
      <w:lvlText w:val="%1、"/>
      <w:lvlJc w:val="left"/>
    </w:lvl>
  </w:abstractNum>
  <w:abstractNum w:abstractNumId="1">
    <w:nsid w:val="2AD4501C"/>
    <w:multiLevelType w:val="multilevel"/>
    <w:tmpl w:val="2AD4501C"/>
    <w:lvl w:ilvl="0" w:tentative="0">
      <w:start w:val="1"/>
      <w:numFmt w:val="decimal"/>
      <w:lvlText w:val="%1"/>
      <w:lvlJc w:val="left"/>
      <w:pPr>
        <w:ind w:left="420" w:hanging="420"/>
      </w:pPr>
      <w:rPr>
        <w:rFonts w:hint="eastAsia"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2">
    <w:nsid w:val="58A151E1"/>
    <w:multiLevelType w:val="singleLevel"/>
    <w:tmpl w:val="58A151E1"/>
    <w:lvl w:ilvl="0" w:tentative="0">
      <w:start w:val="8"/>
      <w:numFmt w:val="decimal"/>
      <w:suff w:val="nothing"/>
      <w:lvlText w:val="%1."/>
      <w:lvlJc w:val="left"/>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62F241A"/>
    <w:rsid w:val="415D045E"/>
    <w:rsid w:val="57D16C5D"/>
    <w:rsid w:val="5E291A24"/>
    <w:rsid w:val="61D30A56"/>
    <w:rsid w:val="6C695806"/>
    <w:rsid w:val="74327919"/>
    <w:rsid w:val="757378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2"/>
    <w:basedOn w:val="1"/>
    <w:next w:val="1"/>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3">
    <w:name w:val="heading 3"/>
    <w:basedOn w:val="1"/>
    <w:next w:val="1"/>
    <w:qFormat/>
    <w:uiPriority w:val="99"/>
    <w:pPr>
      <w:ind w:left="2316"/>
      <w:outlineLvl w:val="2"/>
    </w:pPr>
    <w:rPr>
      <w:rFonts w:ascii="宋体" w:hAnsi="宋体" w:eastAsia="宋体" w:cs="宋体"/>
      <w:b/>
      <w:bCs/>
      <w:sz w:val="28"/>
      <w:szCs w:val="28"/>
      <w:lang w:val="zh-CN" w:eastAsia="zh-CN" w:bidi="zh-CN"/>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4">
    <w:name w:val="toa heading"/>
    <w:basedOn w:val="1"/>
    <w:next w:val="1"/>
    <w:qFormat/>
    <w:uiPriority w:val="0"/>
    <w:pPr>
      <w:spacing w:before="120"/>
    </w:pPr>
    <w:rPr>
      <w:rFonts w:ascii="Arial" w:hAnsi="Arial"/>
      <w:b/>
      <w:bCs/>
      <w:szCs w:val="24"/>
    </w:rPr>
  </w:style>
  <w:style w:type="paragraph" w:styleId="5">
    <w:name w:val="annotation text"/>
    <w:basedOn w:val="1"/>
    <w:qFormat/>
    <w:uiPriority w:val="0"/>
    <w:pPr>
      <w:jc w:val="left"/>
    </w:pPr>
  </w:style>
  <w:style w:type="paragraph" w:styleId="6">
    <w:name w:val="Body Text"/>
    <w:basedOn w:val="1"/>
    <w:qFormat/>
    <w:uiPriority w:val="99"/>
    <w:rPr>
      <w:rFonts w:ascii="宋体" w:hAnsi="宋体" w:eastAsia="宋体" w:cs="宋体"/>
      <w:sz w:val="24"/>
      <w:szCs w:val="24"/>
      <w:lang w:val="zh-CN" w:eastAsia="zh-CN" w:bidi="zh-CN"/>
    </w:rPr>
  </w:style>
  <w:style w:type="paragraph" w:styleId="7">
    <w:name w:val="Body Text Indent"/>
    <w:basedOn w:val="1"/>
    <w:next w:val="8"/>
    <w:qFormat/>
    <w:uiPriority w:val="0"/>
    <w:pPr>
      <w:spacing w:after="120"/>
      <w:ind w:left="420" w:leftChars="200"/>
    </w:pPr>
    <w:rPr>
      <w:rFonts w:ascii="宋体"/>
      <w:sz w:val="34"/>
    </w:rPr>
  </w:style>
  <w:style w:type="paragraph" w:styleId="8">
    <w:name w:val="envelope return"/>
    <w:basedOn w:val="1"/>
    <w:unhideWhenUsed/>
    <w:qFormat/>
    <w:uiPriority w:val="99"/>
    <w:pPr>
      <w:snapToGrid w:val="0"/>
    </w:pPr>
    <w:rPr>
      <w:rFonts w:ascii="Arial" w:hAnsi="Arial"/>
    </w:rPr>
  </w:style>
  <w:style w:type="paragraph" w:styleId="9">
    <w:name w:val="Plain Text"/>
    <w:basedOn w:val="1"/>
    <w:qFormat/>
    <w:uiPriority w:val="99"/>
    <w:rPr>
      <w:rFonts w:ascii="宋体" w:hAnsi="Courier New"/>
      <w:sz w:val="24"/>
      <w:szCs w:val="20"/>
    </w:rPr>
  </w:style>
  <w:style w:type="paragraph" w:styleId="10">
    <w:name w:val="Body Text Indent 2"/>
    <w:basedOn w:val="1"/>
    <w:unhideWhenUsed/>
    <w:qFormat/>
    <w:uiPriority w:val="99"/>
    <w:pPr>
      <w:spacing w:after="120" w:line="480" w:lineRule="auto"/>
      <w:ind w:left="420" w:leftChars="200"/>
    </w:pPr>
  </w:style>
  <w:style w:type="paragraph" w:styleId="11">
    <w:name w:val="footer"/>
    <w:basedOn w:val="1"/>
    <w:qFormat/>
    <w:uiPriority w:val="99"/>
    <w:pPr>
      <w:tabs>
        <w:tab w:val="center" w:pos="4153"/>
        <w:tab w:val="right" w:pos="8306"/>
      </w:tabs>
      <w:snapToGrid w:val="0"/>
      <w:jc w:val="left"/>
    </w:pPr>
    <w:rPr>
      <w:sz w:val="18"/>
    </w:rPr>
  </w:style>
  <w:style w:type="paragraph" w:styleId="12">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99"/>
    <w:pPr>
      <w:spacing w:before="490"/>
      <w:ind w:left="863"/>
    </w:pPr>
    <w:rPr>
      <w:rFonts w:ascii="宋体" w:hAnsi="宋体" w:eastAsia="宋体" w:cs="宋体"/>
      <w:b/>
      <w:bCs/>
      <w:sz w:val="32"/>
      <w:szCs w:val="32"/>
      <w:lang w:val="zh-CN" w:eastAsia="zh-CN" w:bidi="zh-CN"/>
    </w:rPr>
  </w:style>
  <w:style w:type="paragraph" w:styleId="14">
    <w:name w:val="Body Text 2"/>
    <w:basedOn w:val="1"/>
    <w:qFormat/>
    <w:uiPriority w:val="0"/>
    <w:pPr>
      <w:spacing w:after="120" w:line="480" w:lineRule="auto"/>
      <w:ind w:firstLine="560" w:firstLineChars="200"/>
    </w:pPr>
    <w:rPr>
      <w:rFonts w:ascii="Calibri" w:hAnsi="Calibri" w:eastAsia="仿宋_GB2312"/>
      <w:kern w:val="0"/>
      <w:sz w:val="28"/>
      <w:szCs w:val="24"/>
    </w:rPr>
  </w:style>
  <w:style w:type="paragraph" w:styleId="15">
    <w:name w:val="Body Text First Indent"/>
    <w:basedOn w:val="6"/>
    <w:next w:val="16"/>
    <w:unhideWhenUsed/>
    <w:qFormat/>
    <w:uiPriority w:val="99"/>
    <w:pPr>
      <w:spacing w:beforeAutospacing="1" w:after="38" w:line="360" w:lineRule="auto"/>
      <w:jc w:val="left"/>
    </w:pPr>
    <w:rPr>
      <w:rFonts w:ascii="Calibri" w:hAnsi="Calibri" w:eastAsia="宋体"/>
      <w:szCs w:val="24"/>
    </w:rPr>
  </w:style>
  <w:style w:type="paragraph" w:styleId="16">
    <w:name w:val="Body Text First Indent 2"/>
    <w:basedOn w:val="7"/>
    <w:next w:val="1"/>
    <w:qFormat/>
    <w:uiPriority w:val="0"/>
    <w:pPr>
      <w:ind w:firstLine="420" w:firstLineChars="200"/>
    </w:pPr>
  </w:style>
  <w:style w:type="character" w:styleId="19">
    <w:name w:val="Hyperlink"/>
    <w:unhideWhenUsed/>
    <w:qFormat/>
    <w:uiPriority w:val="99"/>
    <w:rPr>
      <w:color w:val="0000FF"/>
      <w:u w:val="none"/>
    </w:rPr>
  </w:style>
  <w:style w:type="paragraph" w:customStyle="1" w:styleId="20">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1">
    <w:name w:val="Default"/>
    <w:next w:val="12"/>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2">
    <w:name w:val="正文1"/>
    <w:qFormat/>
    <w:uiPriority w:val="0"/>
    <w:pPr>
      <w:jc w:val="both"/>
    </w:pPr>
    <w:rPr>
      <w:rFonts w:ascii="Times New Roman" w:hAnsi="Times New Roman" w:eastAsia="宋体" w:cs="Calibri"/>
      <w:kern w:val="2"/>
      <w:sz w:val="21"/>
      <w:szCs w:val="21"/>
      <w:lang w:val="en-US" w:eastAsia="zh-CN" w:bidi="ar-SA"/>
    </w:rPr>
  </w:style>
  <w:style w:type="paragraph" w:customStyle="1" w:styleId="23">
    <w:name w:val="Table Paragraph"/>
    <w:basedOn w:val="1"/>
    <w:qFormat/>
    <w:uiPriority w:val="0"/>
    <w:rPr>
      <w:rFonts w:ascii="宋体" w:hAnsi="宋体" w:eastAsia="宋体" w:cs="宋体"/>
      <w:lang w:val="zh-CN" w:eastAsia="zh-CN" w:bidi="zh-CN"/>
    </w:rPr>
  </w:style>
  <w:style w:type="paragraph" w:customStyle="1" w:styleId="24">
    <w:name w:val="Body Text First Indent1"/>
    <w:basedOn w:val="6"/>
    <w:next w:val="25"/>
    <w:qFormat/>
    <w:uiPriority w:val="0"/>
    <w:pPr>
      <w:ind w:firstLine="420" w:firstLineChars="100"/>
    </w:pPr>
  </w:style>
  <w:style w:type="paragraph" w:customStyle="1" w:styleId="25">
    <w:name w:val="正文首行缩进 21"/>
    <w:basedOn w:val="26"/>
    <w:qFormat/>
    <w:uiPriority w:val="0"/>
    <w:pPr>
      <w:ind w:firstLine="420" w:firstLineChars="200"/>
    </w:pPr>
  </w:style>
  <w:style w:type="paragraph" w:customStyle="1" w:styleId="26">
    <w:name w:val="正文文本缩进1"/>
    <w:basedOn w:val="1"/>
    <w:qFormat/>
    <w:uiPriority w:val="0"/>
    <w:pPr>
      <w:spacing w:line="360" w:lineRule="auto"/>
      <w:ind w:firstLine="482" w:firstLineChars="100"/>
      <w:jc w:val="center"/>
    </w:pPr>
    <w:rPr>
      <w:rFonts w:ascii="黑体" w:eastAsia="黑体"/>
      <w:b/>
      <w:sz w:val="48"/>
      <w:szCs w:val="28"/>
    </w:rPr>
  </w:style>
  <w:style w:type="paragraph" w:customStyle="1" w:styleId="27">
    <w:name w:val="无间隔1"/>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8">
    <w:name w:val="List Paragraph"/>
    <w:basedOn w:val="1"/>
    <w:qFormat/>
    <w:uiPriority w:val="99"/>
    <w:pPr>
      <w:ind w:firstLine="420" w:firstLineChars="200"/>
    </w:pPr>
    <w:rPr>
      <w:rFonts w:ascii="Times New Roman" w:hAnsi="Times New Roman" w:eastAsia="宋体" w:cs="Times New Roman"/>
      <w:kern w:val="0"/>
      <w:sz w:val="20"/>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14728</Words>
  <Characters>16069</Characters>
  <Lines>0</Lines>
  <Paragraphs>0</Paragraphs>
  <TotalTime>1</TotalTime>
  <ScaleCrop>false</ScaleCrop>
  <LinksUpToDate>false</LinksUpToDate>
  <CharactersWithSpaces>16159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2026-09-29T07:42:00Z</dcterms:created>
  <dc:creator>13123</dc:creator>
  <cp:lastModifiedBy>13123</cp:lastModifiedBy>
  <dcterms:modified xsi:type="dcterms:W3CDTF">2026-09-29T13:02:22Z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eyJoZGlkIjoiYzM2MjViMjJhZmZiYWU4ZjM0NmIxMGJlYzRmYTAzNzgiLCJ1c2VySWQiOiIxNDg1NDYxMjczIn0=</vt:lpwstr>
  </property>
  <property fmtid="{D5CDD505-2E9C-101B-9397-08002B2CF9AE}" pid="4" name="ICV">
    <vt:lpwstr>6EDBDBDC13D64967A516295580FA14F0_13</vt:lpwstr>
  </property>
</Properties>
</file>