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238AED">
      <w:pPr>
        <w:spacing w:line="360" w:lineRule="auto"/>
        <w:ind w:firstLine="261" w:firstLineChars="50"/>
        <w:jc w:val="center"/>
        <w:rPr>
          <w:rFonts w:hint="eastAsia" w:ascii="宋体" w:hAnsi="宋体" w:eastAsia="宋体" w:cs="宋体"/>
          <w:b/>
          <w:color w:val="auto"/>
          <w:sz w:val="84"/>
          <w:szCs w:val="84"/>
          <w:highlight w:val="none"/>
          <w:lang w:eastAsia="zh-CN"/>
        </w:rPr>
      </w:pPr>
      <w:r>
        <w:rPr>
          <w:rFonts w:hint="eastAsia" w:ascii="宋体" w:hAnsi="宋体" w:cs="宋体"/>
          <w:b/>
          <w:color w:val="auto"/>
          <w:sz w:val="52"/>
          <w:szCs w:val="52"/>
          <w:highlight w:val="none"/>
          <w:lang w:eastAsia="zh-CN"/>
        </w:rPr>
        <w:t>灵宝市地质灾害防治“十五五”规划编制工作项目</w:t>
      </w:r>
    </w:p>
    <w:p w14:paraId="2C95876E">
      <w:pPr>
        <w:spacing w:line="360" w:lineRule="auto"/>
        <w:ind w:firstLine="422" w:firstLineChars="50"/>
        <w:jc w:val="center"/>
        <w:rPr>
          <w:rFonts w:ascii="宋体" w:hAnsi="宋体" w:cs="宋体"/>
          <w:b/>
          <w:color w:val="auto"/>
          <w:sz w:val="84"/>
          <w:szCs w:val="84"/>
          <w:highlight w:val="none"/>
        </w:rPr>
      </w:pPr>
    </w:p>
    <w:p w14:paraId="7F795EEC">
      <w:pPr>
        <w:spacing w:line="360" w:lineRule="auto"/>
        <w:ind w:firstLine="422" w:firstLineChars="50"/>
        <w:jc w:val="center"/>
        <w:rPr>
          <w:rFonts w:ascii="宋体" w:hAnsi="宋体" w:cs="宋体"/>
          <w:b/>
          <w:color w:val="auto"/>
          <w:sz w:val="84"/>
          <w:szCs w:val="84"/>
          <w:highlight w:val="none"/>
        </w:rPr>
      </w:pPr>
      <w:r>
        <w:rPr>
          <w:rFonts w:hint="eastAsia" w:ascii="宋体" w:hAnsi="宋体" w:cs="宋体"/>
          <w:b/>
          <w:color w:val="auto"/>
          <w:sz w:val="84"/>
          <w:szCs w:val="84"/>
          <w:highlight w:val="none"/>
        </w:rPr>
        <w:t>竞争性磋商文件</w:t>
      </w:r>
    </w:p>
    <w:p w14:paraId="6E3B8D60">
      <w:pPr>
        <w:widowControl/>
        <w:shd w:val="clear" w:color="auto" w:fill="FFFFFF"/>
        <w:spacing w:line="312" w:lineRule="atLeast"/>
        <w:jc w:val="center"/>
        <w:rPr>
          <w:rFonts w:ascii="宋体" w:hAnsi="宋体" w:cs="宋体"/>
          <w:b/>
          <w:color w:val="auto"/>
          <w:sz w:val="28"/>
          <w:szCs w:val="28"/>
          <w:highlight w:val="none"/>
        </w:rPr>
      </w:pPr>
    </w:p>
    <w:p w14:paraId="7DAB8FA3">
      <w:pPr>
        <w:widowControl/>
        <w:shd w:val="clear" w:color="auto" w:fill="FFFFFF"/>
        <w:spacing w:line="312" w:lineRule="atLeast"/>
        <w:jc w:val="center"/>
        <w:rPr>
          <w:rFonts w:hint="eastAsia" w:ascii="微软雅黑" w:hAnsi="微软雅黑" w:eastAsia="宋体" w:cs="微软雅黑"/>
          <w:color w:val="auto"/>
          <w:sz w:val="16"/>
          <w:szCs w:val="16"/>
          <w:highlight w:val="none"/>
          <w:lang w:eastAsia="zh-CN"/>
        </w:rPr>
      </w:pPr>
      <w:r>
        <w:rPr>
          <w:rFonts w:hint="eastAsia" w:ascii="宋体" w:hAnsi="宋体" w:cs="宋体"/>
          <w:b/>
          <w:color w:val="auto"/>
          <w:sz w:val="28"/>
          <w:szCs w:val="28"/>
          <w:highlight w:val="none"/>
        </w:rPr>
        <w:t>项目编号：</w:t>
      </w:r>
      <w:r>
        <w:rPr>
          <w:rFonts w:hint="eastAsia" w:ascii="宋体" w:hAnsi="宋体" w:cs="宋体"/>
          <w:b/>
          <w:color w:val="auto"/>
          <w:sz w:val="28"/>
          <w:szCs w:val="28"/>
          <w:highlight w:val="none"/>
          <w:lang w:eastAsia="zh-CN"/>
        </w:rPr>
        <w:t>LBGZ[2026]216-ZC176、灵宝竞磋采购-2026-133</w:t>
      </w:r>
    </w:p>
    <w:p w14:paraId="39B2527B">
      <w:pPr>
        <w:widowControl/>
        <w:spacing w:line="560" w:lineRule="exact"/>
        <w:jc w:val="left"/>
        <w:rPr>
          <w:rFonts w:ascii="宋体" w:hAnsi="宋体" w:cs="宋体"/>
          <w:b/>
          <w:color w:val="auto"/>
          <w:sz w:val="28"/>
          <w:szCs w:val="28"/>
          <w:highlight w:val="none"/>
        </w:rPr>
      </w:pPr>
    </w:p>
    <w:p w14:paraId="091312AD">
      <w:pPr>
        <w:spacing w:line="360" w:lineRule="auto"/>
        <w:rPr>
          <w:rFonts w:ascii="宋体" w:hAnsi="宋体" w:cs="宋体"/>
          <w:b/>
          <w:color w:val="auto"/>
          <w:sz w:val="28"/>
          <w:szCs w:val="28"/>
          <w:highlight w:val="none"/>
        </w:rPr>
      </w:pPr>
    </w:p>
    <w:p w14:paraId="3BC03018">
      <w:pPr>
        <w:spacing w:line="360" w:lineRule="auto"/>
        <w:rPr>
          <w:rFonts w:ascii="宋体" w:hAnsi="宋体" w:cs="宋体"/>
          <w:b/>
          <w:color w:val="auto"/>
          <w:sz w:val="28"/>
          <w:szCs w:val="28"/>
          <w:highlight w:val="none"/>
        </w:rPr>
      </w:pPr>
    </w:p>
    <w:p w14:paraId="5701D9DD">
      <w:pPr>
        <w:widowControl/>
        <w:jc w:val="left"/>
        <w:rPr>
          <w:rFonts w:ascii="宋体" w:hAnsi="宋体" w:cs="宋体"/>
          <w:color w:val="auto"/>
          <w:highlight w:val="none"/>
        </w:rPr>
      </w:pPr>
    </w:p>
    <w:p w14:paraId="7D0FE89F">
      <w:pPr>
        <w:widowControl/>
        <w:jc w:val="left"/>
        <w:rPr>
          <w:rFonts w:ascii="宋体" w:hAnsi="宋体" w:cs="宋体"/>
          <w:color w:val="auto"/>
          <w:highlight w:val="none"/>
        </w:rPr>
      </w:pPr>
    </w:p>
    <w:p w14:paraId="665C06D5">
      <w:pPr>
        <w:widowControl/>
        <w:jc w:val="left"/>
        <w:rPr>
          <w:rFonts w:ascii="宋体" w:hAnsi="宋体" w:cs="宋体"/>
          <w:color w:val="auto"/>
          <w:highlight w:val="none"/>
        </w:rPr>
      </w:pPr>
    </w:p>
    <w:p w14:paraId="737F08F2">
      <w:pPr>
        <w:widowControl/>
        <w:jc w:val="left"/>
        <w:rPr>
          <w:rFonts w:ascii="宋体" w:hAnsi="宋体" w:cs="宋体"/>
          <w:color w:val="auto"/>
          <w:highlight w:val="none"/>
        </w:rPr>
      </w:pPr>
    </w:p>
    <w:p w14:paraId="6B871782">
      <w:pPr>
        <w:widowControl/>
        <w:jc w:val="left"/>
        <w:rPr>
          <w:rFonts w:ascii="宋体" w:hAnsi="宋体" w:cs="宋体"/>
          <w:color w:val="auto"/>
          <w:highlight w:val="none"/>
        </w:rPr>
      </w:pPr>
    </w:p>
    <w:p w14:paraId="389DD023">
      <w:pPr>
        <w:pStyle w:val="3"/>
        <w:rPr>
          <w:rFonts w:ascii="宋体" w:hAnsi="宋体" w:cs="宋体"/>
          <w:color w:val="auto"/>
          <w:highlight w:val="none"/>
        </w:rPr>
      </w:pPr>
    </w:p>
    <w:p w14:paraId="19469693">
      <w:pPr>
        <w:pStyle w:val="3"/>
        <w:rPr>
          <w:rFonts w:ascii="宋体" w:hAnsi="宋体" w:cs="宋体"/>
          <w:color w:val="auto"/>
          <w:highlight w:val="none"/>
        </w:rPr>
      </w:pPr>
    </w:p>
    <w:p w14:paraId="440B404C">
      <w:pPr>
        <w:widowControl/>
        <w:jc w:val="left"/>
        <w:rPr>
          <w:rFonts w:ascii="宋体" w:hAnsi="宋体" w:cs="宋体"/>
          <w:color w:val="auto"/>
          <w:highlight w:val="none"/>
        </w:rPr>
      </w:pPr>
    </w:p>
    <w:p w14:paraId="7EAE749A">
      <w:pPr>
        <w:widowControl/>
        <w:jc w:val="left"/>
        <w:rPr>
          <w:rFonts w:ascii="宋体" w:hAnsi="宋体" w:cs="宋体"/>
          <w:color w:val="auto"/>
          <w:highlight w:val="none"/>
        </w:rPr>
      </w:pPr>
    </w:p>
    <w:p w14:paraId="05BC45B7">
      <w:pPr>
        <w:widowControl/>
        <w:jc w:val="left"/>
        <w:rPr>
          <w:rFonts w:ascii="宋体" w:hAnsi="宋体" w:cs="宋体"/>
          <w:color w:val="auto"/>
          <w:highlight w:val="none"/>
        </w:rPr>
      </w:pPr>
    </w:p>
    <w:tbl>
      <w:tblPr>
        <w:tblStyle w:val="16"/>
        <w:tblW w:w="0" w:type="auto"/>
        <w:jc w:val="center"/>
        <w:tblLayout w:type="fixed"/>
        <w:tblCellMar>
          <w:top w:w="0" w:type="dxa"/>
          <w:left w:w="108" w:type="dxa"/>
          <w:bottom w:w="0" w:type="dxa"/>
          <w:right w:w="108" w:type="dxa"/>
        </w:tblCellMar>
      </w:tblPr>
      <w:tblGrid>
        <w:gridCol w:w="2190"/>
        <w:gridCol w:w="5410"/>
      </w:tblGrid>
      <w:tr w14:paraId="62FEB90B">
        <w:tblPrEx>
          <w:tblCellMar>
            <w:top w:w="0" w:type="dxa"/>
            <w:left w:w="108" w:type="dxa"/>
            <w:bottom w:w="0" w:type="dxa"/>
            <w:right w:w="108" w:type="dxa"/>
          </w:tblCellMar>
        </w:tblPrEx>
        <w:trPr>
          <w:jc w:val="center"/>
        </w:trPr>
        <w:tc>
          <w:tcPr>
            <w:tcW w:w="2190" w:type="dxa"/>
          </w:tcPr>
          <w:p w14:paraId="22CB2412">
            <w:pPr>
              <w:pStyle w:val="8"/>
              <w:adjustRightInd w:val="0"/>
              <w:snapToGrid w:val="0"/>
              <w:spacing w:line="360" w:lineRule="auto"/>
              <w:jc w:val="distribute"/>
              <w:rPr>
                <w:rFonts w:asciiTheme="minorEastAsia" w:hAnsiTheme="minorEastAsia" w:eastAsiaTheme="minorEastAsia" w:cstheme="minorEastAsia"/>
                <w:b/>
                <w:color w:val="auto"/>
                <w:sz w:val="32"/>
                <w:szCs w:val="32"/>
                <w:highlight w:val="none"/>
              </w:rPr>
            </w:pPr>
            <w:bookmarkStart w:id="0" w:name="_Toc508179882"/>
            <w:r>
              <w:rPr>
                <w:rFonts w:hint="eastAsia" w:asciiTheme="minorEastAsia" w:hAnsiTheme="minorEastAsia" w:eastAsiaTheme="minorEastAsia" w:cstheme="minorEastAsia"/>
                <w:b/>
                <w:color w:val="auto"/>
                <w:sz w:val="32"/>
                <w:szCs w:val="32"/>
                <w:highlight w:val="none"/>
              </w:rPr>
              <w:t>招标人：</w:t>
            </w:r>
          </w:p>
        </w:tc>
        <w:tc>
          <w:tcPr>
            <w:tcW w:w="5410" w:type="dxa"/>
          </w:tcPr>
          <w:p w14:paraId="66338EEB">
            <w:pPr>
              <w:pStyle w:val="8"/>
              <w:adjustRightInd w:val="0"/>
              <w:snapToGrid w:val="0"/>
              <w:spacing w:line="360" w:lineRule="auto"/>
              <w:jc w:val="distribute"/>
              <w:rPr>
                <w:rFonts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color w:val="auto"/>
                <w:spacing w:val="14"/>
                <w:w w:val="97"/>
                <w:sz w:val="32"/>
                <w:szCs w:val="32"/>
                <w:highlight w:val="none"/>
              </w:rPr>
              <w:t>灵宝市自然资源和规划局</w:t>
            </w:r>
          </w:p>
        </w:tc>
      </w:tr>
      <w:tr w14:paraId="223D3FEA">
        <w:tblPrEx>
          <w:tblCellMar>
            <w:top w:w="0" w:type="dxa"/>
            <w:left w:w="108" w:type="dxa"/>
            <w:bottom w:w="0" w:type="dxa"/>
            <w:right w:w="108" w:type="dxa"/>
          </w:tblCellMar>
        </w:tblPrEx>
        <w:trPr>
          <w:jc w:val="center"/>
        </w:trPr>
        <w:tc>
          <w:tcPr>
            <w:tcW w:w="2190" w:type="dxa"/>
          </w:tcPr>
          <w:p w14:paraId="610DB582">
            <w:pPr>
              <w:pStyle w:val="8"/>
              <w:adjustRightInd w:val="0"/>
              <w:snapToGrid w:val="0"/>
              <w:spacing w:line="360" w:lineRule="auto"/>
              <w:jc w:val="distribute"/>
              <w:rPr>
                <w:rFonts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color w:val="auto"/>
                <w:sz w:val="32"/>
                <w:szCs w:val="32"/>
                <w:highlight w:val="none"/>
              </w:rPr>
              <w:t>代理机构：</w:t>
            </w:r>
          </w:p>
        </w:tc>
        <w:tc>
          <w:tcPr>
            <w:tcW w:w="5410" w:type="dxa"/>
          </w:tcPr>
          <w:p w14:paraId="65F92640">
            <w:pPr>
              <w:adjustRightInd w:val="0"/>
              <w:snapToGrid w:val="0"/>
              <w:spacing w:line="360" w:lineRule="auto"/>
              <w:jc w:val="distribute"/>
              <w:rPr>
                <w:rFonts w:hint="eastAsia" w:asciiTheme="minorEastAsia" w:hAnsiTheme="minorEastAsia" w:eastAsiaTheme="minorEastAsia" w:cstheme="minorEastAsia"/>
                <w:b/>
                <w:color w:val="auto"/>
                <w:sz w:val="32"/>
                <w:szCs w:val="32"/>
                <w:highlight w:val="none"/>
                <w:lang w:eastAsia="zh-CN"/>
              </w:rPr>
            </w:pPr>
            <w:r>
              <w:rPr>
                <w:rFonts w:hint="eastAsia" w:asciiTheme="minorEastAsia" w:hAnsiTheme="minorEastAsia" w:eastAsiaTheme="minorEastAsia" w:cstheme="minorEastAsia"/>
                <w:b/>
                <w:color w:val="auto"/>
                <w:sz w:val="32"/>
                <w:szCs w:val="32"/>
                <w:highlight w:val="none"/>
                <w:lang w:eastAsia="zh-CN"/>
              </w:rPr>
              <w:t>河南润程项目管理有限公司</w:t>
            </w:r>
          </w:p>
        </w:tc>
      </w:tr>
      <w:tr w14:paraId="12E5E148">
        <w:tblPrEx>
          <w:tblCellMar>
            <w:top w:w="0" w:type="dxa"/>
            <w:left w:w="108" w:type="dxa"/>
            <w:bottom w:w="0" w:type="dxa"/>
            <w:right w:w="108" w:type="dxa"/>
          </w:tblCellMar>
        </w:tblPrEx>
        <w:trPr>
          <w:jc w:val="center"/>
        </w:trPr>
        <w:tc>
          <w:tcPr>
            <w:tcW w:w="2190" w:type="dxa"/>
          </w:tcPr>
          <w:p w14:paraId="22C9C59B">
            <w:pPr>
              <w:pStyle w:val="8"/>
              <w:adjustRightInd w:val="0"/>
              <w:snapToGrid w:val="0"/>
              <w:spacing w:line="360" w:lineRule="auto"/>
              <w:jc w:val="distribute"/>
              <w:rPr>
                <w:rFonts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color w:val="auto"/>
                <w:sz w:val="32"/>
                <w:szCs w:val="32"/>
                <w:highlight w:val="none"/>
              </w:rPr>
              <w:t>编制日期：</w:t>
            </w:r>
          </w:p>
        </w:tc>
        <w:tc>
          <w:tcPr>
            <w:tcW w:w="5410" w:type="dxa"/>
          </w:tcPr>
          <w:p w14:paraId="31AE9DBB">
            <w:pPr>
              <w:pStyle w:val="8"/>
              <w:adjustRightInd w:val="0"/>
              <w:snapToGrid w:val="0"/>
              <w:spacing w:line="360" w:lineRule="auto"/>
              <w:jc w:val="distribute"/>
              <w:rPr>
                <w:rFonts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color w:val="auto"/>
                <w:sz w:val="32"/>
                <w:szCs w:val="32"/>
                <w:highlight w:val="none"/>
              </w:rPr>
              <w:t>二零二六年</w:t>
            </w:r>
            <w:r>
              <w:rPr>
                <w:rFonts w:hint="eastAsia" w:asciiTheme="minorEastAsia" w:hAnsiTheme="minorEastAsia" w:eastAsiaTheme="minorEastAsia" w:cstheme="minorEastAsia"/>
                <w:b/>
                <w:color w:val="auto"/>
                <w:sz w:val="32"/>
                <w:szCs w:val="32"/>
                <w:highlight w:val="none"/>
                <w:lang w:val="en-US" w:eastAsia="zh-CN"/>
              </w:rPr>
              <w:t>十</w:t>
            </w:r>
            <w:r>
              <w:rPr>
                <w:rFonts w:hint="eastAsia" w:asciiTheme="minorEastAsia" w:hAnsiTheme="minorEastAsia" w:eastAsiaTheme="minorEastAsia" w:cstheme="minorEastAsia"/>
                <w:b/>
                <w:color w:val="auto"/>
                <w:sz w:val="32"/>
                <w:szCs w:val="32"/>
                <w:highlight w:val="none"/>
              </w:rPr>
              <w:t>月</w:t>
            </w:r>
          </w:p>
        </w:tc>
      </w:tr>
    </w:tbl>
    <w:p w14:paraId="18005289">
      <w:pPr>
        <w:spacing w:line="360" w:lineRule="auto"/>
        <w:jc w:val="center"/>
        <w:rPr>
          <w:rFonts w:ascii="宋体" w:hAnsi="宋体" w:cs="宋体"/>
          <w:b/>
          <w:color w:val="auto"/>
          <w:kern w:val="44"/>
          <w:sz w:val="44"/>
          <w:szCs w:val="44"/>
          <w:highlight w:val="none"/>
        </w:rPr>
      </w:pPr>
      <w:r>
        <w:rPr>
          <w:rFonts w:hint="eastAsia" w:ascii="宋体" w:hAnsi="宋体" w:cs="宋体"/>
          <w:b/>
          <w:color w:val="auto"/>
          <w:kern w:val="0"/>
          <w:sz w:val="32"/>
          <w:szCs w:val="32"/>
          <w:highlight w:val="none"/>
          <w:shd w:val="clear" w:color="auto" w:fill="FFFFFF"/>
        </w:rPr>
        <w:br w:type="page"/>
      </w:r>
      <w:r>
        <w:rPr>
          <w:rFonts w:hint="eastAsia" w:ascii="宋体" w:hAnsi="宋体" w:cs="宋体"/>
          <w:b/>
          <w:color w:val="auto"/>
          <w:kern w:val="44"/>
          <w:sz w:val="44"/>
          <w:szCs w:val="44"/>
          <w:highlight w:val="none"/>
        </w:rPr>
        <w:t>目   录</w:t>
      </w:r>
    </w:p>
    <w:bookmarkEnd w:id="0"/>
    <w:sdt>
      <w:sdtPr>
        <w:rPr>
          <w:rFonts w:ascii="宋体" w:hAnsi="宋体" w:eastAsia="宋体" w:cs="Times New Roman"/>
          <w:kern w:val="2"/>
          <w:sz w:val="21"/>
          <w:szCs w:val="24"/>
          <w:lang w:val="en-US" w:eastAsia="zh-CN" w:bidi="ar-SA"/>
        </w:rPr>
        <w:id w:val="147467097"/>
        <w15:color w:val="DBDBDB"/>
        <w:docPartObj>
          <w:docPartGallery w:val="Table of Contents"/>
          <w:docPartUnique/>
        </w:docPartObj>
      </w:sdtPr>
      <w:sdtEndPr>
        <w:rPr>
          <w:rFonts w:ascii="宋体" w:hAnsi="宋体" w:eastAsia="宋体" w:cs="宋体"/>
          <w:bCs/>
          <w:color w:val="auto"/>
          <w:kern w:val="2"/>
          <w:sz w:val="28"/>
          <w:szCs w:val="36"/>
          <w:highlight w:val="none"/>
          <w:lang w:val="en-US" w:eastAsia="zh-CN" w:bidi="ar-SA"/>
        </w:rPr>
      </w:sdtEndPr>
      <w:sdtContent>
        <w:p w14:paraId="53AA16AF">
          <w:pPr>
            <w:spacing w:before="0" w:beforeLines="0" w:after="0" w:afterLines="0" w:line="240" w:lineRule="auto"/>
            <w:ind w:left="0" w:leftChars="0" w:right="0" w:rightChars="0" w:firstLine="0" w:firstLineChars="0"/>
            <w:jc w:val="center"/>
          </w:pPr>
          <w:bookmarkStart w:id="1" w:name="_Toc523220931"/>
          <w:bookmarkStart w:id="2" w:name="_Toc16520163"/>
          <w:bookmarkStart w:id="3" w:name="_Toc525811562"/>
        </w:p>
        <w:p w14:paraId="09E59797">
          <w:pPr>
            <w:pStyle w:val="12"/>
            <w:tabs>
              <w:tab w:val="right" w:leader="dot" w:pos="9638"/>
            </w:tabs>
            <w:rPr>
              <w:sz w:val="28"/>
              <w:szCs w:val="36"/>
            </w:rPr>
          </w:pPr>
          <w:r>
            <w:rPr>
              <w:rFonts w:ascii="宋体" w:hAnsi="宋体" w:cs="宋体"/>
              <w:bCs/>
              <w:color w:val="auto"/>
              <w:sz w:val="36"/>
              <w:szCs w:val="36"/>
              <w:highlight w:val="none"/>
            </w:rPr>
            <w:fldChar w:fldCharType="begin"/>
          </w:r>
          <w:r>
            <w:rPr>
              <w:rFonts w:ascii="宋体" w:hAnsi="宋体" w:cs="宋体"/>
              <w:bCs/>
              <w:color w:val="auto"/>
              <w:sz w:val="36"/>
              <w:szCs w:val="36"/>
              <w:highlight w:val="none"/>
            </w:rPr>
            <w:instrText xml:space="preserve">TOC \o "1-1" \h \u </w:instrText>
          </w:r>
          <w:r>
            <w:rPr>
              <w:rFonts w:ascii="宋体" w:hAnsi="宋体" w:cs="宋体"/>
              <w:bCs/>
              <w:color w:val="auto"/>
              <w:sz w:val="36"/>
              <w:szCs w:val="36"/>
              <w:highlight w:val="none"/>
            </w:rPr>
            <w:fldChar w:fldCharType="separate"/>
          </w:r>
          <w:r>
            <w:rPr>
              <w:rFonts w:ascii="宋体" w:hAnsi="宋体" w:cs="宋体"/>
              <w:bCs/>
              <w:color w:val="auto"/>
              <w:sz w:val="28"/>
              <w:szCs w:val="36"/>
              <w:highlight w:val="none"/>
            </w:rPr>
            <w:fldChar w:fldCharType="begin"/>
          </w:r>
          <w:r>
            <w:rPr>
              <w:rFonts w:ascii="宋体" w:hAnsi="宋体" w:cs="宋体"/>
              <w:bCs/>
              <w:sz w:val="28"/>
              <w:szCs w:val="36"/>
              <w:highlight w:val="none"/>
            </w:rPr>
            <w:instrText xml:space="preserve"> HYPERLINK \l _Toc29153 </w:instrText>
          </w:r>
          <w:r>
            <w:rPr>
              <w:rFonts w:ascii="宋体" w:hAnsi="宋体" w:cs="宋体"/>
              <w:bCs/>
              <w:sz w:val="28"/>
              <w:szCs w:val="36"/>
              <w:highlight w:val="none"/>
            </w:rPr>
            <w:fldChar w:fldCharType="separate"/>
          </w:r>
          <w:r>
            <w:rPr>
              <w:rFonts w:hint="eastAsia" w:ascii="宋体" w:hAnsi="宋体" w:cs="宋体"/>
              <w:bCs/>
              <w:sz w:val="28"/>
              <w:szCs w:val="44"/>
              <w:highlight w:val="none"/>
            </w:rPr>
            <w:t>第一章 竞争性磋商公告</w:t>
          </w:r>
          <w:r>
            <w:rPr>
              <w:sz w:val="28"/>
              <w:szCs w:val="36"/>
            </w:rPr>
            <w:tab/>
          </w:r>
          <w:r>
            <w:rPr>
              <w:sz w:val="28"/>
              <w:szCs w:val="36"/>
            </w:rPr>
            <w:fldChar w:fldCharType="begin"/>
          </w:r>
          <w:r>
            <w:rPr>
              <w:sz w:val="28"/>
              <w:szCs w:val="36"/>
            </w:rPr>
            <w:instrText xml:space="preserve"> PAGEREF _Toc29153 \h </w:instrText>
          </w:r>
          <w:r>
            <w:rPr>
              <w:sz w:val="28"/>
              <w:szCs w:val="36"/>
            </w:rPr>
            <w:fldChar w:fldCharType="separate"/>
          </w:r>
          <w:r>
            <w:rPr>
              <w:sz w:val="28"/>
              <w:szCs w:val="36"/>
            </w:rPr>
            <w:t>1</w:t>
          </w:r>
          <w:r>
            <w:rPr>
              <w:sz w:val="28"/>
              <w:szCs w:val="36"/>
            </w:rPr>
            <w:fldChar w:fldCharType="end"/>
          </w:r>
          <w:r>
            <w:rPr>
              <w:rFonts w:ascii="宋体" w:hAnsi="宋体" w:cs="宋体"/>
              <w:bCs/>
              <w:color w:val="auto"/>
              <w:sz w:val="28"/>
              <w:szCs w:val="36"/>
              <w:highlight w:val="none"/>
            </w:rPr>
            <w:fldChar w:fldCharType="end"/>
          </w:r>
        </w:p>
        <w:p w14:paraId="40FC3211">
          <w:pPr>
            <w:pStyle w:val="12"/>
            <w:tabs>
              <w:tab w:val="right" w:leader="dot" w:pos="9638"/>
            </w:tabs>
            <w:rPr>
              <w:sz w:val="28"/>
              <w:szCs w:val="36"/>
            </w:rPr>
          </w:pPr>
          <w:r>
            <w:rPr>
              <w:rFonts w:ascii="宋体" w:hAnsi="宋体" w:cs="宋体"/>
              <w:bCs/>
              <w:color w:val="auto"/>
              <w:sz w:val="28"/>
              <w:szCs w:val="36"/>
              <w:highlight w:val="none"/>
            </w:rPr>
            <w:fldChar w:fldCharType="begin"/>
          </w:r>
          <w:r>
            <w:rPr>
              <w:rFonts w:ascii="宋体" w:hAnsi="宋体" w:cs="宋体"/>
              <w:bCs/>
              <w:sz w:val="28"/>
              <w:szCs w:val="36"/>
              <w:highlight w:val="none"/>
            </w:rPr>
            <w:instrText xml:space="preserve"> HYPERLINK \l _Toc16672 </w:instrText>
          </w:r>
          <w:r>
            <w:rPr>
              <w:rFonts w:ascii="宋体" w:hAnsi="宋体" w:cs="宋体"/>
              <w:bCs/>
              <w:sz w:val="28"/>
              <w:szCs w:val="36"/>
              <w:highlight w:val="none"/>
            </w:rPr>
            <w:fldChar w:fldCharType="separate"/>
          </w:r>
          <w:r>
            <w:rPr>
              <w:rFonts w:hint="eastAsia" w:ascii="宋体" w:hAnsi="宋体" w:cs="宋体"/>
              <w:bCs/>
              <w:sz w:val="28"/>
              <w:szCs w:val="44"/>
              <w:highlight w:val="none"/>
            </w:rPr>
            <w:t>第二章 供应商须知</w:t>
          </w:r>
          <w:r>
            <w:rPr>
              <w:sz w:val="28"/>
              <w:szCs w:val="36"/>
            </w:rPr>
            <w:tab/>
          </w:r>
          <w:r>
            <w:rPr>
              <w:sz w:val="28"/>
              <w:szCs w:val="36"/>
            </w:rPr>
            <w:fldChar w:fldCharType="begin"/>
          </w:r>
          <w:r>
            <w:rPr>
              <w:sz w:val="28"/>
              <w:szCs w:val="36"/>
            </w:rPr>
            <w:instrText xml:space="preserve"> PAGEREF _Toc16672 \h </w:instrText>
          </w:r>
          <w:r>
            <w:rPr>
              <w:sz w:val="28"/>
              <w:szCs w:val="36"/>
            </w:rPr>
            <w:fldChar w:fldCharType="separate"/>
          </w:r>
          <w:r>
            <w:rPr>
              <w:sz w:val="28"/>
              <w:szCs w:val="36"/>
            </w:rPr>
            <w:t>5</w:t>
          </w:r>
          <w:r>
            <w:rPr>
              <w:sz w:val="28"/>
              <w:szCs w:val="36"/>
            </w:rPr>
            <w:fldChar w:fldCharType="end"/>
          </w:r>
          <w:r>
            <w:rPr>
              <w:rFonts w:ascii="宋体" w:hAnsi="宋体" w:cs="宋体"/>
              <w:bCs/>
              <w:color w:val="auto"/>
              <w:sz w:val="28"/>
              <w:szCs w:val="36"/>
              <w:highlight w:val="none"/>
            </w:rPr>
            <w:fldChar w:fldCharType="end"/>
          </w:r>
        </w:p>
        <w:p w14:paraId="1BFCAF92">
          <w:pPr>
            <w:pStyle w:val="12"/>
            <w:tabs>
              <w:tab w:val="right" w:leader="dot" w:pos="9638"/>
            </w:tabs>
            <w:rPr>
              <w:sz w:val="28"/>
              <w:szCs w:val="36"/>
            </w:rPr>
          </w:pPr>
          <w:r>
            <w:rPr>
              <w:rFonts w:ascii="宋体" w:hAnsi="宋体" w:cs="宋体"/>
              <w:bCs/>
              <w:color w:val="auto"/>
              <w:sz w:val="28"/>
              <w:szCs w:val="36"/>
              <w:highlight w:val="none"/>
            </w:rPr>
            <w:fldChar w:fldCharType="begin"/>
          </w:r>
          <w:r>
            <w:rPr>
              <w:rFonts w:ascii="宋体" w:hAnsi="宋体" w:cs="宋体"/>
              <w:bCs/>
              <w:sz w:val="28"/>
              <w:szCs w:val="36"/>
              <w:highlight w:val="none"/>
            </w:rPr>
            <w:instrText xml:space="preserve"> HYPERLINK \l _Toc15325 </w:instrText>
          </w:r>
          <w:r>
            <w:rPr>
              <w:rFonts w:ascii="宋体" w:hAnsi="宋体" w:cs="宋体"/>
              <w:bCs/>
              <w:sz w:val="28"/>
              <w:szCs w:val="36"/>
              <w:highlight w:val="none"/>
            </w:rPr>
            <w:fldChar w:fldCharType="separate"/>
          </w:r>
          <w:r>
            <w:rPr>
              <w:rFonts w:hint="eastAsia" w:ascii="宋体" w:hAnsi="宋体" w:cs="宋体"/>
              <w:bCs/>
              <w:sz w:val="28"/>
              <w:szCs w:val="44"/>
              <w:highlight w:val="none"/>
            </w:rPr>
            <w:t>第三章 服务内容及要求</w:t>
          </w:r>
          <w:r>
            <w:rPr>
              <w:sz w:val="28"/>
              <w:szCs w:val="36"/>
            </w:rPr>
            <w:tab/>
          </w:r>
          <w:r>
            <w:rPr>
              <w:sz w:val="28"/>
              <w:szCs w:val="36"/>
            </w:rPr>
            <w:fldChar w:fldCharType="begin"/>
          </w:r>
          <w:r>
            <w:rPr>
              <w:sz w:val="28"/>
              <w:szCs w:val="36"/>
            </w:rPr>
            <w:instrText xml:space="preserve"> PAGEREF _Toc15325 \h </w:instrText>
          </w:r>
          <w:r>
            <w:rPr>
              <w:sz w:val="28"/>
              <w:szCs w:val="36"/>
            </w:rPr>
            <w:fldChar w:fldCharType="separate"/>
          </w:r>
          <w:r>
            <w:rPr>
              <w:sz w:val="28"/>
              <w:szCs w:val="36"/>
            </w:rPr>
            <w:t>28</w:t>
          </w:r>
          <w:r>
            <w:rPr>
              <w:sz w:val="28"/>
              <w:szCs w:val="36"/>
            </w:rPr>
            <w:fldChar w:fldCharType="end"/>
          </w:r>
          <w:r>
            <w:rPr>
              <w:rFonts w:ascii="宋体" w:hAnsi="宋体" w:cs="宋体"/>
              <w:bCs/>
              <w:color w:val="auto"/>
              <w:sz w:val="28"/>
              <w:szCs w:val="36"/>
              <w:highlight w:val="none"/>
            </w:rPr>
            <w:fldChar w:fldCharType="end"/>
          </w:r>
        </w:p>
        <w:p w14:paraId="3F208016">
          <w:pPr>
            <w:pStyle w:val="12"/>
            <w:tabs>
              <w:tab w:val="right" w:leader="dot" w:pos="9638"/>
            </w:tabs>
            <w:rPr>
              <w:sz w:val="28"/>
              <w:szCs w:val="36"/>
            </w:rPr>
          </w:pPr>
          <w:r>
            <w:rPr>
              <w:rFonts w:ascii="宋体" w:hAnsi="宋体" w:cs="宋体"/>
              <w:bCs/>
              <w:color w:val="auto"/>
              <w:sz w:val="28"/>
              <w:szCs w:val="36"/>
              <w:highlight w:val="none"/>
            </w:rPr>
            <w:fldChar w:fldCharType="begin"/>
          </w:r>
          <w:r>
            <w:rPr>
              <w:rFonts w:ascii="宋体" w:hAnsi="宋体" w:cs="宋体"/>
              <w:bCs/>
              <w:sz w:val="28"/>
              <w:szCs w:val="36"/>
              <w:highlight w:val="none"/>
            </w:rPr>
            <w:instrText xml:space="preserve"> HYPERLINK \l _Toc27244 </w:instrText>
          </w:r>
          <w:r>
            <w:rPr>
              <w:rFonts w:ascii="宋体" w:hAnsi="宋体" w:cs="宋体"/>
              <w:bCs/>
              <w:sz w:val="28"/>
              <w:szCs w:val="36"/>
              <w:highlight w:val="none"/>
            </w:rPr>
            <w:fldChar w:fldCharType="separate"/>
          </w:r>
          <w:r>
            <w:rPr>
              <w:rFonts w:hint="eastAsia" w:ascii="宋体" w:hAnsi="宋体" w:cs="宋体"/>
              <w:bCs/>
              <w:sz w:val="28"/>
              <w:szCs w:val="44"/>
              <w:highlight w:val="none"/>
            </w:rPr>
            <w:t>第五章 合同协议书</w:t>
          </w:r>
          <w:r>
            <w:rPr>
              <w:sz w:val="28"/>
              <w:szCs w:val="36"/>
            </w:rPr>
            <w:tab/>
          </w:r>
          <w:r>
            <w:rPr>
              <w:sz w:val="28"/>
              <w:szCs w:val="36"/>
            </w:rPr>
            <w:fldChar w:fldCharType="begin"/>
          </w:r>
          <w:r>
            <w:rPr>
              <w:sz w:val="28"/>
              <w:szCs w:val="36"/>
            </w:rPr>
            <w:instrText xml:space="preserve"> PAGEREF _Toc27244 \h </w:instrText>
          </w:r>
          <w:r>
            <w:rPr>
              <w:sz w:val="28"/>
              <w:szCs w:val="36"/>
            </w:rPr>
            <w:fldChar w:fldCharType="separate"/>
          </w:r>
          <w:r>
            <w:rPr>
              <w:sz w:val="28"/>
              <w:szCs w:val="36"/>
            </w:rPr>
            <w:t>39</w:t>
          </w:r>
          <w:r>
            <w:rPr>
              <w:sz w:val="28"/>
              <w:szCs w:val="36"/>
            </w:rPr>
            <w:fldChar w:fldCharType="end"/>
          </w:r>
          <w:r>
            <w:rPr>
              <w:rFonts w:ascii="宋体" w:hAnsi="宋体" w:cs="宋体"/>
              <w:bCs/>
              <w:color w:val="auto"/>
              <w:sz w:val="28"/>
              <w:szCs w:val="36"/>
              <w:highlight w:val="none"/>
            </w:rPr>
            <w:fldChar w:fldCharType="end"/>
          </w:r>
        </w:p>
        <w:p w14:paraId="62CA2F6B">
          <w:pPr>
            <w:pStyle w:val="12"/>
            <w:tabs>
              <w:tab w:val="right" w:leader="dot" w:pos="9638"/>
            </w:tabs>
            <w:rPr>
              <w:sz w:val="28"/>
              <w:szCs w:val="36"/>
            </w:rPr>
          </w:pPr>
          <w:r>
            <w:rPr>
              <w:rFonts w:ascii="宋体" w:hAnsi="宋体" w:cs="宋体"/>
              <w:bCs/>
              <w:color w:val="auto"/>
              <w:sz w:val="28"/>
              <w:szCs w:val="36"/>
              <w:highlight w:val="none"/>
            </w:rPr>
            <w:fldChar w:fldCharType="begin"/>
          </w:r>
          <w:r>
            <w:rPr>
              <w:rFonts w:ascii="宋体" w:hAnsi="宋体" w:cs="宋体"/>
              <w:bCs/>
              <w:sz w:val="28"/>
              <w:szCs w:val="36"/>
              <w:highlight w:val="none"/>
            </w:rPr>
            <w:instrText xml:space="preserve"> HYPERLINK \l _Toc21487 </w:instrText>
          </w:r>
          <w:r>
            <w:rPr>
              <w:rFonts w:ascii="宋体" w:hAnsi="宋体" w:cs="宋体"/>
              <w:bCs/>
              <w:sz w:val="28"/>
              <w:szCs w:val="36"/>
              <w:highlight w:val="none"/>
            </w:rPr>
            <w:fldChar w:fldCharType="separate"/>
          </w:r>
          <w:r>
            <w:rPr>
              <w:rFonts w:hint="eastAsia" w:ascii="宋体" w:hAnsi="宋体" w:cs="宋体"/>
              <w:bCs/>
              <w:sz w:val="28"/>
              <w:szCs w:val="44"/>
              <w:highlight w:val="none"/>
            </w:rPr>
            <w:t>第六章 响应性文件部分格式</w:t>
          </w:r>
          <w:r>
            <w:rPr>
              <w:sz w:val="28"/>
              <w:szCs w:val="36"/>
            </w:rPr>
            <w:tab/>
          </w:r>
          <w:r>
            <w:rPr>
              <w:sz w:val="28"/>
              <w:szCs w:val="36"/>
            </w:rPr>
            <w:fldChar w:fldCharType="begin"/>
          </w:r>
          <w:r>
            <w:rPr>
              <w:sz w:val="28"/>
              <w:szCs w:val="36"/>
            </w:rPr>
            <w:instrText xml:space="preserve"> PAGEREF _Toc21487 \h </w:instrText>
          </w:r>
          <w:r>
            <w:rPr>
              <w:sz w:val="28"/>
              <w:szCs w:val="36"/>
            </w:rPr>
            <w:fldChar w:fldCharType="separate"/>
          </w:r>
          <w:r>
            <w:rPr>
              <w:sz w:val="28"/>
              <w:szCs w:val="36"/>
            </w:rPr>
            <w:t>43</w:t>
          </w:r>
          <w:r>
            <w:rPr>
              <w:sz w:val="28"/>
              <w:szCs w:val="36"/>
            </w:rPr>
            <w:fldChar w:fldCharType="end"/>
          </w:r>
          <w:r>
            <w:rPr>
              <w:rFonts w:ascii="宋体" w:hAnsi="宋体" w:cs="宋体"/>
              <w:bCs/>
              <w:color w:val="auto"/>
              <w:sz w:val="28"/>
              <w:szCs w:val="36"/>
              <w:highlight w:val="none"/>
            </w:rPr>
            <w:fldChar w:fldCharType="end"/>
          </w:r>
        </w:p>
        <w:p w14:paraId="2F95752B">
          <w:pPr>
            <w:spacing w:line="480" w:lineRule="auto"/>
            <w:rPr>
              <w:rFonts w:ascii="宋体" w:hAnsi="宋体" w:eastAsia="宋体" w:cs="宋体"/>
              <w:bCs/>
              <w:color w:val="auto"/>
              <w:kern w:val="2"/>
              <w:sz w:val="28"/>
              <w:szCs w:val="36"/>
              <w:highlight w:val="none"/>
              <w:lang w:val="en-US" w:eastAsia="zh-CN" w:bidi="ar-SA"/>
            </w:rPr>
          </w:pPr>
          <w:r>
            <w:rPr>
              <w:rFonts w:ascii="宋体" w:hAnsi="宋体" w:cs="宋体"/>
              <w:bCs/>
              <w:color w:val="auto"/>
              <w:sz w:val="28"/>
              <w:szCs w:val="36"/>
              <w:highlight w:val="none"/>
            </w:rPr>
            <w:fldChar w:fldCharType="end"/>
          </w:r>
        </w:p>
      </w:sdtContent>
    </w:sdt>
    <w:p w14:paraId="3FC6B024">
      <w:pPr>
        <w:spacing w:line="480" w:lineRule="auto"/>
        <w:rPr>
          <w:rFonts w:ascii="宋体" w:hAnsi="宋体" w:eastAsia="宋体" w:cs="宋体"/>
          <w:bCs/>
          <w:color w:val="auto"/>
          <w:kern w:val="2"/>
          <w:sz w:val="21"/>
          <w:szCs w:val="24"/>
          <w:highlight w:val="none"/>
          <w:lang w:val="en-US" w:eastAsia="zh-CN" w:bidi="ar-SA"/>
        </w:rPr>
      </w:pPr>
    </w:p>
    <w:p w14:paraId="13BCADD1">
      <w:pPr>
        <w:rPr>
          <w:rFonts w:ascii="宋体" w:hAnsi="宋体" w:cs="宋体"/>
          <w:bCs/>
          <w:color w:val="auto"/>
          <w:sz w:val="30"/>
          <w:szCs w:val="30"/>
          <w:highlight w:val="none"/>
        </w:rPr>
      </w:pPr>
    </w:p>
    <w:p w14:paraId="4864F16F">
      <w:pPr>
        <w:jc w:val="center"/>
        <w:outlineLvl w:val="0"/>
        <w:rPr>
          <w:rFonts w:ascii="宋体" w:hAnsi="宋体" w:cs="宋体"/>
          <w:b/>
          <w:bCs/>
          <w:color w:val="auto"/>
          <w:sz w:val="32"/>
          <w:szCs w:val="32"/>
          <w:highlight w:val="none"/>
        </w:rPr>
        <w:sectPr>
          <w:headerReference r:id="rId3" w:type="default"/>
          <w:footerReference r:id="rId4" w:type="default"/>
          <w:pgSz w:w="11906" w:h="16838"/>
          <w:pgMar w:top="1361" w:right="1134" w:bottom="1247" w:left="1134" w:header="850" w:footer="907" w:gutter="0"/>
          <w:cols w:space="720" w:num="1"/>
          <w:docGrid w:type="lines" w:linePitch="312" w:charSpace="0"/>
        </w:sectPr>
      </w:pPr>
      <w:bookmarkStart w:id="406" w:name="_GoBack"/>
      <w:bookmarkEnd w:id="406"/>
      <w:bookmarkStart w:id="4" w:name="_Toc22273"/>
      <w:bookmarkStart w:id="5" w:name="_Toc23400"/>
      <w:bookmarkStart w:id="6" w:name="_Toc121405490"/>
    </w:p>
    <w:p w14:paraId="638F063D">
      <w:pPr>
        <w:jc w:val="center"/>
        <w:outlineLvl w:val="0"/>
        <w:rPr>
          <w:rFonts w:ascii="宋体" w:hAnsi="宋体" w:cs="宋体"/>
          <w:b/>
          <w:bCs/>
          <w:color w:val="auto"/>
          <w:sz w:val="32"/>
          <w:szCs w:val="32"/>
          <w:highlight w:val="none"/>
        </w:rPr>
      </w:pPr>
      <w:bookmarkStart w:id="7" w:name="_Toc29153"/>
      <w:r>
        <w:rPr>
          <w:rFonts w:hint="eastAsia" w:ascii="宋体" w:hAnsi="宋体" w:cs="宋体"/>
          <w:b/>
          <w:bCs/>
          <w:color w:val="auto"/>
          <w:sz w:val="32"/>
          <w:szCs w:val="32"/>
          <w:highlight w:val="none"/>
        </w:rPr>
        <w:t>第一章  竞争性磋商公告</w:t>
      </w:r>
      <w:bookmarkEnd w:id="4"/>
      <w:bookmarkEnd w:id="5"/>
      <w:bookmarkEnd w:id="6"/>
      <w:bookmarkEnd w:id="7"/>
    </w:p>
    <w:bookmarkEnd w:id="1"/>
    <w:bookmarkEnd w:id="2"/>
    <w:bookmarkEnd w:id="3"/>
    <w:p w14:paraId="00EF46FA">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bookmarkStart w:id="8" w:name="_Toc28359014"/>
      <w:bookmarkStart w:id="9" w:name="_Hlk16602944"/>
      <w:bookmarkStart w:id="10" w:name="_Toc28359091"/>
      <w:r>
        <w:rPr>
          <w:rFonts w:hint="eastAsia" w:ascii="宋体" w:hAnsi="宋体" w:cs="宋体"/>
          <w:color w:val="auto"/>
          <w:sz w:val="24"/>
          <w:highlight w:val="none"/>
          <w:lang w:val="zh-CN" w:bidi="zh-CN"/>
        </w:rPr>
        <w:t>河南润程项目管理有限公司受灵宝市自然资源和规划局的委托，就灵宝市地质灾害防治“十五五”规划编制工作项目进行竞争性磋商，欢迎符合资格条件的供应商参加磋商。</w:t>
      </w:r>
    </w:p>
    <w:p w14:paraId="76829F1D">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一、项目基本情况</w:t>
      </w:r>
    </w:p>
    <w:p w14:paraId="0C1F0184">
      <w:pPr>
        <w:pStyle w:val="3"/>
        <w:autoSpaceDE w:val="0"/>
        <w:autoSpaceDN w:val="0"/>
        <w:spacing w:after="0" w:line="360" w:lineRule="auto"/>
        <w:ind w:firstLine="480" w:firstLineChars="200"/>
        <w:jc w:val="left"/>
        <w:rPr>
          <w:rFonts w:ascii="宋体" w:hAnsi="宋体" w:cs="宋体"/>
          <w:color w:val="auto"/>
          <w:sz w:val="24"/>
          <w:highlight w:val="none"/>
          <w:lang w:bidi="zh-CN"/>
        </w:rPr>
      </w:pPr>
      <w:r>
        <w:rPr>
          <w:rFonts w:hint="eastAsia" w:ascii="宋体" w:hAnsi="宋体" w:cs="宋体"/>
          <w:color w:val="auto"/>
          <w:sz w:val="24"/>
          <w:highlight w:val="none"/>
          <w:lang w:val="zh-CN" w:bidi="zh-CN"/>
        </w:rPr>
        <w:t>1、项目编号：LBGZ[2026]216-ZC176、灵宝竞磋采购-2026-133</w:t>
      </w:r>
    </w:p>
    <w:p w14:paraId="1C89EC36">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2、项目名称：灵宝市地质灾害防治“十五五”规划编制工作项目</w:t>
      </w:r>
    </w:p>
    <w:p w14:paraId="7237A37D">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3、采购方式：竞争性磋商</w:t>
      </w:r>
    </w:p>
    <w:p w14:paraId="5B87E460">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4、预算金额：</w:t>
      </w:r>
      <w:r>
        <w:rPr>
          <w:rFonts w:hint="eastAsia" w:ascii="宋体" w:hAnsi="宋体" w:cs="宋体"/>
          <w:color w:val="auto"/>
          <w:sz w:val="24"/>
          <w:highlight w:val="none"/>
          <w:lang w:val="en-US" w:bidi="zh-CN"/>
        </w:rPr>
        <w:t>61.5</w:t>
      </w:r>
      <w:r>
        <w:rPr>
          <w:rFonts w:hint="eastAsia" w:ascii="宋体" w:hAnsi="宋体" w:cs="宋体"/>
          <w:color w:val="auto"/>
          <w:sz w:val="24"/>
          <w:highlight w:val="none"/>
          <w:lang w:bidi="zh-CN"/>
        </w:rPr>
        <w:t>万元</w:t>
      </w:r>
    </w:p>
    <w:p w14:paraId="07511B5C">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5、采购需求（包括但不限于标的的名称、数量、简要技术需求或服务要求等）</w:t>
      </w:r>
    </w:p>
    <w:p w14:paraId="4D933BCA">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5.1采购内容：</w:t>
      </w:r>
      <w:r>
        <w:rPr>
          <w:rFonts w:hint="eastAsia" w:ascii="宋体" w:hAnsi="宋体" w:cs="宋体"/>
          <w:color w:val="auto"/>
          <w:sz w:val="24"/>
          <w:highlight w:val="none"/>
          <w:lang w:eastAsia="zh-CN"/>
        </w:rPr>
        <w:t>本项目为通过资料收集及地面调查，在弄清地质灾害易发程度分区的基础上，根据地质灾害的危险程度，结合本区经济现状、发展规划和保护目标的重要程度，综合划定重点防治工作区、次重点防治区及一般防治区，部署地质灾害防治任务与防治工程，进行投资估算，制定保障措施。规划期内要构建地质灾害“隐患点+风险区”双控新格局；建立人防、技防相结合的地质灾害监测预警体系；实施重要地质灾害隐患综合治理</w:t>
      </w:r>
      <w:r>
        <w:rPr>
          <w:rFonts w:hint="eastAsia" w:ascii="宋体" w:hAnsi="宋体" w:cs="宋体"/>
          <w:color w:val="auto"/>
          <w:sz w:val="24"/>
          <w:highlight w:val="none"/>
        </w:rPr>
        <w:t>，具体内容详见磋商文件</w:t>
      </w:r>
      <w:r>
        <w:rPr>
          <w:rFonts w:hint="eastAsia" w:ascii="宋体" w:hAnsi="宋体" w:cs="宋体"/>
          <w:color w:val="auto"/>
          <w:sz w:val="24"/>
          <w:highlight w:val="none"/>
          <w:lang w:val="zh-CN" w:bidi="zh-CN"/>
        </w:rPr>
        <w:t>；</w:t>
      </w:r>
    </w:p>
    <w:p w14:paraId="24698409">
      <w:pPr>
        <w:pStyle w:val="3"/>
        <w:autoSpaceDE w:val="0"/>
        <w:autoSpaceDN w:val="0"/>
        <w:spacing w:after="0" w:line="360" w:lineRule="auto"/>
        <w:ind w:firstLine="480" w:firstLineChars="200"/>
        <w:jc w:val="left"/>
        <w:rPr>
          <w:rFonts w:ascii="宋体" w:hAnsi="宋体" w:cs="宋体"/>
          <w:color w:val="auto"/>
          <w:sz w:val="24"/>
          <w:highlight w:val="none"/>
          <w:lang w:bidi="zh-CN"/>
        </w:rPr>
      </w:pPr>
      <w:r>
        <w:rPr>
          <w:rFonts w:hint="eastAsia" w:ascii="宋体" w:hAnsi="宋体" w:cs="宋体"/>
          <w:color w:val="auto"/>
          <w:sz w:val="24"/>
          <w:highlight w:val="none"/>
          <w:lang w:bidi="zh-CN"/>
        </w:rPr>
        <w:t>5.2标段划分：不划分标段；</w:t>
      </w:r>
    </w:p>
    <w:p w14:paraId="7EFB03F7">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5.</w:t>
      </w:r>
      <w:r>
        <w:rPr>
          <w:rFonts w:hint="eastAsia" w:ascii="宋体" w:hAnsi="宋体" w:cs="宋体"/>
          <w:color w:val="auto"/>
          <w:sz w:val="24"/>
          <w:highlight w:val="none"/>
          <w:lang w:bidi="zh-CN"/>
        </w:rPr>
        <w:t>3</w:t>
      </w:r>
      <w:r>
        <w:rPr>
          <w:rFonts w:hint="eastAsia" w:ascii="宋体" w:hAnsi="宋体" w:cs="宋体"/>
          <w:color w:val="auto"/>
          <w:sz w:val="24"/>
          <w:highlight w:val="none"/>
          <w:lang w:val="zh-CN" w:bidi="zh-CN"/>
        </w:rPr>
        <w:t>服务地点：采购人指定地点；</w:t>
      </w:r>
    </w:p>
    <w:p w14:paraId="7ED40B7E">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5.</w:t>
      </w:r>
      <w:r>
        <w:rPr>
          <w:rFonts w:hint="eastAsia" w:ascii="宋体" w:hAnsi="宋体" w:cs="宋体"/>
          <w:color w:val="auto"/>
          <w:sz w:val="24"/>
          <w:highlight w:val="none"/>
          <w:lang w:bidi="zh-CN"/>
        </w:rPr>
        <w:t>4</w:t>
      </w:r>
      <w:r>
        <w:rPr>
          <w:rFonts w:hint="eastAsia" w:ascii="宋体" w:hAnsi="宋体" w:cs="宋体"/>
          <w:color w:val="auto"/>
          <w:sz w:val="24"/>
          <w:highlight w:val="none"/>
          <w:lang w:val="zh-CN" w:bidi="zh-CN"/>
        </w:rPr>
        <w:t>服务质量：符合国家及地方现行有关规范、规定的要求，满足采购人要求；</w:t>
      </w:r>
    </w:p>
    <w:p w14:paraId="27C9EF37">
      <w:pPr>
        <w:spacing w:line="360" w:lineRule="auto"/>
        <w:ind w:firstLine="480" w:firstLineChars="200"/>
        <w:jc w:val="left"/>
        <w:rPr>
          <w:rFonts w:ascii="宋体" w:hAnsi="宋体" w:cs="宋体"/>
          <w:color w:val="auto"/>
          <w:sz w:val="24"/>
          <w:highlight w:val="none"/>
          <w:lang w:bidi="zh-CN"/>
        </w:rPr>
      </w:pPr>
      <w:r>
        <w:rPr>
          <w:rFonts w:hint="eastAsia" w:ascii="宋体" w:hAnsi="宋体" w:cs="宋体"/>
          <w:color w:val="auto"/>
          <w:sz w:val="24"/>
          <w:highlight w:val="none"/>
          <w:lang w:bidi="zh-CN"/>
        </w:rPr>
        <w:t>5.5资金来源：财政资金，已落实；</w:t>
      </w:r>
    </w:p>
    <w:p w14:paraId="08EAD000">
      <w:pPr>
        <w:spacing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bidi="zh-CN"/>
        </w:rPr>
        <w:t>5.6</w:t>
      </w:r>
      <w:r>
        <w:rPr>
          <w:rFonts w:hint="eastAsia" w:ascii="宋体" w:hAnsi="宋体" w:cs="宋体"/>
          <w:color w:val="auto"/>
          <w:sz w:val="24"/>
          <w:highlight w:val="none"/>
          <w:lang w:val="zh-CN" w:bidi="zh-CN"/>
        </w:rPr>
        <w:t>服务期限：自签订合同之日起180日历天完成项目服务并提交成果；</w:t>
      </w:r>
    </w:p>
    <w:p w14:paraId="333A3A43">
      <w:pPr>
        <w:spacing w:line="360" w:lineRule="auto"/>
        <w:ind w:firstLine="480" w:firstLineChars="200"/>
        <w:jc w:val="left"/>
        <w:rPr>
          <w:rFonts w:ascii="宋体" w:hAnsi="宋体" w:cs="宋体"/>
          <w:color w:val="auto"/>
          <w:sz w:val="24"/>
          <w:highlight w:val="none"/>
          <w:lang w:bidi="zh-CN"/>
        </w:rPr>
      </w:pPr>
      <w:r>
        <w:rPr>
          <w:rFonts w:hint="eastAsia" w:ascii="宋体" w:hAnsi="宋体" w:cs="宋体"/>
          <w:color w:val="auto"/>
          <w:sz w:val="24"/>
          <w:highlight w:val="none"/>
          <w:lang w:bidi="zh-CN"/>
        </w:rPr>
        <w:t>6、合同履行期限：180日历天</w:t>
      </w:r>
    </w:p>
    <w:p w14:paraId="5BD9E0E6">
      <w:pPr>
        <w:spacing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bidi="zh-CN"/>
        </w:rPr>
        <w:t>7</w:t>
      </w:r>
      <w:r>
        <w:rPr>
          <w:rFonts w:hint="eastAsia" w:ascii="宋体" w:hAnsi="宋体" w:cs="宋体"/>
          <w:color w:val="auto"/>
          <w:sz w:val="24"/>
          <w:highlight w:val="none"/>
          <w:lang w:val="zh-CN" w:bidi="zh-CN"/>
        </w:rPr>
        <w:t>、本项目是否接受联合体投标：否</w:t>
      </w:r>
    </w:p>
    <w:p w14:paraId="5095B91C">
      <w:pPr>
        <w:spacing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bidi="zh-CN"/>
        </w:rPr>
        <w:t>8</w:t>
      </w:r>
      <w:r>
        <w:rPr>
          <w:rFonts w:hint="eastAsia" w:ascii="宋体" w:hAnsi="宋体" w:cs="宋体"/>
          <w:color w:val="auto"/>
          <w:sz w:val="24"/>
          <w:highlight w:val="none"/>
          <w:lang w:val="zh-CN" w:bidi="zh-CN"/>
        </w:rPr>
        <w:t>、是否接受进口产品：否</w:t>
      </w:r>
    </w:p>
    <w:p w14:paraId="1AEB540C">
      <w:pPr>
        <w:spacing w:line="360" w:lineRule="auto"/>
        <w:ind w:firstLine="480" w:firstLineChars="200"/>
        <w:jc w:val="left"/>
        <w:rPr>
          <w:rFonts w:ascii="宋体" w:hAnsi="宋体" w:cs="宋体"/>
          <w:color w:val="auto"/>
          <w:sz w:val="24"/>
          <w:highlight w:val="none"/>
          <w:lang w:bidi="zh-CN"/>
        </w:rPr>
      </w:pPr>
      <w:r>
        <w:rPr>
          <w:rFonts w:hint="eastAsia" w:ascii="宋体" w:hAnsi="宋体" w:cs="宋体"/>
          <w:color w:val="auto"/>
          <w:sz w:val="24"/>
          <w:highlight w:val="none"/>
          <w:lang w:bidi="zh-CN"/>
        </w:rPr>
        <w:t>9、是否专门面向中小企业：否</w:t>
      </w:r>
    </w:p>
    <w:p w14:paraId="510400EA">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二、</w:t>
      </w:r>
      <w:r>
        <w:rPr>
          <w:rFonts w:hint="eastAsia" w:ascii="宋体" w:hAnsi="宋体" w:cs="宋体"/>
          <w:color w:val="auto"/>
          <w:sz w:val="24"/>
          <w:highlight w:val="none"/>
          <w:lang w:bidi="zh-CN"/>
        </w:rPr>
        <w:t>供应商</w:t>
      </w:r>
      <w:r>
        <w:rPr>
          <w:rFonts w:hint="eastAsia" w:ascii="宋体" w:hAnsi="宋体" w:cs="宋体"/>
          <w:color w:val="auto"/>
          <w:sz w:val="24"/>
          <w:highlight w:val="none"/>
          <w:lang w:val="zh-CN" w:bidi="zh-CN"/>
        </w:rPr>
        <w:t>资格要求：</w:t>
      </w:r>
    </w:p>
    <w:p w14:paraId="21A3DF76">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1、满足《中华人民共和国政府采购法》第二十二条规定；</w:t>
      </w:r>
    </w:p>
    <w:p w14:paraId="26C06C2A">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2、落实政府采购政策满足的资格要求：</w:t>
      </w:r>
      <w:r>
        <w:rPr>
          <w:rFonts w:hint="eastAsia" w:ascii="宋体" w:hAnsi="宋体" w:cs="宋体"/>
          <w:color w:val="auto"/>
          <w:sz w:val="24"/>
          <w:highlight w:val="none"/>
          <w:lang w:bidi="zh-CN"/>
        </w:rPr>
        <w:t>无</w:t>
      </w:r>
      <w:r>
        <w:rPr>
          <w:rFonts w:hint="eastAsia" w:ascii="宋体" w:hAnsi="宋体" w:cs="宋体"/>
          <w:color w:val="auto"/>
          <w:sz w:val="24"/>
          <w:highlight w:val="none"/>
          <w:lang w:val="zh-CN" w:bidi="zh-CN"/>
        </w:rPr>
        <w:t>；</w:t>
      </w:r>
    </w:p>
    <w:p w14:paraId="3F0246DF">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3、本项目的特定资格要求：</w:t>
      </w:r>
    </w:p>
    <w:p w14:paraId="5565BB04">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3.1、供应商具有独立承担民事责任的能力（法人或者其他组织的营业执照等证明文件）；</w:t>
      </w:r>
    </w:p>
    <w:p w14:paraId="3AC478C5">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3.2、供应商须具备相关行政主管部门颁发的地质灾害评估和治理工程勘查设计甲级资质；</w:t>
      </w:r>
    </w:p>
    <w:p w14:paraId="243AAEE9">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3.3、项目负责人须具有地质类（水工环、测绘、岩土工程）或相关专业高级及以上职称，并提供近期社保证明；</w:t>
      </w:r>
    </w:p>
    <w:p w14:paraId="7E102FF5">
      <w:pPr>
        <w:pStyle w:val="3"/>
        <w:autoSpaceDE w:val="0"/>
        <w:autoSpaceDN w:val="0"/>
        <w:spacing w:after="0" w:line="360" w:lineRule="auto"/>
        <w:ind w:firstLine="480" w:firstLineChars="200"/>
        <w:jc w:val="left"/>
        <w:rPr>
          <w:rFonts w:ascii="宋体" w:hAnsi="宋体" w:cs="宋体"/>
          <w:color w:val="auto"/>
          <w:sz w:val="24"/>
          <w:highlight w:val="none"/>
          <w:lang w:bidi="zh-CN"/>
        </w:rPr>
      </w:pPr>
      <w:r>
        <w:rPr>
          <w:rFonts w:hint="eastAsia" w:ascii="宋体" w:hAnsi="宋体" w:cs="宋体"/>
          <w:color w:val="auto"/>
          <w:sz w:val="24"/>
          <w:highlight w:val="none"/>
          <w:lang w:bidi="zh-CN"/>
        </w:rPr>
        <w:t>3.4、</w:t>
      </w:r>
      <w:r>
        <w:rPr>
          <w:rFonts w:hint="eastAsia" w:ascii="宋体" w:hAnsi="宋体" w:cs="宋体"/>
          <w:color w:val="auto"/>
          <w:sz w:val="24"/>
          <w:highlight w:val="none"/>
          <w:lang w:val="zh-CN" w:bidi="zh-CN"/>
        </w:rPr>
        <w:t>具有履行合同所必需的设备和专业技术能力（自行承诺，格式自拟）；</w:t>
      </w:r>
    </w:p>
    <w:p w14:paraId="4E0CBBE5">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bidi="zh-CN"/>
        </w:rPr>
        <w:t>3.5、</w:t>
      </w:r>
      <w:r>
        <w:rPr>
          <w:rFonts w:hint="eastAsia" w:ascii="宋体" w:hAnsi="宋体" w:cs="宋体"/>
          <w:color w:val="auto"/>
          <w:sz w:val="24"/>
          <w:highlight w:val="none"/>
          <w:lang w:val="zh-CN" w:bidi="zh-CN"/>
        </w:rPr>
        <w:t>参加政府采购活动前三年，在经营活动中没有重大违法记录（提供参加政府采购活动前三年没有重大违法记录的书面声明，格式自拟）；</w:t>
      </w:r>
    </w:p>
    <w:p w14:paraId="59911DA0">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bidi="zh-CN"/>
        </w:rPr>
        <w:t>3.6、</w:t>
      </w:r>
      <w:r>
        <w:rPr>
          <w:rFonts w:hint="eastAsia" w:ascii="宋体" w:hAnsi="宋体" w:cs="宋体"/>
          <w:color w:val="auto"/>
          <w:sz w:val="24"/>
          <w:highlight w:val="none"/>
          <w:lang w:val="zh-CN" w:bidi="zh-CN"/>
        </w:rPr>
        <w:t>根据《关于在政府采购活动中查询及使用信用记录有关问题的通知》(财库[2016]125号)和豫财购【2016】15号的规定，</w:t>
      </w:r>
      <w:r>
        <w:rPr>
          <w:rFonts w:hint="eastAsia" w:ascii="宋体" w:hAnsi="宋体" w:cs="宋体"/>
          <w:color w:val="auto"/>
          <w:sz w:val="24"/>
          <w:highlight w:val="none"/>
          <w:lang w:bidi="zh-CN"/>
        </w:rPr>
        <w:t>供应商</w:t>
      </w:r>
      <w:r>
        <w:rPr>
          <w:rFonts w:hint="eastAsia" w:ascii="宋体" w:hAnsi="宋体" w:cs="宋体"/>
          <w:color w:val="auto"/>
          <w:sz w:val="24"/>
          <w:highlight w:val="none"/>
          <w:lang w:val="zh-CN" w:bidi="zh-CN"/>
        </w:rPr>
        <w:t>没有被列入“中国执行信息公开网”网站的“失信被执行人”、“信用中国”网站的“重大税收违法失信主体”及“中国政府采购网”网站的“政府采购严重违法失信行为记录名单”，查询渠道：“中国执行信息公开网”网站（http://zxgk.court.gov.cn/shixin）“信用中国”网站（www.creditchina.gov.cn）、中国政府采购网（www.ccgp.gov.cn）；提供网站的查询信息截图【查询时间自公告发布之日起】；</w:t>
      </w:r>
    </w:p>
    <w:p w14:paraId="2F2A705F">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bidi="zh-CN"/>
        </w:rPr>
        <w:t>3.7、须提供本单位无商业贿赂及无不正当竞争行为的承诺书（格式自拟）</w:t>
      </w:r>
      <w:r>
        <w:rPr>
          <w:rFonts w:hint="eastAsia" w:ascii="宋体" w:hAnsi="宋体" w:cs="宋体"/>
          <w:color w:val="auto"/>
          <w:sz w:val="24"/>
          <w:highlight w:val="none"/>
          <w:lang w:val="zh-CN" w:bidi="zh-CN"/>
        </w:rPr>
        <w:t>；</w:t>
      </w:r>
    </w:p>
    <w:p w14:paraId="0A25BFE9">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bidi="zh-CN"/>
        </w:rPr>
        <w:t>3.8、</w:t>
      </w:r>
      <w:r>
        <w:rPr>
          <w:rFonts w:hint="eastAsia" w:ascii="宋体" w:hAnsi="宋体" w:cs="宋体"/>
          <w:color w:val="auto"/>
          <w:sz w:val="24"/>
          <w:highlight w:val="none"/>
          <w:lang w:val="zh-CN" w:bidi="zh-CN"/>
        </w:rPr>
        <w:t>单位负责人为同一人或者存在直接控股、管理关系的不同供应商，不得参加同一合同项下的采购活动；（提供“国家企业信用信息公示系统”中查询打印的相关信息并加盖公章【查询信息需包含公司基本信息、股东信息及股权变更信息等相关信息，查询日期为本项目公告发布之后】；</w:t>
      </w:r>
    </w:p>
    <w:p w14:paraId="6540077D">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bidi="zh-CN"/>
        </w:rPr>
        <w:t>3.9、</w:t>
      </w:r>
      <w:r>
        <w:rPr>
          <w:rFonts w:hint="eastAsia" w:ascii="宋体" w:hAnsi="宋体" w:cs="宋体"/>
          <w:color w:val="auto"/>
          <w:sz w:val="24"/>
          <w:highlight w:val="none"/>
          <w:lang w:val="zh-CN" w:bidi="zh-CN"/>
        </w:rPr>
        <w:t>本项目不接受联合体投标（提供非联合体承诺，格式自拟）。</w:t>
      </w:r>
    </w:p>
    <w:p w14:paraId="646C28F0">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bidi="zh-CN"/>
        </w:rPr>
        <w:t>3.10、</w:t>
      </w:r>
      <w:r>
        <w:rPr>
          <w:rFonts w:hint="eastAsia" w:ascii="宋体" w:hAnsi="宋体" w:cs="宋体"/>
          <w:color w:val="auto"/>
          <w:sz w:val="24"/>
          <w:highlight w:val="none"/>
          <w:lang w:val="zh-CN" w:bidi="zh-CN"/>
        </w:rPr>
        <w:t>本次招标实行资格后审，资格审查的具体要求见竞争性磋商文件。</w:t>
      </w:r>
    </w:p>
    <w:p w14:paraId="246B79EC">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三、竞争性磋商文件获取：</w:t>
      </w:r>
    </w:p>
    <w:bookmarkEnd w:id="8"/>
    <w:bookmarkEnd w:id="9"/>
    <w:bookmarkEnd w:id="10"/>
    <w:p w14:paraId="4A311A71">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1.时间：2026年</w:t>
      </w:r>
      <w:r>
        <w:rPr>
          <w:rFonts w:hint="eastAsia" w:ascii="宋体" w:hAnsi="宋体" w:cs="宋体"/>
          <w:color w:val="auto"/>
          <w:sz w:val="24"/>
          <w:highlight w:val="none"/>
          <w:lang w:val="en-US" w:eastAsia="zh-CN"/>
        </w:rPr>
        <w:t>10</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10</w:t>
      </w:r>
      <w:r>
        <w:rPr>
          <w:rFonts w:hint="eastAsia" w:ascii="宋体" w:hAnsi="宋体" w:cs="宋体"/>
          <w:color w:val="auto"/>
          <w:sz w:val="24"/>
          <w:highlight w:val="none"/>
        </w:rPr>
        <w:t>日至</w:t>
      </w:r>
      <w:r>
        <w:rPr>
          <w:rFonts w:hint="eastAsia" w:ascii="宋体" w:hAnsi="宋体" w:cs="宋体"/>
          <w:color w:val="auto"/>
          <w:sz w:val="24"/>
          <w:highlight w:val="none"/>
          <w:lang w:eastAsia="zh-CN"/>
        </w:rPr>
        <w:t>2026年10月20日09时00分</w:t>
      </w:r>
      <w:r>
        <w:rPr>
          <w:rFonts w:hint="eastAsia" w:ascii="宋体" w:hAnsi="宋体" w:cs="宋体"/>
          <w:color w:val="auto"/>
          <w:sz w:val="24"/>
          <w:highlight w:val="none"/>
        </w:rPr>
        <w:t>（北京时间）</w:t>
      </w:r>
    </w:p>
    <w:p w14:paraId="58D0345F">
      <w:pPr>
        <w:spacing w:line="360" w:lineRule="auto"/>
        <w:ind w:firstLine="480" w:firstLineChars="200"/>
        <w:jc w:val="left"/>
        <w:outlineLvl w:val="2"/>
        <w:rPr>
          <w:rFonts w:ascii="宋体" w:hAnsi="宋体" w:cs="宋体"/>
          <w:color w:val="auto"/>
          <w:sz w:val="24"/>
          <w:highlight w:val="none"/>
        </w:rPr>
      </w:pPr>
      <w:r>
        <w:rPr>
          <w:rFonts w:hint="eastAsia" w:ascii="宋体" w:hAnsi="宋体" w:cs="宋体"/>
          <w:color w:val="auto"/>
          <w:sz w:val="24"/>
          <w:highlight w:val="none"/>
        </w:rPr>
        <w:t>2.地点：三门峡市公共资源交易中心网（http://gzjy.smx.gov.cn/）</w:t>
      </w:r>
    </w:p>
    <w:p w14:paraId="4675F9C0">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3.方式：本项目没有报名环节，</w:t>
      </w:r>
      <w:r>
        <w:rPr>
          <w:rFonts w:hint="eastAsia" w:ascii="宋体" w:hAnsi="宋体" w:cs="宋体"/>
          <w:color w:val="auto"/>
          <w:kern w:val="0"/>
          <w:sz w:val="24"/>
          <w:highlight w:val="none"/>
        </w:rPr>
        <w:t>供应商</w:t>
      </w:r>
      <w:r>
        <w:rPr>
          <w:rFonts w:hint="eastAsia" w:ascii="宋体" w:hAnsi="宋体" w:cs="宋体"/>
          <w:color w:val="auto"/>
          <w:sz w:val="24"/>
          <w:highlight w:val="none"/>
        </w:rPr>
        <w:t>凭CA数字证书通过（网址：http://gzjy.smx.gov.cn/），点击交易平台选择“市场主体登录”，登陆系统后，点击采购业务-业务管理-竞争性磋商文件领取菜单-点击领取按钮-领取.smxzf格式的电子竞争性磋商文件。</w:t>
      </w:r>
    </w:p>
    <w:p w14:paraId="36FB2167">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三门峡市公共资源交易平台操作手册：</w:t>
      </w:r>
    </w:p>
    <w:p w14:paraId="5B3D4069">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http://gzjy.smx.gov.cn/fwzn/004003/20200325/2b5a3a5a-f987-405c-993f-88f43e1d1ac3.html</w:t>
      </w:r>
    </w:p>
    <w:p w14:paraId="57DCEDBC">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办理CA证书：</w:t>
      </w:r>
    </w:p>
    <w:p w14:paraId="51992D39">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http://gzjy.smx.gov.cn/bzzx/008001/20231102/4defc9b5-408e-47f2-9e9f-1f376a06ee1f.html</w:t>
      </w:r>
    </w:p>
    <w:p w14:paraId="7C68BB12">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4.售价：根据《关于进一步加强公共资源交易管理持续优化营商环境的通知》（三公管办〔2020〕2号）文件的要求，文件费用不再收取。</w:t>
      </w:r>
    </w:p>
    <w:p w14:paraId="58DD99CC">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四、响应文件提交</w:t>
      </w:r>
    </w:p>
    <w:p w14:paraId="4862157B">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1、截止时间：2026年10月20日09时00分（北京时间）</w:t>
      </w:r>
    </w:p>
    <w:p w14:paraId="75DED883">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2、地点：加密电子竞争性磋商响应文件须在磋商截止时间前通过三门峡市公共资源交易中心电子交易平台加密上传。（网址：http://gzjy.smx.gov.cn/）</w:t>
      </w:r>
    </w:p>
    <w:p w14:paraId="012508B6">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五、磋商时间和地点</w:t>
      </w:r>
    </w:p>
    <w:p w14:paraId="04CBEFFC">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1.响应文件递交截止时间及磋商时间：2026年10月20日09时00分。</w:t>
      </w:r>
    </w:p>
    <w:p w14:paraId="1EC23D10">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2.磋商地点：灵宝市公共资源交易中心开标一室、评标三室（灵宝市信用合作联社 12 楼）。</w:t>
      </w:r>
    </w:p>
    <w:p w14:paraId="1CAD5BB9">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3、开标时供应商必须持CA密钥在规定时间内对本单位的加密电子响应文件进行远程解密。本次项目实行远程不见面开标。</w:t>
      </w:r>
    </w:p>
    <w:p w14:paraId="41A498A5">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六、其他补充事宜</w:t>
      </w:r>
    </w:p>
    <w:p w14:paraId="6280B843">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1. 本项目为不见面开标项目。开标当日，磋商供应商无需到开标现场参加开标会议，磋商供应商应当在投标截止时间前，登陆不见面开标大厅选择登陆三门峡市公共资源电子招投标系统进行登陆（网址http://120.194.249.36:10094/BidOpening/bidopeninghallaction/hall/login）,在线准时参加开标活动并进行响应文件解密等。每位磋商供应商的解密时间为开标时间起30分钟内完成。因供应商原因未能解密、解密失败或解密超时的将被拒绝。</w:t>
      </w:r>
    </w:p>
    <w:p w14:paraId="7F29BB0D">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2.本项目为电子化、无纸化交易项目，开标时不再接受任何纸质资料，为保证您能投标成功，请需仔细阅读竞争性磋商文件和三门峡市公共资源交易中心官网业务办理指南。</w:t>
      </w:r>
    </w:p>
    <w:p w14:paraId="7EF9E452">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3.根据《河南省财政厅关于优化政府采购营商环境有关问题的通知》（豫财购【2019】4号）第6条的规定，磋商保证金不再收取。</w:t>
      </w:r>
    </w:p>
    <w:p w14:paraId="53B90EB5">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4.本项目实行资格后审，审查内容以投标文件为准，其上传资料真实性由供应商自行承担。</w:t>
      </w:r>
    </w:p>
    <w:p w14:paraId="7D760566">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5.评标打分部分：评标打分部分仍按照100分制原则进行，涉及到资格审查、</w:t>
      </w:r>
      <w:r>
        <w:rPr>
          <w:rFonts w:hint="eastAsia" w:ascii="宋体" w:hAnsi="宋体" w:cs="宋体"/>
          <w:color w:val="auto"/>
          <w:sz w:val="24"/>
          <w:highlight w:val="none"/>
          <w:lang w:bidi="zh-CN"/>
        </w:rPr>
        <w:t>单位</w:t>
      </w:r>
      <w:r>
        <w:rPr>
          <w:rFonts w:hint="eastAsia" w:ascii="宋体" w:hAnsi="宋体" w:cs="宋体"/>
          <w:color w:val="auto"/>
          <w:sz w:val="24"/>
          <w:highlight w:val="none"/>
          <w:lang w:val="zh-CN" w:bidi="zh-CN"/>
        </w:rPr>
        <w:t>荣誉、</w:t>
      </w:r>
      <w:r>
        <w:rPr>
          <w:rFonts w:hint="eastAsia" w:ascii="宋体" w:hAnsi="宋体" w:cs="宋体"/>
          <w:color w:val="auto"/>
          <w:sz w:val="24"/>
          <w:highlight w:val="none"/>
          <w:lang w:bidi="zh-CN"/>
        </w:rPr>
        <w:t>单位</w:t>
      </w:r>
      <w:r>
        <w:rPr>
          <w:rFonts w:hint="eastAsia" w:ascii="宋体" w:hAnsi="宋体" w:cs="宋体"/>
          <w:color w:val="auto"/>
          <w:sz w:val="24"/>
          <w:highlight w:val="none"/>
          <w:lang w:val="zh-CN" w:bidi="zh-CN"/>
        </w:rPr>
        <w:t>业绩等计分部分时，以投标单位自行上传到磋商响应文件中的相应内容为准。</w:t>
      </w:r>
    </w:p>
    <w:p w14:paraId="33BA1D7B">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6.在竞争性磋商文件中要求投标人按照磋商响应文件格式进行磋商响应文件编制，在磋商响应文件编制时，应明确将供应商基本情况、人员情况、财务情况、业绩情况编入磋商响应文件，便于进行资格审查及评标打分。</w:t>
      </w:r>
    </w:p>
    <w:p w14:paraId="0609C23E">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7.我单位（采购人）严格按三财购【2021】9号文要求的时限发布中标结果公告，发出中标通知书，签订采购合同，上传采购合同。</w:t>
      </w:r>
    </w:p>
    <w:p w14:paraId="3F6D6DBC">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七、发布竞争性磋商公告的媒介</w:t>
      </w:r>
    </w:p>
    <w:p w14:paraId="64179B63">
      <w:pPr>
        <w:pStyle w:val="3"/>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本次磋商公告同时在《河南省政府采购网》、《中国采购与招标网》、《三门峡市公共资源交易中心网》上发布。</w:t>
      </w:r>
    </w:p>
    <w:p w14:paraId="78B119DA">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八、联系方式：</w:t>
      </w:r>
    </w:p>
    <w:p w14:paraId="3D39A7D2">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监督单位：灵宝市财政局政府采购监督管理科</w:t>
      </w:r>
    </w:p>
    <w:p w14:paraId="67E80538">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联系电话：0398-8852670</w:t>
      </w:r>
    </w:p>
    <w:p w14:paraId="4B1D1EB1">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监督单位：中共灵宝市自然资源和规划局党组</w:t>
      </w:r>
    </w:p>
    <w:p w14:paraId="372F54FA">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联系电话：0398-8853801</w:t>
      </w:r>
    </w:p>
    <w:p w14:paraId="2DDBCB25">
      <w:pPr>
        <w:spacing w:line="360" w:lineRule="auto"/>
        <w:ind w:firstLine="484" w:firstLineChars="202"/>
        <w:jc w:val="left"/>
        <w:rPr>
          <w:rFonts w:ascii="宋体" w:hAnsi="宋体" w:cs="宋体"/>
          <w:color w:val="auto"/>
          <w:sz w:val="24"/>
          <w:highlight w:val="none"/>
        </w:rPr>
      </w:pPr>
      <w:r>
        <w:rPr>
          <w:rFonts w:hint="eastAsia" w:ascii="宋体" w:hAnsi="宋体" w:cs="宋体"/>
          <w:color w:val="auto"/>
          <w:sz w:val="24"/>
          <w:highlight w:val="none"/>
        </w:rPr>
        <w:t>采购人：</w:t>
      </w:r>
      <w:bookmarkStart w:id="11" w:name="OLE_LINK1"/>
      <w:r>
        <w:rPr>
          <w:rFonts w:hint="eastAsia" w:ascii="宋体" w:hAnsi="宋体" w:cs="宋体"/>
          <w:color w:val="auto"/>
          <w:sz w:val="24"/>
          <w:highlight w:val="none"/>
        </w:rPr>
        <w:t>灵宝市自然资源和规划局</w:t>
      </w:r>
      <w:bookmarkEnd w:id="11"/>
    </w:p>
    <w:p w14:paraId="640D197D">
      <w:pPr>
        <w:spacing w:line="360" w:lineRule="auto"/>
        <w:ind w:firstLine="484" w:firstLineChars="202"/>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联系人：</w:t>
      </w:r>
      <w:r>
        <w:rPr>
          <w:rFonts w:hint="eastAsia" w:ascii="宋体" w:hAnsi="宋体" w:cs="宋体"/>
          <w:color w:val="auto"/>
          <w:sz w:val="24"/>
          <w:highlight w:val="none"/>
          <w:lang w:eastAsia="zh-CN"/>
        </w:rPr>
        <w:t>黑先生</w:t>
      </w:r>
    </w:p>
    <w:p w14:paraId="6597C273">
      <w:pPr>
        <w:spacing w:line="360" w:lineRule="auto"/>
        <w:ind w:firstLine="484" w:firstLineChars="202"/>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联系电话：</w:t>
      </w:r>
      <w:r>
        <w:rPr>
          <w:rFonts w:hint="eastAsia" w:ascii="宋体" w:hAnsi="宋体" w:cs="宋体"/>
          <w:color w:val="auto"/>
          <w:sz w:val="24"/>
          <w:highlight w:val="none"/>
          <w:lang w:eastAsia="zh-CN"/>
        </w:rPr>
        <w:t>0398-8859893</w:t>
      </w:r>
    </w:p>
    <w:p w14:paraId="0A0BA127">
      <w:pPr>
        <w:spacing w:line="360" w:lineRule="auto"/>
        <w:ind w:firstLine="484" w:firstLineChars="202"/>
        <w:jc w:val="left"/>
        <w:rPr>
          <w:rFonts w:ascii="宋体" w:hAnsi="宋体" w:cs="宋体"/>
          <w:color w:val="auto"/>
          <w:sz w:val="24"/>
          <w:highlight w:val="none"/>
        </w:rPr>
      </w:pPr>
      <w:r>
        <w:rPr>
          <w:rFonts w:hint="eastAsia" w:ascii="宋体" w:hAnsi="宋体" w:cs="宋体"/>
          <w:color w:val="auto"/>
          <w:sz w:val="24"/>
          <w:highlight w:val="none"/>
        </w:rPr>
        <w:t>地    址：灵宝市函谷路56号</w:t>
      </w:r>
    </w:p>
    <w:p w14:paraId="7B3213CE">
      <w:pPr>
        <w:spacing w:line="360" w:lineRule="auto"/>
        <w:ind w:firstLine="480" w:firstLineChars="20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代理机构：</w:t>
      </w:r>
      <w:r>
        <w:rPr>
          <w:rFonts w:hint="eastAsia" w:ascii="宋体" w:hAnsi="宋体" w:cs="宋体"/>
          <w:color w:val="auto"/>
          <w:sz w:val="24"/>
          <w:highlight w:val="none"/>
          <w:lang w:eastAsia="zh-CN"/>
        </w:rPr>
        <w:t>河南润程项目管理有限公司</w:t>
      </w:r>
    </w:p>
    <w:p w14:paraId="4B2EC058">
      <w:pPr>
        <w:spacing w:line="360" w:lineRule="auto"/>
        <w:ind w:firstLine="480" w:firstLineChars="20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地    址：</w:t>
      </w:r>
      <w:r>
        <w:rPr>
          <w:rFonts w:hint="eastAsia" w:ascii="宋体" w:hAnsi="宋体" w:cs="宋体"/>
          <w:color w:val="auto"/>
          <w:sz w:val="24"/>
          <w:highlight w:val="none"/>
          <w:lang w:eastAsia="zh-CN"/>
        </w:rPr>
        <w:t>灵宝市物华路与寺河路交叉口金源馨村小区五号楼南侧一楼</w:t>
      </w:r>
    </w:p>
    <w:p w14:paraId="5B95C935">
      <w:pPr>
        <w:spacing w:line="360" w:lineRule="auto"/>
        <w:ind w:firstLine="480" w:firstLineChars="20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联 系 人：</w:t>
      </w:r>
      <w:r>
        <w:rPr>
          <w:rFonts w:hint="eastAsia" w:ascii="宋体" w:hAnsi="宋体" w:cs="宋体"/>
          <w:bCs/>
          <w:color w:val="auto"/>
          <w:kern w:val="0"/>
          <w:sz w:val="24"/>
          <w:highlight w:val="none"/>
          <w:lang w:eastAsia="zh-CN"/>
        </w:rPr>
        <w:t>刘女士</w:t>
      </w:r>
    </w:p>
    <w:p w14:paraId="1C54DCE8">
      <w:pPr>
        <w:spacing w:line="360" w:lineRule="auto"/>
        <w:ind w:firstLine="480" w:firstLineChars="20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电    话：</w:t>
      </w:r>
      <w:r>
        <w:rPr>
          <w:rFonts w:hint="eastAsia" w:ascii="宋体" w:hAnsi="宋体" w:cs="宋体"/>
          <w:color w:val="auto"/>
          <w:sz w:val="24"/>
          <w:highlight w:val="none"/>
          <w:lang w:eastAsia="zh-CN"/>
        </w:rPr>
        <w:t>0398-8852566</w:t>
      </w:r>
    </w:p>
    <w:p w14:paraId="7EAB8446">
      <w:pPr>
        <w:rPr>
          <w:rFonts w:ascii="宋体" w:hAnsi="宋体" w:cs="宋体"/>
          <w:color w:val="auto"/>
          <w:sz w:val="24"/>
          <w:highlight w:val="none"/>
        </w:rPr>
      </w:pPr>
      <w:r>
        <w:rPr>
          <w:rFonts w:hint="eastAsia" w:ascii="宋体" w:hAnsi="宋体" w:cs="宋体"/>
          <w:color w:val="auto"/>
          <w:sz w:val="24"/>
          <w:highlight w:val="none"/>
        </w:rPr>
        <w:br w:type="page"/>
      </w:r>
    </w:p>
    <w:p w14:paraId="14FE6306">
      <w:pPr>
        <w:jc w:val="center"/>
        <w:outlineLvl w:val="0"/>
        <w:rPr>
          <w:rFonts w:ascii="宋体" w:hAnsi="宋体" w:cs="宋体"/>
          <w:b/>
          <w:bCs/>
          <w:color w:val="auto"/>
          <w:sz w:val="32"/>
          <w:szCs w:val="32"/>
          <w:highlight w:val="none"/>
        </w:rPr>
      </w:pPr>
      <w:bookmarkStart w:id="12" w:name="_Toc16520164"/>
      <w:bookmarkStart w:id="13" w:name="_Toc8041"/>
      <w:bookmarkStart w:id="14" w:name="_Toc508179883"/>
      <w:bookmarkStart w:id="15" w:name="_Toc16520676"/>
      <w:bookmarkStart w:id="16" w:name="_Toc27546"/>
      <w:bookmarkStart w:id="17" w:name="_Toc121405491"/>
      <w:bookmarkStart w:id="18" w:name="_Toc16672"/>
      <w:r>
        <w:rPr>
          <w:rFonts w:hint="eastAsia" w:ascii="宋体" w:hAnsi="宋体" w:cs="宋体"/>
          <w:b/>
          <w:bCs/>
          <w:color w:val="auto"/>
          <w:sz w:val="32"/>
          <w:szCs w:val="32"/>
          <w:highlight w:val="none"/>
        </w:rPr>
        <w:t>第二章 供应商须知</w:t>
      </w:r>
      <w:bookmarkEnd w:id="12"/>
      <w:bookmarkEnd w:id="13"/>
      <w:bookmarkEnd w:id="14"/>
      <w:bookmarkEnd w:id="15"/>
      <w:bookmarkEnd w:id="16"/>
      <w:bookmarkEnd w:id="17"/>
      <w:bookmarkEnd w:id="18"/>
    </w:p>
    <w:p w14:paraId="7E299EBD">
      <w:pPr>
        <w:jc w:val="center"/>
        <w:rPr>
          <w:rFonts w:ascii="宋体" w:hAnsi="宋体" w:cs="宋体"/>
          <w:b/>
          <w:bCs/>
          <w:color w:val="auto"/>
          <w:sz w:val="24"/>
          <w:highlight w:val="none"/>
        </w:rPr>
      </w:pPr>
      <w:r>
        <w:rPr>
          <w:rFonts w:hint="eastAsia" w:ascii="宋体" w:hAnsi="宋体" w:cs="宋体"/>
          <w:b/>
          <w:bCs/>
          <w:color w:val="auto"/>
          <w:sz w:val="24"/>
          <w:highlight w:val="none"/>
        </w:rPr>
        <w:t>供应商须知前附表</w:t>
      </w:r>
    </w:p>
    <w:tbl>
      <w:tblPr>
        <w:tblStyle w:val="16"/>
        <w:tblW w:w="9935" w:type="dxa"/>
        <w:jc w:val="center"/>
        <w:tblLayout w:type="fixed"/>
        <w:tblCellMar>
          <w:top w:w="0" w:type="dxa"/>
          <w:left w:w="108" w:type="dxa"/>
          <w:bottom w:w="0" w:type="dxa"/>
          <w:right w:w="108" w:type="dxa"/>
        </w:tblCellMar>
      </w:tblPr>
      <w:tblGrid>
        <w:gridCol w:w="987"/>
        <w:gridCol w:w="2657"/>
        <w:gridCol w:w="6291"/>
      </w:tblGrid>
      <w:tr w14:paraId="3D21FD02">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1DBBB664">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条款号</w:t>
            </w:r>
          </w:p>
        </w:tc>
        <w:tc>
          <w:tcPr>
            <w:tcW w:w="2657" w:type="dxa"/>
            <w:tcBorders>
              <w:top w:val="single" w:color="auto" w:sz="4" w:space="0"/>
              <w:left w:val="single" w:color="auto" w:sz="4" w:space="0"/>
              <w:bottom w:val="single" w:color="auto" w:sz="4" w:space="0"/>
              <w:right w:val="single" w:color="auto" w:sz="4" w:space="0"/>
            </w:tcBorders>
            <w:vAlign w:val="center"/>
          </w:tcPr>
          <w:p w14:paraId="4550EC60">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条  款  名  称</w:t>
            </w:r>
          </w:p>
        </w:tc>
        <w:tc>
          <w:tcPr>
            <w:tcW w:w="6291" w:type="dxa"/>
            <w:tcBorders>
              <w:top w:val="single" w:color="auto" w:sz="4" w:space="0"/>
              <w:left w:val="single" w:color="auto" w:sz="4" w:space="0"/>
              <w:bottom w:val="single" w:color="auto" w:sz="4" w:space="0"/>
              <w:right w:val="single" w:color="auto" w:sz="4" w:space="0"/>
            </w:tcBorders>
            <w:vAlign w:val="center"/>
          </w:tcPr>
          <w:p w14:paraId="4C88F4BE">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编  列  内  容</w:t>
            </w:r>
          </w:p>
        </w:tc>
      </w:tr>
      <w:tr w14:paraId="25B36E1F">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5BF4035A">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3B31746E">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采 购 人</w:t>
            </w:r>
          </w:p>
        </w:tc>
        <w:tc>
          <w:tcPr>
            <w:tcW w:w="6291" w:type="dxa"/>
            <w:tcBorders>
              <w:top w:val="single" w:color="auto" w:sz="4" w:space="0"/>
              <w:left w:val="single" w:color="auto" w:sz="4" w:space="0"/>
              <w:bottom w:val="single" w:color="auto" w:sz="4" w:space="0"/>
              <w:right w:val="single" w:color="auto" w:sz="4" w:space="0"/>
            </w:tcBorders>
            <w:vAlign w:val="center"/>
          </w:tcPr>
          <w:p w14:paraId="734C668A">
            <w:pPr>
              <w:spacing w:line="450" w:lineRule="exact"/>
              <w:rPr>
                <w:rFonts w:ascii="宋体" w:hAnsi="宋体" w:cs="宋体"/>
                <w:color w:val="auto"/>
                <w:sz w:val="24"/>
                <w:highlight w:val="none"/>
              </w:rPr>
            </w:pPr>
            <w:r>
              <w:rPr>
                <w:rFonts w:hint="eastAsia" w:ascii="宋体" w:hAnsi="宋体" w:cs="宋体"/>
                <w:color w:val="auto"/>
                <w:sz w:val="24"/>
                <w:highlight w:val="none"/>
              </w:rPr>
              <w:t>采购人：灵宝市自然资源和规划局</w:t>
            </w:r>
          </w:p>
          <w:p w14:paraId="5506C061">
            <w:pPr>
              <w:spacing w:line="450" w:lineRule="exact"/>
              <w:rPr>
                <w:rFonts w:hint="eastAsia" w:ascii="宋体" w:hAnsi="宋体" w:eastAsia="宋体" w:cs="宋体"/>
                <w:color w:val="auto"/>
                <w:sz w:val="24"/>
                <w:highlight w:val="none"/>
                <w:lang w:eastAsia="zh-CN"/>
              </w:rPr>
            </w:pPr>
            <w:r>
              <w:rPr>
                <w:rFonts w:hint="eastAsia" w:ascii="宋体" w:hAnsi="宋体" w:cs="宋体"/>
                <w:color w:val="auto"/>
                <w:sz w:val="24"/>
                <w:highlight w:val="none"/>
              </w:rPr>
              <w:t>联 系 人：</w:t>
            </w:r>
            <w:r>
              <w:rPr>
                <w:rFonts w:hint="eastAsia" w:ascii="宋体" w:hAnsi="宋体" w:cs="宋体"/>
                <w:color w:val="auto"/>
                <w:sz w:val="24"/>
                <w:highlight w:val="none"/>
                <w:lang w:eastAsia="zh-CN"/>
              </w:rPr>
              <w:t>黑先生</w:t>
            </w:r>
          </w:p>
          <w:p w14:paraId="7F0F3A00">
            <w:pPr>
              <w:spacing w:line="450" w:lineRule="exact"/>
              <w:rPr>
                <w:rFonts w:hint="eastAsia" w:ascii="宋体" w:hAnsi="宋体" w:eastAsia="宋体" w:cs="宋体"/>
                <w:color w:val="auto"/>
                <w:sz w:val="24"/>
                <w:highlight w:val="none"/>
                <w:lang w:eastAsia="zh-CN"/>
              </w:rPr>
            </w:pPr>
            <w:r>
              <w:rPr>
                <w:rFonts w:hint="eastAsia" w:ascii="宋体" w:hAnsi="宋体" w:cs="宋体"/>
                <w:color w:val="auto"/>
                <w:sz w:val="24"/>
                <w:highlight w:val="none"/>
              </w:rPr>
              <w:t>联系电话：</w:t>
            </w:r>
            <w:r>
              <w:rPr>
                <w:rFonts w:hint="eastAsia" w:ascii="宋体" w:hAnsi="宋体" w:cs="宋体"/>
                <w:color w:val="auto"/>
                <w:sz w:val="24"/>
                <w:highlight w:val="none"/>
                <w:lang w:eastAsia="zh-CN"/>
              </w:rPr>
              <w:t>0398-8859893</w:t>
            </w:r>
          </w:p>
          <w:p w14:paraId="0631205E">
            <w:pPr>
              <w:spacing w:line="450" w:lineRule="exact"/>
              <w:rPr>
                <w:rFonts w:ascii="宋体" w:hAnsi="宋体" w:cs="宋体"/>
                <w:color w:val="auto"/>
                <w:sz w:val="24"/>
                <w:highlight w:val="none"/>
              </w:rPr>
            </w:pPr>
            <w:r>
              <w:rPr>
                <w:rFonts w:hint="eastAsia" w:ascii="宋体" w:hAnsi="宋体" w:cs="宋体"/>
                <w:color w:val="auto"/>
                <w:sz w:val="24"/>
                <w:highlight w:val="none"/>
              </w:rPr>
              <w:t>地址：灵宝市函谷路56号</w:t>
            </w:r>
          </w:p>
        </w:tc>
      </w:tr>
      <w:tr w14:paraId="5D8D9649">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6F946909">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2B8E6CF1">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采购代理机构</w:t>
            </w:r>
          </w:p>
        </w:tc>
        <w:tc>
          <w:tcPr>
            <w:tcW w:w="6291" w:type="dxa"/>
            <w:tcBorders>
              <w:top w:val="single" w:color="auto" w:sz="4" w:space="0"/>
              <w:left w:val="single" w:color="auto" w:sz="4" w:space="0"/>
              <w:bottom w:val="single" w:color="auto" w:sz="4" w:space="0"/>
              <w:right w:val="single" w:color="auto" w:sz="4" w:space="0"/>
            </w:tcBorders>
            <w:vAlign w:val="center"/>
          </w:tcPr>
          <w:p w14:paraId="11F617F8">
            <w:pPr>
              <w:spacing w:line="450" w:lineRule="exact"/>
              <w:rPr>
                <w:rFonts w:hint="eastAsia" w:ascii="宋体" w:hAnsi="宋体" w:eastAsia="宋体" w:cs="宋体"/>
                <w:color w:val="auto"/>
                <w:sz w:val="24"/>
                <w:highlight w:val="none"/>
                <w:lang w:eastAsia="zh-CN"/>
              </w:rPr>
            </w:pPr>
            <w:r>
              <w:rPr>
                <w:rFonts w:hint="eastAsia" w:ascii="宋体" w:hAnsi="宋体" w:cs="宋体"/>
                <w:color w:val="auto"/>
                <w:sz w:val="24"/>
                <w:highlight w:val="none"/>
              </w:rPr>
              <w:t>代理机构：</w:t>
            </w:r>
            <w:r>
              <w:rPr>
                <w:rFonts w:hint="eastAsia" w:ascii="宋体" w:hAnsi="宋体" w:cs="宋体"/>
                <w:color w:val="auto"/>
                <w:sz w:val="24"/>
                <w:highlight w:val="none"/>
                <w:lang w:eastAsia="zh-CN"/>
              </w:rPr>
              <w:t>河南润程项目管理有限公司</w:t>
            </w:r>
          </w:p>
          <w:p w14:paraId="29024456">
            <w:pPr>
              <w:spacing w:line="450" w:lineRule="exact"/>
              <w:rPr>
                <w:rFonts w:hint="eastAsia" w:ascii="宋体" w:hAnsi="宋体" w:eastAsia="宋体" w:cs="宋体"/>
                <w:color w:val="auto"/>
                <w:sz w:val="24"/>
                <w:highlight w:val="none"/>
                <w:lang w:eastAsia="zh-CN"/>
              </w:rPr>
            </w:pPr>
            <w:r>
              <w:rPr>
                <w:rFonts w:hint="eastAsia" w:ascii="宋体" w:hAnsi="宋体" w:cs="宋体"/>
                <w:color w:val="auto"/>
                <w:sz w:val="24"/>
                <w:highlight w:val="none"/>
              </w:rPr>
              <w:t>地址：</w:t>
            </w:r>
            <w:r>
              <w:rPr>
                <w:rFonts w:hint="eastAsia" w:ascii="宋体" w:hAnsi="宋体" w:cs="宋体"/>
                <w:color w:val="auto"/>
                <w:sz w:val="24"/>
                <w:highlight w:val="none"/>
                <w:lang w:eastAsia="zh-CN"/>
              </w:rPr>
              <w:t>灵宝市物华路与寺河路交叉口金源馨村小区五号楼南侧一楼</w:t>
            </w:r>
          </w:p>
          <w:p w14:paraId="57045668">
            <w:pPr>
              <w:spacing w:line="450" w:lineRule="exact"/>
              <w:rPr>
                <w:rFonts w:hint="eastAsia" w:ascii="宋体" w:hAnsi="宋体" w:eastAsia="宋体" w:cs="宋体"/>
                <w:color w:val="auto"/>
                <w:sz w:val="24"/>
                <w:highlight w:val="none"/>
                <w:lang w:eastAsia="zh-CN"/>
              </w:rPr>
            </w:pPr>
            <w:r>
              <w:rPr>
                <w:rFonts w:hint="eastAsia" w:ascii="宋体" w:hAnsi="宋体" w:cs="宋体"/>
                <w:color w:val="auto"/>
                <w:sz w:val="24"/>
                <w:highlight w:val="none"/>
              </w:rPr>
              <w:t>联系人：</w:t>
            </w:r>
            <w:r>
              <w:rPr>
                <w:rFonts w:hint="eastAsia" w:ascii="宋体" w:hAnsi="宋体" w:cs="宋体"/>
                <w:color w:val="auto"/>
                <w:sz w:val="24"/>
                <w:highlight w:val="none"/>
                <w:lang w:eastAsia="zh-CN"/>
              </w:rPr>
              <w:t>刘女士</w:t>
            </w:r>
          </w:p>
          <w:p w14:paraId="5C73B257">
            <w:pPr>
              <w:spacing w:line="450" w:lineRule="exact"/>
              <w:rPr>
                <w:rFonts w:hint="eastAsia" w:ascii="宋体" w:hAnsi="宋体" w:eastAsia="宋体" w:cs="宋体"/>
                <w:color w:val="auto"/>
                <w:sz w:val="24"/>
                <w:highlight w:val="none"/>
                <w:lang w:eastAsia="zh-CN"/>
              </w:rPr>
            </w:pPr>
            <w:r>
              <w:rPr>
                <w:rFonts w:hint="eastAsia" w:ascii="宋体" w:hAnsi="宋体" w:cs="宋体"/>
                <w:color w:val="auto"/>
                <w:sz w:val="24"/>
                <w:highlight w:val="none"/>
              </w:rPr>
              <w:t>电话：</w:t>
            </w:r>
            <w:r>
              <w:rPr>
                <w:rFonts w:hint="eastAsia" w:ascii="宋体" w:hAnsi="宋体" w:cs="宋体"/>
                <w:color w:val="auto"/>
                <w:sz w:val="24"/>
                <w:highlight w:val="none"/>
                <w:lang w:eastAsia="zh-CN"/>
              </w:rPr>
              <w:t>0398-8852566</w:t>
            </w:r>
          </w:p>
        </w:tc>
      </w:tr>
      <w:tr w14:paraId="1A30EC50">
        <w:tblPrEx>
          <w:tblCellMar>
            <w:top w:w="0" w:type="dxa"/>
            <w:left w:w="108" w:type="dxa"/>
            <w:bottom w:w="0" w:type="dxa"/>
            <w:right w:w="108" w:type="dxa"/>
          </w:tblCellMar>
        </w:tblPrEx>
        <w:trPr>
          <w:trHeight w:val="619"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1BCB50D4">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61E8947A">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项目名称</w:t>
            </w:r>
          </w:p>
        </w:tc>
        <w:tc>
          <w:tcPr>
            <w:tcW w:w="6291" w:type="dxa"/>
            <w:tcBorders>
              <w:top w:val="single" w:color="auto" w:sz="4" w:space="0"/>
              <w:left w:val="single" w:color="auto" w:sz="4" w:space="0"/>
              <w:bottom w:val="single" w:color="auto" w:sz="4" w:space="0"/>
              <w:right w:val="single" w:color="auto" w:sz="4" w:space="0"/>
            </w:tcBorders>
            <w:vAlign w:val="center"/>
          </w:tcPr>
          <w:p w14:paraId="329506C1">
            <w:pPr>
              <w:widowControl/>
              <w:spacing w:line="420" w:lineRule="exact"/>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灵宝市地质灾害防治“十五五”规划编制工作项目</w:t>
            </w:r>
          </w:p>
        </w:tc>
      </w:tr>
      <w:tr w14:paraId="68DCD543">
        <w:tblPrEx>
          <w:tblCellMar>
            <w:top w:w="0" w:type="dxa"/>
            <w:left w:w="108" w:type="dxa"/>
            <w:bottom w:w="0" w:type="dxa"/>
            <w:right w:w="108" w:type="dxa"/>
          </w:tblCellMar>
        </w:tblPrEx>
        <w:trPr>
          <w:trHeight w:val="619"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61E67681">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615D0A9A">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采购内容</w:t>
            </w:r>
          </w:p>
        </w:tc>
        <w:tc>
          <w:tcPr>
            <w:tcW w:w="6291" w:type="dxa"/>
            <w:tcBorders>
              <w:top w:val="single" w:color="auto" w:sz="4" w:space="0"/>
              <w:left w:val="single" w:color="auto" w:sz="4" w:space="0"/>
              <w:bottom w:val="single" w:color="auto" w:sz="4" w:space="0"/>
              <w:right w:val="single" w:color="auto" w:sz="4" w:space="0"/>
            </w:tcBorders>
            <w:vAlign w:val="center"/>
          </w:tcPr>
          <w:p w14:paraId="496CAAAF">
            <w:pPr>
              <w:widowControl/>
              <w:spacing w:line="420" w:lineRule="exact"/>
              <w:jc w:val="left"/>
              <w:rPr>
                <w:rFonts w:ascii="宋体" w:hAnsi="宋体" w:cs="宋体"/>
                <w:color w:val="auto"/>
                <w:sz w:val="24"/>
                <w:highlight w:val="none"/>
              </w:rPr>
            </w:pPr>
            <w:r>
              <w:rPr>
                <w:rFonts w:hint="eastAsia" w:ascii="宋体" w:hAnsi="宋体" w:cs="宋体"/>
                <w:color w:val="auto"/>
                <w:sz w:val="24"/>
                <w:highlight w:val="none"/>
                <w:lang w:eastAsia="zh-CN"/>
              </w:rPr>
              <w:t>灵宝市地质灾害防治“十五五”规划编制工作项目</w:t>
            </w:r>
            <w:r>
              <w:rPr>
                <w:rFonts w:hint="eastAsia" w:ascii="宋体" w:hAnsi="宋体" w:cs="宋体"/>
                <w:color w:val="auto"/>
                <w:sz w:val="24"/>
                <w:highlight w:val="none"/>
              </w:rPr>
              <w:t>；具体内容详见磋商文件</w:t>
            </w:r>
          </w:p>
        </w:tc>
      </w:tr>
      <w:tr w14:paraId="5B7D615E">
        <w:tblPrEx>
          <w:tblCellMar>
            <w:top w:w="0" w:type="dxa"/>
            <w:left w:w="108" w:type="dxa"/>
            <w:bottom w:w="0" w:type="dxa"/>
            <w:right w:w="108" w:type="dxa"/>
          </w:tblCellMar>
        </w:tblPrEx>
        <w:trPr>
          <w:trHeight w:val="619"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7AEE556F">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24508B52">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服务质量</w:t>
            </w:r>
          </w:p>
        </w:tc>
        <w:tc>
          <w:tcPr>
            <w:tcW w:w="6291" w:type="dxa"/>
            <w:tcBorders>
              <w:top w:val="single" w:color="auto" w:sz="4" w:space="0"/>
              <w:left w:val="single" w:color="auto" w:sz="4" w:space="0"/>
              <w:bottom w:val="single" w:color="auto" w:sz="4" w:space="0"/>
              <w:right w:val="single" w:color="auto" w:sz="4" w:space="0"/>
            </w:tcBorders>
            <w:vAlign w:val="center"/>
          </w:tcPr>
          <w:p w14:paraId="40FD9657">
            <w:pPr>
              <w:spacing w:line="480" w:lineRule="exact"/>
              <w:rPr>
                <w:rFonts w:ascii="宋体" w:hAnsi="宋体" w:cs="宋体"/>
                <w:color w:val="auto"/>
                <w:sz w:val="24"/>
                <w:highlight w:val="none"/>
              </w:rPr>
            </w:pPr>
            <w:r>
              <w:rPr>
                <w:rFonts w:hint="eastAsia" w:ascii="宋体" w:hAnsi="宋体" w:cs="宋体"/>
                <w:color w:val="auto"/>
                <w:sz w:val="24"/>
                <w:highlight w:val="none"/>
                <w:lang w:val="zh-CN"/>
              </w:rPr>
              <w:t>符合国家及地方现行有关规范、规定的要求，满足采购人要求；</w:t>
            </w:r>
          </w:p>
        </w:tc>
      </w:tr>
      <w:tr w14:paraId="5484E366">
        <w:tblPrEx>
          <w:tblCellMar>
            <w:top w:w="0" w:type="dxa"/>
            <w:left w:w="108" w:type="dxa"/>
            <w:bottom w:w="0" w:type="dxa"/>
            <w:right w:w="108" w:type="dxa"/>
          </w:tblCellMar>
        </w:tblPrEx>
        <w:trPr>
          <w:trHeight w:val="619"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740D4436">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3BFECF7E">
            <w:pPr>
              <w:spacing w:line="480" w:lineRule="exact"/>
              <w:jc w:val="center"/>
              <w:rPr>
                <w:rFonts w:ascii="宋体" w:hAnsi="宋体" w:cs="宋体"/>
                <w:color w:val="auto"/>
                <w:sz w:val="24"/>
                <w:highlight w:val="none"/>
                <w:lang w:val="zh-CN"/>
              </w:rPr>
            </w:pPr>
            <w:r>
              <w:rPr>
                <w:rFonts w:hint="eastAsia" w:ascii="宋体" w:hAnsi="宋体" w:cs="宋体"/>
                <w:color w:val="auto"/>
                <w:sz w:val="24"/>
                <w:highlight w:val="none"/>
              </w:rPr>
              <w:t>服务期限</w:t>
            </w:r>
          </w:p>
        </w:tc>
        <w:tc>
          <w:tcPr>
            <w:tcW w:w="6291" w:type="dxa"/>
            <w:tcBorders>
              <w:top w:val="single" w:color="auto" w:sz="4" w:space="0"/>
              <w:left w:val="single" w:color="auto" w:sz="4" w:space="0"/>
              <w:bottom w:val="single" w:color="auto" w:sz="4" w:space="0"/>
              <w:right w:val="single" w:color="auto" w:sz="4" w:space="0"/>
            </w:tcBorders>
            <w:vAlign w:val="center"/>
          </w:tcPr>
          <w:p w14:paraId="396AE2A0">
            <w:pPr>
              <w:spacing w:line="480" w:lineRule="exact"/>
              <w:rPr>
                <w:rFonts w:ascii="宋体" w:hAnsi="宋体" w:cs="宋体"/>
                <w:color w:val="auto"/>
                <w:sz w:val="24"/>
                <w:highlight w:val="none"/>
              </w:rPr>
            </w:pPr>
            <w:r>
              <w:rPr>
                <w:rFonts w:hint="eastAsia" w:ascii="宋体" w:hAnsi="宋体" w:cs="宋体"/>
                <w:color w:val="auto"/>
                <w:sz w:val="24"/>
                <w:highlight w:val="none"/>
                <w:lang w:val="zh-CN"/>
              </w:rPr>
              <w:t>自签订合同之日起180日历天完成项目服务并提交成果；</w:t>
            </w:r>
          </w:p>
        </w:tc>
      </w:tr>
      <w:tr w14:paraId="58625765">
        <w:tblPrEx>
          <w:tblCellMar>
            <w:top w:w="0" w:type="dxa"/>
            <w:left w:w="108" w:type="dxa"/>
            <w:bottom w:w="0" w:type="dxa"/>
            <w:right w:w="108" w:type="dxa"/>
          </w:tblCellMar>
        </w:tblPrEx>
        <w:trPr>
          <w:trHeight w:val="619"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0914A0A4">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77636C39">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服务地点</w:t>
            </w:r>
          </w:p>
        </w:tc>
        <w:tc>
          <w:tcPr>
            <w:tcW w:w="6291" w:type="dxa"/>
            <w:tcBorders>
              <w:top w:val="single" w:color="auto" w:sz="4" w:space="0"/>
              <w:left w:val="single" w:color="auto" w:sz="4" w:space="0"/>
              <w:bottom w:val="single" w:color="auto" w:sz="4" w:space="0"/>
              <w:right w:val="single" w:color="auto" w:sz="4" w:space="0"/>
            </w:tcBorders>
            <w:vAlign w:val="center"/>
          </w:tcPr>
          <w:p w14:paraId="3C3BACD6">
            <w:pPr>
              <w:spacing w:line="450" w:lineRule="exact"/>
              <w:rPr>
                <w:rFonts w:ascii="宋体" w:hAnsi="宋体" w:cs="宋体"/>
                <w:color w:val="auto"/>
                <w:sz w:val="24"/>
                <w:highlight w:val="none"/>
              </w:rPr>
            </w:pPr>
            <w:r>
              <w:rPr>
                <w:rFonts w:hint="eastAsia" w:ascii="宋体" w:hAnsi="宋体" w:cs="宋体"/>
                <w:color w:val="auto"/>
                <w:sz w:val="24"/>
                <w:highlight w:val="none"/>
              </w:rPr>
              <w:t>采购人指定地点</w:t>
            </w:r>
          </w:p>
        </w:tc>
      </w:tr>
      <w:tr w14:paraId="7DC21AA3">
        <w:tblPrEx>
          <w:tblCellMar>
            <w:top w:w="0" w:type="dxa"/>
            <w:left w:w="108" w:type="dxa"/>
            <w:bottom w:w="0" w:type="dxa"/>
            <w:right w:w="108" w:type="dxa"/>
          </w:tblCellMar>
        </w:tblPrEx>
        <w:trPr>
          <w:trHeight w:val="531"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4FBFACBC">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tcPr>
          <w:p w14:paraId="0752897C">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标段划分</w:t>
            </w:r>
          </w:p>
        </w:tc>
        <w:tc>
          <w:tcPr>
            <w:tcW w:w="6291" w:type="dxa"/>
            <w:tcBorders>
              <w:top w:val="single" w:color="auto" w:sz="4" w:space="0"/>
              <w:left w:val="single" w:color="auto" w:sz="4" w:space="0"/>
              <w:bottom w:val="single" w:color="auto" w:sz="4" w:space="0"/>
              <w:right w:val="single" w:color="auto" w:sz="4" w:space="0"/>
            </w:tcBorders>
            <w:vAlign w:val="center"/>
          </w:tcPr>
          <w:p w14:paraId="0470FDB7">
            <w:pPr>
              <w:spacing w:line="480" w:lineRule="exact"/>
              <w:rPr>
                <w:rFonts w:ascii="宋体" w:hAnsi="宋体" w:cs="宋体"/>
                <w:color w:val="auto"/>
                <w:sz w:val="24"/>
                <w:highlight w:val="none"/>
              </w:rPr>
            </w:pPr>
            <w:r>
              <w:rPr>
                <w:rFonts w:hint="eastAsia" w:ascii="宋体" w:hAnsi="宋体" w:cs="宋体"/>
                <w:color w:val="auto"/>
                <w:sz w:val="24"/>
                <w:highlight w:val="none"/>
              </w:rPr>
              <w:t>不划分标段</w:t>
            </w:r>
          </w:p>
        </w:tc>
      </w:tr>
      <w:tr w14:paraId="674B90BB">
        <w:tblPrEx>
          <w:tblCellMar>
            <w:top w:w="0" w:type="dxa"/>
            <w:left w:w="108" w:type="dxa"/>
            <w:bottom w:w="0" w:type="dxa"/>
            <w:right w:w="108" w:type="dxa"/>
          </w:tblCellMar>
        </w:tblPrEx>
        <w:trPr>
          <w:trHeight w:val="531"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1A84D228">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747F1495">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资金来源</w:t>
            </w:r>
          </w:p>
        </w:tc>
        <w:tc>
          <w:tcPr>
            <w:tcW w:w="6291" w:type="dxa"/>
            <w:tcBorders>
              <w:top w:val="single" w:color="auto" w:sz="4" w:space="0"/>
              <w:left w:val="single" w:color="auto" w:sz="4" w:space="0"/>
              <w:bottom w:val="single" w:color="auto" w:sz="4" w:space="0"/>
              <w:right w:val="single" w:color="auto" w:sz="4" w:space="0"/>
            </w:tcBorders>
            <w:vAlign w:val="center"/>
          </w:tcPr>
          <w:p w14:paraId="4A457FFB">
            <w:pPr>
              <w:spacing w:line="450" w:lineRule="exact"/>
              <w:rPr>
                <w:rFonts w:ascii="宋体" w:hAnsi="宋体" w:cs="宋体"/>
                <w:color w:val="auto"/>
                <w:sz w:val="24"/>
                <w:highlight w:val="none"/>
              </w:rPr>
            </w:pPr>
            <w:r>
              <w:rPr>
                <w:rFonts w:hint="eastAsia" w:ascii="宋体" w:hAnsi="宋体" w:cs="宋体"/>
                <w:color w:val="auto"/>
                <w:sz w:val="24"/>
                <w:highlight w:val="none"/>
              </w:rPr>
              <w:t>财政资金</w:t>
            </w:r>
          </w:p>
        </w:tc>
      </w:tr>
      <w:tr w14:paraId="7DDD25D6">
        <w:tblPrEx>
          <w:tblCellMar>
            <w:top w:w="0" w:type="dxa"/>
            <w:left w:w="108" w:type="dxa"/>
            <w:bottom w:w="0" w:type="dxa"/>
            <w:right w:w="108" w:type="dxa"/>
          </w:tblCellMar>
        </w:tblPrEx>
        <w:trPr>
          <w:trHeight w:val="531"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58FC39E3">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5F459F24">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资金落实情况</w:t>
            </w:r>
          </w:p>
        </w:tc>
        <w:tc>
          <w:tcPr>
            <w:tcW w:w="6291" w:type="dxa"/>
            <w:tcBorders>
              <w:top w:val="single" w:color="auto" w:sz="4" w:space="0"/>
              <w:left w:val="single" w:color="auto" w:sz="4" w:space="0"/>
              <w:bottom w:val="single" w:color="auto" w:sz="4" w:space="0"/>
              <w:right w:val="single" w:color="auto" w:sz="4" w:space="0"/>
            </w:tcBorders>
            <w:vAlign w:val="center"/>
          </w:tcPr>
          <w:p w14:paraId="0CF71494">
            <w:pPr>
              <w:spacing w:line="450" w:lineRule="exact"/>
              <w:rPr>
                <w:rFonts w:ascii="宋体" w:hAnsi="宋体" w:cs="宋体"/>
                <w:color w:val="auto"/>
                <w:sz w:val="24"/>
                <w:highlight w:val="none"/>
              </w:rPr>
            </w:pPr>
            <w:r>
              <w:rPr>
                <w:rFonts w:hint="eastAsia" w:ascii="宋体" w:hAnsi="宋体" w:cs="宋体"/>
                <w:color w:val="auto"/>
                <w:sz w:val="24"/>
                <w:highlight w:val="none"/>
              </w:rPr>
              <w:t>已落实</w:t>
            </w:r>
          </w:p>
        </w:tc>
      </w:tr>
      <w:tr w14:paraId="042F370D">
        <w:tblPrEx>
          <w:tblCellMar>
            <w:top w:w="0" w:type="dxa"/>
            <w:left w:w="108" w:type="dxa"/>
            <w:bottom w:w="0" w:type="dxa"/>
            <w:right w:w="108" w:type="dxa"/>
          </w:tblCellMar>
        </w:tblPrEx>
        <w:trPr>
          <w:trHeight w:val="90"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28018C2A">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5E6ADFD4">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供应商资质条件</w:t>
            </w:r>
          </w:p>
        </w:tc>
        <w:tc>
          <w:tcPr>
            <w:tcW w:w="6291" w:type="dxa"/>
            <w:tcBorders>
              <w:top w:val="single" w:color="auto" w:sz="4" w:space="0"/>
              <w:left w:val="single" w:color="auto" w:sz="4" w:space="0"/>
              <w:bottom w:val="single" w:color="auto" w:sz="4" w:space="0"/>
              <w:right w:val="single" w:color="auto" w:sz="4" w:space="0"/>
            </w:tcBorders>
            <w:vAlign w:val="center"/>
          </w:tcPr>
          <w:p w14:paraId="4519A72D">
            <w:pPr>
              <w:pStyle w:val="3"/>
              <w:autoSpaceDE w:val="0"/>
              <w:autoSpaceDN w:val="0"/>
              <w:spacing w:after="0" w:line="480" w:lineRule="exact"/>
              <w:rPr>
                <w:rFonts w:ascii="宋体" w:hAnsi="宋体" w:cs="宋体"/>
                <w:color w:val="auto"/>
                <w:sz w:val="24"/>
                <w:highlight w:val="none"/>
              </w:rPr>
            </w:pPr>
            <w:r>
              <w:rPr>
                <w:rFonts w:hint="eastAsia" w:ascii="宋体" w:hAnsi="宋体" w:cs="宋体"/>
                <w:color w:val="auto"/>
                <w:sz w:val="24"/>
                <w:highlight w:val="none"/>
              </w:rPr>
              <w:t>同第一章竞争性磋商公告“二、供应商资格要求”</w:t>
            </w:r>
          </w:p>
        </w:tc>
      </w:tr>
      <w:tr w14:paraId="5B2A2F1B">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225FAF10">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4BCBBB46">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投标预备会</w:t>
            </w:r>
          </w:p>
        </w:tc>
        <w:tc>
          <w:tcPr>
            <w:tcW w:w="6291" w:type="dxa"/>
            <w:tcBorders>
              <w:top w:val="single" w:color="auto" w:sz="4" w:space="0"/>
              <w:left w:val="single" w:color="auto" w:sz="4" w:space="0"/>
              <w:bottom w:val="single" w:color="auto" w:sz="4" w:space="0"/>
              <w:right w:val="single" w:color="auto" w:sz="4" w:space="0"/>
            </w:tcBorders>
            <w:vAlign w:val="center"/>
          </w:tcPr>
          <w:p w14:paraId="61DC4AB0">
            <w:pPr>
              <w:spacing w:line="450" w:lineRule="exact"/>
              <w:rPr>
                <w:rFonts w:ascii="宋体" w:hAnsi="宋体" w:cs="宋体"/>
                <w:color w:val="auto"/>
                <w:sz w:val="24"/>
                <w:highlight w:val="none"/>
              </w:rPr>
            </w:pPr>
            <w:r>
              <w:rPr>
                <w:rFonts w:hint="eastAsia" w:ascii="宋体" w:hAnsi="宋体" w:cs="宋体"/>
                <w:color w:val="auto"/>
                <w:sz w:val="24"/>
                <w:highlight w:val="none"/>
              </w:rPr>
              <w:t>■不召开</w:t>
            </w:r>
          </w:p>
        </w:tc>
      </w:tr>
      <w:tr w14:paraId="315DFA3C">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7C5E1198">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3FD5FEE9">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分包</w:t>
            </w:r>
          </w:p>
        </w:tc>
        <w:tc>
          <w:tcPr>
            <w:tcW w:w="6291" w:type="dxa"/>
            <w:tcBorders>
              <w:top w:val="single" w:color="auto" w:sz="4" w:space="0"/>
              <w:left w:val="single" w:color="auto" w:sz="4" w:space="0"/>
              <w:bottom w:val="single" w:color="auto" w:sz="4" w:space="0"/>
              <w:right w:val="single" w:color="auto" w:sz="4" w:space="0"/>
            </w:tcBorders>
            <w:vAlign w:val="center"/>
          </w:tcPr>
          <w:p w14:paraId="0FA112E1">
            <w:pPr>
              <w:spacing w:line="450" w:lineRule="exact"/>
              <w:rPr>
                <w:rFonts w:ascii="宋体" w:hAnsi="宋体" w:cs="宋体"/>
                <w:color w:val="auto"/>
                <w:sz w:val="24"/>
                <w:highlight w:val="none"/>
              </w:rPr>
            </w:pPr>
            <w:r>
              <w:rPr>
                <w:rFonts w:hint="eastAsia" w:ascii="宋体" w:hAnsi="宋体" w:cs="宋体"/>
                <w:color w:val="auto"/>
                <w:sz w:val="24"/>
                <w:highlight w:val="none"/>
              </w:rPr>
              <w:t>■不允许</w:t>
            </w:r>
          </w:p>
        </w:tc>
      </w:tr>
      <w:tr w14:paraId="622AFF52">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7D55A7FC">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5A1A66BB">
            <w:pPr>
              <w:widowControl/>
              <w:spacing w:line="360" w:lineRule="auto"/>
              <w:jc w:val="center"/>
              <w:rPr>
                <w:rFonts w:ascii="宋体" w:hAnsi="宋体" w:cs="宋体"/>
                <w:color w:val="auto"/>
                <w:sz w:val="24"/>
                <w:highlight w:val="none"/>
              </w:rPr>
            </w:pPr>
            <w:r>
              <w:rPr>
                <w:rFonts w:hint="eastAsia" w:ascii="宋体" w:hAnsi="宋体" w:cs="宋体"/>
                <w:color w:val="auto"/>
                <w:sz w:val="24"/>
                <w:highlight w:val="none"/>
              </w:rPr>
              <w:t>偏离</w:t>
            </w:r>
          </w:p>
        </w:tc>
        <w:tc>
          <w:tcPr>
            <w:tcW w:w="6291" w:type="dxa"/>
            <w:tcBorders>
              <w:top w:val="single" w:color="auto" w:sz="4" w:space="0"/>
              <w:left w:val="single" w:color="auto" w:sz="4" w:space="0"/>
              <w:bottom w:val="single" w:color="auto" w:sz="4" w:space="0"/>
              <w:right w:val="single" w:color="auto" w:sz="4" w:space="0"/>
            </w:tcBorders>
            <w:vAlign w:val="center"/>
          </w:tcPr>
          <w:p w14:paraId="41E3FB43">
            <w:pPr>
              <w:spacing w:line="360" w:lineRule="auto"/>
              <w:rPr>
                <w:rFonts w:ascii="宋体" w:hAnsi="宋体" w:cs="宋体"/>
                <w:color w:val="auto"/>
                <w:sz w:val="24"/>
                <w:highlight w:val="none"/>
              </w:rPr>
            </w:pPr>
            <w:r>
              <w:rPr>
                <w:rFonts w:hint="eastAsia" w:ascii="宋体" w:hAnsi="宋体" w:cs="宋体"/>
                <w:color w:val="auto"/>
                <w:sz w:val="24"/>
                <w:highlight w:val="none"/>
              </w:rPr>
              <w:t>■不允许负偏离</w:t>
            </w:r>
          </w:p>
        </w:tc>
      </w:tr>
      <w:tr w14:paraId="0A778879">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2691DFA8">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453DF4F7">
            <w:pPr>
              <w:widowControl/>
              <w:spacing w:line="360" w:lineRule="auto"/>
              <w:jc w:val="center"/>
              <w:rPr>
                <w:rFonts w:ascii="宋体" w:hAnsi="宋体" w:cs="宋体"/>
                <w:color w:val="auto"/>
                <w:sz w:val="24"/>
                <w:highlight w:val="none"/>
              </w:rPr>
            </w:pPr>
            <w:r>
              <w:rPr>
                <w:rFonts w:hint="eastAsia" w:ascii="宋体" w:hAnsi="宋体" w:cs="宋体"/>
                <w:color w:val="auto"/>
                <w:sz w:val="24"/>
                <w:highlight w:val="none"/>
              </w:rPr>
              <w:t>踏勘现场</w:t>
            </w:r>
          </w:p>
        </w:tc>
        <w:tc>
          <w:tcPr>
            <w:tcW w:w="6291" w:type="dxa"/>
            <w:tcBorders>
              <w:top w:val="single" w:color="auto" w:sz="4" w:space="0"/>
              <w:left w:val="single" w:color="auto" w:sz="4" w:space="0"/>
              <w:bottom w:val="single" w:color="auto" w:sz="4" w:space="0"/>
              <w:right w:val="single" w:color="auto" w:sz="4" w:space="0"/>
            </w:tcBorders>
            <w:vAlign w:val="center"/>
          </w:tcPr>
          <w:p w14:paraId="74EB85C3">
            <w:pPr>
              <w:spacing w:line="360" w:lineRule="auto"/>
              <w:rPr>
                <w:rFonts w:ascii="宋体" w:hAnsi="宋体" w:cs="宋体"/>
                <w:color w:val="auto"/>
                <w:sz w:val="24"/>
                <w:highlight w:val="none"/>
              </w:rPr>
            </w:pPr>
            <w:r>
              <w:rPr>
                <w:rFonts w:hint="eastAsia" w:ascii="宋体" w:hAnsi="宋体" w:cs="宋体"/>
                <w:color w:val="auto"/>
                <w:sz w:val="24"/>
                <w:highlight w:val="none"/>
              </w:rPr>
              <w:t>■不组织，投标人自行踏勘。</w:t>
            </w:r>
          </w:p>
        </w:tc>
      </w:tr>
      <w:tr w14:paraId="0EBD646A">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26BB3C89">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780E1E8B">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是否接受联合体投标</w:t>
            </w:r>
          </w:p>
        </w:tc>
        <w:tc>
          <w:tcPr>
            <w:tcW w:w="6291" w:type="dxa"/>
            <w:tcBorders>
              <w:top w:val="single" w:color="auto" w:sz="4" w:space="0"/>
              <w:left w:val="single" w:color="auto" w:sz="4" w:space="0"/>
              <w:bottom w:val="single" w:color="auto" w:sz="4" w:space="0"/>
              <w:right w:val="single" w:color="auto" w:sz="4" w:space="0"/>
            </w:tcBorders>
            <w:vAlign w:val="center"/>
          </w:tcPr>
          <w:p w14:paraId="50B6C556">
            <w:pPr>
              <w:spacing w:line="450" w:lineRule="exact"/>
              <w:rPr>
                <w:rFonts w:ascii="宋体" w:hAnsi="宋体" w:cs="宋体"/>
                <w:color w:val="auto"/>
                <w:sz w:val="24"/>
                <w:highlight w:val="none"/>
              </w:rPr>
            </w:pPr>
            <w:r>
              <w:rPr>
                <w:rFonts w:hint="eastAsia" w:ascii="宋体" w:hAnsi="宋体" w:cs="宋体"/>
                <w:color w:val="auto"/>
                <w:sz w:val="24"/>
                <w:highlight w:val="none"/>
              </w:rPr>
              <w:t>■不允许</w:t>
            </w:r>
          </w:p>
        </w:tc>
      </w:tr>
      <w:tr w14:paraId="4FA634CD">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12C1E6C4">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33BE9FC8">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供应商提出问题的截止时间</w:t>
            </w:r>
          </w:p>
        </w:tc>
        <w:tc>
          <w:tcPr>
            <w:tcW w:w="6291" w:type="dxa"/>
            <w:tcBorders>
              <w:top w:val="single" w:color="auto" w:sz="4" w:space="0"/>
              <w:left w:val="single" w:color="auto" w:sz="4" w:space="0"/>
              <w:bottom w:val="single" w:color="auto" w:sz="4" w:space="0"/>
              <w:right w:val="single" w:color="auto" w:sz="4" w:space="0"/>
            </w:tcBorders>
            <w:vAlign w:val="center"/>
          </w:tcPr>
          <w:p w14:paraId="33048670">
            <w:pPr>
              <w:spacing w:line="450" w:lineRule="exact"/>
              <w:rPr>
                <w:rFonts w:ascii="宋体" w:hAnsi="宋体" w:cs="宋体"/>
                <w:color w:val="auto"/>
                <w:sz w:val="24"/>
                <w:highlight w:val="none"/>
              </w:rPr>
            </w:pPr>
            <w:r>
              <w:rPr>
                <w:rFonts w:hint="eastAsia" w:ascii="宋体" w:hAnsi="宋体" w:cs="宋体"/>
                <w:color w:val="auto"/>
                <w:sz w:val="24"/>
                <w:highlight w:val="none"/>
              </w:rPr>
              <w:t>响应性文件递交截止时间5天前</w:t>
            </w:r>
          </w:p>
        </w:tc>
      </w:tr>
      <w:tr w14:paraId="796B1788">
        <w:tblPrEx>
          <w:tblCellMar>
            <w:top w:w="0" w:type="dxa"/>
            <w:left w:w="108" w:type="dxa"/>
            <w:bottom w:w="0" w:type="dxa"/>
            <w:right w:w="108" w:type="dxa"/>
          </w:tblCellMar>
        </w:tblPrEx>
        <w:trPr>
          <w:trHeight w:val="716"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36448C91">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7ED16652">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采购人书面澄清的时间</w:t>
            </w:r>
          </w:p>
        </w:tc>
        <w:tc>
          <w:tcPr>
            <w:tcW w:w="6291" w:type="dxa"/>
            <w:tcBorders>
              <w:top w:val="single" w:color="auto" w:sz="4" w:space="0"/>
              <w:left w:val="single" w:color="auto" w:sz="4" w:space="0"/>
              <w:bottom w:val="single" w:color="auto" w:sz="4" w:space="0"/>
              <w:right w:val="single" w:color="auto" w:sz="4" w:space="0"/>
            </w:tcBorders>
            <w:vAlign w:val="center"/>
          </w:tcPr>
          <w:p w14:paraId="424F5B37">
            <w:pPr>
              <w:spacing w:line="450" w:lineRule="exact"/>
              <w:rPr>
                <w:rFonts w:ascii="宋体" w:hAnsi="宋体" w:cs="宋体"/>
                <w:color w:val="auto"/>
                <w:sz w:val="24"/>
                <w:highlight w:val="none"/>
              </w:rPr>
            </w:pPr>
            <w:r>
              <w:rPr>
                <w:rFonts w:hint="eastAsia" w:ascii="宋体" w:hAnsi="宋体" w:cs="宋体"/>
                <w:color w:val="auto"/>
                <w:sz w:val="24"/>
                <w:highlight w:val="none"/>
              </w:rPr>
              <w:t>响应性文件递交截止时间5天前</w:t>
            </w:r>
          </w:p>
        </w:tc>
      </w:tr>
      <w:tr w14:paraId="650EB2CC">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1C72B259">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7730B035">
            <w:pPr>
              <w:widowControl/>
              <w:spacing w:line="360" w:lineRule="auto"/>
              <w:jc w:val="center"/>
              <w:rPr>
                <w:rFonts w:ascii="宋体" w:hAnsi="宋体" w:cs="宋体"/>
                <w:color w:val="auto"/>
                <w:sz w:val="24"/>
                <w:highlight w:val="none"/>
              </w:rPr>
            </w:pPr>
            <w:r>
              <w:rPr>
                <w:rFonts w:hint="eastAsia" w:ascii="宋体" w:hAnsi="宋体" w:cs="宋体"/>
                <w:color w:val="auto"/>
                <w:sz w:val="24"/>
                <w:highlight w:val="none"/>
              </w:rPr>
              <w:t>磋商文件澄清或者修改发出的形式</w:t>
            </w:r>
          </w:p>
        </w:tc>
        <w:tc>
          <w:tcPr>
            <w:tcW w:w="6291" w:type="dxa"/>
            <w:tcBorders>
              <w:top w:val="single" w:color="auto" w:sz="4" w:space="0"/>
              <w:left w:val="single" w:color="auto" w:sz="4" w:space="0"/>
              <w:bottom w:val="single" w:color="auto" w:sz="4" w:space="0"/>
              <w:right w:val="single" w:color="auto" w:sz="4" w:space="0"/>
            </w:tcBorders>
            <w:vAlign w:val="center"/>
          </w:tcPr>
          <w:p w14:paraId="21E4E415">
            <w:pPr>
              <w:spacing w:line="360" w:lineRule="auto"/>
              <w:rPr>
                <w:rFonts w:ascii="宋体" w:hAnsi="宋体" w:cs="宋体"/>
                <w:color w:val="auto"/>
                <w:sz w:val="24"/>
                <w:highlight w:val="none"/>
              </w:rPr>
            </w:pPr>
            <w:r>
              <w:rPr>
                <w:rFonts w:hint="eastAsia" w:ascii="宋体" w:hAnsi="宋体" w:cs="宋体"/>
                <w:color w:val="auto"/>
                <w:sz w:val="24"/>
                <w:highlight w:val="none"/>
              </w:rPr>
              <w:t>所有投标单位请时刻关注三门峡市公共资源交易中心电子化交易系统，该项目所有澄清、修改、答疑、变更均在招标公告发布同一网站，不再另行通知。如未及时查看影响其投标，后果自负。（如有）</w:t>
            </w:r>
          </w:p>
        </w:tc>
      </w:tr>
      <w:tr w14:paraId="39984EBB">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7FEE2CA6">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6F33D5C3">
            <w:pPr>
              <w:widowControl/>
              <w:spacing w:line="360" w:lineRule="auto"/>
              <w:jc w:val="center"/>
              <w:rPr>
                <w:rFonts w:ascii="宋体" w:hAnsi="宋体" w:cs="宋体"/>
                <w:color w:val="auto"/>
                <w:sz w:val="24"/>
                <w:highlight w:val="none"/>
              </w:rPr>
            </w:pPr>
            <w:r>
              <w:rPr>
                <w:rFonts w:hint="eastAsia" w:ascii="宋体" w:hAnsi="宋体" w:cs="宋体"/>
                <w:color w:val="auto"/>
                <w:sz w:val="24"/>
                <w:highlight w:val="none"/>
              </w:rPr>
              <w:t>确认收到磋商文件澄清或者修改</w:t>
            </w:r>
          </w:p>
        </w:tc>
        <w:tc>
          <w:tcPr>
            <w:tcW w:w="6291" w:type="dxa"/>
            <w:tcBorders>
              <w:top w:val="single" w:color="auto" w:sz="4" w:space="0"/>
              <w:left w:val="single" w:color="auto" w:sz="4" w:space="0"/>
              <w:bottom w:val="single" w:color="auto" w:sz="4" w:space="0"/>
              <w:right w:val="single" w:color="auto" w:sz="4" w:space="0"/>
            </w:tcBorders>
            <w:vAlign w:val="center"/>
          </w:tcPr>
          <w:p w14:paraId="329C849D">
            <w:pPr>
              <w:spacing w:line="360" w:lineRule="auto"/>
              <w:rPr>
                <w:rFonts w:ascii="宋体" w:hAnsi="宋体" w:cs="宋体"/>
                <w:color w:val="auto"/>
                <w:sz w:val="24"/>
                <w:highlight w:val="none"/>
              </w:rPr>
            </w:pPr>
            <w:r>
              <w:rPr>
                <w:rFonts w:hint="eastAsia" w:ascii="宋体" w:hAnsi="宋体" w:cs="宋体"/>
                <w:color w:val="auto"/>
                <w:sz w:val="24"/>
                <w:highlight w:val="none"/>
              </w:rPr>
              <w:t>供应商在投标截止时间前须自行查看在原公告发布媒体上发布的澄清或修改公告，因供应商未及时查看而造成的后果自负。</w:t>
            </w:r>
          </w:p>
        </w:tc>
      </w:tr>
      <w:tr w14:paraId="5C52BD50">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231131A7">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65AAA5B6">
            <w:pPr>
              <w:widowControl/>
              <w:spacing w:line="360" w:lineRule="auto"/>
              <w:jc w:val="center"/>
              <w:rPr>
                <w:rFonts w:ascii="宋体" w:hAnsi="宋体" w:cs="宋体"/>
                <w:color w:val="auto"/>
                <w:sz w:val="24"/>
                <w:highlight w:val="none"/>
              </w:rPr>
            </w:pPr>
            <w:r>
              <w:rPr>
                <w:rFonts w:hint="eastAsia" w:ascii="宋体" w:hAnsi="宋体" w:cs="宋体"/>
                <w:color w:val="auto"/>
                <w:sz w:val="24"/>
                <w:highlight w:val="none"/>
              </w:rPr>
              <w:t>构成竞争性磋商文件的其他材料</w:t>
            </w:r>
          </w:p>
        </w:tc>
        <w:tc>
          <w:tcPr>
            <w:tcW w:w="6291" w:type="dxa"/>
            <w:tcBorders>
              <w:top w:val="single" w:color="auto" w:sz="4" w:space="0"/>
              <w:left w:val="single" w:color="auto" w:sz="4" w:space="0"/>
              <w:bottom w:val="single" w:color="auto" w:sz="4" w:space="0"/>
              <w:right w:val="single" w:color="auto" w:sz="4" w:space="0"/>
            </w:tcBorders>
            <w:vAlign w:val="center"/>
          </w:tcPr>
          <w:p w14:paraId="5EA43359">
            <w:pPr>
              <w:spacing w:line="360" w:lineRule="auto"/>
              <w:rPr>
                <w:rFonts w:ascii="宋体" w:hAnsi="宋体" w:cs="宋体"/>
                <w:color w:val="auto"/>
                <w:sz w:val="24"/>
                <w:highlight w:val="none"/>
              </w:rPr>
            </w:pPr>
            <w:r>
              <w:rPr>
                <w:rFonts w:hint="eastAsia" w:ascii="宋体" w:hAnsi="宋体" w:cs="宋体"/>
                <w:color w:val="auto"/>
                <w:sz w:val="24"/>
                <w:highlight w:val="none"/>
              </w:rPr>
              <w:t>答疑纪要、竞争性磋商文件的补充和修改文件（如有）、工程量清单、招标控制价等。</w:t>
            </w:r>
          </w:p>
        </w:tc>
      </w:tr>
      <w:tr w14:paraId="5F63B0F5">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6D359A0D">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3C63C575">
            <w:pPr>
              <w:widowControl/>
              <w:spacing w:line="360" w:lineRule="auto"/>
              <w:jc w:val="center"/>
              <w:rPr>
                <w:rFonts w:ascii="宋体" w:hAnsi="宋体" w:cs="宋体"/>
                <w:color w:val="auto"/>
                <w:sz w:val="24"/>
                <w:highlight w:val="none"/>
              </w:rPr>
            </w:pPr>
            <w:r>
              <w:rPr>
                <w:rFonts w:hint="eastAsia" w:ascii="宋体" w:hAnsi="宋体" w:cs="宋体"/>
                <w:color w:val="auto"/>
                <w:sz w:val="24"/>
                <w:highlight w:val="none"/>
              </w:rPr>
              <w:t>投标人要求澄清竞争性磋商文件的截止时间</w:t>
            </w:r>
          </w:p>
        </w:tc>
        <w:tc>
          <w:tcPr>
            <w:tcW w:w="6291" w:type="dxa"/>
            <w:tcBorders>
              <w:top w:val="single" w:color="auto" w:sz="4" w:space="0"/>
              <w:left w:val="single" w:color="auto" w:sz="4" w:space="0"/>
              <w:bottom w:val="single" w:color="auto" w:sz="4" w:space="0"/>
              <w:right w:val="single" w:color="auto" w:sz="4" w:space="0"/>
            </w:tcBorders>
            <w:vAlign w:val="center"/>
          </w:tcPr>
          <w:p w14:paraId="5A9AE029">
            <w:pPr>
              <w:spacing w:line="360" w:lineRule="auto"/>
              <w:rPr>
                <w:rFonts w:ascii="宋体" w:hAnsi="宋体" w:cs="宋体"/>
                <w:color w:val="auto"/>
                <w:sz w:val="24"/>
                <w:highlight w:val="none"/>
              </w:rPr>
            </w:pPr>
            <w:r>
              <w:rPr>
                <w:rFonts w:hint="eastAsia" w:ascii="宋体" w:hAnsi="宋体" w:cs="宋体"/>
                <w:color w:val="auto"/>
                <w:sz w:val="24"/>
                <w:highlight w:val="none"/>
              </w:rPr>
              <w:t>供应商认为磋商文件、磋商过程、成交结果使自己的权益受到损害的，可以在知道或者应知其权益受到损害之日起7个工作日内，以书面形式向招标人、招标代理机构提出质疑。</w:t>
            </w:r>
          </w:p>
          <w:p w14:paraId="029669C1">
            <w:pPr>
              <w:spacing w:line="360" w:lineRule="auto"/>
              <w:rPr>
                <w:rFonts w:ascii="宋体" w:hAnsi="宋体" w:cs="宋体"/>
                <w:color w:val="auto"/>
                <w:sz w:val="24"/>
                <w:highlight w:val="none"/>
              </w:rPr>
            </w:pPr>
            <w:r>
              <w:rPr>
                <w:rFonts w:hint="eastAsia" w:ascii="宋体" w:hAnsi="宋体" w:cs="宋体"/>
                <w:color w:val="auto"/>
                <w:sz w:val="24"/>
                <w:highlight w:val="none"/>
              </w:rPr>
              <w:t>要求供应商在法定质疑期内一次性提出针对同一磋商程序环节的质疑。</w:t>
            </w:r>
          </w:p>
        </w:tc>
      </w:tr>
      <w:tr w14:paraId="211520BC">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0E88886B">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26E61A15">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响应性文件递交截止地点</w:t>
            </w:r>
          </w:p>
        </w:tc>
        <w:tc>
          <w:tcPr>
            <w:tcW w:w="6291" w:type="dxa"/>
            <w:tcBorders>
              <w:top w:val="single" w:color="auto" w:sz="4" w:space="0"/>
              <w:left w:val="single" w:color="auto" w:sz="4" w:space="0"/>
              <w:bottom w:val="single" w:color="auto" w:sz="4" w:space="0"/>
              <w:right w:val="single" w:color="auto" w:sz="4" w:space="0"/>
            </w:tcBorders>
            <w:vAlign w:val="center"/>
          </w:tcPr>
          <w:p w14:paraId="64836DB8">
            <w:pPr>
              <w:spacing w:line="360" w:lineRule="auto"/>
              <w:rPr>
                <w:rFonts w:ascii="宋体" w:hAnsi="宋体" w:cs="宋体"/>
                <w:color w:val="auto"/>
                <w:sz w:val="24"/>
                <w:highlight w:val="none"/>
              </w:rPr>
            </w:pPr>
            <w:r>
              <w:rPr>
                <w:rFonts w:hint="eastAsia" w:ascii="宋体" w:hAnsi="宋体" w:cs="宋体"/>
                <w:color w:val="auto"/>
                <w:sz w:val="24"/>
                <w:highlight w:val="none"/>
              </w:rPr>
              <w:t>同公告</w:t>
            </w:r>
          </w:p>
        </w:tc>
      </w:tr>
      <w:tr w14:paraId="65F70FD9">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42958D8F">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7E6488CD">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供应商确认收到竞争性磋商文件的澄清时间</w:t>
            </w:r>
          </w:p>
        </w:tc>
        <w:tc>
          <w:tcPr>
            <w:tcW w:w="6291" w:type="dxa"/>
            <w:tcBorders>
              <w:top w:val="single" w:color="auto" w:sz="4" w:space="0"/>
              <w:left w:val="single" w:color="auto" w:sz="4" w:space="0"/>
              <w:bottom w:val="single" w:color="auto" w:sz="4" w:space="0"/>
              <w:right w:val="single" w:color="auto" w:sz="4" w:space="0"/>
            </w:tcBorders>
            <w:vAlign w:val="center"/>
          </w:tcPr>
          <w:p w14:paraId="71E12937">
            <w:pPr>
              <w:spacing w:line="360" w:lineRule="auto"/>
              <w:rPr>
                <w:rFonts w:ascii="宋体" w:hAnsi="宋体" w:cs="宋体"/>
                <w:color w:val="auto"/>
                <w:sz w:val="24"/>
                <w:highlight w:val="none"/>
              </w:rPr>
            </w:pPr>
            <w:r>
              <w:rPr>
                <w:rFonts w:hint="eastAsia" w:ascii="宋体" w:hAnsi="宋体" w:cs="宋体"/>
                <w:color w:val="auto"/>
                <w:sz w:val="24"/>
                <w:highlight w:val="none"/>
              </w:rPr>
              <w:t>收到竞争性磋商文件澄清24小时内</w:t>
            </w:r>
          </w:p>
        </w:tc>
      </w:tr>
      <w:tr w14:paraId="08D33413">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5227F530">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61F607DB">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供应商确认收到竞争性磋商文件的修改时间</w:t>
            </w:r>
          </w:p>
        </w:tc>
        <w:tc>
          <w:tcPr>
            <w:tcW w:w="6291" w:type="dxa"/>
            <w:tcBorders>
              <w:top w:val="single" w:color="auto" w:sz="4" w:space="0"/>
              <w:left w:val="single" w:color="auto" w:sz="4" w:space="0"/>
              <w:bottom w:val="single" w:color="auto" w:sz="4" w:space="0"/>
              <w:right w:val="single" w:color="auto" w:sz="4" w:space="0"/>
            </w:tcBorders>
            <w:vAlign w:val="center"/>
          </w:tcPr>
          <w:p w14:paraId="36983919">
            <w:pPr>
              <w:spacing w:line="360" w:lineRule="auto"/>
              <w:rPr>
                <w:rFonts w:ascii="宋体" w:hAnsi="宋体" w:cs="宋体"/>
                <w:color w:val="auto"/>
                <w:sz w:val="24"/>
                <w:highlight w:val="none"/>
              </w:rPr>
            </w:pPr>
            <w:r>
              <w:rPr>
                <w:rFonts w:hint="eastAsia" w:ascii="宋体" w:hAnsi="宋体" w:cs="宋体"/>
                <w:color w:val="auto"/>
                <w:sz w:val="24"/>
                <w:highlight w:val="none"/>
              </w:rPr>
              <w:t>收到竞争性磋商文件澄清24小时内</w:t>
            </w:r>
          </w:p>
        </w:tc>
      </w:tr>
      <w:tr w14:paraId="3DEEA211">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29817506">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667342E4">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投标有效期</w:t>
            </w:r>
          </w:p>
        </w:tc>
        <w:tc>
          <w:tcPr>
            <w:tcW w:w="6291" w:type="dxa"/>
            <w:tcBorders>
              <w:top w:val="single" w:color="auto" w:sz="4" w:space="0"/>
              <w:left w:val="single" w:color="auto" w:sz="4" w:space="0"/>
              <w:bottom w:val="single" w:color="auto" w:sz="4" w:space="0"/>
              <w:right w:val="single" w:color="auto" w:sz="4" w:space="0"/>
            </w:tcBorders>
            <w:vAlign w:val="center"/>
          </w:tcPr>
          <w:p w14:paraId="6EDA0B41">
            <w:pPr>
              <w:spacing w:line="360" w:lineRule="auto"/>
              <w:rPr>
                <w:rFonts w:hint="eastAsia" w:ascii="宋体" w:hAnsi="宋体" w:eastAsia="宋体" w:cs="宋体"/>
                <w:color w:val="auto"/>
                <w:sz w:val="24"/>
                <w:highlight w:val="none"/>
                <w:lang w:eastAsia="zh-CN"/>
              </w:rPr>
            </w:pPr>
            <w:r>
              <w:rPr>
                <w:rFonts w:hint="eastAsia" w:ascii="宋体" w:hAnsi="宋体" w:cs="宋体"/>
                <w:color w:val="auto"/>
                <w:sz w:val="24"/>
                <w:highlight w:val="none"/>
              </w:rPr>
              <w:t>自响应性文件递交截止之日起</w:t>
            </w:r>
            <w:r>
              <w:rPr>
                <w:rFonts w:hint="eastAsia" w:ascii="宋体" w:hAnsi="宋体" w:cs="宋体"/>
                <w:color w:val="auto"/>
                <w:sz w:val="24"/>
                <w:highlight w:val="none"/>
                <w:lang w:val="en-US" w:eastAsia="zh-CN"/>
              </w:rPr>
              <w:t>60</w:t>
            </w:r>
            <w:r>
              <w:rPr>
                <w:rFonts w:hint="eastAsia" w:ascii="宋体" w:hAnsi="宋体" w:cs="宋体"/>
                <w:color w:val="auto"/>
                <w:sz w:val="24"/>
                <w:highlight w:val="none"/>
                <w:lang w:eastAsia="zh-CN"/>
              </w:rPr>
              <w:t>日历天</w:t>
            </w:r>
          </w:p>
        </w:tc>
      </w:tr>
      <w:tr w14:paraId="2120D601">
        <w:tblPrEx>
          <w:tblCellMar>
            <w:top w:w="0" w:type="dxa"/>
            <w:left w:w="108" w:type="dxa"/>
            <w:bottom w:w="0" w:type="dxa"/>
            <w:right w:w="108" w:type="dxa"/>
          </w:tblCellMar>
        </w:tblPrEx>
        <w:trPr>
          <w:trHeight w:val="90"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06CC3DEC">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tcPr>
          <w:p w14:paraId="64702EBF">
            <w:pPr>
              <w:spacing w:line="400" w:lineRule="exact"/>
              <w:jc w:val="left"/>
              <w:rPr>
                <w:rFonts w:ascii="宋体" w:hAnsi="宋体" w:cs="宋体"/>
                <w:color w:val="auto"/>
                <w:sz w:val="24"/>
                <w:highlight w:val="none"/>
              </w:rPr>
            </w:pPr>
            <w:r>
              <w:rPr>
                <w:rFonts w:hint="eastAsia"/>
                <w:color w:val="auto"/>
                <w:sz w:val="24"/>
                <w:highlight w:val="none"/>
                <w:shd w:val="clear" w:color="auto" w:fill="FFFFFF"/>
                <w:lang w:bidi="ar"/>
              </w:rPr>
              <w:t>近年财务状况的年份要求</w:t>
            </w:r>
          </w:p>
        </w:tc>
        <w:tc>
          <w:tcPr>
            <w:tcW w:w="6291" w:type="dxa"/>
            <w:tcBorders>
              <w:top w:val="single" w:color="auto" w:sz="4" w:space="0"/>
              <w:left w:val="single" w:color="auto" w:sz="4" w:space="0"/>
              <w:bottom w:val="single" w:color="auto" w:sz="4" w:space="0"/>
              <w:right w:val="single" w:color="auto" w:sz="4" w:space="0"/>
            </w:tcBorders>
            <w:vAlign w:val="center"/>
          </w:tcPr>
          <w:p w14:paraId="3EBE2F14">
            <w:pPr>
              <w:spacing w:line="360" w:lineRule="auto"/>
              <w:rPr>
                <w:rFonts w:ascii="宋体" w:hAnsi="宋体" w:cs="宋体"/>
                <w:color w:val="auto"/>
                <w:sz w:val="24"/>
                <w:highlight w:val="none"/>
              </w:rPr>
            </w:pPr>
            <w:r>
              <w:rPr>
                <w:rFonts w:hint="eastAsia" w:ascii="宋体" w:hAnsi="宋体" w:cs="宋体"/>
                <w:color w:val="auto"/>
                <w:sz w:val="24"/>
                <w:highlight w:val="none"/>
              </w:rPr>
              <w:t>提供2025年度经审计的财务状况报告。（成立时间不足一年的，可提供成立时间至当前时间节点的财务状况报告）</w:t>
            </w:r>
          </w:p>
        </w:tc>
      </w:tr>
      <w:tr w14:paraId="60BBBFE3">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03BE9FA3">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tcPr>
          <w:p w14:paraId="42FED754">
            <w:pPr>
              <w:spacing w:line="400" w:lineRule="exact"/>
              <w:jc w:val="left"/>
              <w:rPr>
                <w:rFonts w:ascii="宋体" w:hAnsi="宋体" w:cs="宋体"/>
                <w:color w:val="auto"/>
                <w:sz w:val="24"/>
                <w:highlight w:val="none"/>
              </w:rPr>
            </w:pPr>
            <w:r>
              <w:rPr>
                <w:rFonts w:hint="eastAsia"/>
                <w:color w:val="auto"/>
                <w:sz w:val="24"/>
                <w:highlight w:val="none"/>
                <w:shd w:val="clear" w:color="auto" w:fill="FFFFFF"/>
                <w:lang w:bidi="ar"/>
              </w:rPr>
              <w:t>近年完成的类似项目的年份要求</w:t>
            </w:r>
          </w:p>
        </w:tc>
        <w:tc>
          <w:tcPr>
            <w:tcW w:w="6291" w:type="dxa"/>
            <w:tcBorders>
              <w:top w:val="single" w:color="auto" w:sz="4" w:space="0"/>
              <w:left w:val="single" w:color="auto" w:sz="4" w:space="0"/>
              <w:bottom w:val="single" w:color="auto" w:sz="4" w:space="0"/>
              <w:right w:val="single" w:color="auto" w:sz="4" w:space="0"/>
            </w:tcBorders>
            <w:vAlign w:val="center"/>
          </w:tcPr>
          <w:p w14:paraId="45978450">
            <w:pPr>
              <w:spacing w:line="360" w:lineRule="auto"/>
              <w:rPr>
                <w:rFonts w:ascii="宋体" w:hAnsi="宋体" w:cs="宋体"/>
                <w:color w:val="auto"/>
                <w:sz w:val="24"/>
                <w:highlight w:val="none"/>
              </w:rPr>
            </w:pPr>
            <w:r>
              <w:rPr>
                <w:rFonts w:hint="eastAsia" w:ascii="宋体" w:hAnsi="宋体" w:cs="宋体"/>
                <w:color w:val="auto"/>
                <w:sz w:val="24"/>
                <w:highlight w:val="none"/>
              </w:rPr>
              <w:t>2023年1月1日以来至今。</w:t>
            </w:r>
          </w:p>
        </w:tc>
      </w:tr>
      <w:tr w14:paraId="524C3B0C">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1DBD449A">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tcPr>
          <w:p w14:paraId="00FD9952">
            <w:pPr>
              <w:spacing w:line="400" w:lineRule="exact"/>
              <w:jc w:val="left"/>
              <w:rPr>
                <w:rFonts w:ascii="宋体" w:hAnsi="宋体" w:cs="宋体"/>
                <w:color w:val="auto"/>
                <w:sz w:val="24"/>
                <w:highlight w:val="none"/>
              </w:rPr>
            </w:pPr>
            <w:r>
              <w:rPr>
                <w:rFonts w:hint="eastAsia"/>
                <w:color w:val="auto"/>
                <w:sz w:val="24"/>
                <w:highlight w:val="none"/>
                <w:shd w:val="clear" w:color="auto" w:fill="FFFFFF"/>
                <w:lang w:bidi="ar"/>
              </w:rPr>
              <w:t>近年发生的诉讼及仲裁情况的年份要求</w:t>
            </w:r>
          </w:p>
        </w:tc>
        <w:tc>
          <w:tcPr>
            <w:tcW w:w="6291" w:type="dxa"/>
            <w:tcBorders>
              <w:top w:val="single" w:color="auto" w:sz="4" w:space="0"/>
              <w:left w:val="single" w:color="auto" w:sz="4" w:space="0"/>
              <w:bottom w:val="single" w:color="auto" w:sz="4" w:space="0"/>
              <w:right w:val="single" w:color="auto" w:sz="4" w:space="0"/>
            </w:tcBorders>
            <w:vAlign w:val="center"/>
          </w:tcPr>
          <w:p w14:paraId="1BEF9C4F">
            <w:pPr>
              <w:spacing w:line="360" w:lineRule="auto"/>
              <w:rPr>
                <w:rFonts w:ascii="宋体" w:hAnsi="宋体" w:cs="宋体"/>
                <w:color w:val="auto"/>
                <w:sz w:val="24"/>
                <w:highlight w:val="none"/>
              </w:rPr>
            </w:pPr>
            <w:r>
              <w:rPr>
                <w:rFonts w:hint="eastAsia" w:ascii="宋体" w:hAnsi="宋体" w:cs="宋体"/>
                <w:color w:val="auto"/>
                <w:sz w:val="24"/>
                <w:highlight w:val="none"/>
              </w:rPr>
              <w:t>2023年1月1日以来至今。</w:t>
            </w:r>
          </w:p>
        </w:tc>
      </w:tr>
      <w:tr w14:paraId="2EB49F7E">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5182111D">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05D76E4A">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磋商保证金</w:t>
            </w:r>
          </w:p>
        </w:tc>
        <w:tc>
          <w:tcPr>
            <w:tcW w:w="6291" w:type="dxa"/>
            <w:tcBorders>
              <w:top w:val="single" w:color="auto" w:sz="4" w:space="0"/>
              <w:left w:val="single" w:color="auto" w:sz="4" w:space="0"/>
              <w:bottom w:val="single" w:color="auto" w:sz="4" w:space="0"/>
              <w:right w:val="single" w:color="auto" w:sz="4" w:space="0"/>
            </w:tcBorders>
            <w:vAlign w:val="center"/>
          </w:tcPr>
          <w:p w14:paraId="34AEBDD0">
            <w:pPr>
              <w:spacing w:line="360" w:lineRule="auto"/>
              <w:rPr>
                <w:rFonts w:ascii="宋体" w:hAnsi="宋体" w:cs="宋体"/>
                <w:color w:val="auto"/>
                <w:sz w:val="24"/>
                <w:highlight w:val="none"/>
              </w:rPr>
            </w:pPr>
            <w:r>
              <w:rPr>
                <w:rFonts w:hint="eastAsia" w:ascii="宋体" w:hAnsi="宋体" w:cs="宋体"/>
                <w:color w:val="auto"/>
                <w:sz w:val="24"/>
                <w:highlight w:val="none"/>
              </w:rPr>
              <w:t>按照《河南省财政厅关于优化政府采购营商环境有关问题的通知》（豫财购[2019]4号文）的要求本项目不再收取投标保证金。</w:t>
            </w:r>
          </w:p>
        </w:tc>
      </w:tr>
      <w:tr w14:paraId="0B8D61A5">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625770D3">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4F903681">
            <w:pPr>
              <w:spacing w:line="360" w:lineRule="auto"/>
              <w:jc w:val="center"/>
              <w:rPr>
                <w:rFonts w:ascii="宋体" w:hAnsi="宋体" w:cs="宋体"/>
                <w:color w:val="auto"/>
                <w:kern w:val="0"/>
                <w:sz w:val="24"/>
                <w:highlight w:val="none"/>
              </w:rPr>
            </w:pPr>
            <w:r>
              <w:rPr>
                <w:rFonts w:hint="eastAsia" w:ascii="宋体" w:hAnsi="宋体" w:cs="宋体"/>
                <w:color w:val="auto"/>
                <w:sz w:val="24"/>
                <w:highlight w:val="none"/>
              </w:rPr>
              <w:t>签字或盖章要求</w:t>
            </w:r>
          </w:p>
        </w:tc>
        <w:tc>
          <w:tcPr>
            <w:tcW w:w="6291" w:type="dxa"/>
            <w:tcBorders>
              <w:top w:val="single" w:color="auto" w:sz="4" w:space="0"/>
              <w:left w:val="single" w:color="auto" w:sz="4" w:space="0"/>
              <w:bottom w:val="single" w:color="auto" w:sz="4" w:space="0"/>
              <w:right w:val="single" w:color="auto" w:sz="4" w:space="0"/>
            </w:tcBorders>
            <w:vAlign w:val="center"/>
          </w:tcPr>
          <w:p w14:paraId="6A87C342">
            <w:pPr>
              <w:spacing w:line="360" w:lineRule="auto"/>
              <w:rPr>
                <w:rFonts w:ascii="宋体" w:hAnsi="宋体" w:cs="宋体"/>
                <w:color w:val="auto"/>
                <w:sz w:val="24"/>
                <w:highlight w:val="none"/>
              </w:rPr>
            </w:pPr>
            <w:r>
              <w:rPr>
                <w:rFonts w:hint="eastAsia" w:ascii="宋体" w:hAnsi="宋体" w:cs="宋体"/>
                <w:color w:val="auto"/>
                <w:sz w:val="24"/>
                <w:highlight w:val="none"/>
              </w:rPr>
              <w:t>1、本项目为电子化、无纸化交易项目，磋商文件是响应人通过中心投标文件制作系统制作，并经过电子签章和加密后生成的电子化投标文件，未对电子化文件进行签章的视为无效投标。投标人投标时，将不再接受任何纸质文件资料。</w:t>
            </w:r>
          </w:p>
          <w:p w14:paraId="755AB75B">
            <w:pPr>
              <w:spacing w:line="360" w:lineRule="auto"/>
              <w:rPr>
                <w:rFonts w:ascii="宋体" w:hAnsi="宋体" w:cs="宋体"/>
                <w:color w:val="auto"/>
                <w:sz w:val="24"/>
                <w:highlight w:val="none"/>
              </w:rPr>
            </w:pPr>
            <w:r>
              <w:rPr>
                <w:rFonts w:hint="eastAsia" w:ascii="宋体" w:hAnsi="宋体" w:cs="宋体"/>
                <w:color w:val="auto"/>
                <w:sz w:val="24"/>
                <w:highlight w:val="none"/>
              </w:rPr>
              <w:t>2、文件中要求盖单位章的位置投标人应使用CA数字证书签盖投标人的单位电子印章；要求法定代表人签字或盖章的地方，投标人应使用CA数字证书签盖法定代表人的个人电子印章为准。要求委托代理人签字或盖章的以委托代理人签字或盖章为准。</w:t>
            </w:r>
          </w:p>
          <w:p w14:paraId="34390BFB">
            <w:pPr>
              <w:spacing w:line="360" w:lineRule="auto"/>
              <w:rPr>
                <w:rFonts w:ascii="宋体" w:hAnsi="宋体" w:cs="宋体"/>
                <w:color w:val="auto"/>
                <w:kern w:val="0"/>
                <w:sz w:val="24"/>
                <w:highlight w:val="none"/>
              </w:rPr>
            </w:pPr>
            <w:r>
              <w:rPr>
                <w:rFonts w:hint="eastAsia" w:ascii="宋体" w:hAnsi="宋体" w:cs="宋体"/>
                <w:color w:val="auto"/>
                <w:sz w:val="24"/>
                <w:highlight w:val="none"/>
              </w:rPr>
              <w:t>3、电子化投标文件工具请点击https://download.bqpoint.com/download/downloaddetail.html?SourceFrom=Ztb&amp;ZtbSoftXiaQuCode=1506&amp;ZtbSoftType=tballinclusive进行下载。</w:t>
            </w:r>
          </w:p>
        </w:tc>
      </w:tr>
      <w:tr w14:paraId="436B8A02">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49E7B907">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59B22353">
            <w:pPr>
              <w:widowControl/>
              <w:spacing w:line="259" w:lineRule="auto"/>
              <w:ind w:left="90" w:leftChars="43" w:firstLine="240" w:firstLineChars="100"/>
              <w:rPr>
                <w:rFonts w:ascii="宋体" w:hAnsi="宋体" w:cs="宋体"/>
                <w:color w:val="auto"/>
                <w:kern w:val="10"/>
                <w:sz w:val="24"/>
                <w:highlight w:val="none"/>
              </w:rPr>
            </w:pPr>
            <w:r>
              <w:rPr>
                <w:rFonts w:hint="eastAsia" w:ascii="宋体" w:hAnsi="宋体" w:cs="宋体"/>
                <w:color w:val="auto"/>
                <w:kern w:val="0"/>
                <w:sz w:val="24"/>
                <w:highlight w:val="none"/>
              </w:rPr>
              <w:t>响应文件上传</w:t>
            </w:r>
          </w:p>
        </w:tc>
        <w:tc>
          <w:tcPr>
            <w:tcW w:w="6291" w:type="dxa"/>
            <w:tcBorders>
              <w:top w:val="single" w:color="auto" w:sz="4" w:space="0"/>
              <w:left w:val="single" w:color="auto" w:sz="4" w:space="0"/>
              <w:bottom w:val="single" w:color="auto" w:sz="4" w:space="0"/>
              <w:right w:val="single" w:color="auto" w:sz="4" w:space="0"/>
            </w:tcBorders>
          </w:tcPr>
          <w:p w14:paraId="22020291">
            <w:pPr>
              <w:spacing w:line="360" w:lineRule="auto"/>
              <w:rPr>
                <w:rFonts w:ascii="宋体" w:hAnsi="宋体" w:cs="宋体"/>
                <w:color w:val="auto"/>
                <w:sz w:val="24"/>
                <w:highlight w:val="none"/>
              </w:rPr>
            </w:pPr>
            <w:r>
              <w:rPr>
                <w:rFonts w:hint="eastAsia" w:ascii="宋体" w:hAnsi="宋体" w:cs="宋体"/>
                <w:color w:val="auto"/>
                <w:sz w:val="24"/>
                <w:highlight w:val="none"/>
              </w:rPr>
              <w:t>1、本项目采用电子招标，根据三门峡市公共资源交易中心系统编制响应文件，供应商需用CA在电子平台上传电子响应文件；</w:t>
            </w:r>
          </w:p>
          <w:p w14:paraId="42293F3B">
            <w:pPr>
              <w:widowControl/>
              <w:spacing w:line="259" w:lineRule="auto"/>
              <w:ind w:right="105" w:rightChars="50"/>
              <w:jc w:val="left"/>
              <w:rPr>
                <w:rFonts w:ascii="宋体" w:hAnsi="宋体" w:cs="宋体"/>
                <w:color w:val="auto"/>
                <w:kern w:val="10"/>
                <w:sz w:val="24"/>
                <w:highlight w:val="none"/>
              </w:rPr>
            </w:pPr>
            <w:r>
              <w:rPr>
                <w:rFonts w:hint="eastAsia" w:ascii="宋体" w:hAnsi="宋体" w:cs="宋体"/>
                <w:color w:val="auto"/>
                <w:sz w:val="24"/>
                <w:highlight w:val="none"/>
              </w:rPr>
              <w:t>2、开标时不再递交纸质响应文件，中标单位领取成交通知书时提交三份纸质响应文件，响应文件应按以下要求装订：胶装（不得采用活页装订），应有目录，并逐页标注连续页码，需加盖公章。</w:t>
            </w:r>
          </w:p>
        </w:tc>
      </w:tr>
      <w:tr w14:paraId="237D444C">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0F9A44D3">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2C4EFAD1">
            <w:pPr>
              <w:spacing w:line="360" w:lineRule="auto"/>
              <w:jc w:val="center"/>
              <w:rPr>
                <w:rFonts w:ascii="宋体" w:hAnsi="宋体" w:cs="宋体"/>
                <w:color w:val="auto"/>
                <w:sz w:val="24"/>
                <w:highlight w:val="none"/>
              </w:rPr>
            </w:pPr>
            <w:r>
              <w:rPr>
                <w:rFonts w:hint="eastAsia" w:ascii="宋体" w:hAnsi="宋体" w:cs="宋体"/>
                <w:color w:val="auto"/>
                <w:kern w:val="10"/>
                <w:sz w:val="24"/>
                <w:highlight w:val="none"/>
              </w:rPr>
              <w:t>是否允许递交备选投标方案</w:t>
            </w:r>
          </w:p>
        </w:tc>
        <w:tc>
          <w:tcPr>
            <w:tcW w:w="6291" w:type="dxa"/>
            <w:tcBorders>
              <w:top w:val="single" w:color="auto" w:sz="4" w:space="0"/>
              <w:left w:val="single" w:color="auto" w:sz="4" w:space="0"/>
              <w:bottom w:val="single" w:color="auto" w:sz="4" w:space="0"/>
              <w:right w:val="single" w:color="auto" w:sz="4" w:space="0"/>
            </w:tcBorders>
            <w:vAlign w:val="center"/>
          </w:tcPr>
          <w:p w14:paraId="6CF8E530">
            <w:pPr>
              <w:spacing w:line="360" w:lineRule="auto"/>
              <w:rPr>
                <w:rFonts w:ascii="宋体" w:hAnsi="宋体" w:cs="宋体"/>
                <w:color w:val="auto"/>
                <w:sz w:val="24"/>
                <w:highlight w:val="none"/>
              </w:rPr>
            </w:pPr>
            <w:r>
              <w:rPr>
                <w:rFonts w:hint="eastAsia" w:ascii="宋体" w:hAnsi="宋体" w:cs="宋体"/>
                <w:color w:val="auto"/>
                <w:sz w:val="24"/>
                <w:highlight w:val="none"/>
              </w:rPr>
              <w:t>■</w:t>
            </w:r>
            <w:r>
              <w:rPr>
                <w:rFonts w:hint="eastAsia" w:ascii="宋体" w:hAnsi="宋体" w:cs="宋体"/>
                <w:color w:val="auto"/>
                <w:kern w:val="10"/>
                <w:sz w:val="24"/>
                <w:highlight w:val="none"/>
              </w:rPr>
              <w:t>不允许</w:t>
            </w:r>
          </w:p>
        </w:tc>
      </w:tr>
      <w:tr w14:paraId="1D05BA8E">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17B1D3C8">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1C164DAA">
            <w:pPr>
              <w:spacing w:line="360" w:lineRule="auto"/>
              <w:jc w:val="center"/>
              <w:rPr>
                <w:rFonts w:ascii="宋体" w:hAnsi="宋体" w:cs="宋体"/>
                <w:color w:val="auto"/>
                <w:szCs w:val="21"/>
                <w:highlight w:val="none"/>
              </w:rPr>
            </w:pPr>
            <w:r>
              <w:rPr>
                <w:rFonts w:hint="eastAsia" w:ascii="宋体" w:hAnsi="宋体" w:cs="宋体"/>
                <w:color w:val="auto"/>
                <w:sz w:val="24"/>
                <w:highlight w:val="none"/>
              </w:rPr>
              <w:t>是否退还响应性文件</w:t>
            </w:r>
          </w:p>
        </w:tc>
        <w:tc>
          <w:tcPr>
            <w:tcW w:w="6291" w:type="dxa"/>
            <w:tcBorders>
              <w:top w:val="single" w:color="auto" w:sz="4" w:space="0"/>
              <w:left w:val="single" w:color="auto" w:sz="4" w:space="0"/>
              <w:bottom w:val="single" w:color="auto" w:sz="4" w:space="0"/>
              <w:right w:val="single" w:color="auto" w:sz="4" w:space="0"/>
            </w:tcBorders>
            <w:vAlign w:val="center"/>
          </w:tcPr>
          <w:p w14:paraId="1EAE3A77">
            <w:pPr>
              <w:spacing w:line="360" w:lineRule="auto"/>
              <w:rPr>
                <w:rFonts w:ascii="宋体" w:hAnsi="宋体" w:cs="宋体"/>
                <w:color w:val="auto"/>
                <w:szCs w:val="21"/>
                <w:highlight w:val="none"/>
              </w:rPr>
            </w:pPr>
            <w:r>
              <w:rPr>
                <w:rFonts w:hint="eastAsia" w:ascii="宋体" w:hAnsi="宋体" w:cs="宋体"/>
                <w:color w:val="auto"/>
                <w:sz w:val="24"/>
                <w:highlight w:val="none"/>
              </w:rPr>
              <w:t>■否</w:t>
            </w:r>
          </w:p>
        </w:tc>
      </w:tr>
      <w:tr w14:paraId="0726D5FA">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7FD28C75">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4B637185">
            <w:pPr>
              <w:widowControl/>
              <w:spacing w:line="360" w:lineRule="auto"/>
              <w:jc w:val="center"/>
              <w:rPr>
                <w:rFonts w:ascii="宋体" w:hAnsi="宋体" w:cs="宋体"/>
                <w:color w:val="auto"/>
                <w:sz w:val="24"/>
                <w:highlight w:val="none"/>
              </w:rPr>
            </w:pPr>
            <w:r>
              <w:rPr>
                <w:rFonts w:hint="eastAsia" w:ascii="宋体" w:hAnsi="宋体" w:cs="宋体"/>
                <w:color w:val="auto"/>
                <w:sz w:val="24"/>
                <w:highlight w:val="none"/>
              </w:rPr>
              <w:t>电子化磋商响应文件的格式及上传</w:t>
            </w:r>
          </w:p>
        </w:tc>
        <w:tc>
          <w:tcPr>
            <w:tcW w:w="6291" w:type="dxa"/>
            <w:tcBorders>
              <w:top w:val="single" w:color="auto" w:sz="4" w:space="0"/>
              <w:left w:val="single" w:color="auto" w:sz="4" w:space="0"/>
              <w:bottom w:val="single" w:color="auto" w:sz="4" w:space="0"/>
              <w:right w:val="single" w:color="auto" w:sz="4" w:space="0"/>
            </w:tcBorders>
            <w:vAlign w:val="center"/>
          </w:tcPr>
          <w:p w14:paraId="4106CF76">
            <w:pPr>
              <w:spacing w:line="360" w:lineRule="auto"/>
              <w:rPr>
                <w:rFonts w:ascii="宋体" w:hAnsi="宋体" w:cs="宋体"/>
                <w:color w:val="auto"/>
                <w:sz w:val="24"/>
                <w:highlight w:val="none"/>
              </w:rPr>
            </w:pPr>
            <w:r>
              <w:rPr>
                <w:rFonts w:hint="eastAsia" w:ascii="宋体" w:hAnsi="宋体" w:cs="宋体"/>
                <w:color w:val="auto"/>
                <w:sz w:val="24"/>
                <w:highlight w:val="none"/>
              </w:rPr>
              <w:t>1.投标人所上传的电子化磋商响应文件，应是通过中心投标文件制作系统制作的（投标文件制作工具下载地址：https://download.bqpoint.com/download/downloaddetail.html?SourceFrom=Ztb&amp;ZtbSoftXiaQuCode=1506&amp;ZtbSoftType=tballinclusive），经过签章和加密后生成的电子版磋商响应文件。其中包含用于磋商响应文件上传的主文件（后缀为.smxtf）和用于应急补救的磋商响应文件备份文件（后缀为.nsmxtf）。</w:t>
            </w:r>
          </w:p>
          <w:p w14:paraId="3D51BB08">
            <w:pPr>
              <w:spacing w:line="360" w:lineRule="auto"/>
              <w:rPr>
                <w:rFonts w:ascii="宋体" w:hAnsi="宋体" w:cs="宋体"/>
                <w:color w:val="auto"/>
                <w:sz w:val="24"/>
                <w:highlight w:val="none"/>
              </w:rPr>
            </w:pPr>
            <w:r>
              <w:rPr>
                <w:rFonts w:hint="eastAsia" w:ascii="宋体" w:hAnsi="宋体" w:cs="宋体"/>
                <w:color w:val="auto"/>
                <w:sz w:val="24"/>
                <w:highlight w:val="none"/>
              </w:rPr>
              <w:t>2.电子化磋商响应文件应在投标截止时间前成功上传至三门峡市公共资源电子化交易系统。至投标截止时间止，仍未上传成功的电子化磋商响应文件将不予接收。</w:t>
            </w:r>
          </w:p>
          <w:p w14:paraId="03810198">
            <w:pPr>
              <w:spacing w:line="360" w:lineRule="auto"/>
              <w:rPr>
                <w:rFonts w:ascii="宋体" w:hAnsi="宋体" w:cs="宋体"/>
                <w:color w:val="auto"/>
                <w:sz w:val="24"/>
                <w:highlight w:val="none"/>
              </w:rPr>
            </w:pPr>
            <w:r>
              <w:rPr>
                <w:rFonts w:hint="eastAsia" w:ascii="宋体" w:hAnsi="宋体" w:cs="宋体"/>
                <w:color w:val="auto"/>
                <w:sz w:val="24"/>
                <w:highlight w:val="none"/>
              </w:rPr>
              <w:t>注：如按照电子化投标操作教材制作完成的电子化磋商响应文件无法上传的，投标人应在投标截止时间前尽早的联系中心技术人员，以便有充分的时间进行处理。投标人应充分考虑到处理技术问题和上传数据等工作所需的时间问题，磋商响应文件未在投标截止时间前成功上传的，其磋商响应文件不予接收。</w:t>
            </w:r>
          </w:p>
        </w:tc>
      </w:tr>
      <w:tr w14:paraId="7EA56B45">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77EB7C4F">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200CCE26">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响应性文件递交截止时间</w:t>
            </w:r>
          </w:p>
        </w:tc>
        <w:tc>
          <w:tcPr>
            <w:tcW w:w="6291" w:type="dxa"/>
            <w:tcBorders>
              <w:top w:val="single" w:color="auto" w:sz="4" w:space="0"/>
              <w:left w:val="single" w:color="auto" w:sz="4" w:space="0"/>
              <w:bottom w:val="single" w:color="auto" w:sz="4" w:space="0"/>
              <w:right w:val="single" w:color="auto" w:sz="4" w:space="0"/>
            </w:tcBorders>
            <w:vAlign w:val="center"/>
          </w:tcPr>
          <w:p w14:paraId="264D4D91">
            <w:pPr>
              <w:spacing w:line="450" w:lineRule="exact"/>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2026年10月20日09时00分</w:t>
            </w:r>
          </w:p>
        </w:tc>
      </w:tr>
      <w:tr w14:paraId="2903C82B">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2B112DBA">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4D14158E">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磋商时间和地点</w:t>
            </w:r>
          </w:p>
        </w:tc>
        <w:tc>
          <w:tcPr>
            <w:tcW w:w="6291" w:type="dxa"/>
            <w:tcBorders>
              <w:top w:val="single" w:color="auto" w:sz="4" w:space="0"/>
              <w:left w:val="single" w:color="auto" w:sz="4" w:space="0"/>
              <w:bottom w:val="single" w:color="auto" w:sz="4" w:space="0"/>
              <w:right w:val="single" w:color="auto" w:sz="4" w:space="0"/>
            </w:tcBorders>
            <w:vAlign w:val="center"/>
          </w:tcPr>
          <w:p w14:paraId="168BD263">
            <w:pPr>
              <w:spacing w:line="360" w:lineRule="auto"/>
              <w:rPr>
                <w:rFonts w:ascii="宋体" w:hAnsi="宋体" w:cs="宋体"/>
                <w:color w:val="auto"/>
                <w:sz w:val="24"/>
                <w:highlight w:val="none"/>
              </w:rPr>
            </w:pPr>
            <w:r>
              <w:rPr>
                <w:rFonts w:hint="eastAsia" w:ascii="宋体" w:hAnsi="宋体" w:cs="宋体"/>
                <w:color w:val="auto"/>
                <w:sz w:val="24"/>
                <w:highlight w:val="none"/>
              </w:rPr>
              <w:t>磋商时间：同递交响应性文件截止时间</w:t>
            </w:r>
          </w:p>
          <w:p w14:paraId="0D12E5BA">
            <w:pPr>
              <w:spacing w:line="360" w:lineRule="auto"/>
              <w:rPr>
                <w:rFonts w:ascii="宋体" w:hAnsi="宋体" w:cs="宋体"/>
                <w:color w:val="auto"/>
                <w:sz w:val="24"/>
                <w:highlight w:val="none"/>
              </w:rPr>
            </w:pPr>
            <w:r>
              <w:rPr>
                <w:rFonts w:hint="eastAsia" w:ascii="宋体" w:hAnsi="宋体" w:cs="宋体"/>
                <w:color w:val="auto"/>
                <w:sz w:val="24"/>
                <w:highlight w:val="none"/>
              </w:rPr>
              <w:t>磋商地点：同递交响应性文件地点</w:t>
            </w:r>
          </w:p>
        </w:tc>
      </w:tr>
      <w:tr w14:paraId="7AAF8EE5">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1122EAEC">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039B1649">
            <w:pPr>
              <w:widowControl/>
              <w:spacing w:line="360" w:lineRule="auto"/>
              <w:jc w:val="center"/>
              <w:rPr>
                <w:rFonts w:ascii="宋体" w:hAnsi="宋体" w:cs="宋体"/>
                <w:color w:val="auto"/>
                <w:kern w:val="0"/>
                <w:sz w:val="24"/>
                <w:highlight w:val="none"/>
              </w:rPr>
            </w:pPr>
            <w:r>
              <w:rPr>
                <w:rFonts w:hint="eastAsia" w:ascii="宋体" w:hAnsi="宋体" w:cs="宋体"/>
                <w:color w:val="auto"/>
                <w:sz w:val="24"/>
                <w:highlight w:val="none"/>
              </w:rPr>
              <w:t>磋商程序</w:t>
            </w:r>
          </w:p>
        </w:tc>
        <w:tc>
          <w:tcPr>
            <w:tcW w:w="6291" w:type="dxa"/>
            <w:tcBorders>
              <w:top w:val="single" w:color="auto" w:sz="4" w:space="0"/>
              <w:left w:val="single" w:color="auto" w:sz="4" w:space="0"/>
              <w:bottom w:val="single" w:color="auto" w:sz="4" w:space="0"/>
              <w:right w:val="single" w:color="auto" w:sz="4" w:space="0"/>
            </w:tcBorders>
            <w:vAlign w:val="center"/>
          </w:tcPr>
          <w:p w14:paraId="6FB2AAFC">
            <w:pPr>
              <w:spacing w:line="400" w:lineRule="exact"/>
              <w:ind w:firstLine="480" w:firstLineChars="200"/>
              <w:jc w:val="left"/>
              <w:rPr>
                <w:color w:val="auto"/>
                <w:sz w:val="24"/>
                <w:highlight w:val="none"/>
                <w:shd w:val="clear" w:color="auto" w:fill="FFFFFF"/>
                <w:lang w:bidi="ar"/>
              </w:rPr>
            </w:pPr>
            <w:r>
              <w:rPr>
                <w:color w:val="auto"/>
                <w:sz w:val="24"/>
                <w:highlight w:val="none"/>
                <w:shd w:val="clear" w:color="auto" w:fill="FFFFFF"/>
                <w:lang w:bidi="ar"/>
              </w:rPr>
              <w:t>1</w:t>
            </w:r>
            <w:r>
              <w:rPr>
                <w:rFonts w:hint="eastAsia"/>
                <w:color w:val="auto"/>
                <w:sz w:val="24"/>
                <w:highlight w:val="none"/>
                <w:shd w:val="clear" w:color="auto" w:fill="FFFFFF"/>
                <w:lang w:bidi="ar"/>
              </w:rPr>
              <w:t>、本项目采用电子开评标系统，投标人应当在开标时间前，登录到三门峡市公共资源电子招投标交易平台→点击进入“不见面开标大厅”→找到相应的项目→在线准时参加开标活动。</w:t>
            </w:r>
          </w:p>
          <w:p w14:paraId="345675CA">
            <w:pPr>
              <w:spacing w:line="400" w:lineRule="exact"/>
              <w:ind w:firstLine="480" w:firstLineChars="200"/>
              <w:jc w:val="left"/>
              <w:rPr>
                <w:color w:val="auto"/>
                <w:sz w:val="24"/>
                <w:highlight w:val="none"/>
                <w:shd w:val="clear" w:color="auto" w:fill="FFFFFF"/>
                <w:lang w:bidi="ar"/>
              </w:rPr>
            </w:pPr>
            <w:r>
              <w:rPr>
                <w:color w:val="auto"/>
                <w:sz w:val="24"/>
                <w:highlight w:val="none"/>
                <w:shd w:val="clear" w:color="auto" w:fill="FFFFFF"/>
                <w:lang w:bidi="ar"/>
              </w:rPr>
              <w:t>2</w:t>
            </w:r>
            <w:r>
              <w:rPr>
                <w:rFonts w:hint="eastAsia"/>
                <w:color w:val="auto"/>
                <w:sz w:val="24"/>
                <w:highlight w:val="none"/>
                <w:shd w:val="clear" w:color="auto" w:fill="FFFFFF"/>
                <w:lang w:bidi="ar"/>
              </w:rPr>
              <w:t>、公布在投标截止时间前提交投标文件的供应商名单；</w:t>
            </w:r>
          </w:p>
          <w:p w14:paraId="73F1A41E">
            <w:pPr>
              <w:spacing w:line="400" w:lineRule="exact"/>
              <w:ind w:firstLine="480" w:firstLineChars="200"/>
              <w:jc w:val="left"/>
              <w:rPr>
                <w:color w:val="auto"/>
                <w:sz w:val="24"/>
                <w:highlight w:val="none"/>
                <w:shd w:val="clear" w:color="auto" w:fill="FFFFFF"/>
                <w:lang w:bidi="ar"/>
              </w:rPr>
            </w:pPr>
            <w:r>
              <w:rPr>
                <w:color w:val="auto"/>
                <w:sz w:val="24"/>
                <w:highlight w:val="none"/>
                <w:shd w:val="clear" w:color="auto" w:fill="FFFFFF"/>
                <w:lang w:bidi="ar"/>
              </w:rPr>
              <w:t>3</w:t>
            </w:r>
            <w:r>
              <w:rPr>
                <w:rFonts w:hint="eastAsia"/>
                <w:color w:val="auto"/>
                <w:sz w:val="24"/>
                <w:highlight w:val="none"/>
                <w:shd w:val="clear" w:color="auto" w:fill="FFFFFF"/>
                <w:lang w:bidi="ar"/>
              </w:rPr>
              <w:t>、投标人通过电子招标投标交易平台对已递交的电子投标文件进行解密；</w:t>
            </w:r>
          </w:p>
          <w:p w14:paraId="1831F5A8">
            <w:pPr>
              <w:spacing w:line="400" w:lineRule="exact"/>
              <w:ind w:firstLine="480" w:firstLineChars="200"/>
              <w:jc w:val="left"/>
              <w:rPr>
                <w:color w:val="auto"/>
                <w:sz w:val="24"/>
                <w:highlight w:val="none"/>
                <w:shd w:val="clear" w:color="auto" w:fill="FFFFFF"/>
                <w:lang w:bidi="ar"/>
              </w:rPr>
            </w:pPr>
            <w:r>
              <w:rPr>
                <w:color w:val="auto"/>
                <w:sz w:val="24"/>
                <w:highlight w:val="none"/>
                <w:shd w:val="clear" w:color="auto" w:fill="FFFFFF"/>
                <w:lang w:bidi="ar"/>
              </w:rPr>
              <w:t>4</w:t>
            </w:r>
            <w:r>
              <w:rPr>
                <w:rFonts w:hint="eastAsia"/>
                <w:color w:val="auto"/>
                <w:sz w:val="24"/>
                <w:highlight w:val="none"/>
                <w:shd w:val="clear" w:color="auto" w:fill="FFFFFF"/>
                <w:lang w:bidi="ar"/>
              </w:rPr>
              <w:t>、系统导入电子投标文件；</w:t>
            </w:r>
          </w:p>
          <w:p w14:paraId="4FA9F117">
            <w:pPr>
              <w:spacing w:line="400" w:lineRule="exact"/>
              <w:ind w:firstLine="480" w:firstLineChars="200"/>
              <w:jc w:val="left"/>
              <w:rPr>
                <w:color w:val="auto"/>
                <w:sz w:val="24"/>
                <w:highlight w:val="none"/>
                <w:shd w:val="clear" w:color="auto" w:fill="FFFFFF"/>
                <w:lang w:bidi="ar"/>
              </w:rPr>
            </w:pPr>
            <w:r>
              <w:rPr>
                <w:color w:val="auto"/>
                <w:sz w:val="24"/>
                <w:highlight w:val="none"/>
                <w:shd w:val="clear" w:color="auto" w:fill="FFFFFF"/>
                <w:lang w:bidi="ar"/>
              </w:rPr>
              <w:t>5</w:t>
            </w:r>
            <w:r>
              <w:rPr>
                <w:rFonts w:hint="eastAsia"/>
                <w:color w:val="auto"/>
                <w:sz w:val="24"/>
                <w:highlight w:val="none"/>
                <w:shd w:val="clear" w:color="auto" w:fill="FFFFFF"/>
                <w:lang w:bidi="ar"/>
              </w:rPr>
              <w:t>、采购人或采购代理机构将通过“电子开标系统”按照顺序公布供应商名称和招标文件规定的需要公布的其他内容；</w:t>
            </w:r>
          </w:p>
          <w:p w14:paraId="4592EF00">
            <w:pPr>
              <w:spacing w:line="400" w:lineRule="exact"/>
              <w:ind w:firstLine="480" w:firstLineChars="200"/>
              <w:jc w:val="left"/>
              <w:rPr>
                <w:color w:val="auto"/>
                <w:sz w:val="24"/>
                <w:highlight w:val="none"/>
                <w:shd w:val="clear" w:color="auto" w:fill="FFFFFF"/>
                <w:lang w:bidi="ar"/>
              </w:rPr>
            </w:pPr>
            <w:r>
              <w:rPr>
                <w:color w:val="auto"/>
                <w:sz w:val="24"/>
                <w:highlight w:val="none"/>
                <w:shd w:val="clear" w:color="auto" w:fill="FFFFFF"/>
                <w:lang w:bidi="ar"/>
              </w:rPr>
              <w:t>6</w:t>
            </w:r>
            <w:r>
              <w:rPr>
                <w:rFonts w:hint="eastAsia"/>
                <w:color w:val="auto"/>
                <w:sz w:val="24"/>
                <w:highlight w:val="none"/>
                <w:shd w:val="clear" w:color="auto" w:fill="FFFFFF"/>
                <w:lang w:bidi="ar"/>
              </w:rPr>
              <w:t>、投标人代表对开标过程和开标记录有无异议：投标人如有异议，须按要求在规定时间内通过系统提出，由监督人代表现场核查并及时处理；否则视为该投标人认可开标过程及开标记录；投标人未参加开标的，视为认可开标结果。</w:t>
            </w:r>
          </w:p>
          <w:p w14:paraId="30E79F34">
            <w:pPr>
              <w:spacing w:line="400" w:lineRule="exact"/>
              <w:ind w:firstLine="480" w:firstLineChars="200"/>
              <w:jc w:val="left"/>
              <w:rPr>
                <w:color w:val="auto"/>
                <w:sz w:val="24"/>
                <w:highlight w:val="none"/>
                <w:shd w:val="clear" w:color="auto" w:fill="FFFFFF"/>
                <w:lang w:bidi="ar"/>
              </w:rPr>
            </w:pPr>
            <w:r>
              <w:rPr>
                <w:color w:val="auto"/>
                <w:sz w:val="24"/>
                <w:highlight w:val="none"/>
                <w:shd w:val="clear" w:color="auto" w:fill="FFFFFF"/>
                <w:lang w:bidi="ar"/>
              </w:rPr>
              <w:t>7</w:t>
            </w:r>
            <w:r>
              <w:rPr>
                <w:rFonts w:hint="eastAsia"/>
                <w:color w:val="auto"/>
                <w:sz w:val="24"/>
                <w:highlight w:val="none"/>
                <w:shd w:val="clear" w:color="auto" w:fill="FFFFFF"/>
                <w:lang w:bidi="ar"/>
              </w:rPr>
              <w:t>、开标结束。</w:t>
            </w:r>
          </w:p>
          <w:p w14:paraId="40D35D51">
            <w:pPr>
              <w:spacing w:line="400" w:lineRule="exact"/>
              <w:ind w:firstLine="482" w:firstLineChars="200"/>
              <w:jc w:val="left"/>
              <w:rPr>
                <w:b/>
                <w:bCs/>
                <w:color w:val="auto"/>
                <w:sz w:val="24"/>
                <w:highlight w:val="none"/>
                <w:shd w:val="clear" w:color="auto" w:fill="FFFFFF"/>
                <w:lang w:bidi="ar"/>
              </w:rPr>
            </w:pPr>
            <w:r>
              <w:rPr>
                <w:rFonts w:hint="eastAsia"/>
                <w:b/>
                <w:bCs/>
                <w:color w:val="auto"/>
                <w:sz w:val="24"/>
                <w:highlight w:val="none"/>
                <w:shd w:val="clear" w:color="auto" w:fill="FFFFFF"/>
                <w:lang w:bidi="ar"/>
              </w:rPr>
              <w:t>注：</w:t>
            </w:r>
            <w:r>
              <w:rPr>
                <w:b/>
                <w:bCs/>
                <w:color w:val="auto"/>
                <w:sz w:val="24"/>
                <w:highlight w:val="none"/>
                <w:shd w:val="clear" w:color="auto" w:fill="FFFFFF"/>
                <w:lang w:bidi="ar"/>
              </w:rPr>
              <w:t>1.</w:t>
            </w:r>
            <w:r>
              <w:rPr>
                <w:rFonts w:hint="eastAsia"/>
                <w:b/>
                <w:bCs/>
                <w:color w:val="auto"/>
                <w:sz w:val="24"/>
                <w:highlight w:val="none"/>
                <w:shd w:val="clear" w:color="auto" w:fill="FFFFFF"/>
                <w:lang w:bidi="ar"/>
              </w:rPr>
              <w:t>本项目采用电子化、无纸化进行招标，开标当日，投标供应商无需到开标现场参加开标会议，投标供应商应当在投标截止时间前，登录三门峡市公共资源交易中心电子交易平台，</w:t>
            </w:r>
            <w:r>
              <w:rPr>
                <w:rFonts w:hint="eastAsia"/>
                <w:b/>
                <w:color w:val="auto"/>
                <w:sz w:val="24"/>
                <w:highlight w:val="none"/>
              </w:rPr>
              <w:t>点击【不见面开标大厅】按钮进入，在线准时参加开标活动并进行投标文件解密等。或者直接</w:t>
            </w:r>
            <w:r>
              <w:rPr>
                <w:rFonts w:hint="eastAsia"/>
                <w:b/>
                <w:bCs/>
                <w:color w:val="auto"/>
                <w:sz w:val="24"/>
                <w:highlight w:val="none"/>
                <w:shd w:val="clear" w:color="auto" w:fill="FFFFFF"/>
                <w:lang w:bidi="ar"/>
              </w:rPr>
              <w:t>登陆不见面开标大厅选择登陆三门峡市公共资源电子招投标系统进行登陆（网址为</w:t>
            </w:r>
            <w:r>
              <w:rPr>
                <w:rFonts w:hint="eastAsia"/>
                <w:b/>
                <w:bCs/>
                <w:color w:val="auto"/>
                <w:sz w:val="24"/>
                <w:highlight w:val="none"/>
                <w:shd w:val="clear" w:color="auto" w:fill="FFFFFF"/>
                <w:lang w:eastAsia="zh-CN" w:bidi="ar"/>
              </w:rPr>
              <w:t>http://120.194.249.36:10094/BidOpening/bidopeninghallaction/hall/login</w:t>
            </w:r>
            <w:r>
              <w:rPr>
                <w:rFonts w:hint="eastAsia"/>
                <w:b/>
                <w:bCs/>
                <w:color w:val="auto"/>
                <w:sz w:val="24"/>
                <w:highlight w:val="none"/>
                <w:shd w:val="clear" w:color="auto" w:fill="FFFFFF"/>
                <w:lang w:bidi="ar"/>
              </w:rPr>
              <w:t>）</w:t>
            </w:r>
            <w:r>
              <w:rPr>
                <w:b/>
                <w:bCs/>
                <w:color w:val="auto"/>
                <w:sz w:val="24"/>
                <w:highlight w:val="none"/>
                <w:shd w:val="clear" w:color="auto" w:fill="FFFFFF"/>
                <w:lang w:bidi="ar"/>
              </w:rPr>
              <w:t>,</w:t>
            </w:r>
            <w:r>
              <w:rPr>
                <w:rFonts w:hint="eastAsia"/>
                <w:b/>
                <w:bCs/>
                <w:color w:val="auto"/>
                <w:sz w:val="24"/>
                <w:highlight w:val="none"/>
                <w:shd w:val="clear" w:color="auto" w:fill="FFFFFF"/>
                <w:lang w:bidi="ar"/>
              </w:rPr>
              <w:t>在线准时参加开标活动并进行投标文件解密等。</w:t>
            </w:r>
          </w:p>
          <w:p w14:paraId="07AFB496">
            <w:pPr>
              <w:spacing w:line="360" w:lineRule="auto"/>
              <w:rPr>
                <w:rFonts w:ascii="宋体" w:hAnsi="宋体" w:cs="宋体"/>
                <w:color w:val="auto"/>
                <w:kern w:val="0"/>
                <w:sz w:val="24"/>
                <w:highlight w:val="none"/>
              </w:rPr>
            </w:pPr>
            <w:r>
              <w:rPr>
                <w:b/>
                <w:bCs/>
                <w:color w:val="auto"/>
                <w:sz w:val="24"/>
                <w:highlight w:val="none"/>
                <w:shd w:val="clear" w:color="auto" w:fill="FFFFFF"/>
                <w:lang w:bidi="ar"/>
              </w:rPr>
              <w:t>2.</w:t>
            </w:r>
            <w:r>
              <w:rPr>
                <w:rFonts w:hint="eastAsia"/>
                <w:b/>
                <w:bCs/>
                <w:color w:val="auto"/>
                <w:sz w:val="24"/>
                <w:highlight w:val="none"/>
                <w:shd w:val="clear" w:color="auto" w:fill="FFFFFF"/>
                <w:lang w:bidi="ar"/>
              </w:rPr>
              <w:t>投标文件采用一次加密方式。开标时，由投标供应商使用</w:t>
            </w:r>
            <w:r>
              <w:rPr>
                <w:b/>
                <w:bCs/>
                <w:color w:val="auto"/>
                <w:sz w:val="24"/>
                <w:highlight w:val="none"/>
                <w:shd w:val="clear" w:color="auto" w:fill="FFFFFF"/>
                <w:lang w:bidi="ar"/>
              </w:rPr>
              <w:t>CA</w:t>
            </w:r>
            <w:r>
              <w:rPr>
                <w:rFonts w:hint="eastAsia"/>
                <w:b/>
                <w:bCs/>
                <w:color w:val="auto"/>
                <w:sz w:val="24"/>
                <w:highlight w:val="none"/>
                <w:shd w:val="clear" w:color="auto" w:fill="FFFFFF"/>
                <w:lang w:bidi="ar"/>
              </w:rPr>
              <w:t>证书，在规定时间内对其电子化投标文件进行解密。每位投标供应商的解密时间为开标时间起</w:t>
            </w:r>
            <w:r>
              <w:rPr>
                <w:b/>
                <w:bCs/>
                <w:color w:val="auto"/>
                <w:sz w:val="24"/>
                <w:highlight w:val="none"/>
                <w:shd w:val="clear" w:color="auto" w:fill="FFFFFF"/>
                <w:lang w:bidi="ar"/>
              </w:rPr>
              <w:t>30</w:t>
            </w:r>
            <w:r>
              <w:rPr>
                <w:rFonts w:hint="eastAsia"/>
                <w:b/>
                <w:bCs/>
                <w:color w:val="auto"/>
                <w:sz w:val="24"/>
                <w:highlight w:val="none"/>
                <w:shd w:val="clear" w:color="auto" w:fill="FFFFFF"/>
                <w:lang w:bidi="ar"/>
              </w:rPr>
              <w:t>分钟内，如在规定时间内未完成解密的，其投标文件不予开标、唱标。每位投标人的解密时间为开标时间起</w:t>
            </w:r>
            <w:r>
              <w:rPr>
                <w:b/>
                <w:bCs/>
                <w:color w:val="auto"/>
                <w:sz w:val="24"/>
                <w:highlight w:val="none"/>
                <w:shd w:val="clear" w:color="auto" w:fill="FFFFFF"/>
                <w:lang w:bidi="ar"/>
              </w:rPr>
              <w:t>30</w:t>
            </w:r>
            <w:r>
              <w:rPr>
                <w:rFonts w:hint="eastAsia"/>
                <w:b/>
                <w:bCs/>
                <w:color w:val="auto"/>
                <w:sz w:val="24"/>
                <w:highlight w:val="none"/>
                <w:shd w:val="clear" w:color="auto" w:fill="FFFFFF"/>
                <w:lang w:bidi="ar"/>
              </w:rPr>
              <w:t>分钟内完成。</w:t>
            </w:r>
          </w:p>
        </w:tc>
      </w:tr>
      <w:tr w14:paraId="46E92DEE">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3C09CE12">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5F334B26">
            <w:pPr>
              <w:widowControl/>
              <w:spacing w:line="360" w:lineRule="auto"/>
              <w:jc w:val="center"/>
              <w:rPr>
                <w:rFonts w:ascii="宋体" w:hAnsi="宋体" w:cs="宋体"/>
                <w:color w:val="auto"/>
                <w:kern w:val="0"/>
                <w:sz w:val="24"/>
                <w:highlight w:val="none"/>
              </w:rPr>
            </w:pPr>
            <w:r>
              <w:rPr>
                <w:rFonts w:hint="eastAsia" w:ascii="宋体" w:hAnsi="宋体" w:cs="宋体"/>
                <w:color w:val="auto"/>
                <w:sz w:val="24"/>
                <w:highlight w:val="none"/>
              </w:rPr>
              <w:t>响应人代表出席开标会</w:t>
            </w:r>
          </w:p>
        </w:tc>
        <w:tc>
          <w:tcPr>
            <w:tcW w:w="6291" w:type="dxa"/>
            <w:tcBorders>
              <w:top w:val="single" w:color="auto" w:sz="4" w:space="0"/>
              <w:left w:val="single" w:color="auto" w:sz="4" w:space="0"/>
              <w:bottom w:val="single" w:color="auto" w:sz="4" w:space="0"/>
              <w:right w:val="single" w:color="auto" w:sz="4" w:space="0"/>
            </w:tcBorders>
            <w:vAlign w:val="center"/>
          </w:tcPr>
          <w:p w14:paraId="4DD6DD00">
            <w:pPr>
              <w:spacing w:line="360" w:lineRule="auto"/>
              <w:rPr>
                <w:rFonts w:ascii="宋体" w:hAnsi="宋体" w:cs="宋体"/>
                <w:color w:val="auto"/>
                <w:kern w:val="0"/>
                <w:sz w:val="24"/>
                <w:highlight w:val="none"/>
              </w:rPr>
            </w:pPr>
            <w:r>
              <w:rPr>
                <w:rFonts w:hint="eastAsia" w:ascii="宋体" w:hAnsi="宋体" w:cs="宋体"/>
                <w:color w:val="auto"/>
                <w:sz w:val="24"/>
                <w:highlight w:val="none"/>
              </w:rPr>
              <w:t>所有投标响应人的法定代表人或其委托代理人无需到现场参加开标会议，仔细阅读磋商文件和三门峡市公共资源交易中心官网业务办理指南</w:t>
            </w:r>
          </w:p>
        </w:tc>
      </w:tr>
      <w:tr w14:paraId="3FE932A0">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7A93D0A2">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13B7DA81">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磋商小组</w:t>
            </w:r>
          </w:p>
        </w:tc>
        <w:tc>
          <w:tcPr>
            <w:tcW w:w="6291" w:type="dxa"/>
            <w:tcBorders>
              <w:top w:val="single" w:color="auto" w:sz="4" w:space="0"/>
              <w:left w:val="single" w:color="auto" w:sz="4" w:space="0"/>
              <w:bottom w:val="single" w:color="auto" w:sz="4" w:space="0"/>
              <w:right w:val="single" w:color="auto" w:sz="4" w:space="0"/>
            </w:tcBorders>
            <w:vAlign w:val="center"/>
          </w:tcPr>
          <w:p w14:paraId="0F463FE3">
            <w:pPr>
              <w:spacing w:line="360" w:lineRule="auto"/>
              <w:rPr>
                <w:rFonts w:ascii="宋体" w:hAnsi="宋体" w:cs="宋体"/>
                <w:color w:val="auto"/>
                <w:sz w:val="24"/>
                <w:highlight w:val="none"/>
              </w:rPr>
            </w:pPr>
            <w:r>
              <w:rPr>
                <w:rFonts w:hint="eastAsia" w:ascii="宋体" w:hAnsi="宋体" w:cs="宋体"/>
                <w:color w:val="auto"/>
                <w:sz w:val="24"/>
                <w:highlight w:val="none"/>
              </w:rPr>
              <w:t>磋商小组构成：</w:t>
            </w:r>
          </w:p>
          <w:p w14:paraId="150DA3B6">
            <w:pPr>
              <w:spacing w:line="360" w:lineRule="auto"/>
              <w:rPr>
                <w:rFonts w:ascii="宋体" w:hAnsi="宋体" w:cs="宋体"/>
                <w:color w:val="auto"/>
                <w:sz w:val="24"/>
                <w:highlight w:val="none"/>
              </w:rPr>
            </w:pPr>
            <w:r>
              <w:rPr>
                <w:rFonts w:hint="eastAsia" w:ascii="宋体" w:hAnsi="宋体" w:cs="宋体"/>
                <w:color w:val="auto"/>
                <w:sz w:val="24"/>
                <w:highlight w:val="none"/>
              </w:rPr>
              <w:t>由招标人代表和有关技术、经济等方面的专家共3人组成。</w:t>
            </w:r>
          </w:p>
          <w:p w14:paraId="474E3217">
            <w:pPr>
              <w:spacing w:line="360" w:lineRule="auto"/>
              <w:rPr>
                <w:rFonts w:ascii="宋体" w:hAnsi="宋体" w:cs="宋体"/>
                <w:color w:val="auto"/>
                <w:sz w:val="24"/>
                <w:highlight w:val="none"/>
              </w:rPr>
            </w:pPr>
            <w:r>
              <w:rPr>
                <w:rFonts w:hint="eastAsia" w:ascii="宋体" w:hAnsi="宋体" w:cs="宋体"/>
                <w:color w:val="auto"/>
                <w:sz w:val="24"/>
                <w:highlight w:val="none"/>
              </w:rPr>
              <w:t>其中：技术、经济等方面的专家不能少于磋商小组成员的2/3。</w:t>
            </w:r>
          </w:p>
          <w:p w14:paraId="1DE4864E">
            <w:pPr>
              <w:spacing w:line="360" w:lineRule="auto"/>
              <w:rPr>
                <w:rFonts w:ascii="宋体" w:hAnsi="宋体" w:cs="宋体"/>
                <w:color w:val="auto"/>
                <w:sz w:val="24"/>
                <w:highlight w:val="none"/>
              </w:rPr>
            </w:pPr>
            <w:r>
              <w:rPr>
                <w:rFonts w:hint="eastAsia" w:ascii="宋体" w:hAnsi="宋体" w:cs="宋体"/>
                <w:color w:val="auto"/>
                <w:sz w:val="24"/>
                <w:highlight w:val="none"/>
              </w:rPr>
              <w:t>从河南省电子化政府采购系统评标专家库中随机抽取。</w:t>
            </w:r>
          </w:p>
          <w:p w14:paraId="63013207">
            <w:pPr>
              <w:pStyle w:val="3"/>
              <w:rPr>
                <w:color w:val="auto"/>
                <w:highlight w:val="none"/>
              </w:rPr>
            </w:pPr>
            <w:r>
              <w:rPr>
                <w:rFonts w:hint="eastAsia" w:ascii="宋体" w:hAnsi="宋体" w:cs="宋体"/>
                <w:color w:val="auto"/>
                <w:sz w:val="24"/>
                <w:highlight w:val="none"/>
              </w:rPr>
              <w:t>业主评委无评审费用。</w:t>
            </w:r>
          </w:p>
        </w:tc>
      </w:tr>
      <w:tr w14:paraId="2072E8D0">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7047F62B">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13BBCBDB">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是否授权磋商小组确定成交供应商</w:t>
            </w:r>
          </w:p>
        </w:tc>
        <w:tc>
          <w:tcPr>
            <w:tcW w:w="6291" w:type="dxa"/>
            <w:tcBorders>
              <w:top w:val="single" w:color="auto" w:sz="4" w:space="0"/>
              <w:left w:val="single" w:color="auto" w:sz="4" w:space="0"/>
              <w:bottom w:val="single" w:color="auto" w:sz="4" w:space="0"/>
              <w:right w:val="single" w:color="auto" w:sz="4" w:space="0"/>
            </w:tcBorders>
            <w:vAlign w:val="center"/>
          </w:tcPr>
          <w:p w14:paraId="26884A55">
            <w:pPr>
              <w:spacing w:line="360" w:lineRule="auto"/>
              <w:rPr>
                <w:rFonts w:ascii="宋体" w:hAnsi="宋体" w:cs="宋体"/>
                <w:color w:val="auto"/>
                <w:sz w:val="24"/>
                <w:highlight w:val="none"/>
              </w:rPr>
            </w:pPr>
            <w:r>
              <w:rPr>
                <w:rFonts w:hint="eastAsia" w:ascii="宋体" w:hAnsi="宋体" w:cs="宋体"/>
                <w:color w:val="auto"/>
                <w:sz w:val="24"/>
                <w:highlight w:val="none"/>
              </w:rPr>
              <w:t>■否，推荐成交候选人数：3名</w:t>
            </w:r>
          </w:p>
          <w:p w14:paraId="55985414">
            <w:pPr>
              <w:spacing w:line="360" w:lineRule="auto"/>
              <w:rPr>
                <w:rFonts w:ascii="宋体" w:hAnsi="宋体" w:cs="宋体"/>
                <w:color w:val="auto"/>
                <w:sz w:val="24"/>
                <w:highlight w:val="none"/>
              </w:rPr>
            </w:pPr>
            <w:r>
              <w:rPr>
                <w:rFonts w:hint="eastAsia" w:ascii="宋体" w:hAnsi="宋体" w:cs="宋体"/>
                <w:color w:val="auto"/>
                <w:sz w:val="24"/>
                <w:highlight w:val="none"/>
              </w:rPr>
              <w:t>磋商小组对满足招标文件全部实质性要求的投标文件，按照本章规定的评审标准进行评审，按评审因素的量化指标评审得分由高到低顺序推荐候选投标人排名。评审得分相同的，按照最后报价得分由高到低的顺序推荐；评审得分且最后报价得分相同的，按照投标人拟定的项目实施方案优劣顺序推荐；项目实施方案得分也相同的，由采购人确定。</w:t>
            </w:r>
          </w:p>
          <w:p w14:paraId="4FDE5BC1">
            <w:pPr>
              <w:spacing w:line="360" w:lineRule="auto"/>
              <w:rPr>
                <w:rFonts w:ascii="宋体" w:hAnsi="宋体" w:cs="宋体"/>
                <w:color w:val="auto"/>
                <w:sz w:val="24"/>
                <w:highlight w:val="none"/>
              </w:rPr>
            </w:pPr>
            <w:r>
              <w:rPr>
                <w:rFonts w:hint="eastAsia" w:ascii="宋体" w:hAnsi="宋体" w:cs="宋体"/>
                <w:color w:val="auto"/>
                <w:sz w:val="24"/>
                <w:highlight w:val="none"/>
              </w:rPr>
              <w:t>磋商小组按照综合评审得分，每包由高到低的顺序排名中标候选人。所有投标供应商参与排序推荐。</w:t>
            </w:r>
          </w:p>
        </w:tc>
      </w:tr>
      <w:tr w14:paraId="26C7066E">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735A240A">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6425817A">
            <w:pPr>
              <w:widowControl/>
              <w:spacing w:line="360" w:lineRule="auto"/>
              <w:jc w:val="center"/>
              <w:rPr>
                <w:rFonts w:ascii="宋体" w:hAnsi="宋体" w:cs="宋体"/>
                <w:color w:val="auto"/>
                <w:sz w:val="24"/>
                <w:highlight w:val="none"/>
              </w:rPr>
            </w:pPr>
            <w:r>
              <w:rPr>
                <w:rFonts w:hint="eastAsia" w:ascii="宋体" w:hAnsi="宋体" w:cs="宋体"/>
                <w:color w:val="auto"/>
                <w:sz w:val="24"/>
                <w:highlight w:val="none"/>
              </w:rPr>
              <w:t>结果公示</w:t>
            </w:r>
          </w:p>
        </w:tc>
        <w:tc>
          <w:tcPr>
            <w:tcW w:w="6291" w:type="dxa"/>
            <w:tcBorders>
              <w:top w:val="single" w:color="auto" w:sz="4" w:space="0"/>
              <w:left w:val="single" w:color="auto" w:sz="4" w:space="0"/>
              <w:bottom w:val="single" w:color="auto" w:sz="4" w:space="0"/>
              <w:right w:val="single" w:color="auto" w:sz="4" w:space="0"/>
            </w:tcBorders>
            <w:vAlign w:val="center"/>
          </w:tcPr>
          <w:p w14:paraId="0DE50A41">
            <w:pPr>
              <w:spacing w:line="360" w:lineRule="auto"/>
              <w:rPr>
                <w:rFonts w:ascii="宋体" w:hAnsi="宋体" w:cs="宋体"/>
                <w:color w:val="auto"/>
                <w:sz w:val="24"/>
                <w:highlight w:val="none"/>
              </w:rPr>
            </w:pPr>
            <w:r>
              <w:rPr>
                <w:rFonts w:hint="eastAsia" w:ascii="宋体" w:hAnsi="宋体" w:cs="宋体"/>
                <w:color w:val="auto"/>
                <w:sz w:val="24"/>
                <w:highlight w:val="none"/>
              </w:rPr>
              <w:t>在成交通知书发出前，招标人将成交候选人的情况在本招标项目招标公告发布的同一媒介予以公示，接受社会监督。</w:t>
            </w:r>
          </w:p>
        </w:tc>
      </w:tr>
      <w:tr w14:paraId="17BAF81E">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3C4E60E2">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25E79D6A">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履约担保</w:t>
            </w:r>
          </w:p>
        </w:tc>
        <w:tc>
          <w:tcPr>
            <w:tcW w:w="6291" w:type="dxa"/>
            <w:tcBorders>
              <w:top w:val="single" w:color="auto" w:sz="4" w:space="0"/>
              <w:left w:val="single" w:color="auto" w:sz="4" w:space="0"/>
              <w:bottom w:val="single" w:color="auto" w:sz="4" w:space="0"/>
              <w:right w:val="single" w:color="auto" w:sz="4" w:space="0"/>
            </w:tcBorders>
            <w:vAlign w:val="center"/>
          </w:tcPr>
          <w:p w14:paraId="418EA0C8">
            <w:pPr>
              <w:spacing w:line="360" w:lineRule="auto"/>
              <w:jc w:val="left"/>
              <w:rPr>
                <w:rFonts w:ascii="宋体" w:hAnsi="宋体" w:cs="宋体"/>
                <w:color w:val="auto"/>
                <w:kern w:val="0"/>
                <w:sz w:val="24"/>
                <w:highlight w:val="none"/>
              </w:rPr>
            </w:pPr>
            <w:r>
              <w:rPr>
                <w:rFonts w:hint="eastAsia" w:ascii="宋体" w:hAnsi="宋体" w:cs="宋体"/>
                <w:color w:val="auto"/>
                <w:sz w:val="24"/>
                <w:highlight w:val="none"/>
              </w:rPr>
              <w:t>中标后甲乙双方协商。</w:t>
            </w:r>
          </w:p>
        </w:tc>
      </w:tr>
      <w:tr w14:paraId="66CB528F">
        <w:tblPrEx>
          <w:tblCellMar>
            <w:top w:w="0" w:type="dxa"/>
            <w:left w:w="108" w:type="dxa"/>
            <w:bottom w:w="0" w:type="dxa"/>
            <w:right w:w="108" w:type="dxa"/>
          </w:tblCellMar>
        </w:tblPrEx>
        <w:trPr>
          <w:trHeight w:val="625" w:hRule="atLeast"/>
          <w:jc w:val="center"/>
        </w:trPr>
        <w:tc>
          <w:tcPr>
            <w:tcW w:w="987" w:type="dxa"/>
            <w:vMerge w:val="restart"/>
            <w:tcBorders>
              <w:top w:val="single" w:color="auto" w:sz="4" w:space="0"/>
              <w:left w:val="single" w:color="auto" w:sz="4" w:space="0"/>
              <w:right w:val="single" w:color="auto" w:sz="4" w:space="0"/>
            </w:tcBorders>
            <w:vAlign w:val="center"/>
          </w:tcPr>
          <w:p w14:paraId="7ACD5A1B">
            <w:pPr>
              <w:numPr>
                <w:ilvl w:val="0"/>
                <w:numId w:val="1"/>
              </w:numPr>
              <w:spacing w:line="360" w:lineRule="auto"/>
              <w:jc w:val="center"/>
              <w:rPr>
                <w:rFonts w:ascii="宋体" w:hAnsi="宋体" w:cs="宋体"/>
                <w:color w:val="auto"/>
                <w:sz w:val="24"/>
                <w:highlight w:val="none"/>
              </w:rPr>
            </w:pPr>
          </w:p>
        </w:tc>
        <w:tc>
          <w:tcPr>
            <w:tcW w:w="2657" w:type="dxa"/>
            <w:vMerge w:val="restart"/>
            <w:tcBorders>
              <w:top w:val="single" w:color="auto" w:sz="4" w:space="0"/>
              <w:left w:val="single" w:color="auto" w:sz="4" w:space="0"/>
              <w:right w:val="single" w:color="auto" w:sz="4" w:space="0"/>
            </w:tcBorders>
            <w:vAlign w:val="center"/>
          </w:tcPr>
          <w:p w14:paraId="3306BB64">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最高限价</w:t>
            </w:r>
          </w:p>
        </w:tc>
        <w:tc>
          <w:tcPr>
            <w:tcW w:w="6291" w:type="dxa"/>
            <w:tcBorders>
              <w:top w:val="single" w:color="auto" w:sz="4" w:space="0"/>
              <w:left w:val="single" w:color="auto" w:sz="4" w:space="0"/>
              <w:bottom w:val="single" w:color="auto" w:sz="4" w:space="0"/>
              <w:right w:val="single" w:color="auto" w:sz="4" w:space="0"/>
            </w:tcBorders>
            <w:vAlign w:val="center"/>
          </w:tcPr>
          <w:p w14:paraId="244FAF4A">
            <w:pPr>
              <w:widowControl/>
              <w:spacing w:line="420" w:lineRule="exact"/>
              <w:jc w:val="left"/>
              <w:rPr>
                <w:rFonts w:ascii="宋体" w:hAnsi="宋体" w:cs="宋体"/>
                <w:color w:val="auto"/>
                <w:sz w:val="24"/>
                <w:highlight w:val="none"/>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61.5</w:t>
            </w:r>
            <w:r>
              <w:rPr>
                <w:rFonts w:hint="eastAsia" w:ascii="宋体" w:hAnsi="宋体" w:cs="宋体"/>
                <w:color w:val="auto"/>
                <w:sz w:val="24"/>
                <w:highlight w:val="none"/>
              </w:rPr>
              <w:t>万元；</w:t>
            </w:r>
          </w:p>
          <w:p w14:paraId="20047A0F">
            <w:pPr>
              <w:widowControl/>
              <w:spacing w:line="420" w:lineRule="exact"/>
              <w:jc w:val="left"/>
              <w:rPr>
                <w:rFonts w:ascii="宋体" w:hAnsi="宋体" w:cs="宋体"/>
                <w:color w:val="auto"/>
                <w:highlight w:val="none"/>
              </w:rPr>
            </w:pPr>
            <w:r>
              <w:rPr>
                <w:rFonts w:hint="eastAsia" w:ascii="宋体" w:hAnsi="宋体" w:cs="宋体"/>
                <w:color w:val="auto"/>
                <w:sz w:val="24"/>
                <w:highlight w:val="none"/>
              </w:rPr>
              <w:t>供应商的总报价不得高于最高限价，否则其响应文件将于否决。</w:t>
            </w:r>
          </w:p>
        </w:tc>
      </w:tr>
      <w:tr w14:paraId="2EA8CE2A">
        <w:tblPrEx>
          <w:tblCellMar>
            <w:top w:w="0" w:type="dxa"/>
            <w:left w:w="108" w:type="dxa"/>
            <w:bottom w:w="0" w:type="dxa"/>
            <w:right w:w="108" w:type="dxa"/>
          </w:tblCellMar>
        </w:tblPrEx>
        <w:trPr>
          <w:trHeight w:val="625" w:hRule="atLeast"/>
          <w:jc w:val="center"/>
        </w:trPr>
        <w:tc>
          <w:tcPr>
            <w:tcW w:w="987" w:type="dxa"/>
            <w:vMerge w:val="continue"/>
            <w:tcBorders>
              <w:left w:val="single" w:color="auto" w:sz="4" w:space="0"/>
              <w:bottom w:val="single" w:color="auto" w:sz="4" w:space="0"/>
              <w:right w:val="single" w:color="auto" w:sz="4" w:space="0"/>
            </w:tcBorders>
            <w:vAlign w:val="center"/>
          </w:tcPr>
          <w:p w14:paraId="212B323C">
            <w:pPr>
              <w:widowControl/>
              <w:spacing w:line="420" w:lineRule="exact"/>
              <w:jc w:val="left"/>
              <w:rPr>
                <w:color w:val="auto"/>
                <w:highlight w:val="none"/>
              </w:rPr>
            </w:pPr>
          </w:p>
        </w:tc>
        <w:tc>
          <w:tcPr>
            <w:tcW w:w="2657" w:type="dxa"/>
            <w:vMerge w:val="continue"/>
            <w:tcBorders>
              <w:left w:val="single" w:color="auto" w:sz="4" w:space="0"/>
              <w:bottom w:val="single" w:color="auto" w:sz="4" w:space="0"/>
              <w:right w:val="single" w:color="auto" w:sz="4" w:space="0"/>
            </w:tcBorders>
            <w:vAlign w:val="center"/>
          </w:tcPr>
          <w:p w14:paraId="1132EC0F">
            <w:pPr>
              <w:widowControl/>
              <w:spacing w:line="420" w:lineRule="exact"/>
              <w:jc w:val="left"/>
              <w:rPr>
                <w:color w:val="auto"/>
                <w:highlight w:val="none"/>
              </w:rPr>
            </w:pPr>
          </w:p>
        </w:tc>
        <w:tc>
          <w:tcPr>
            <w:tcW w:w="6291" w:type="dxa"/>
            <w:tcBorders>
              <w:top w:val="single" w:color="auto" w:sz="4" w:space="0"/>
              <w:left w:val="single" w:color="auto" w:sz="4" w:space="0"/>
              <w:bottom w:val="single" w:color="auto" w:sz="4" w:space="0"/>
              <w:right w:val="single" w:color="auto" w:sz="4" w:space="0"/>
            </w:tcBorders>
            <w:vAlign w:val="center"/>
          </w:tcPr>
          <w:p w14:paraId="6996C121">
            <w:pPr>
              <w:spacing w:line="360" w:lineRule="auto"/>
              <w:rPr>
                <w:rFonts w:ascii="宋体" w:hAnsi="宋体" w:cs="宋体"/>
                <w:color w:val="auto"/>
                <w:sz w:val="24"/>
                <w:highlight w:val="none"/>
              </w:rPr>
            </w:pPr>
            <w:r>
              <w:rPr>
                <w:rFonts w:hint="eastAsia" w:ascii="宋体" w:hAnsi="宋体" w:cs="宋体"/>
                <w:color w:val="auto"/>
                <w:sz w:val="24"/>
                <w:highlight w:val="none"/>
              </w:rPr>
              <w:t>评审中出现下列情形之一的，评标委员会可以启动异常低价投标（响应）审查程序：</w:t>
            </w:r>
          </w:p>
          <w:p w14:paraId="577C0C58">
            <w:pPr>
              <w:spacing w:line="360" w:lineRule="auto"/>
              <w:rPr>
                <w:rFonts w:ascii="宋体" w:hAnsi="宋体" w:cs="宋体"/>
                <w:color w:val="auto"/>
                <w:sz w:val="24"/>
                <w:highlight w:val="none"/>
              </w:rPr>
            </w:pPr>
            <w:r>
              <w:rPr>
                <w:rFonts w:hint="eastAsia" w:ascii="宋体" w:hAnsi="宋体" w:cs="宋体"/>
                <w:color w:val="auto"/>
                <w:sz w:val="24"/>
                <w:highlight w:val="none"/>
              </w:rPr>
              <w:t>1.投标（响应）报价低于全部通过符合性审查供应商投标（响应）报价平均值 50%的，即投标（响应）报价＜全部通过符合性审查供应商投标（响应）报价平均值×50%；</w:t>
            </w:r>
          </w:p>
          <w:p w14:paraId="4CF26163">
            <w:pPr>
              <w:spacing w:line="360" w:lineRule="auto"/>
              <w:rPr>
                <w:rFonts w:ascii="宋体" w:hAnsi="宋体" w:cs="宋体"/>
                <w:color w:val="auto"/>
                <w:sz w:val="24"/>
                <w:highlight w:val="none"/>
              </w:rPr>
            </w:pPr>
            <w:r>
              <w:rPr>
                <w:rFonts w:hint="eastAsia" w:ascii="宋体" w:hAnsi="宋体" w:cs="宋体"/>
                <w:color w:val="auto"/>
                <w:sz w:val="24"/>
                <w:highlight w:val="none"/>
              </w:rPr>
              <w:t>2.投标（响应）报价低于通过符合性审查且报价次低供应商投标（响应）报价 50%的，即投标（响应）报价＜通过符合性审查且报价次低供应商投标（响应）报价×50%；</w:t>
            </w:r>
          </w:p>
          <w:p w14:paraId="098EEF81">
            <w:pPr>
              <w:spacing w:line="360" w:lineRule="auto"/>
              <w:rPr>
                <w:rFonts w:ascii="宋体" w:hAnsi="宋体" w:cs="宋体"/>
                <w:color w:val="auto"/>
                <w:sz w:val="24"/>
                <w:highlight w:val="none"/>
              </w:rPr>
            </w:pPr>
            <w:r>
              <w:rPr>
                <w:rFonts w:hint="eastAsia" w:ascii="宋体" w:hAnsi="宋体" w:cs="宋体"/>
                <w:color w:val="auto"/>
                <w:sz w:val="24"/>
                <w:highlight w:val="none"/>
              </w:rPr>
              <w:t>3.投标（响应）报价低于采购项目最高限价 45%的，即投标（响应）报价＜采购项目最高限价×45%；</w:t>
            </w:r>
          </w:p>
          <w:p w14:paraId="4B86E7DA">
            <w:pPr>
              <w:spacing w:line="360" w:lineRule="auto"/>
              <w:rPr>
                <w:rFonts w:ascii="宋体" w:hAnsi="宋体" w:cs="宋体"/>
                <w:color w:val="auto"/>
                <w:sz w:val="24"/>
                <w:highlight w:val="none"/>
              </w:rPr>
            </w:pPr>
            <w:r>
              <w:rPr>
                <w:rFonts w:hint="eastAsia" w:ascii="宋体" w:hAnsi="宋体" w:cs="宋体"/>
                <w:color w:val="auto"/>
                <w:sz w:val="24"/>
                <w:highlight w:val="none"/>
              </w:rPr>
              <w:t>4.评审委员会基于专业判断，认为供应商报价过低，有可能影响产品质量或者不能诚信履约的其他情形。</w:t>
            </w:r>
          </w:p>
          <w:p w14:paraId="117974AF">
            <w:pPr>
              <w:spacing w:line="360" w:lineRule="auto"/>
              <w:rPr>
                <w:rFonts w:ascii="宋体" w:hAnsi="宋体" w:cs="宋体"/>
                <w:color w:val="auto"/>
                <w:sz w:val="24"/>
                <w:highlight w:val="none"/>
              </w:rPr>
            </w:pPr>
            <w:r>
              <w:rPr>
                <w:rFonts w:hint="eastAsia" w:ascii="宋体" w:hAnsi="宋体" w:cs="宋体"/>
                <w:color w:val="auto"/>
                <w:sz w:val="24"/>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B7E12EB">
            <w:pPr>
              <w:widowControl/>
              <w:spacing w:line="420" w:lineRule="exact"/>
              <w:jc w:val="left"/>
              <w:rPr>
                <w:rFonts w:ascii="宋体" w:hAnsi="宋体" w:cs="宋体"/>
                <w:color w:val="auto"/>
                <w:sz w:val="24"/>
                <w:highlight w:val="none"/>
              </w:rPr>
            </w:pPr>
            <w:r>
              <w:rPr>
                <w:rFonts w:hint="eastAsia" w:ascii="宋体" w:hAnsi="宋体" w:cs="宋体"/>
                <w:color w:val="auto"/>
                <w:sz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3EB622E7">
        <w:tblPrEx>
          <w:tblCellMar>
            <w:top w:w="0" w:type="dxa"/>
            <w:left w:w="108" w:type="dxa"/>
            <w:bottom w:w="0" w:type="dxa"/>
            <w:right w:w="108" w:type="dxa"/>
          </w:tblCellMar>
        </w:tblPrEx>
        <w:trPr>
          <w:trHeight w:val="545"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1CF9E06D">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39236DCB">
            <w:pPr>
              <w:spacing w:line="360" w:lineRule="auto"/>
              <w:jc w:val="center"/>
              <w:rPr>
                <w:rFonts w:ascii="宋体" w:hAnsi="宋体" w:cs="宋体"/>
                <w:color w:val="auto"/>
                <w:sz w:val="24"/>
                <w:highlight w:val="none"/>
              </w:rPr>
            </w:pPr>
            <w:r>
              <w:rPr>
                <w:rFonts w:hint="eastAsia" w:ascii="宋体" w:hAnsi="宋体" w:cs="宋体"/>
                <w:color w:val="auto"/>
                <w:sz w:val="24"/>
                <w:highlight w:val="none"/>
              </w:rPr>
              <w:t>付款方式</w:t>
            </w:r>
          </w:p>
        </w:tc>
        <w:tc>
          <w:tcPr>
            <w:tcW w:w="6291" w:type="dxa"/>
            <w:tcBorders>
              <w:top w:val="single" w:color="auto" w:sz="4" w:space="0"/>
              <w:left w:val="single" w:color="auto" w:sz="4" w:space="0"/>
              <w:bottom w:val="single" w:color="auto" w:sz="4" w:space="0"/>
              <w:right w:val="single" w:color="auto" w:sz="4" w:space="0"/>
            </w:tcBorders>
            <w:vAlign w:val="center"/>
          </w:tcPr>
          <w:p w14:paraId="6866D8F9">
            <w:pPr>
              <w:spacing w:line="360" w:lineRule="auto"/>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签订</w:t>
            </w:r>
            <w:r>
              <w:rPr>
                <w:rFonts w:hint="default" w:ascii="宋体" w:hAnsi="宋体" w:eastAsia="宋体" w:cs="宋体"/>
                <w:color w:val="auto"/>
                <w:sz w:val="24"/>
                <w:highlight w:val="none"/>
                <w:lang w:val="en-US" w:eastAsia="zh-CN"/>
              </w:rPr>
              <w:t>合同</w:t>
            </w:r>
            <w:r>
              <w:rPr>
                <w:rFonts w:hint="eastAsia" w:ascii="宋体" w:hAnsi="宋体" w:cs="宋体"/>
                <w:color w:val="auto"/>
                <w:sz w:val="24"/>
                <w:highlight w:val="none"/>
                <w:lang w:val="en-US" w:eastAsia="zh-CN"/>
              </w:rPr>
              <w:t>后甲方向乙方支</w:t>
            </w:r>
            <w:r>
              <w:rPr>
                <w:rFonts w:hint="default" w:ascii="宋体" w:hAnsi="宋体" w:eastAsia="宋体" w:cs="宋体"/>
                <w:color w:val="auto"/>
                <w:sz w:val="24"/>
                <w:highlight w:val="none"/>
                <w:lang w:val="en-US" w:eastAsia="zh-CN"/>
              </w:rPr>
              <w:t>付</w:t>
            </w:r>
            <w:r>
              <w:rPr>
                <w:rFonts w:hint="eastAsia" w:ascii="宋体" w:hAnsi="宋体" w:cs="宋体"/>
                <w:color w:val="auto"/>
                <w:sz w:val="24"/>
                <w:highlight w:val="none"/>
                <w:lang w:val="en-US" w:eastAsia="zh-CN"/>
              </w:rPr>
              <w:t>合同金额</w:t>
            </w:r>
            <w:r>
              <w:rPr>
                <w:rFonts w:hint="default" w:ascii="宋体" w:hAnsi="宋体" w:eastAsia="宋体" w:cs="宋体"/>
                <w:color w:val="auto"/>
                <w:sz w:val="24"/>
                <w:highlight w:val="none"/>
                <w:lang w:val="en-US" w:eastAsia="zh-CN"/>
              </w:rPr>
              <w:t>3</w:t>
            </w:r>
            <w:r>
              <w:rPr>
                <w:rFonts w:hint="eastAsia" w:ascii="宋体" w:hAnsi="宋体" w:cs="宋体"/>
                <w:color w:val="auto"/>
                <w:sz w:val="24"/>
                <w:highlight w:val="none"/>
                <w:lang w:val="en-US" w:eastAsia="zh-CN"/>
              </w:rPr>
              <w:t>0</w:t>
            </w:r>
            <w:r>
              <w:rPr>
                <w:rFonts w:hint="default" w:ascii="宋体" w:hAnsi="宋体" w:eastAsia="宋体" w:cs="宋体"/>
                <w:color w:val="auto"/>
                <w:sz w:val="24"/>
                <w:highlight w:val="none"/>
                <w:lang w:val="en-US" w:eastAsia="zh-CN"/>
              </w:rPr>
              <w:t>%</w:t>
            </w:r>
            <w:r>
              <w:rPr>
                <w:rFonts w:hint="eastAsia" w:ascii="宋体" w:hAnsi="宋体" w:cs="宋体"/>
                <w:color w:val="auto"/>
                <w:sz w:val="24"/>
                <w:highlight w:val="none"/>
                <w:lang w:val="en-US" w:eastAsia="zh-CN"/>
              </w:rPr>
              <w:t>的预付款；完成成果报告编制、评审、验收、成果汇交、发布实施等工作并通过相关审核后10日内，一次性支付剩余款项。</w:t>
            </w:r>
          </w:p>
        </w:tc>
      </w:tr>
      <w:tr w14:paraId="0835EBA5">
        <w:tblPrEx>
          <w:tblCellMar>
            <w:top w:w="0" w:type="dxa"/>
            <w:left w:w="108" w:type="dxa"/>
            <w:bottom w:w="0" w:type="dxa"/>
            <w:right w:w="108" w:type="dxa"/>
          </w:tblCellMar>
        </w:tblPrEx>
        <w:trPr>
          <w:trHeight w:val="545"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6C65DDBE">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1AF8BC75">
            <w:pPr>
              <w:keepLines/>
              <w:spacing w:line="360" w:lineRule="exact"/>
              <w:jc w:val="center"/>
              <w:rPr>
                <w:rFonts w:ascii="宋体" w:hAnsi="宋体" w:cs="宋体"/>
                <w:color w:val="auto"/>
                <w:sz w:val="24"/>
                <w:highlight w:val="none"/>
              </w:rPr>
            </w:pPr>
            <w:r>
              <w:rPr>
                <w:rFonts w:hint="eastAsia" w:ascii="宋体" w:hAnsi="宋体" w:cs="宋体"/>
                <w:color w:val="auto"/>
                <w:sz w:val="24"/>
                <w:highlight w:val="none"/>
              </w:rPr>
              <w:t>无效标条件</w:t>
            </w:r>
          </w:p>
        </w:tc>
        <w:tc>
          <w:tcPr>
            <w:tcW w:w="6291" w:type="dxa"/>
            <w:tcBorders>
              <w:top w:val="single" w:color="auto" w:sz="4" w:space="0"/>
              <w:left w:val="single" w:color="auto" w:sz="4" w:space="0"/>
              <w:bottom w:val="single" w:color="auto" w:sz="4" w:space="0"/>
              <w:right w:val="single" w:color="auto" w:sz="4" w:space="0"/>
            </w:tcBorders>
            <w:vAlign w:val="center"/>
          </w:tcPr>
          <w:p w14:paraId="5362A6D9">
            <w:pPr>
              <w:spacing w:line="360" w:lineRule="auto"/>
              <w:rPr>
                <w:rFonts w:ascii="宋体" w:hAnsi="宋体" w:cs="宋体"/>
                <w:color w:val="auto"/>
                <w:sz w:val="24"/>
                <w:highlight w:val="none"/>
              </w:rPr>
            </w:pPr>
            <w:r>
              <w:rPr>
                <w:rFonts w:hint="eastAsia" w:ascii="宋体" w:hAnsi="宋体" w:cs="宋体"/>
                <w:color w:val="auto"/>
                <w:sz w:val="24"/>
                <w:highlight w:val="none"/>
              </w:rPr>
              <w:t>1、电子化投标文件附有采购人不能接受的条件的；</w:t>
            </w:r>
          </w:p>
          <w:p w14:paraId="0AA7C494">
            <w:pPr>
              <w:spacing w:line="360" w:lineRule="auto"/>
              <w:rPr>
                <w:rFonts w:ascii="宋体" w:hAnsi="宋体" w:cs="宋体"/>
                <w:color w:val="auto"/>
                <w:sz w:val="24"/>
                <w:highlight w:val="none"/>
              </w:rPr>
            </w:pPr>
            <w:r>
              <w:rPr>
                <w:rFonts w:hint="eastAsia" w:ascii="宋体" w:hAnsi="宋体" w:cs="宋体"/>
                <w:color w:val="auto"/>
                <w:sz w:val="24"/>
                <w:highlight w:val="none"/>
              </w:rPr>
              <w:t>2、以他人的名义投标、串通投标、以行贿手段谋取中标或者以其他弄虚作假方式投标的；</w:t>
            </w:r>
          </w:p>
          <w:p w14:paraId="612D0AE6">
            <w:pPr>
              <w:spacing w:line="360" w:lineRule="auto"/>
              <w:rPr>
                <w:rFonts w:ascii="宋体" w:hAnsi="宋体" w:cs="宋体"/>
                <w:color w:val="auto"/>
                <w:sz w:val="24"/>
                <w:highlight w:val="none"/>
              </w:rPr>
            </w:pPr>
            <w:r>
              <w:rPr>
                <w:rFonts w:hint="eastAsia" w:ascii="宋体" w:hAnsi="宋体" w:cs="宋体"/>
                <w:color w:val="auto"/>
                <w:sz w:val="24"/>
                <w:highlight w:val="none"/>
              </w:rPr>
              <w:t>3、采取不正当手段谋取中标的；</w:t>
            </w:r>
          </w:p>
          <w:p w14:paraId="18080F0C">
            <w:pPr>
              <w:spacing w:line="360" w:lineRule="auto"/>
              <w:rPr>
                <w:rFonts w:ascii="宋体" w:hAnsi="宋体" w:cs="宋体"/>
                <w:color w:val="auto"/>
                <w:sz w:val="24"/>
                <w:highlight w:val="none"/>
              </w:rPr>
            </w:pPr>
            <w:r>
              <w:rPr>
                <w:rFonts w:hint="eastAsia" w:ascii="宋体" w:hAnsi="宋体" w:cs="宋体"/>
                <w:color w:val="auto"/>
                <w:sz w:val="24"/>
                <w:highlight w:val="none"/>
              </w:rPr>
              <w:t>4、法律、法规规定的其他情况。</w:t>
            </w:r>
          </w:p>
        </w:tc>
      </w:tr>
      <w:tr w14:paraId="506CE06B">
        <w:tblPrEx>
          <w:tblCellMar>
            <w:top w:w="0" w:type="dxa"/>
            <w:left w:w="108" w:type="dxa"/>
            <w:bottom w:w="0" w:type="dxa"/>
            <w:right w:w="108" w:type="dxa"/>
          </w:tblCellMar>
        </w:tblPrEx>
        <w:trPr>
          <w:trHeight w:val="1615" w:hRule="atLeast"/>
          <w:jc w:val="center"/>
        </w:trPr>
        <w:tc>
          <w:tcPr>
            <w:tcW w:w="987" w:type="dxa"/>
            <w:vMerge w:val="restart"/>
            <w:tcBorders>
              <w:top w:val="single" w:color="auto" w:sz="4" w:space="0"/>
              <w:left w:val="single" w:color="auto" w:sz="4" w:space="0"/>
              <w:right w:val="single" w:color="auto" w:sz="4" w:space="0"/>
            </w:tcBorders>
            <w:vAlign w:val="center"/>
          </w:tcPr>
          <w:p w14:paraId="179DD9D5">
            <w:pPr>
              <w:numPr>
                <w:ilvl w:val="0"/>
                <w:numId w:val="1"/>
              </w:numPr>
              <w:spacing w:line="360" w:lineRule="auto"/>
              <w:jc w:val="center"/>
              <w:rPr>
                <w:rFonts w:ascii="宋体" w:hAnsi="宋体" w:cs="宋体"/>
                <w:color w:val="auto"/>
                <w:sz w:val="24"/>
                <w:highlight w:val="none"/>
              </w:rPr>
            </w:pPr>
          </w:p>
        </w:tc>
        <w:tc>
          <w:tcPr>
            <w:tcW w:w="2657" w:type="dxa"/>
            <w:vMerge w:val="restart"/>
            <w:tcBorders>
              <w:top w:val="single" w:color="auto" w:sz="4" w:space="0"/>
              <w:left w:val="single" w:color="auto" w:sz="4" w:space="0"/>
              <w:right w:val="single" w:color="auto" w:sz="4" w:space="0"/>
            </w:tcBorders>
            <w:vAlign w:val="center"/>
          </w:tcPr>
          <w:p w14:paraId="1DBA7F65">
            <w:pPr>
              <w:spacing w:line="360" w:lineRule="auto"/>
              <w:jc w:val="center"/>
              <w:rPr>
                <w:rFonts w:ascii="宋体" w:hAnsi="宋体" w:cs="宋体"/>
                <w:color w:val="auto"/>
                <w:sz w:val="24"/>
                <w:highlight w:val="none"/>
              </w:rPr>
            </w:pPr>
            <w:r>
              <w:rPr>
                <w:rFonts w:hint="eastAsia" w:ascii="宋体" w:hAnsi="宋体" w:cs="宋体"/>
                <w:color w:val="auto"/>
                <w:sz w:val="24"/>
                <w:highlight w:val="none"/>
              </w:rPr>
              <w:t>采购代理费</w:t>
            </w:r>
          </w:p>
        </w:tc>
        <w:tc>
          <w:tcPr>
            <w:tcW w:w="6291" w:type="dxa"/>
            <w:tcBorders>
              <w:top w:val="single" w:color="auto" w:sz="4" w:space="0"/>
              <w:left w:val="single" w:color="auto" w:sz="4" w:space="0"/>
              <w:bottom w:val="single" w:color="auto" w:sz="4" w:space="0"/>
              <w:right w:val="single" w:color="auto" w:sz="4" w:space="0"/>
            </w:tcBorders>
            <w:vAlign w:val="center"/>
          </w:tcPr>
          <w:p w14:paraId="16B61651">
            <w:pPr>
              <w:widowControl/>
              <w:spacing w:line="360" w:lineRule="auto"/>
              <w:jc w:val="left"/>
              <w:rPr>
                <w:rFonts w:ascii="宋体" w:hAnsi="宋体" w:cs="宋体"/>
                <w:color w:val="auto"/>
                <w:kern w:val="44"/>
                <w:sz w:val="24"/>
                <w:highlight w:val="none"/>
              </w:rPr>
            </w:pPr>
            <w:r>
              <w:rPr>
                <w:rFonts w:hint="eastAsia" w:ascii="宋体" w:hAnsi="宋体" w:cs="宋体"/>
                <w:color w:val="auto"/>
                <w:kern w:val="44"/>
                <w:sz w:val="24"/>
                <w:highlight w:val="none"/>
              </w:rPr>
              <w:t>收费标准：按豫招协[2023]002号河南省招标投标协会关于印发《河南省招标代理服务收费指导意见》规定的收费标准100%收取，由成交人在领取成交通知书时缴纳。</w:t>
            </w:r>
          </w:p>
          <w:p w14:paraId="6282E5FC">
            <w:pPr>
              <w:pStyle w:val="3"/>
              <w:rPr>
                <w:color w:val="auto"/>
                <w:highlight w:val="none"/>
              </w:rPr>
            </w:pPr>
            <w:r>
              <w:rPr>
                <w:rFonts w:hint="eastAsia" w:ascii="宋体" w:hAnsi="宋体" w:cs="宋体"/>
                <w:color w:val="auto"/>
                <w:kern w:val="44"/>
                <w:sz w:val="24"/>
                <w:highlight w:val="none"/>
              </w:rPr>
              <w:t>支付方式：转账或现金</w:t>
            </w:r>
          </w:p>
          <w:p w14:paraId="1DBD5F6C">
            <w:pPr>
              <w:widowControl/>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账户名称:河南润程项目管理有限公司</w:t>
            </w:r>
          </w:p>
          <w:p w14:paraId="50ACEF00">
            <w:pPr>
              <w:widowControl/>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账号:261201747962</w:t>
            </w:r>
          </w:p>
          <w:p w14:paraId="3EE038ED">
            <w:pPr>
              <w:widowControl/>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银行机构名称:中国银行股份有限公司灵宝桃林支行</w:t>
            </w:r>
          </w:p>
          <w:p w14:paraId="069EBB85">
            <w:pPr>
              <w:widowControl/>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法定代表人或负责人姓名:刘晓敏</w:t>
            </w:r>
          </w:p>
          <w:p w14:paraId="6D50370D">
            <w:pPr>
              <w:widowControl/>
              <w:spacing w:line="360" w:lineRule="auto"/>
              <w:jc w:val="left"/>
              <w:rPr>
                <w:rFonts w:ascii="宋体" w:hAnsi="宋体" w:cs="宋体"/>
                <w:color w:val="auto"/>
                <w:kern w:val="44"/>
                <w:sz w:val="24"/>
                <w:highlight w:val="none"/>
              </w:rPr>
            </w:pPr>
            <w:r>
              <w:rPr>
                <w:rFonts w:hint="eastAsia" w:ascii="宋体" w:hAnsi="宋体" w:eastAsia="宋体" w:cs="宋体"/>
                <w:color w:val="auto"/>
                <w:sz w:val="24"/>
                <w:szCs w:val="24"/>
                <w:highlight w:val="none"/>
              </w:rPr>
              <w:t>基本存款账户核准号/编号:J9033211187001</w:t>
            </w:r>
          </w:p>
        </w:tc>
      </w:tr>
      <w:tr w14:paraId="4D873827">
        <w:tblPrEx>
          <w:tblCellMar>
            <w:top w:w="0" w:type="dxa"/>
            <w:left w:w="108" w:type="dxa"/>
            <w:bottom w:w="0" w:type="dxa"/>
            <w:right w:w="108" w:type="dxa"/>
          </w:tblCellMar>
        </w:tblPrEx>
        <w:trPr>
          <w:trHeight w:val="1615" w:hRule="atLeast"/>
          <w:jc w:val="center"/>
        </w:trPr>
        <w:tc>
          <w:tcPr>
            <w:tcW w:w="987" w:type="dxa"/>
            <w:vMerge w:val="continue"/>
            <w:tcBorders>
              <w:left w:val="single" w:color="auto" w:sz="4" w:space="0"/>
              <w:bottom w:val="single" w:color="auto" w:sz="4" w:space="0"/>
              <w:right w:val="single" w:color="auto" w:sz="4" w:space="0"/>
            </w:tcBorders>
            <w:vAlign w:val="center"/>
          </w:tcPr>
          <w:p w14:paraId="7BEA4986">
            <w:pPr>
              <w:widowControl/>
              <w:spacing w:line="360" w:lineRule="auto"/>
              <w:jc w:val="left"/>
              <w:rPr>
                <w:color w:val="auto"/>
                <w:highlight w:val="none"/>
              </w:rPr>
            </w:pPr>
          </w:p>
        </w:tc>
        <w:tc>
          <w:tcPr>
            <w:tcW w:w="2657" w:type="dxa"/>
            <w:vMerge w:val="continue"/>
            <w:tcBorders>
              <w:left w:val="single" w:color="auto" w:sz="4" w:space="0"/>
              <w:bottom w:val="single" w:color="auto" w:sz="4" w:space="0"/>
              <w:right w:val="single" w:color="auto" w:sz="4" w:space="0"/>
            </w:tcBorders>
            <w:vAlign w:val="center"/>
          </w:tcPr>
          <w:p w14:paraId="6613A605">
            <w:pPr>
              <w:widowControl/>
              <w:spacing w:line="360" w:lineRule="auto"/>
              <w:jc w:val="left"/>
              <w:rPr>
                <w:color w:val="auto"/>
                <w:highlight w:val="none"/>
              </w:rPr>
            </w:pPr>
          </w:p>
        </w:tc>
        <w:tc>
          <w:tcPr>
            <w:tcW w:w="6291" w:type="dxa"/>
            <w:tcBorders>
              <w:top w:val="single" w:color="auto" w:sz="4" w:space="0"/>
              <w:left w:val="single" w:color="auto" w:sz="4" w:space="0"/>
              <w:bottom w:val="single" w:color="auto" w:sz="4" w:space="0"/>
              <w:right w:val="single" w:color="auto" w:sz="4" w:space="0"/>
            </w:tcBorders>
            <w:vAlign w:val="center"/>
          </w:tcPr>
          <w:p w14:paraId="1AD4EFE6">
            <w:pPr>
              <w:widowControl/>
              <w:spacing w:line="360" w:lineRule="auto"/>
              <w:jc w:val="left"/>
              <w:rPr>
                <w:rFonts w:ascii="宋体" w:hAnsi="宋体" w:cs="宋体"/>
                <w:color w:val="auto"/>
                <w:kern w:val="44"/>
                <w:sz w:val="24"/>
                <w:highlight w:val="none"/>
              </w:rPr>
            </w:pPr>
            <w:r>
              <w:rPr>
                <w:color w:val="auto"/>
                <w:highlight w:val="none"/>
              </w:rPr>
              <w:drawing>
                <wp:inline distT="0" distB="0" distL="114300" distR="114300">
                  <wp:extent cx="3802380" cy="2095500"/>
                  <wp:effectExtent l="0" t="0" r="7620" b="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7"/>
                          <a:stretch>
                            <a:fillRect/>
                          </a:stretch>
                        </pic:blipFill>
                        <pic:spPr>
                          <a:xfrm>
                            <a:off x="0" y="0"/>
                            <a:ext cx="3802380" cy="2095500"/>
                          </a:xfrm>
                          <a:prstGeom prst="rect">
                            <a:avLst/>
                          </a:prstGeom>
                          <a:noFill/>
                          <a:ln>
                            <a:noFill/>
                          </a:ln>
                        </pic:spPr>
                      </pic:pic>
                    </a:graphicData>
                  </a:graphic>
                </wp:inline>
              </w:drawing>
            </w:r>
          </w:p>
          <w:p w14:paraId="76041B79">
            <w:pPr>
              <w:spacing w:line="360" w:lineRule="auto"/>
              <w:rPr>
                <w:rFonts w:ascii="宋体" w:hAnsi="宋体" w:cs="宋体"/>
                <w:bCs/>
                <w:color w:val="auto"/>
                <w:sz w:val="24"/>
                <w:highlight w:val="none"/>
              </w:rPr>
            </w:pPr>
            <w:r>
              <w:rPr>
                <w:rFonts w:hint="eastAsia" w:ascii="宋体" w:hAnsi="宋体" w:cs="宋体"/>
                <w:bCs/>
                <w:color w:val="auto"/>
                <w:sz w:val="24"/>
                <w:highlight w:val="none"/>
              </w:rPr>
              <w:t>注: 1招标代理服务收费按差额定率累进法计算。</w:t>
            </w:r>
          </w:p>
          <w:p w14:paraId="169EF7C2">
            <w:pPr>
              <w:spacing w:line="360" w:lineRule="auto"/>
              <w:rPr>
                <w:rFonts w:ascii="宋体" w:hAnsi="宋体" w:cs="宋体"/>
                <w:bCs/>
                <w:color w:val="auto"/>
                <w:sz w:val="24"/>
                <w:highlight w:val="none"/>
              </w:rPr>
            </w:pPr>
            <w:r>
              <w:rPr>
                <w:rFonts w:hint="eastAsia" w:ascii="宋体" w:hAnsi="宋体" w:cs="宋体"/>
                <w:bCs/>
                <w:color w:val="auto"/>
                <w:sz w:val="24"/>
                <w:highlight w:val="none"/>
              </w:rPr>
              <w:t>例如: 某工程招标代理业务，项目中标金额为10000 万元，招标代理服务收费计算如下:</w:t>
            </w:r>
          </w:p>
          <w:p w14:paraId="6B937842">
            <w:pPr>
              <w:spacing w:line="360" w:lineRule="auto"/>
              <w:rPr>
                <w:rFonts w:ascii="宋体" w:hAnsi="宋体" w:cs="宋体"/>
                <w:bCs/>
                <w:color w:val="auto"/>
                <w:sz w:val="24"/>
                <w:highlight w:val="none"/>
              </w:rPr>
            </w:pPr>
            <w:r>
              <w:rPr>
                <w:rFonts w:hint="eastAsia" w:ascii="宋体" w:hAnsi="宋体" w:cs="宋体"/>
                <w:bCs/>
                <w:color w:val="auto"/>
                <w:sz w:val="24"/>
                <w:highlight w:val="none"/>
              </w:rPr>
              <w:t>100万元×1.2%=1.2万元</w:t>
            </w:r>
          </w:p>
          <w:p w14:paraId="13797151">
            <w:pPr>
              <w:spacing w:line="360" w:lineRule="auto"/>
              <w:rPr>
                <w:rFonts w:ascii="宋体" w:hAnsi="宋体" w:cs="宋体"/>
                <w:bCs/>
                <w:color w:val="auto"/>
                <w:sz w:val="24"/>
                <w:highlight w:val="none"/>
              </w:rPr>
            </w:pPr>
            <w:r>
              <w:rPr>
                <w:rFonts w:hint="eastAsia" w:ascii="宋体" w:hAnsi="宋体" w:cs="宋体"/>
                <w:bCs/>
                <w:color w:val="auto"/>
                <w:sz w:val="24"/>
                <w:highlight w:val="none"/>
              </w:rPr>
              <w:t>(500-100) 万元×1.0%=4万元</w:t>
            </w:r>
          </w:p>
          <w:p w14:paraId="34FCF549">
            <w:pPr>
              <w:spacing w:line="360" w:lineRule="auto"/>
              <w:rPr>
                <w:rFonts w:ascii="宋体" w:hAnsi="宋体" w:cs="宋体"/>
                <w:bCs/>
                <w:color w:val="auto"/>
                <w:sz w:val="24"/>
                <w:highlight w:val="none"/>
              </w:rPr>
            </w:pPr>
            <w:r>
              <w:rPr>
                <w:rFonts w:hint="eastAsia" w:ascii="宋体" w:hAnsi="宋体" w:cs="宋体"/>
                <w:bCs/>
                <w:color w:val="auto"/>
                <w:sz w:val="24"/>
                <w:highlight w:val="none"/>
              </w:rPr>
              <w:t>(1000-500) ×0.7%=3.5万元</w:t>
            </w:r>
          </w:p>
          <w:p w14:paraId="675AC896">
            <w:pPr>
              <w:spacing w:line="360" w:lineRule="auto"/>
              <w:rPr>
                <w:rFonts w:ascii="宋体" w:hAnsi="宋体" w:cs="宋体"/>
                <w:bCs/>
                <w:color w:val="auto"/>
                <w:sz w:val="24"/>
                <w:highlight w:val="none"/>
              </w:rPr>
            </w:pPr>
            <w:r>
              <w:rPr>
                <w:rFonts w:hint="eastAsia" w:ascii="宋体" w:hAnsi="宋体" w:cs="宋体"/>
                <w:bCs/>
                <w:color w:val="auto"/>
                <w:sz w:val="24"/>
                <w:highlight w:val="none"/>
              </w:rPr>
              <w:t>(5000-1000) ×0.4%=16万元</w:t>
            </w:r>
          </w:p>
          <w:p w14:paraId="20CDFEE2">
            <w:pPr>
              <w:spacing w:line="360" w:lineRule="auto"/>
              <w:rPr>
                <w:rFonts w:ascii="宋体" w:hAnsi="宋体" w:cs="宋体"/>
                <w:bCs/>
                <w:color w:val="auto"/>
                <w:sz w:val="24"/>
                <w:highlight w:val="none"/>
              </w:rPr>
            </w:pPr>
            <w:r>
              <w:rPr>
                <w:rFonts w:hint="eastAsia" w:ascii="宋体" w:hAnsi="宋体" w:cs="宋体"/>
                <w:bCs/>
                <w:color w:val="auto"/>
                <w:sz w:val="24"/>
                <w:highlight w:val="none"/>
              </w:rPr>
              <w:t>(10000-5000) ×0.25%=12.5万元</w:t>
            </w:r>
          </w:p>
          <w:p w14:paraId="19B7D628">
            <w:pPr>
              <w:spacing w:line="360" w:lineRule="auto"/>
              <w:rPr>
                <w:rFonts w:ascii="宋体" w:hAnsi="宋体" w:cs="宋体"/>
                <w:bCs/>
                <w:color w:val="auto"/>
                <w:sz w:val="24"/>
                <w:highlight w:val="none"/>
              </w:rPr>
            </w:pPr>
            <w:r>
              <w:rPr>
                <w:rFonts w:hint="eastAsia" w:ascii="宋体" w:hAnsi="宋体" w:cs="宋体"/>
                <w:bCs/>
                <w:color w:val="auto"/>
                <w:sz w:val="24"/>
                <w:highlight w:val="none"/>
              </w:rPr>
              <w:t>合计收费=1.2+4+3.5+16+12.5=37.2万元</w:t>
            </w:r>
          </w:p>
          <w:p w14:paraId="3C9F7CE5">
            <w:pPr>
              <w:widowControl/>
              <w:spacing w:line="360" w:lineRule="auto"/>
              <w:jc w:val="left"/>
              <w:rPr>
                <w:rFonts w:ascii="宋体" w:hAnsi="宋体" w:cs="宋体"/>
                <w:color w:val="auto"/>
                <w:kern w:val="44"/>
                <w:sz w:val="24"/>
                <w:highlight w:val="none"/>
              </w:rPr>
            </w:pPr>
            <w:r>
              <w:rPr>
                <w:rFonts w:hint="eastAsia" w:ascii="宋体" w:hAnsi="宋体" w:cs="宋体"/>
                <w:bCs/>
                <w:color w:val="auto"/>
                <w:sz w:val="24"/>
                <w:highlight w:val="none"/>
              </w:rPr>
              <w:t>2.收费标准的计算基数以项目、标段 (包) 的</w:t>
            </w:r>
            <w:r>
              <w:rPr>
                <w:rFonts w:hint="eastAsia" w:ascii="宋体" w:hAnsi="宋体" w:cs="宋体"/>
                <w:bCs/>
                <w:color w:val="auto"/>
                <w:sz w:val="24"/>
                <w:highlight w:val="none"/>
                <w:lang w:val="en-US" w:eastAsia="zh-CN"/>
              </w:rPr>
              <w:t>预算</w:t>
            </w:r>
            <w:r>
              <w:rPr>
                <w:rFonts w:hint="eastAsia" w:ascii="宋体" w:hAnsi="宋体" w:cs="宋体"/>
                <w:bCs/>
                <w:color w:val="auto"/>
                <w:sz w:val="24"/>
                <w:highlight w:val="none"/>
              </w:rPr>
              <w:t>金额为计费基数。</w:t>
            </w:r>
          </w:p>
        </w:tc>
      </w:tr>
      <w:tr w14:paraId="2E366344">
        <w:tblPrEx>
          <w:tblCellMar>
            <w:top w:w="0" w:type="dxa"/>
            <w:left w:w="108" w:type="dxa"/>
            <w:bottom w:w="0" w:type="dxa"/>
            <w:right w:w="108" w:type="dxa"/>
          </w:tblCellMar>
        </w:tblPrEx>
        <w:trPr>
          <w:trHeight w:val="520"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57821DA3">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35B7DE8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政府采购政策</w:t>
            </w:r>
          </w:p>
        </w:tc>
        <w:tc>
          <w:tcPr>
            <w:tcW w:w="6291" w:type="dxa"/>
            <w:tcBorders>
              <w:top w:val="single" w:color="auto" w:sz="4" w:space="0"/>
              <w:left w:val="single" w:color="auto" w:sz="4" w:space="0"/>
              <w:bottom w:val="single" w:color="auto" w:sz="4" w:space="0"/>
              <w:right w:val="single" w:color="auto" w:sz="4" w:space="0"/>
            </w:tcBorders>
            <w:vAlign w:val="center"/>
          </w:tcPr>
          <w:p w14:paraId="69E041CC">
            <w:pPr>
              <w:spacing w:line="540" w:lineRule="exact"/>
              <w:ind w:firstLine="562" w:firstLineChars="200"/>
              <w:jc w:val="left"/>
              <w:rPr>
                <w:rFonts w:ascii="宋体" w:hAnsi="宋体" w:cs="宋体"/>
                <w:b/>
                <w:bCs/>
                <w:color w:val="auto"/>
                <w:kern w:val="44"/>
                <w:sz w:val="28"/>
                <w:szCs w:val="28"/>
                <w:highlight w:val="none"/>
              </w:rPr>
            </w:pPr>
            <w:r>
              <w:rPr>
                <w:rFonts w:hint="eastAsia" w:ascii="宋体" w:hAnsi="宋体" w:cs="宋体"/>
                <w:b/>
                <w:bCs/>
                <w:color w:val="auto"/>
                <w:kern w:val="44"/>
                <w:sz w:val="28"/>
                <w:szCs w:val="28"/>
                <w:highlight w:val="none"/>
              </w:rPr>
              <w:t>本项目采购标的属于其他未列明行业；</w:t>
            </w:r>
          </w:p>
          <w:p w14:paraId="5B4912C3">
            <w:pPr>
              <w:spacing w:line="540" w:lineRule="exact"/>
              <w:ind w:firstLine="480" w:firstLineChars="200"/>
              <w:jc w:val="left"/>
              <w:rPr>
                <w:rFonts w:ascii="宋体" w:hAnsi="宋体" w:cs="宋体"/>
                <w:color w:val="auto"/>
                <w:kern w:val="44"/>
                <w:sz w:val="24"/>
                <w:highlight w:val="none"/>
                <w:lang w:val="zh-CN"/>
              </w:rPr>
            </w:pPr>
            <w:r>
              <w:rPr>
                <w:rFonts w:hint="eastAsia" w:ascii="宋体" w:hAnsi="宋体" w:cs="宋体"/>
                <w:color w:val="auto"/>
                <w:kern w:val="44"/>
                <w:sz w:val="24"/>
                <w:highlight w:val="none"/>
              </w:rPr>
              <w:t>1.</w:t>
            </w:r>
            <w:r>
              <w:rPr>
                <w:rFonts w:hint="eastAsia" w:ascii="宋体" w:hAnsi="宋体" w:cs="宋体"/>
                <w:color w:val="auto"/>
                <w:kern w:val="44"/>
                <w:sz w:val="24"/>
                <w:highlight w:val="none"/>
                <w:lang w:val="zh-CN"/>
              </w:rPr>
              <w:t>本项目</w:t>
            </w:r>
            <w:r>
              <w:rPr>
                <w:rFonts w:hint="eastAsia" w:ascii="宋体" w:hAnsi="宋体" w:cs="宋体"/>
                <w:color w:val="auto"/>
                <w:kern w:val="44"/>
                <w:sz w:val="24"/>
                <w:highlight w:val="none"/>
              </w:rPr>
              <w:t>非</w:t>
            </w:r>
            <w:r>
              <w:rPr>
                <w:rFonts w:hint="eastAsia" w:ascii="宋体" w:hAnsi="宋体" w:cs="宋体"/>
                <w:color w:val="auto"/>
                <w:kern w:val="44"/>
                <w:sz w:val="24"/>
                <w:highlight w:val="none"/>
                <w:lang w:val="zh-CN"/>
              </w:rPr>
              <w:t>专门面向中小企业、监狱企业及残疾人福利性单位采购项目，执行促进中小型企业发展政策（残疾人福利性企业、监狱企业视同小微企业）、优先采购节能环保产品等政府采购政策。</w:t>
            </w:r>
          </w:p>
          <w:p w14:paraId="1D61B303">
            <w:pPr>
              <w:spacing w:line="540" w:lineRule="exact"/>
              <w:ind w:firstLine="480" w:firstLineChars="200"/>
              <w:jc w:val="left"/>
              <w:rPr>
                <w:rFonts w:ascii="宋体" w:hAnsi="宋体" w:cs="宋体"/>
                <w:color w:val="auto"/>
                <w:kern w:val="44"/>
                <w:sz w:val="24"/>
                <w:highlight w:val="none"/>
              </w:rPr>
            </w:pPr>
            <w:r>
              <w:rPr>
                <w:rFonts w:hint="eastAsia" w:ascii="宋体" w:hAnsi="宋体" w:cs="宋体"/>
                <w:color w:val="auto"/>
                <w:kern w:val="44"/>
                <w:sz w:val="24"/>
                <w:highlight w:val="none"/>
              </w:rPr>
              <w:t>2.划定标准为：《工业和信息化部、国家统计局、国家发展和改革委员会、财政部关于印发&lt;中小企业划型标准规定的通知&gt;（工信部联企业〔2011〕300号）规定的划分标准为依据。</w:t>
            </w:r>
          </w:p>
          <w:p w14:paraId="481D2A58">
            <w:pPr>
              <w:spacing w:line="540" w:lineRule="exact"/>
              <w:ind w:firstLine="480" w:firstLineChars="200"/>
              <w:jc w:val="left"/>
              <w:rPr>
                <w:rFonts w:ascii="宋体" w:hAnsi="宋体" w:cs="宋体"/>
                <w:color w:val="auto"/>
                <w:kern w:val="44"/>
                <w:sz w:val="24"/>
                <w:highlight w:val="none"/>
              </w:rPr>
            </w:pPr>
            <w:r>
              <w:rPr>
                <w:rFonts w:hint="eastAsia" w:ascii="宋体" w:hAnsi="宋体" w:cs="宋体"/>
                <w:color w:val="auto"/>
                <w:kern w:val="44"/>
                <w:sz w:val="24"/>
                <w:highlight w:val="none"/>
              </w:rPr>
              <w:t>3.小微企业的认定标准详见《关于印发《政府采购促进中小企业发展管理办法》的通知》（财库〔2020〕46号）。</w:t>
            </w:r>
          </w:p>
          <w:p w14:paraId="21EE4AE9">
            <w:pPr>
              <w:spacing w:line="540" w:lineRule="exact"/>
              <w:ind w:firstLine="240" w:firstLineChars="100"/>
              <w:jc w:val="left"/>
              <w:rPr>
                <w:rFonts w:ascii="宋体" w:hAnsi="宋体" w:cs="宋体"/>
                <w:color w:val="auto"/>
                <w:kern w:val="44"/>
                <w:sz w:val="24"/>
                <w:highlight w:val="none"/>
              </w:rPr>
            </w:pPr>
            <w:r>
              <w:rPr>
                <w:rFonts w:hint="eastAsia" w:ascii="宋体" w:hAnsi="宋体" w:cs="宋体"/>
                <w:color w:val="auto"/>
                <w:kern w:val="44"/>
                <w:sz w:val="24"/>
                <w:highlight w:val="none"/>
              </w:rPr>
              <w:t>（1）小微企业认定标准：出具《中小企业声明函》。</w:t>
            </w:r>
          </w:p>
          <w:p w14:paraId="4DBC976C">
            <w:pPr>
              <w:spacing w:line="540" w:lineRule="exact"/>
              <w:ind w:firstLine="240" w:firstLineChars="100"/>
              <w:jc w:val="left"/>
              <w:rPr>
                <w:rFonts w:ascii="宋体" w:hAnsi="宋体" w:cs="宋体"/>
                <w:color w:val="auto"/>
                <w:kern w:val="44"/>
                <w:sz w:val="24"/>
                <w:highlight w:val="none"/>
              </w:rPr>
            </w:pPr>
            <w:r>
              <w:rPr>
                <w:rFonts w:hint="eastAsia" w:ascii="宋体" w:hAnsi="宋体" w:cs="宋体"/>
                <w:color w:val="auto"/>
                <w:kern w:val="44"/>
                <w:sz w:val="24"/>
                <w:highlight w:val="none"/>
              </w:rPr>
              <w:t>（2）残疾人福利性单位认定标准：出具《残疾人福利性单位声明函》。</w:t>
            </w:r>
          </w:p>
          <w:p w14:paraId="5709EEB6">
            <w:pPr>
              <w:spacing w:line="540" w:lineRule="exact"/>
              <w:ind w:firstLine="240" w:firstLineChars="100"/>
              <w:jc w:val="left"/>
              <w:rPr>
                <w:rFonts w:ascii="宋体" w:hAnsi="宋体" w:cs="宋体"/>
                <w:color w:val="auto"/>
                <w:kern w:val="44"/>
                <w:sz w:val="24"/>
                <w:highlight w:val="none"/>
              </w:rPr>
            </w:pPr>
            <w:r>
              <w:rPr>
                <w:rFonts w:hint="eastAsia" w:ascii="宋体" w:hAnsi="宋体" w:cs="宋体"/>
                <w:color w:val="auto"/>
                <w:kern w:val="44"/>
                <w:sz w:val="24"/>
                <w:highlight w:val="none"/>
              </w:rPr>
              <w:t>（3）监狱企业的认定标准：省级以上监狱管理局、戒毒管理局（含新疆生产建设兵团）出具的属于监狱企业的证明文件。</w:t>
            </w:r>
          </w:p>
          <w:p w14:paraId="3317AC36">
            <w:pPr>
              <w:spacing w:line="540" w:lineRule="exact"/>
              <w:ind w:firstLine="480" w:firstLineChars="200"/>
              <w:jc w:val="left"/>
              <w:rPr>
                <w:rFonts w:ascii="宋体" w:hAnsi="宋体" w:cs="宋体"/>
                <w:color w:val="auto"/>
                <w:kern w:val="44"/>
                <w:sz w:val="24"/>
                <w:highlight w:val="none"/>
              </w:rPr>
            </w:pPr>
            <w:r>
              <w:rPr>
                <w:rFonts w:hint="eastAsia" w:ascii="宋体" w:hAnsi="宋体" w:cs="宋体"/>
                <w:color w:val="auto"/>
                <w:kern w:val="44"/>
                <w:sz w:val="24"/>
                <w:highlight w:val="none"/>
              </w:rPr>
              <w:t>相关风险：提供虚假证明材料后果：供应商为取得上述身份而提供虚假证明材料，在评审过程中发现的，按无效标处理；已取得中标资格的，无论该行为是否影响中标，均取消其中标资格；该供应商还应承担由此引起的其他经济、法律责任。出现此种情形时，采购人、采购代理机构将有关情况上报政府采购监管部门，由监管部门按有关规定对其进行相应处罚。</w:t>
            </w:r>
          </w:p>
        </w:tc>
      </w:tr>
      <w:tr w14:paraId="1C7E33E8">
        <w:tblPrEx>
          <w:tblCellMar>
            <w:top w:w="0" w:type="dxa"/>
            <w:left w:w="108" w:type="dxa"/>
            <w:bottom w:w="0" w:type="dxa"/>
            <w:right w:w="108" w:type="dxa"/>
          </w:tblCellMar>
        </w:tblPrEx>
        <w:trPr>
          <w:trHeight w:val="520"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778B04C3">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2B429D9C">
            <w:pPr>
              <w:widowControl/>
              <w:spacing w:line="360" w:lineRule="auto"/>
              <w:jc w:val="center"/>
              <w:rPr>
                <w:rFonts w:ascii="宋体" w:hAnsi="宋体" w:cs="宋体"/>
                <w:color w:val="auto"/>
                <w:sz w:val="24"/>
                <w:highlight w:val="none"/>
              </w:rPr>
            </w:pPr>
            <w:r>
              <w:rPr>
                <w:rFonts w:hint="eastAsia" w:ascii="宋体" w:hAnsi="宋体" w:cs="宋体"/>
                <w:color w:val="auto"/>
                <w:sz w:val="24"/>
                <w:highlight w:val="none"/>
              </w:rPr>
              <w:t>知识产权</w:t>
            </w:r>
          </w:p>
        </w:tc>
        <w:tc>
          <w:tcPr>
            <w:tcW w:w="6291" w:type="dxa"/>
            <w:tcBorders>
              <w:top w:val="single" w:color="auto" w:sz="4" w:space="0"/>
              <w:left w:val="single" w:color="auto" w:sz="4" w:space="0"/>
              <w:bottom w:val="single" w:color="auto" w:sz="4" w:space="0"/>
              <w:right w:val="single" w:color="auto" w:sz="4" w:space="0"/>
            </w:tcBorders>
            <w:vAlign w:val="center"/>
          </w:tcPr>
          <w:p w14:paraId="35A52B63">
            <w:pPr>
              <w:spacing w:line="360" w:lineRule="auto"/>
              <w:rPr>
                <w:rFonts w:ascii="宋体" w:hAnsi="宋体" w:cs="宋体"/>
                <w:color w:val="auto"/>
                <w:kern w:val="44"/>
                <w:sz w:val="24"/>
                <w:highlight w:val="none"/>
              </w:rPr>
            </w:pPr>
            <w:r>
              <w:rPr>
                <w:rFonts w:hint="eastAsia" w:ascii="宋体" w:hAnsi="宋体" w:cs="宋体"/>
                <w:color w:val="auto"/>
                <w:sz w:val="24"/>
                <w:highlight w:val="none"/>
              </w:rPr>
              <w:t>构成本竞争性磋商文件各个组成部分的文件，未经招标人书面同意，投标人不得擅自复印和用于非本招标项目所需的其他目的。招标人全部或者部分使用未成交人投标文件中的技术成果或技术方案时，需征得其书面同意，并不得擅自复印或提供给第三人</w:t>
            </w:r>
          </w:p>
        </w:tc>
      </w:tr>
      <w:tr w14:paraId="7A598168">
        <w:tblPrEx>
          <w:tblCellMar>
            <w:top w:w="0" w:type="dxa"/>
            <w:left w:w="108" w:type="dxa"/>
            <w:bottom w:w="0" w:type="dxa"/>
            <w:right w:w="108" w:type="dxa"/>
          </w:tblCellMar>
        </w:tblPrEx>
        <w:trPr>
          <w:trHeight w:val="520"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309A14F0">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222203DF">
            <w:pPr>
              <w:widowControl/>
              <w:spacing w:line="360" w:lineRule="auto"/>
              <w:jc w:val="center"/>
              <w:rPr>
                <w:rFonts w:ascii="宋体" w:hAnsi="宋体" w:cs="宋体"/>
                <w:color w:val="auto"/>
                <w:sz w:val="24"/>
                <w:highlight w:val="none"/>
              </w:rPr>
            </w:pPr>
            <w:r>
              <w:rPr>
                <w:rFonts w:hint="eastAsia" w:ascii="宋体" w:hAnsi="宋体" w:cs="宋体"/>
                <w:color w:val="auto"/>
                <w:sz w:val="24"/>
                <w:highlight w:val="none"/>
              </w:rPr>
              <w:t>监督</w:t>
            </w:r>
          </w:p>
        </w:tc>
        <w:tc>
          <w:tcPr>
            <w:tcW w:w="6291" w:type="dxa"/>
            <w:tcBorders>
              <w:top w:val="single" w:color="auto" w:sz="4" w:space="0"/>
              <w:left w:val="single" w:color="auto" w:sz="4" w:space="0"/>
              <w:bottom w:val="single" w:color="auto" w:sz="4" w:space="0"/>
              <w:right w:val="single" w:color="auto" w:sz="4" w:space="0"/>
            </w:tcBorders>
            <w:vAlign w:val="center"/>
          </w:tcPr>
          <w:p w14:paraId="0DFB3CD5">
            <w:pPr>
              <w:spacing w:line="360" w:lineRule="auto"/>
              <w:rPr>
                <w:rFonts w:ascii="宋体" w:hAnsi="宋体" w:cs="宋体"/>
                <w:color w:val="auto"/>
                <w:kern w:val="44"/>
                <w:sz w:val="24"/>
                <w:highlight w:val="none"/>
              </w:rPr>
            </w:pPr>
            <w:r>
              <w:rPr>
                <w:rFonts w:hint="eastAsia" w:ascii="宋体" w:hAnsi="宋体" w:cs="宋体"/>
                <w:color w:val="auto"/>
                <w:sz w:val="24"/>
                <w:highlight w:val="none"/>
              </w:rPr>
              <w:t>本项目的招标投标活动及其相关当事人应当接受有管辖权的建设工程招标投标行政监督部门依法实施的监督</w:t>
            </w:r>
          </w:p>
        </w:tc>
      </w:tr>
      <w:tr w14:paraId="07964C74">
        <w:tblPrEx>
          <w:tblCellMar>
            <w:top w:w="0" w:type="dxa"/>
            <w:left w:w="108" w:type="dxa"/>
            <w:bottom w:w="0" w:type="dxa"/>
            <w:right w:w="108" w:type="dxa"/>
          </w:tblCellMar>
        </w:tblPrEx>
        <w:trPr>
          <w:trHeight w:val="520"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56C65E4D">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131CA2FE">
            <w:pPr>
              <w:widowControl/>
              <w:spacing w:line="360" w:lineRule="auto"/>
              <w:jc w:val="center"/>
              <w:rPr>
                <w:rFonts w:ascii="宋体" w:hAnsi="宋体" w:cs="宋体"/>
                <w:color w:val="auto"/>
                <w:sz w:val="24"/>
                <w:highlight w:val="none"/>
              </w:rPr>
            </w:pPr>
            <w:r>
              <w:rPr>
                <w:rFonts w:hint="eastAsia" w:ascii="宋体" w:hAnsi="宋体" w:cs="宋体"/>
                <w:color w:val="auto"/>
                <w:sz w:val="24"/>
                <w:highlight w:val="none"/>
              </w:rPr>
              <w:t>解释权</w:t>
            </w:r>
          </w:p>
        </w:tc>
        <w:tc>
          <w:tcPr>
            <w:tcW w:w="6291" w:type="dxa"/>
            <w:tcBorders>
              <w:top w:val="single" w:color="auto" w:sz="4" w:space="0"/>
              <w:left w:val="single" w:color="auto" w:sz="4" w:space="0"/>
              <w:bottom w:val="single" w:color="auto" w:sz="4" w:space="0"/>
              <w:right w:val="single" w:color="auto" w:sz="4" w:space="0"/>
            </w:tcBorders>
            <w:vAlign w:val="center"/>
          </w:tcPr>
          <w:p w14:paraId="4CA596C8">
            <w:pPr>
              <w:spacing w:line="360" w:lineRule="auto"/>
              <w:rPr>
                <w:rFonts w:ascii="宋体" w:hAnsi="宋体" w:cs="宋体"/>
                <w:color w:val="auto"/>
                <w:kern w:val="44"/>
                <w:sz w:val="24"/>
                <w:highlight w:val="none"/>
              </w:rPr>
            </w:pPr>
            <w:r>
              <w:rPr>
                <w:rFonts w:hint="eastAsia" w:ascii="宋体" w:hAnsi="宋体" w:cs="宋体"/>
                <w:color w:val="auto"/>
                <w:sz w:val="24"/>
                <w:highlight w:val="none"/>
              </w:rPr>
              <w:t>构成本竞争性磋商文件的各个组成部分应互为解释，互为说明，如有不明确或不一致，构成合同文件组成内容，以合同文件约定内容为准，且以专用合同草案约定的合同文件优先顺序解释；除竞争性磋商文件中有特别规定外，仅适用于招标投标阶段的规定，按招标公告（投标邀请书）、评标办法、投标文件格式的先后顺序解释；同一组成文件中就同一事项的规定或约定不一致的，以编排顺序在后者为准；同一组成文件不同版本之间有不一致的，已形成时间在后者为准。按本款前述规定仍不能形成结论的，由招标人或委托代理机构负责解释。</w:t>
            </w:r>
          </w:p>
        </w:tc>
      </w:tr>
      <w:tr w14:paraId="1DE1B175">
        <w:tblPrEx>
          <w:tblCellMar>
            <w:top w:w="0" w:type="dxa"/>
            <w:left w:w="108" w:type="dxa"/>
            <w:bottom w:w="0" w:type="dxa"/>
            <w:right w:w="108" w:type="dxa"/>
          </w:tblCellMar>
        </w:tblPrEx>
        <w:trPr>
          <w:trHeight w:val="520"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2BFFB0CB">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0B2E2D7F">
            <w:pPr>
              <w:widowControl/>
              <w:spacing w:line="360" w:lineRule="auto"/>
              <w:jc w:val="center"/>
              <w:rPr>
                <w:rFonts w:ascii="宋体" w:hAnsi="宋体" w:cs="宋体"/>
                <w:color w:val="auto"/>
                <w:sz w:val="24"/>
                <w:highlight w:val="none"/>
              </w:rPr>
            </w:pPr>
            <w:r>
              <w:rPr>
                <w:rFonts w:hint="eastAsia" w:ascii="宋体" w:hAnsi="宋体" w:cs="宋体"/>
                <w:color w:val="auto"/>
                <w:sz w:val="24"/>
                <w:highlight w:val="none"/>
              </w:rPr>
              <w:t>同义词语</w:t>
            </w:r>
          </w:p>
        </w:tc>
        <w:tc>
          <w:tcPr>
            <w:tcW w:w="6291" w:type="dxa"/>
            <w:tcBorders>
              <w:top w:val="single" w:color="auto" w:sz="4" w:space="0"/>
              <w:left w:val="single" w:color="auto" w:sz="4" w:space="0"/>
              <w:bottom w:val="single" w:color="auto" w:sz="4" w:space="0"/>
              <w:right w:val="single" w:color="auto" w:sz="4" w:space="0"/>
            </w:tcBorders>
            <w:vAlign w:val="center"/>
          </w:tcPr>
          <w:p w14:paraId="05941B23">
            <w:pPr>
              <w:spacing w:line="360" w:lineRule="auto"/>
              <w:rPr>
                <w:rFonts w:ascii="宋体" w:hAnsi="宋体" w:cs="宋体"/>
                <w:color w:val="auto"/>
                <w:kern w:val="44"/>
                <w:sz w:val="24"/>
                <w:highlight w:val="none"/>
              </w:rPr>
            </w:pPr>
            <w:r>
              <w:rPr>
                <w:rFonts w:hint="eastAsia" w:ascii="宋体" w:hAnsi="宋体" w:cs="宋体"/>
                <w:color w:val="auto"/>
                <w:sz w:val="24"/>
                <w:highlight w:val="none"/>
              </w:rPr>
              <w:t xml:space="preserve">  构成竞争性磋商文件组成部分的“通用合同条款”、“专用合同条款”、“技术标准和要求”等章节中出现的措辞“发包人”和“承包人”，在招标投标阶段应当分别按“招标人”和“投标人”进行理解。</w:t>
            </w:r>
          </w:p>
        </w:tc>
      </w:tr>
      <w:tr w14:paraId="738EE14B">
        <w:tblPrEx>
          <w:tblCellMar>
            <w:top w:w="0" w:type="dxa"/>
            <w:left w:w="108" w:type="dxa"/>
            <w:bottom w:w="0" w:type="dxa"/>
            <w:right w:w="108" w:type="dxa"/>
          </w:tblCellMar>
        </w:tblPrEx>
        <w:trPr>
          <w:trHeight w:val="520"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7661A1A1">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1A828C4F">
            <w:pPr>
              <w:widowControl/>
              <w:spacing w:line="360" w:lineRule="auto"/>
              <w:jc w:val="center"/>
              <w:rPr>
                <w:rFonts w:ascii="宋体" w:hAnsi="宋体" w:cs="宋体"/>
                <w:color w:val="auto"/>
                <w:sz w:val="24"/>
                <w:highlight w:val="none"/>
              </w:rPr>
            </w:pPr>
            <w:r>
              <w:rPr>
                <w:rFonts w:hint="eastAsia" w:ascii="宋体" w:hAnsi="宋体" w:cs="宋体"/>
                <w:color w:val="auto"/>
                <w:sz w:val="24"/>
                <w:highlight w:val="none"/>
              </w:rPr>
              <w:t>具体要求</w:t>
            </w:r>
          </w:p>
        </w:tc>
        <w:tc>
          <w:tcPr>
            <w:tcW w:w="6291" w:type="dxa"/>
            <w:tcBorders>
              <w:top w:val="single" w:color="auto" w:sz="4" w:space="0"/>
              <w:left w:val="single" w:color="auto" w:sz="4" w:space="0"/>
              <w:bottom w:val="single" w:color="auto" w:sz="4" w:space="0"/>
              <w:right w:val="single" w:color="auto" w:sz="4" w:space="0"/>
            </w:tcBorders>
            <w:vAlign w:val="center"/>
          </w:tcPr>
          <w:p w14:paraId="1D4D7F0E">
            <w:pPr>
              <w:spacing w:line="360" w:lineRule="auto"/>
              <w:rPr>
                <w:rFonts w:ascii="宋体" w:hAnsi="宋体" w:cs="宋体"/>
                <w:color w:val="auto"/>
                <w:sz w:val="24"/>
                <w:highlight w:val="none"/>
              </w:rPr>
            </w:pPr>
            <w:r>
              <w:rPr>
                <w:rFonts w:hint="eastAsia" w:ascii="宋体" w:hAnsi="宋体" w:cs="宋体"/>
                <w:color w:val="auto"/>
                <w:sz w:val="24"/>
                <w:highlight w:val="none"/>
              </w:rPr>
              <w:t>本项目为电子化、无纸化交易项目，投标文件是投标人、响应人（以下简称“投标人”）通过中心投标文件制作系统制作，并经过签章和加密后生成的电子版投标文件。</w:t>
            </w:r>
          </w:p>
          <w:p w14:paraId="410FF315">
            <w:pPr>
              <w:spacing w:line="360" w:lineRule="auto"/>
              <w:rPr>
                <w:rFonts w:ascii="宋体" w:hAnsi="宋体" w:cs="宋体"/>
                <w:color w:val="auto"/>
                <w:sz w:val="24"/>
                <w:highlight w:val="none"/>
              </w:rPr>
            </w:pPr>
            <w:r>
              <w:rPr>
                <w:rFonts w:hint="eastAsia" w:ascii="宋体" w:hAnsi="宋体" w:cs="宋体"/>
                <w:color w:val="auto"/>
                <w:sz w:val="24"/>
                <w:highlight w:val="none"/>
              </w:rPr>
              <w:t>电子化投标文件具体制作文件请点击https://download.bqpoint.com/download/downloaddetail.html?SourceFrom=Ztb&amp;ZtbSoftXiaQuCode=1506&amp;ZtbSoftType=tballinclusive进行下载。</w:t>
            </w:r>
          </w:p>
          <w:p w14:paraId="1BED52E9">
            <w:pPr>
              <w:spacing w:line="360" w:lineRule="auto"/>
              <w:rPr>
                <w:rFonts w:ascii="宋体" w:hAnsi="宋体" w:cs="宋体"/>
                <w:color w:val="auto"/>
                <w:sz w:val="24"/>
                <w:highlight w:val="none"/>
              </w:rPr>
            </w:pPr>
            <w:r>
              <w:rPr>
                <w:rFonts w:hint="eastAsia" w:ascii="宋体" w:hAnsi="宋体" w:cs="宋体"/>
                <w:color w:val="auto"/>
                <w:sz w:val="24"/>
                <w:highlight w:val="none"/>
              </w:rPr>
              <w:t>温馨提示：本项目为电子化、无纸化交易项目，为保证您能投标成功，请需仔细阅读以下条款。</w:t>
            </w:r>
          </w:p>
          <w:p w14:paraId="7A9265CB">
            <w:pPr>
              <w:spacing w:line="360" w:lineRule="auto"/>
              <w:rPr>
                <w:rFonts w:ascii="宋体" w:hAnsi="宋体" w:cs="宋体"/>
                <w:color w:val="auto"/>
                <w:sz w:val="24"/>
                <w:highlight w:val="none"/>
              </w:rPr>
            </w:pPr>
            <w:r>
              <w:rPr>
                <w:rFonts w:hint="eastAsia" w:ascii="宋体" w:hAnsi="宋体" w:cs="宋体"/>
                <w:color w:val="auto"/>
                <w:sz w:val="24"/>
                <w:highlight w:val="none"/>
              </w:rPr>
              <w:t>一、电子化投标</w:t>
            </w:r>
          </w:p>
          <w:p w14:paraId="5D5822F1">
            <w:pPr>
              <w:spacing w:line="360" w:lineRule="auto"/>
              <w:rPr>
                <w:rFonts w:ascii="宋体" w:hAnsi="宋体" w:cs="宋体"/>
                <w:color w:val="auto"/>
                <w:sz w:val="24"/>
                <w:highlight w:val="none"/>
              </w:rPr>
            </w:pPr>
            <w:r>
              <w:rPr>
                <w:rFonts w:hint="eastAsia" w:ascii="宋体" w:hAnsi="宋体" w:cs="宋体"/>
                <w:color w:val="auto"/>
                <w:sz w:val="24"/>
                <w:highlight w:val="none"/>
              </w:rPr>
              <w:t>（一）电子化投标文件的签章</w:t>
            </w:r>
          </w:p>
          <w:p w14:paraId="19415DAE">
            <w:pPr>
              <w:spacing w:line="360" w:lineRule="auto"/>
              <w:rPr>
                <w:rFonts w:ascii="宋体" w:hAnsi="宋体" w:cs="宋体"/>
                <w:color w:val="auto"/>
                <w:sz w:val="24"/>
                <w:highlight w:val="none"/>
              </w:rPr>
            </w:pPr>
            <w:r>
              <w:rPr>
                <w:rFonts w:hint="eastAsia" w:ascii="宋体" w:hAnsi="宋体" w:cs="宋体"/>
                <w:color w:val="auto"/>
                <w:sz w:val="24"/>
                <w:highlight w:val="none"/>
              </w:rPr>
              <w:t>1、投标人在生成电子化投标文件后，应对电子化投标文件进行签章，未进行签章的视为无效投标。</w:t>
            </w:r>
          </w:p>
          <w:p w14:paraId="7BB3A5CA">
            <w:pPr>
              <w:spacing w:line="360" w:lineRule="auto"/>
              <w:rPr>
                <w:rFonts w:ascii="宋体" w:hAnsi="宋体" w:cs="宋体"/>
                <w:color w:val="auto"/>
                <w:sz w:val="24"/>
                <w:highlight w:val="none"/>
              </w:rPr>
            </w:pPr>
            <w:r>
              <w:rPr>
                <w:rFonts w:hint="eastAsia" w:ascii="宋体" w:hAnsi="宋体" w:cs="宋体"/>
                <w:color w:val="auto"/>
                <w:sz w:val="24"/>
                <w:highlight w:val="none"/>
              </w:rPr>
              <w:t>2、文件中要求盖单位章的位置投标人应使用CA数字证书签盖投标人的单位电子印章；要求法定代表人签字或盖章的地方，投标人应使用CA数字证书签盖法定代表人的个人电子印章为准。要求委托代理人签字或盖章的以委托代理人签字或盖章为准；</w:t>
            </w:r>
          </w:p>
          <w:p w14:paraId="35EC1E76">
            <w:pPr>
              <w:spacing w:line="360" w:lineRule="auto"/>
              <w:rPr>
                <w:rFonts w:ascii="宋体" w:hAnsi="宋体" w:cs="宋体"/>
                <w:color w:val="auto"/>
                <w:sz w:val="24"/>
                <w:highlight w:val="none"/>
              </w:rPr>
            </w:pPr>
            <w:r>
              <w:rPr>
                <w:rFonts w:hint="eastAsia" w:ascii="宋体" w:hAnsi="宋体" w:cs="宋体"/>
                <w:color w:val="auto"/>
                <w:sz w:val="24"/>
                <w:highlight w:val="none"/>
              </w:rPr>
              <w:t>（二）电子化投标文件的格式及上传投标</w:t>
            </w:r>
          </w:p>
          <w:p w14:paraId="3E5953E2">
            <w:pPr>
              <w:spacing w:line="360" w:lineRule="auto"/>
              <w:rPr>
                <w:rFonts w:ascii="宋体" w:hAnsi="宋体" w:cs="宋体"/>
                <w:color w:val="auto"/>
                <w:sz w:val="24"/>
                <w:highlight w:val="none"/>
              </w:rPr>
            </w:pPr>
            <w:r>
              <w:rPr>
                <w:rFonts w:hint="eastAsia" w:ascii="宋体" w:hAnsi="宋体" w:cs="宋体"/>
                <w:color w:val="auto"/>
                <w:sz w:val="24"/>
                <w:highlight w:val="none"/>
              </w:rPr>
              <w:t>1、投标人所上传的电子化投标文件，应是通过中心投标文件制作系统制作的（投标文件制作工具下载地址：https://download.bqpoint.com/download/downloaddetail.html?SourceFrom=Ztb&amp;ZtbSoftXiaQuCode=1506&amp;ZtbSoftType=tballinclusive），经过签章和加密后生成的电子版投标文件。其中包含用于投标文件上传的主文件（后缀为.smxtf）和用于应急补救的投标文件备份文件（后缀为.nsmxtf）。备份文件主要用于电子化开标出现技术问题后的补救，请投标人随身携带。</w:t>
            </w:r>
          </w:p>
          <w:p w14:paraId="03F3D5BA">
            <w:pPr>
              <w:spacing w:line="360" w:lineRule="auto"/>
              <w:rPr>
                <w:rFonts w:ascii="宋体" w:hAnsi="宋体" w:cs="宋体"/>
                <w:color w:val="auto"/>
                <w:sz w:val="24"/>
                <w:highlight w:val="none"/>
              </w:rPr>
            </w:pPr>
            <w:r>
              <w:rPr>
                <w:rFonts w:hint="eastAsia" w:ascii="宋体" w:hAnsi="宋体" w:cs="宋体"/>
                <w:color w:val="auto"/>
                <w:sz w:val="24"/>
                <w:highlight w:val="none"/>
              </w:rPr>
              <w:t>2、电子化投标文件应在投标截止时间前成功上传至三门峡市公共资源电子化交易系统。至投标截止时间止，仍未上传成功的电子化投标文件将不予接收。</w:t>
            </w:r>
          </w:p>
          <w:p w14:paraId="3C5B0521">
            <w:pPr>
              <w:spacing w:line="360" w:lineRule="auto"/>
              <w:rPr>
                <w:rFonts w:ascii="宋体" w:hAnsi="宋体" w:cs="宋体"/>
                <w:color w:val="auto"/>
                <w:sz w:val="24"/>
                <w:highlight w:val="none"/>
              </w:rPr>
            </w:pPr>
            <w:r>
              <w:rPr>
                <w:rFonts w:hint="eastAsia" w:ascii="宋体" w:hAnsi="宋体" w:cs="宋体"/>
                <w:color w:val="auto"/>
                <w:sz w:val="24"/>
                <w:highlight w:val="none"/>
              </w:rPr>
              <w:t>注：如按照电子化投标操作教材制作完成的电子化投标文件无法上传的，投标人应在投标截止时间前尽早的联系中心技术人员，以便有充分的时间进行处理。投标人应充分考虑到处理技术问题和上传数据等工作所需的时间问题，投标文件未在投标截止时间前成功上传的，其投标文件不予接收。</w:t>
            </w:r>
          </w:p>
          <w:p w14:paraId="0AE0A48C">
            <w:pPr>
              <w:spacing w:line="360" w:lineRule="auto"/>
              <w:rPr>
                <w:rFonts w:ascii="宋体" w:hAnsi="宋体" w:cs="宋体"/>
                <w:color w:val="auto"/>
                <w:sz w:val="24"/>
                <w:highlight w:val="none"/>
              </w:rPr>
            </w:pPr>
            <w:r>
              <w:rPr>
                <w:rFonts w:hint="eastAsia" w:ascii="宋体" w:hAnsi="宋体" w:cs="宋体"/>
                <w:color w:val="auto"/>
                <w:sz w:val="24"/>
                <w:highlight w:val="none"/>
              </w:rPr>
              <w:t>技术联系电话：0398-3117871</w:t>
            </w:r>
          </w:p>
          <w:p w14:paraId="6715555D">
            <w:pPr>
              <w:spacing w:line="360" w:lineRule="auto"/>
              <w:rPr>
                <w:rFonts w:ascii="宋体" w:hAnsi="宋体" w:cs="宋体"/>
                <w:color w:val="auto"/>
                <w:sz w:val="24"/>
                <w:highlight w:val="none"/>
              </w:rPr>
            </w:pPr>
            <w:r>
              <w:rPr>
                <w:rFonts w:hint="eastAsia" w:ascii="宋体" w:hAnsi="宋体" w:cs="宋体"/>
                <w:color w:val="auto"/>
                <w:sz w:val="24"/>
                <w:highlight w:val="none"/>
              </w:rPr>
              <w:t>（三）电子化项目开标、解密、唱标、评标</w:t>
            </w:r>
          </w:p>
          <w:p w14:paraId="3878CE11">
            <w:pPr>
              <w:spacing w:line="360" w:lineRule="auto"/>
              <w:rPr>
                <w:rFonts w:ascii="宋体" w:hAnsi="宋体" w:cs="宋体"/>
                <w:color w:val="auto"/>
                <w:sz w:val="24"/>
                <w:highlight w:val="none"/>
              </w:rPr>
            </w:pPr>
            <w:r>
              <w:rPr>
                <w:rFonts w:hint="eastAsia" w:ascii="宋体" w:hAnsi="宋体" w:cs="宋体"/>
                <w:color w:val="auto"/>
                <w:sz w:val="24"/>
                <w:highlight w:val="none"/>
              </w:rPr>
              <w:t>1、本项目采用电子化、无纸化进行招标，开标当日，投标人无需到开标现场参加开标会议，投标人应当在投标截止时间前，登陆不见面开标大厅选择登陆三门峡市公共资源电子招投标系统进行登陆（网址为</w:t>
            </w:r>
            <w:r>
              <w:rPr>
                <w:rFonts w:hint="eastAsia" w:ascii="宋体" w:hAnsi="宋体" w:cs="宋体"/>
                <w:color w:val="auto"/>
                <w:sz w:val="24"/>
                <w:highlight w:val="none"/>
                <w:lang w:eastAsia="zh-CN"/>
              </w:rPr>
              <w:t>http://120.194.249.36:10094/BidOpening/bidopeninghallaction/hall/login</w:t>
            </w:r>
            <w:r>
              <w:rPr>
                <w:rFonts w:hint="eastAsia" w:ascii="宋体" w:hAnsi="宋体" w:cs="宋体"/>
                <w:color w:val="auto"/>
                <w:sz w:val="24"/>
                <w:highlight w:val="none"/>
              </w:rPr>
              <w:t>）,在线准时参加开标活动并进行投标文件解密等</w:t>
            </w:r>
          </w:p>
          <w:p w14:paraId="0D8630A1">
            <w:pPr>
              <w:spacing w:line="360" w:lineRule="auto"/>
              <w:rPr>
                <w:rFonts w:ascii="宋体" w:hAnsi="宋体" w:cs="宋体"/>
                <w:color w:val="auto"/>
                <w:sz w:val="24"/>
                <w:highlight w:val="none"/>
              </w:rPr>
            </w:pPr>
            <w:r>
              <w:rPr>
                <w:rFonts w:hint="eastAsia" w:ascii="宋体" w:hAnsi="宋体" w:cs="宋体"/>
                <w:color w:val="auto"/>
                <w:sz w:val="24"/>
                <w:highlight w:val="none"/>
              </w:rPr>
              <w:t>2、电子化投标文件采用一次加密方式。开标时，由投标人使用CA 证书，在规定时间内对其电子化投标文件进行解密。每位投标人的解密时间为开标时间起30 分钟内，如在规定时间内未完成解密的，其投标文件不予开标、唱标。</w:t>
            </w:r>
          </w:p>
          <w:p w14:paraId="70044AC8">
            <w:pPr>
              <w:spacing w:line="360" w:lineRule="auto"/>
              <w:rPr>
                <w:rFonts w:ascii="宋体" w:hAnsi="宋体" w:cs="宋体"/>
                <w:color w:val="auto"/>
                <w:sz w:val="24"/>
                <w:highlight w:val="none"/>
              </w:rPr>
            </w:pPr>
            <w:r>
              <w:rPr>
                <w:rFonts w:hint="eastAsia" w:ascii="宋体" w:hAnsi="宋体" w:cs="宋体"/>
                <w:color w:val="auto"/>
                <w:sz w:val="24"/>
                <w:highlight w:val="none"/>
              </w:rPr>
              <w:t>3、电子化投标文件解密异常的处理</w:t>
            </w:r>
          </w:p>
          <w:p w14:paraId="6FB5C0A2">
            <w:pPr>
              <w:spacing w:line="360" w:lineRule="auto"/>
              <w:rPr>
                <w:rFonts w:ascii="宋体" w:hAnsi="宋体" w:cs="宋体"/>
                <w:color w:val="auto"/>
                <w:sz w:val="24"/>
                <w:highlight w:val="none"/>
              </w:rPr>
            </w:pPr>
            <w:r>
              <w:rPr>
                <w:rFonts w:hint="eastAsia" w:ascii="宋体" w:hAnsi="宋体" w:cs="宋体"/>
                <w:color w:val="auto"/>
                <w:sz w:val="24"/>
                <w:highlight w:val="none"/>
              </w:rPr>
              <w:t>如出现投标人的电子投标文件无法解密等异常情况，投标人应及时致电中介服务机构说明。投标文件异常，按以下步骤进行处理：</w:t>
            </w:r>
          </w:p>
          <w:p w14:paraId="2AABE8EF">
            <w:pPr>
              <w:spacing w:line="360" w:lineRule="auto"/>
              <w:rPr>
                <w:rFonts w:ascii="宋体" w:hAnsi="宋体" w:cs="宋体"/>
                <w:color w:val="auto"/>
                <w:sz w:val="24"/>
                <w:highlight w:val="none"/>
              </w:rPr>
            </w:pPr>
            <w:r>
              <w:rPr>
                <w:rFonts w:hint="eastAsia" w:ascii="宋体" w:hAnsi="宋体" w:cs="宋体"/>
                <w:color w:val="auto"/>
                <w:sz w:val="24"/>
                <w:highlight w:val="none"/>
              </w:rPr>
              <w:t>（1）首先由技术人员进行问题排查。</w:t>
            </w:r>
          </w:p>
          <w:p w14:paraId="2013E9D3">
            <w:pPr>
              <w:spacing w:line="360" w:lineRule="auto"/>
              <w:rPr>
                <w:rFonts w:ascii="宋体" w:hAnsi="宋体" w:cs="宋体"/>
                <w:color w:val="auto"/>
                <w:sz w:val="24"/>
                <w:highlight w:val="none"/>
              </w:rPr>
            </w:pPr>
            <w:r>
              <w:rPr>
                <w:rFonts w:hint="eastAsia" w:ascii="宋体" w:hAnsi="宋体" w:cs="宋体"/>
                <w:color w:val="auto"/>
                <w:sz w:val="24"/>
                <w:highlight w:val="none"/>
              </w:rPr>
              <w:t>（2）经技术人员排查后，是投标人文件自身问题导致投标文件无法解密的，该投标文件将不予接收、解密和唱标。开标会议继续进行。</w:t>
            </w:r>
          </w:p>
          <w:p w14:paraId="36FE04B1">
            <w:pPr>
              <w:spacing w:line="360" w:lineRule="auto"/>
              <w:rPr>
                <w:rFonts w:ascii="宋体" w:hAnsi="宋体" w:cs="宋体"/>
                <w:color w:val="auto"/>
                <w:sz w:val="24"/>
                <w:highlight w:val="none"/>
              </w:rPr>
            </w:pPr>
            <w:r>
              <w:rPr>
                <w:rFonts w:hint="eastAsia" w:ascii="宋体" w:hAnsi="宋体" w:cs="宋体"/>
                <w:color w:val="auto"/>
                <w:sz w:val="24"/>
                <w:highlight w:val="none"/>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4A06C740">
            <w:pPr>
              <w:spacing w:line="360" w:lineRule="auto"/>
              <w:rPr>
                <w:rFonts w:ascii="宋体" w:hAnsi="宋体" w:cs="宋体"/>
                <w:color w:val="auto"/>
                <w:sz w:val="24"/>
                <w:highlight w:val="none"/>
              </w:rPr>
            </w:pPr>
            <w:r>
              <w:rPr>
                <w:rFonts w:hint="eastAsia" w:ascii="宋体" w:hAnsi="宋体" w:cs="宋体"/>
                <w:color w:val="auto"/>
                <w:sz w:val="24"/>
                <w:highlight w:val="none"/>
              </w:rPr>
              <w:t>4、待所有投标人投标文件解密完成后，由中介服务机构操作，对所有已解密投标文件进行唱标。</w:t>
            </w:r>
          </w:p>
          <w:p w14:paraId="0116D100">
            <w:pPr>
              <w:spacing w:line="360" w:lineRule="auto"/>
              <w:rPr>
                <w:rFonts w:ascii="宋体" w:hAnsi="宋体" w:cs="宋体"/>
                <w:color w:val="auto"/>
                <w:sz w:val="24"/>
                <w:highlight w:val="none"/>
              </w:rPr>
            </w:pPr>
            <w:r>
              <w:rPr>
                <w:rFonts w:hint="eastAsia" w:ascii="宋体" w:hAnsi="宋体" w:cs="宋体"/>
                <w:color w:val="auto"/>
                <w:sz w:val="24"/>
                <w:highlight w:val="none"/>
              </w:rPr>
              <w:t>投标人应保证在开标期间电话、电脑、网络能够正常工作，投标人因停电、电脑病毒、网络堵塞等原因，未在规定的解密时间内对投标文件进行解密的，其投标文件不予接收、唱标。</w:t>
            </w:r>
          </w:p>
          <w:p w14:paraId="635C8BF2">
            <w:pPr>
              <w:spacing w:line="360" w:lineRule="auto"/>
              <w:rPr>
                <w:rFonts w:ascii="宋体" w:hAnsi="宋体" w:cs="宋体"/>
                <w:color w:val="auto"/>
                <w:sz w:val="24"/>
                <w:highlight w:val="none"/>
              </w:rPr>
            </w:pPr>
            <w:r>
              <w:rPr>
                <w:rFonts w:hint="eastAsia" w:ascii="宋体" w:hAnsi="宋体" w:cs="宋体"/>
                <w:color w:val="auto"/>
                <w:sz w:val="24"/>
                <w:highlight w:val="none"/>
              </w:rPr>
              <w:t>5、开标时投标人可登录到交易系统中在开标解密栏中点击报价一览表查看自己的投标报价。如对自己的唱标内容有异议的，应在投标人解密成功后10分钟内向中介服务机构电话质疑。中介服务机构应在监督人员的监督下进行免提通话接受投标人的质疑并做好书面记录。投标人未在规定时间内提出质疑的，视为认可唱标内容。</w:t>
            </w:r>
          </w:p>
          <w:p w14:paraId="70719D6D">
            <w:pPr>
              <w:spacing w:line="360" w:lineRule="auto"/>
              <w:rPr>
                <w:rFonts w:ascii="宋体" w:hAnsi="宋体" w:cs="宋体"/>
                <w:color w:val="auto"/>
                <w:sz w:val="24"/>
                <w:highlight w:val="none"/>
              </w:rPr>
            </w:pPr>
            <w:r>
              <w:rPr>
                <w:rFonts w:hint="eastAsia" w:ascii="宋体" w:hAnsi="宋体" w:cs="宋体"/>
                <w:color w:val="auto"/>
                <w:sz w:val="24"/>
                <w:highlight w:val="none"/>
              </w:rPr>
              <w:t>6、评标时，磋商小组对电子化投标文件有质疑的，将通过电子化交易系统对投标人发起质疑，并在监督人员的监督下，用免提模式致电需要答复的投标人对质疑进行回复。投标人的回复文件必须以经过投标人和其法定代表人签章的PDF格式文件为准，并通过电子化交易系统提交至磋商小组。</w:t>
            </w:r>
          </w:p>
          <w:p w14:paraId="51B15416">
            <w:pPr>
              <w:spacing w:line="360" w:lineRule="auto"/>
              <w:rPr>
                <w:rFonts w:ascii="宋体" w:hAnsi="宋体" w:cs="宋体"/>
                <w:color w:val="auto"/>
                <w:sz w:val="24"/>
                <w:highlight w:val="none"/>
              </w:rPr>
            </w:pPr>
            <w:r>
              <w:rPr>
                <w:rFonts w:hint="eastAsia" w:ascii="宋体" w:hAnsi="宋体" w:cs="宋体"/>
                <w:color w:val="auto"/>
                <w:sz w:val="24"/>
                <w:highlight w:val="none"/>
              </w:rPr>
              <w:t>7、如磋商小组对需要回复的投标人连续三次致电未接通的，视为投标人放弃回复，磋商小组将自行对需要回复的内容进行认定。</w:t>
            </w:r>
          </w:p>
          <w:p w14:paraId="1AF3A2A4">
            <w:pPr>
              <w:spacing w:line="360" w:lineRule="auto"/>
              <w:rPr>
                <w:rFonts w:ascii="宋体" w:hAnsi="宋体" w:cs="宋体"/>
                <w:color w:val="auto"/>
                <w:sz w:val="24"/>
                <w:highlight w:val="none"/>
              </w:rPr>
            </w:pPr>
            <w:r>
              <w:rPr>
                <w:rFonts w:hint="eastAsia" w:ascii="宋体" w:hAnsi="宋体" w:cs="宋体"/>
                <w:color w:val="auto"/>
                <w:sz w:val="24"/>
                <w:highlight w:val="none"/>
              </w:rPr>
              <w:t>二、投标文件的提交</w:t>
            </w:r>
          </w:p>
          <w:p w14:paraId="0FB32E78">
            <w:pPr>
              <w:spacing w:line="360" w:lineRule="auto"/>
              <w:rPr>
                <w:rFonts w:ascii="宋体" w:hAnsi="宋体" w:cs="宋体"/>
                <w:color w:val="auto"/>
                <w:sz w:val="24"/>
                <w:highlight w:val="none"/>
              </w:rPr>
            </w:pPr>
            <w:r>
              <w:rPr>
                <w:rFonts w:hint="eastAsia" w:ascii="宋体" w:hAnsi="宋体" w:cs="宋体"/>
                <w:color w:val="auto"/>
                <w:sz w:val="24"/>
                <w:highlight w:val="none"/>
              </w:rPr>
              <w:t>本项目实行后审，审查内容以投标截止时间前在三门峡市公共资源交易系统上传的投标文件的信息为准。其上传资料真实性由投标人自行承担。</w:t>
            </w:r>
          </w:p>
          <w:p w14:paraId="680A709B">
            <w:pPr>
              <w:spacing w:line="360" w:lineRule="auto"/>
              <w:rPr>
                <w:rFonts w:ascii="宋体" w:hAnsi="宋体" w:cs="宋体"/>
                <w:color w:val="auto"/>
                <w:kern w:val="44"/>
                <w:sz w:val="24"/>
                <w:highlight w:val="none"/>
              </w:rPr>
            </w:pPr>
            <w:r>
              <w:rPr>
                <w:rFonts w:hint="eastAsia" w:ascii="宋体" w:hAnsi="宋体" w:cs="宋体"/>
                <w:color w:val="auto"/>
                <w:sz w:val="24"/>
                <w:highlight w:val="none"/>
              </w:rPr>
              <w:t>提示：本项目为电子化、无纸化交易项目，为保证您能投标成功，请需仔细阅读以上条款。</w:t>
            </w:r>
          </w:p>
        </w:tc>
      </w:tr>
    </w:tbl>
    <w:p w14:paraId="4B65E52B">
      <w:pPr>
        <w:spacing w:line="480" w:lineRule="exact"/>
        <w:ind w:firstLine="482" w:firstLineChars="200"/>
        <w:rPr>
          <w:rFonts w:ascii="宋体" w:hAnsi="宋体" w:cs="宋体"/>
          <w:b/>
          <w:bCs/>
          <w:color w:val="auto"/>
          <w:sz w:val="24"/>
          <w:highlight w:val="none"/>
        </w:rPr>
      </w:pPr>
      <w:bookmarkStart w:id="19" w:name="_Toc127797694"/>
      <w:bookmarkStart w:id="20" w:name="_Toc29773"/>
      <w:bookmarkStart w:id="21" w:name="_Toc152042333"/>
      <w:bookmarkStart w:id="22" w:name="_Toc296602445"/>
      <w:bookmarkStart w:id="23" w:name="_Toc179632575"/>
      <w:bookmarkStart w:id="24" w:name="_Toc246996201"/>
      <w:bookmarkStart w:id="25" w:name="_Toc246996944"/>
      <w:bookmarkStart w:id="26" w:name="_Toc247085715"/>
      <w:bookmarkStart w:id="27" w:name="_Toc152045557"/>
      <w:bookmarkStart w:id="28" w:name="_Toc144974525"/>
      <w:r>
        <w:rPr>
          <w:rFonts w:hint="eastAsia" w:ascii="宋体" w:hAnsi="宋体" w:cs="宋体"/>
          <w:b/>
          <w:bCs/>
          <w:color w:val="auto"/>
          <w:sz w:val="24"/>
          <w:highlight w:val="none"/>
        </w:rPr>
        <w:t>1、适用范围</w:t>
      </w:r>
      <w:bookmarkEnd w:id="19"/>
      <w:bookmarkEnd w:id="20"/>
    </w:p>
    <w:p w14:paraId="1F158441">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本竞争性磋商文件仅适用于本次竞争性磋商文件中的所叙述的内容。</w:t>
      </w:r>
    </w:p>
    <w:p w14:paraId="177F7F18">
      <w:pPr>
        <w:spacing w:line="480" w:lineRule="exact"/>
        <w:ind w:firstLine="482" w:firstLineChars="200"/>
        <w:rPr>
          <w:rFonts w:ascii="宋体" w:hAnsi="宋体" w:cs="宋体"/>
          <w:b/>
          <w:bCs/>
          <w:color w:val="auto"/>
          <w:sz w:val="24"/>
          <w:highlight w:val="none"/>
        </w:rPr>
      </w:pPr>
      <w:bookmarkStart w:id="29" w:name="_Toc127797695"/>
      <w:bookmarkStart w:id="30" w:name="_Toc18686"/>
      <w:r>
        <w:rPr>
          <w:rFonts w:hint="eastAsia" w:ascii="宋体" w:hAnsi="宋体" w:cs="宋体"/>
          <w:b/>
          <w:bCs/>
          <w:color w:val="auto"/>
          <w:sz w:val="24"/>
          <w:highlight w:val="none"/>
        </w:rPr>
        <w:t>2、合格的供应商</w:t>
      </w:r>
      <w:bookmarkEnd w:id="29"/>
      <w:bookmarkEnd w:id="30"/>
    </w:p>
    <w:p w14:paraId="113B6828">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符合供应商须知前附表要求。</w:t>
      </w:r>
    </w:p>
    <w:p w14:paraId="2F176EFE">
      <w:pPr>
        <w:spacing w:line="480" w:lineRule="exact"/>
        <w:ind w:firstLine="482" w:firstLineChars="200"/>
        <w:rPr>
          <w:rFonts w:ascii="宋体" w:hAnsi="宋体" w:cs="宋体"/>
          <w:b/>
          <w:bCs/>
          <w:color w:val="auto"/>
          <w:sz w:val="24"/>
          <w:highlight w:val="none"/>
        </w:rPr>
      </w:pPr>
      <w:bookmarkStart w:id="31" w:name="_Toc127797696"/>
      <w:bookmarkStart w:id="32" w:name="_Toc23800"/>
      <w:r>
        <w:rPr>
          <w:rFonts w:hint="eastAsia" w:ascii="宋体" w:hAnsi="宋体" w:cs="宋体"/>
          <w:b/>
          <w:bCs/>
          <w:color w:val="auto"/>
          <w:sz w:val="24"/>
          <w:highlight w:val="none"/>
        </w:rPr>
        <w:t>3. 其他</w:t>
      </w:r>
      <w:bookmarkEnd w:id="31"/>
      <w:bookmarkEnd w:id="32"/>
    </w:p>
    <w:p w14:paraId="3109E369">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3.1 无论磋商中的做法和结果如何，供应商均应自行承担所有与参与磋商活动有关的全部费用。</w:t>
      </w:r>
    </w:p>
    <w:p w14:paraId="63660484">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3.2 无论磋商结果如何，采购人均无向供应商解释其成交或未成交原因的义务。</w:t>
      </w:r>
    </w:p>
    <w:p w14:paraId="5BC81FD5">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3.3 无论成交与否，已购买竞争性磋商文件的供应商对竞争性磋商文件负保密责任。</w:t>
      </w:r>
    </w:p>
    <w:p w14:paraId="277A0D17">
      <w:pPr>
        <w:spacing w:line="480" w:lineRule="exact"/>
        <w:ind w:firstLine="482" w:firstLineChars="200"/>
        <w:rPr>
          <w:rFonts w:ascii="宋体" w:hAnsi="宋体" w:cs="宋体"/>
          <w:b/>
          <w:bCs/>
          <w:color w:val="auto"/>
          <w:sz w:val="24"/>
          <w:highlight w:val="none"/>
        </w:rPr>
      </w:pPr>
      <w:bookmarkStart w:id="33" w:name="_Toc10903"/>
      <w:bookmarkStart w:id="34" w:name="_Toc127797697"/>
      <w:r>
        <w:rPr>
          <w:rFonts w:hint="eastAsia" w:ascii="宋体" w:hAnsi="宋体" w:cs="宋体"/>
          <w:b/>
          <w:bCs/>
          <w:color w:val="auto"/>
          <w:sz w:val="24"/>
          <w:highlight w:val="none"/>
        </w:rPr>
        <w:t>4、竞争性磋商文件的组成</w:t>
      </w:r>
      <w:bookmarkEnd w:id="33"/>
      <w:bookmarkEnd w:id="34"/>
    </w:p>
    <w:p w14:paraId="1054F59D">
      <w:pPr>
        <w:spacing w:line="480" w:lineRule="exact"/>
        <w:ind w:firstLine="480" w:firstLineChars="200"/>
        <w:rPr>
          <w:rFonts w:ascii="宋体" w:hAnsi="宋体" w:cs="宋体"/>
          <w:b/>
          <w:bCs/>
          <w:color w:val="auto"/>
          <w:sz w:val="24"/>
          <w:highlight w:val="none"/>
        </w:rPr>
      </w:pPr>
      <w:r>
        <w:rPr>
          <w:rFonts w:hint="eastAsia" w:ascii="宋体" w:hAnsi="宋体" w:cs="宋体"/>
          <w:color w:val="auto"/>
          <w:sz w:val="24"/>
          <w:highlight w:val="none"/>
        </w:rPr>
        <w:t>4.1 竞争性磋商文件用于阐明采购项目的服务范围、磋商程序、磋商内容、合同草签和条款以及评定成交的标准。具体包括以下内容：</w:t>
      </w:r>
    </w:p>
    <w:p w14:paraId="265F3BBD">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（1）竞争性磋商公告</w:t>
      </w:r>
    </w:p>
    <w:p w14:paraId="2E8381E0">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（2）供应商须知</w:t>
      </w:r>
    </w:p>
    <w:p w14:paraId="061A3B68">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（3）服务内容及要求</w:t>
      </w:r>
    </w:p>
    <w:p w14:paraId="3765ADC5">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（4）评审办法</w:t>
      </w:r>
    </w:p>
    <w:p w14:paraId="52C81FC1">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（5）合同协议书（样本）</w:t>
      </w:r>
    </w:p>
    <w:p w14:paraId="62770A00">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（6）响应文件部分格式</w:t>
      </w:r>
    </w:p>
    <w:p w14:paraId="0BC78881">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4.2 竞争性磋商文件以中文编印，且以中文为准。</w:t>
      </w:r>
    </w:p>
    <w:p w14:paraId="00CC82ED">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4.3 除非有特殊要求，竞争性磋商文件不单独提供项目所在地的自然环境、气候条件、公用设施等情况，供应商被视为熟悉上述与履行合同有关的一切情况。</w:t>
      </w:r>
    </w:p>
    <w:p w14:paraId="40C76B34">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4.4 竞争性磋商文件的澄清和修改</w:t>
      </w:r>
    </w:p>
    <w:p w14:paraId="3D689112">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4.4.1供应商对竞争性磋商文件如有需要澄清或疑问，应当在系统内提出。代理机构将视情况在响应性文件递交截止时间五日前以公告形式予以答复。</w:t>
      </w:r>
    </w:p>
    <w:p w14:paraId="6F92230C">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4.4.2在磋商文件中所述的响应性文件递交截止时间五日前，采购代理机构可主动地或在解答供应商提出的澄清问题时对竞争性磋商文件进行修改。</w:t>
      </w:r>
    </w:p>
    <w:p w14:paraId="54577673">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4.4.3竞争性磋商文件的修改将以公告形式予以修改，并构成竞争性磋商文件的一部分，对所有供应商均具有约束力。</w:t>
      </w:r>
    </w:p>
    <w:p w14:paraId="3A67F39E">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4.4.4如果修改竞争性磋商文件，会在三门峡市公共资源交易中心网发布变更公告，不再发纸质的变更信息。提醒供应商随时注意网上发布的信息。如因供应商自身原因未看到信息，因此造成的一切后果由供应商自行承担。</w:t>
      </w:r>
    </w:p>
    <w:p w14:paraId="40F9C612">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4.4.5为使供应商有充分的时间对竞争性磋商文件的修改部分进行研究，采购代理机构可适当延长响应性文件递交截止时间。</w:t>
      </w:r>
    </w:p>
    <w:p w14:paraId="493079EE">
      <w:pPr>
        <w:spacing w:line="480" w:lineRule="exact"/>
        <w:ind w:firstLine="482" w:firstLineChars="200"/>
        <w:rPr>
          <w:rFonts w:ascii="宋体" w:hAnsi="宋体" w:cs="宋体"/>
          <w:b/>
          <w:bCs/>
          <w:color w:val="auto"/>
          <w:sz w:val="24"/>
          <w:highlight w:val="none"/>
        </w:rPr>
      </w:pPr>
      <w:bookmarkStart w:id="35" w:name="_Toc127797698"/>
      <w:bookmarkStart w:id="36" w:name="_Toc9736"/>
      <w:r>
        <w:rPr>
          <w:rFonts w:hint="eastAsia" w:ascii="宋体" w:hAnsi="宋体" w:cs="宋体"/>
          <w:b/>
          <w:bCs/>
          <w:color w:val="auto"/>
          <w:sz w:val="24"/>
          <w:highlight w:val="none"/>
        </w:rPr>
        <w:t>5、响应性文件的组成</w:t>
      </w:r>
      <w:bookmarkEnd w:id="35"/>
      <w:bookmarkEnd w:id="36"/>
    </w:p>
    <w:p w14:paraId="63C26DAF">
      <w:pPr>
        <w:shd w:val="clear" w:color="auto" w:fill="FFFFFF"/>
        <w:tabs>
          <w:tab w:val="right" w:pos="6077"/>
        </w:tabs>
        <w:autoSpaceDE w:val="0"/>
        <w:autoSpaceDN w:val="0"/>
        <w:spacing w:line="480" w:lineRule="auto"/>
        <w:ind w:firstLine="480" w:firstLineChars="200"/>
        <w:rPr>
          <w:rFonts w:ascii="宋体" w:hAnsi="宋体" w:cs="宋体"/>
          <w:color w:val="auto"/>
          <w:sz w:val="24"/>
          <w:highlight w:val="none"/>
        </w:rPr>
      </w:pPr>
      <w:bookmarkStart w:id="37" w:name="_Toc17403"/>
      <w:bookmarkStart w:id="38" w:name="_Toc127797700"/>
      <w:r>
        <w:rPr>
          <w:rFonts w:hint="eastAsia" w:ascii="宋体" w:hAnsi="宋体" w:cs="宋体"/>
          <w:color w:val="auto"/>
          <w:sz w:val="24"/>
          <w:highlight w:val="none"/>
        </w:rPr>
        <w:t xml:space="preserve">（1）报价函 </w:t>
      </w:r>
    </w:p>
    <w:p w14:paraId="34F6C4B1">
      <w:pPr>
        <w:shd w:val="clear" w:color="auto" w:fill="FFFFFF"/>
        <w:tabs>
          <w:tab w:val="right" w:pos="6077"/>
        </w:tabs>
        <w:autoSpaceDE w:val="0"/>
        <w:autoSpaceDN w:val="0"/>
        <w:spacing w:line="480" w:lineRule="auto"/>
        <w:ind w:firstLine="480" w:firstLineChars="200"/>
        <w:rPr>
          <w:rFonts w:ascii="宋体" w:hAnsi="宋体" w:cs="宋体"/>
          <w:bCs/>
          <w:color w:val="auto"/>
          <w:kern w:val="10"/>
          <w:sz w:val="24"/>
          <w:highlight w:val="none"/>
        </w:rPr>
      </w:pPr>
      <w:r>
        <w:rPr>
          <w:rFonts w:hint="eastAsia" w:ascii="宋体" w:hAnsi="宋体" w:cs="宋体"/>
          <w:bCs/>
          <w:color w:val="auto"/>
          <w:kern w:val="10"/>
          <w:sz w:val="24"/>
          <w:highlight w:val="none"/>
        </w:rPr>
        <w:t>（2）法定代表人身份证明</w:t>
      </w:r>
    </w:p>
    <w:p w14:paraId="79E48646">
      <w:pPr>
        <w:shd w:val="clear" w:color="auto" w:fill="FFFFFF"/>
        <w:tabs>
          <w:tab w:val="right" w:pos="6077"/>
        </w:tabs>
        <w:autoSpaceDE w:val="0"/>
        <w:autoSpaceDN w:val="0"/>
        <w:spacing w:line="480" w:lineRule="auto"/>
        <w:ind w:firstLine="480" w:firstLineChars="200"/>
        <w:rPr>
          <w:rFonts w:ascii="宋体" w:hAnsi="宋体" w:cs="宋体"/>
          <w:bCs/>
          <w:color w:val="auto"/>
          <w:kern w:val="10"/>
          <w:sz w:val="24"/>
          <w:highlight w:val="none"/>
        </w:rPr>
      </w:pPr>
      <w:r>
        <w:rPr>
          <w:rFonts w:hint="eastAsia" w:ascii="宋体" w:hAnsi="宋体" w:cs="宋体"/>
          <w:bCs/>
          <w:color w:val="auto"/>
          <w:kern w:val="10"/>
          <w:sz w:val="24"/>
          <w:highlight w:val="none"/>
        </w:rPr>
        <w:t>（3）授权委托书</w:t>
      </w:r>
    </w:p>
    <w:p w14:paraId="4F0032AD">
      <w:pPr>
        <w:shd w:val="clear" w:color="auto" w:fill="FFFFFF"/>
        <w:tabs>
          <w:tab w:val="right" w:pos="6077"/>
        </w:tabs>
        <w:autoSpaceDE w:val="0"/>
        <w:autoSpaceDN w:val="0"/>
        <w:spacing w:line="480" w:lineRule="auto"/>
        <w:ind w:firstLine="480" w:firstLineChars="200"/>
        <w:rPr>
          <w:rFonts w:ascii="宋体" w:hAnsi="宋体" w:cs="宋体"/>
          <w:bCs/>
          <w:color w:val="auto"/>
          <w:kern w:val="10"/>
          <w:sz w:val="24"/>
          <w:highlight w:val="none"/>
        </w:rPr>
      </w:pPr>
      <w:r>
        <w:rPr>
          <w:rFonts w:hint="eastAsia" w:ascii="宋体" w:hAnsi="宋体" w:cs="宋体"/>
          <w:bCs/>
          <w:color w:val="auto"/>
          <w:kern w:val="10"/>
          <w:sz w:val="24"/>
          <w:highlight w:val="none"/>
        </w:rPr>
        <w:t>（4）投标承诺函</w:t>
      </w:r>
    </w:p>
    <w:p w14:paraId="55A4EB71">
      <w:pPr>
        <w:shd w:val="clear" w:color="auto" w:fill="FFFFFF"/>
        <w:tabs>
          <w:tab w:val="right" w:pos="6077"/>
        </w:tabs>
        <w:autoSpaceDE w:val="0"/>
        <w:autoSpaceDN w:val="0"/>
        <w:spacing w:line="480" w:lineRule="auto"/>
        <w:ind w:firstLine="480" w:firstLineChars="200"/>
        <w:rPr>
          <w:rFonts w:ascii="宋体" w:hAnsi="宋体" w:cs="宋体"/>
          <w:bCs/>
          <w:color w:val="auto"/>
          <w:kern w:val="10"/>
          <w:sz w:val="24"/>
          <w:highlight w:val="none"/>
        </w:rPr>
      </w:pPr>
      <w:r>
        <w:rPr>
          <w:rFonts w:hint="eastAsia" w:ascii="宋体" w:hAnsi="宋体" w:cs="宋体"/>
          <w:bCs/>
          <w:color w:val="auto"/>
          <w:kern w:val="10"/>
          <w:sz w:val="24"/>
          <w:highlight w:val="none"/>
        </w:rPr>
        <w:t>（5）供应商资格审查</w:t>
      </w:r>
    </w:p>
    <w:p w14:paraId="32E92AAA">
      <w:pPr>
        <w:shd w:val="clear" w:color="auto" w:fill="FFFFFF"/>
        <w:tabs>
          <w:tab w:val="right" w:pos="6077"/>
        </w:tabs>
        <w:autoSpaceDE w:val="0"/>
        <w:autoSpaceDN w:val="0"/>
        <w:spacing w:line="480" w:lineRule="auto"/>
        <w:ind w:firstLine="480" w:firstLineChars="200"/>
        <w:rPr>
          <w:rFonts w:ascii="宋体" w:hAnsi="宋体" w:cs="宋体"/>
          <w:bCs/>
          <w:color w:val="auto"/>
          <w:kern w:val="10"/>
          <w:sz w:val="24"/>
          <w:highlight w:val="none"/>
        </w:rPr>
      </w:pPr>
      <w:r>
        <w:rPr>
          <w:rFonts w:hint="eastAsia" w:ascii="宋体" w:hAnsi="宋体" w:cs="宋体"/>
          <w:bCs/>
          <w:color w:val="auto"/>
          <w:kern w:val="10"/>
          <w:sz w:val="24"/>
          <w:highlight w:val="none"/>
        </w:rPr>
        <w:t>（6）技术部分资料</w:t>
      </w:r>
    </w:p>
    <w:p w14:paraId="361682B7">
      <w:pPr>
        <w:shd w:val="clear" w:color="auto" w:fill="FFFFFF"/>
        <w:tabs>
          <w:tab w:val="right" w:pos="6077"/>
        </w:tabs>
        <w:autoSpaceDE w:val="0"/>
        <w:autoSpaceDN w:val="0"/>
        <w:spacing w:line="480" w:lineRule="auto"/>
        <w:ind w:firstLine="480" w:firstLineChars="200"/>
        <w:rPr>
          <w:rFonts w:ascii="宋体" w:hAnsi="宋体" w:cs="宋体"/>
          <w:bCs/>
          <w:color w:val="auto"/>
          <w:kern w:val="10"/>
          <w:sz w:val="24"/>
          <w:highlight w:val="none"/>
        </w:rPr>
      </w:pPr>
      <w:r>
        <w:rPr>
          <w:rFonts w:hint="eastAsia" w:ascii="宋体" w:hAnsi="宋体" w:cs="宋体"/>
          <w:bCs/>
          <w:color w:val="auto"/>
          <w:kern w:val="10"/>
          <w:sz w:val="24"/>
          <w:highlight w:val="none"/>
        </w:rPr>
        <w:t>（7）商务部分资料</w:t>
      </w:r>
    </w:p>
    <w:p w14:paraId="18A180D9">
      <w:pPr>
        <w:shd w:val="clear" w:color="auto" w:fill="FFFFFF"/>
        <w:tabs>
          <w:tab w:val="right" w:pos="6077"/>
        </w:tabs>
        <w:autoSpaceDE w:val="0"/>
        <w:autoSpaceDN w:val="0"/>
        <w:spacing w:line="480" w:lineRule="auto"/>
        <w:ind w:firstLine="480" w:firstLineChars="200"/>
        <w:rPr>
          <w:rFonts w:ascii="宋体" w:hAnsi="宋体" w:cs="宋体"/>
          <w:bCs/>
          <w:color w:val="auto"/>
          <w:kern w:val="10"/>
          <w:sz w:val="24"/>
          <w:highlight w:val="none"/>
        </w:rPr>
      </w:pPr>
      <w:r>
        <w:rPr>
          <w:rFonts w:hint="eastAsia" w:ascii="宋体" w:hAnsi="宋体" w:cs="宋体"/>
          <w:bCs/>
          <w:color w:val="auto"/>
          <w:kern w:val="10"/>
          <w:sz w:val="24"/>
          <w:highlight w:val="none"/>
        </w:rPr>
        <w:t>（8）拟投入本项目的人员情况</w:t>
      </w:r>
    </w:p>
    <w:p w14:paraId="06D8BA8F">
      <w:pPr>
        <w:shd w:val="clear" w:color="auto" w:fill="FFFFFF"/>
        <w:tabs>
          <w:tab w:val="right" w:pos="6077"/>
        </w:tabs>
        <w:autoSpaceDE w:val="0"/>
        <w:autoSpaceDN w:val="0"/>
        <w:spacing w:line="480" w:lineRule="auto"/>
        <w:ind w:firstLine="480" w:firstLineChars="200"/>
        <w:rPr>
          <w:rFonts w:ascii="宋体" w:hAnsi="宋体" w:cs="宋体"/>
          <w:bCs/>
          <w:color w:val="auto"/>
          <w:kern w:val="10"/>
          <w:sz w:val="24"/>
          <w:highlight w:val="none"/>
        </w:rPr>
      </w:pPr>
      <w:r>
        <w:rPr>
          <w:rFonts w:hint="eastAsia" w:ascii="宋体" w:hAnsi="宋体" w:cs="宋体"/>
          <w:bCs/>
          <w:color w:val="auto"/>
          <w:kern w:val="10"/>
          <w:sz w:val="24"/>
          <w:highlight w:val="none"/>
          <w:lang w:val="zh-CN"/>
        </w:rPr>
        <w:t>（</w:t>
      </w:r>
      <w:r>
        <w:rPr>
          <w:rFonts w:hint="eastAsia" w:ascii="宋体" w:hAnsi="宋体" w:cs="宋体"/>
          <w:bCs/>
          <w:color w:val="auto"/>
          <w:kern w:val="10"/>
          <w:sz w:val="24"/>
          <w:highlight w:val="none"/>
        </w:rPr>
        <w:t>9</w:t>
      </w:r>
      <w:r>
        <w:rPr>
          <w:rFonts w:hint="eastAsia" w:ascii="宋体" w:hAnsi="宋体" w:cs="宋体"/>
          <w:bCs/>
          <w:color w:val="auto"/>
          <w:kern w:val="10"/>
          <w:sz w:val="24"/>
          <w:highlight w:val="none"/>
          <w:lang w:val="zh-CN"/>
        </w:rPr>
        <w:t>）供应商认为需要提供的其他资料</w:t>
      </w:r>
    </w:p>
    <w:p w14:paraId="4379BC7E">
      <w:pPr>
        <w:shd w:val="clear" w:color="auto" w:fill="FFFFFF"/>
        <w:tabs>
          <w:tab w:val="right" w:pos="6077"/>
        </w:tabs>
        <w:autoSpaceDE w:val="0"/>
        <w:autoSpaceDN w:val="0"/>
        <w:spacing w:line="480" w:lineRule="auto"/>
        <w:ind w:firstLine="482" w:firstLineChars="200"/>
        <w:rPr>
          <w:rFonts w:ascii="宋体" w:hAnsi="宋体" w:cs="宋体"/>
          <w:color w:val="auto"/>
          <w:sz w:val="24"/>
          <w:highlight w:val="none"/>
        </w:rPr>
      </w:pPr>
      <w:r>
        <w:rPr>
          <w:rFonts w:hint="eastAsia" w:ascii="宋体" w:hAnsi="宋体" w:cs="宋体"/>
          <w:b/>
          <w:bCs/>
          <w:color w:val="auto"/>
          <w:sz w:val="24"/>
          <w:highlight w:val="none"/>
        </w:rPr>
        <w:t>6、</w:t>
      </w:r>
      <w:r>
        <w:rPr>
          <w:rFonts w:hint="eastAsia" w:ascii="宋体" w:hAnsi="宋体" w:cs="宋体"/>
          <w:b/>
          <w:color w:val="auto"/>
          <w:sz w:val="24"/>
          <w:highlight w:val="none"/>
        </w:rPr>
        <w:t>响应性文件的编制</w:t>
      </w:r>
      <w:bookmarkEnd w:id="37"/>
      <w:bookmarkEnd w:id="38"/>
    </w:p>
    <w:p w14:paraId="3040FE9F">
      <w:pPr>
        <w:shd w:val="clear" w:color="auto" w:fill="FFFFFF"/>
        <w:tabs>
          <w:tab w:val="right" w:pos="6077"/>
        </w:tabs>
        <w:autoSpaceDE w:val="0"/>
        <w:autoSpaceDN w:val="0"/>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6.1、响应性文件应按 “响应性文件格式”进行编写，如有必要，可以增加附页，作为响应性文件的组成部分。其中，报价一览表在满足竞争性磋商文件实质性要求的基础上，可以提出比竞争性磋商文件要求更有利于采购人的承诺。</w:t>
      </w:r>
    </w:p>
    <w:p w14:paraId="4874F33A">
      <w:pPr>
        <w:shd w:val="clear" w:color="auto" w:fill="FFFFFF"/>
        <w:tabs>
          <w:tab w:val="right" w:pos="6077"/>
        </w:tabs>
        <w:autoSpaceDE w:val="0"/>
        <w:autoSpaceDN w:val="0"/>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6.2、响应文件应当对磋商文件有关服务期限、磋商有效期、质量要求、服务内容等实质性内容作出响应。</w:t>
      </w:r>
    </w:p>
    <w:p w14:paraId="49A3CD43">
      <w:pPr>
        <w:shd w:val="clear" w:color="auto" w:fill="FFFFFF"/>
        <w:tabs>
          <w:tab w:val="right" w:pos="6077"/>
        </w:tabs>
        <w:autoSpaceDE w:val="0"/>
        <w:autoSpaceDN w:val="0"/>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6.3、供应商在生成电子化响应文件后，应对电子化响应文件进行签章，未进行签章的视为无效响应。</w:t>
      </w:r>
    </w:p>
    <w:p w14:paraId="2C067156">
      <w:pPr>
        <w:spacing w:line="5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6.4、磋商文件中要求签章的，供应商在进行电子化响应文件签章时，以单位和法定代表人电子签章为准。</w:t>
      </w:r>
    </w:p>
    <w:p w14:paraId="0E36BC99">
      <w:pPr>
        <w:spacing w:line="50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电子化投标文件具体制作教材请供应商点击以下链接学习</w:t>
      </w:r>
      <w:r>
        <w:rPr>
          <w:rFonts w:hint="eastAsia" w:ascii="宋体" w:hAnsi="宋体" w:cs="宋体"/>
          <w:color w:val="auto"/>
          <w:sz w:val="24"/>
          <w:highlight w:val="none"/>
        </w:rPr>
        <w:t>http://gzjy.smx.gov.cn/bzzx/008001/20200325/4a2f9fa3-b923-4ddd-bd6f-138a0b63f7d1.html</w:t>
      </w:r>
    </w:p>
    <w:p w14:paraId="64EDF094">
      <w:pPr>
        <w:spacing w:line="480" w:lineRule="exact"/>
        <w:ind w:firstLine="482" w:firstLineChars="200"/>
        <w:contextualSpacing/>
        <w:rPr>
          <w:rFonts w:ascii="宋体" w:hAnsi="宋体" w:cs="宋体"/>
          <w:b/>
          <w:color w:val="auto"/>
          <w:kern w:val="1"/>
          <w:sz w:val="24"/>
          <w:highlight w:val="none"/>
        </w:rPr>
      </w:pPr>
      <w:bookmarkStart w:id="39" w:name="_Toc16827"/>
      <w:bookmarkStart w:id="40" w:name="_Toc127797701"/>
      <w:r>
        <w:rPr>
          <w:rFonts w:hint="eastAsia" w:ascii="宋体" w:hAnsi="宋体" w:cs="宋体"/>
          <w:b/>
          <w:bCs/>
          <w:color w:val="auto"/>
          <w:sz w:val="24"/>
          <w:highlight w:val="none"/>
        </w:rPr>
        <w:t xml:space="preserve">7. </w:t>
      </w:r>
      <w:r>
        <w:rPr>
          <w:rFonts w:hint="eastAsia" w:ascii="宋体" w:hAnsi="宋体" w:cs="宋体"/>
          <w:b/>
          <w:color w:val="auto"/>
          <w:kern w:val="1"/>
          <w:sz w:val="24"/>
          <w:highlight w:val="none"/>
        </w:rPr>
        <w:t>响应性文件的递交</w:t>
      </w:r>
      <w:bookmarkEnd w:id="39"/>
      <w:bookmarkEnd w:id="40"/>
    </w:p>
    <w:p w14:paraId="1733440C">
      <w:pPr>
        <w:widowControl/>
        <w:spacing w:line="480" w:lineRule="exact"/>
        <w:ind w:firstLine="500" w:firstLineChars="200"/>
        <w:rPr>
          <w:rFonts w:ascii="宋体" w:hAnsi="宋体" w:cs="宋体"/>
          <w:color w:val="auto"/>
          <w:spacing w:val="5"/>
          <w:sz w:val="24"/>
          <w:highlight w:val="none"/>
        </w:rPr>
      </w:pPr>
      <w:r>
        <w:rPr>
          <w:rFonts w:hint="eastAsia" w:ascii="宋体" w:hAnsi="宋体" w:cs="宋体"/>
          <w:color w:val="auto"/>
          <w:spacing w:val="5"/>
          <w:sz w:val="24"/>
          <w:highlight w:val="none"/>
        </w:rPr>
        <w:t>7.1、供应商所上传的电子化响应文件，应是通过中心投标文件制作系统制作的，经过签章和加密后生成的电子版响应文件。生成的电子版响应文件包含用于响应文件上传的主文件和用于应急补救的响应文件备份文件，备份文件主要用于电子化开标出现技术问题后的补救。</w:t>
      </w:r>
    </w:p>
    <w:p w14:paraId="24C63184">
      <w:pPr>
        <w:widowControl/>
        <w:spacing w:line="480" w:lineRule="exact"/>
        <w:ind w:firstLine="500" w:firstLineChars="200"/>
        <w:rPr>
          <w:rFonts w:ascii="宋体" w:hAnsi="宋体" w:cs="宋体"/>
          <w:color w:val="auto"/>
          <w:spacing w:val="5"/>
          <w:sz w:val="24"/>
          <w:highlight w:val="none"/>
        </w:rPr>
      </w:pPr>
      <w:r>
        <w:rPr>
          <w:rFonts w:hint="eastAsia" w:ascii="宋体" w:hAnsi="宋体" w:cs="宋体"/>
          <w:color w:val="auto"/>
          <w:spacing w:val="5"/>
          <w:sz w:val="24"/>
          <w:highlight w:val="none"/>
        </w:rPr>
        <w:t>注：供应商投报多个标段的，每个标段均要生成独立的电子响应文件。</w:t>
      </w:r>
    </w:p>
    <w:p w14:paraId="62664E6C">
      <w:pPr>
        <w:widowControl/>
        <w:spacing w:line="480" w:lineRule="exact"/>
        <w:ind w:firstLine="500" w:firstLineChars="200"/>
        <w:rPr>
          <w:rFonts w:ascii="宋体" w:hAnsi="宋体" w:cs="宋体"/>
          <w:color w:val="auto"/>
          <w:spacing w:val="5"/>
          <w:sz w:val="24"/>
          <w:highlight w:val="none"/>
        </w:rPr>
      </w:pPr>
      <w:r>
        <w:rPr>
          <w:rFonts w:hint="eastAsia" w:ascii="宋体" w:hAnsi="宋体" w:cs="宋体"/>
          <w:color w:val="auto"/>
          <w:spacing w:val="5"/>
          <w:sz w:val="24"/>
          <w:highlight w:val="none"/>
        </w:rPr>
        <w:t>7.2、电子化响应文件应在投标截止时间前成功上传至三门峡市公共资源电子化交易系统。至投标截止时间止，仍未上传成功的电子化响应文件将不予接收。</w:t>
      </w:r>
    </w:p>
    <w:p w14:paraId="09DB6B4A">
      <w:pPr>
        <w:widowControl/>
        <w:spacing w:line="480" w:lineRule="exact"/>
        <w:ind w:firstLine="500" w:firstLineChars="200"/>
        <w:rPr>
          <w:rFonts w:ascii="宋体" w:hAnsi="宋体" w:cs="宋体"/>
          <w:color w:val="auto"/>
          <w:spacing w:val="5"/>
          <w:sz w:val="24"/>
          <w:highlight w:val="none"/>
        </w:rPr>
      </w:pPr>
      <w:r>
        <w:rPr>
          <w:rFonts w:hint="eastAsia" w:ascii="宋体" w:hAnsi="宋体" w:cs="宋体"/>
          <w:color w:val="auto"/>
          <w:spacing w:val="5"/>
          <w:sz w:val="24"/>
          <w:highlight w:val="none"/>
        </w:rPr>
        <w:t>注：如按照电子化投标操作教材制作完成的电子化响应文件无法上传的，供应商应在投标截止时间前尽早的联系中心技术人员，以便有充分的时间进行处理。供应商应充分考虑到处理技术问题和上传数据等工作所需的时间问题，响应文件未在投标截止时间前成功上传的，其响应文件不予接收。</w:t>
      </w:r>
    </w:p>
    <w:p w14:paraId="41AFB87F">
      <w:pPr>
        <w:widowControl/>
        <w:spacing w:line="480" w:lineRule="exact"/>
        <w:ind w:firstLine="500" w:firstLineChars="200"/>
        <w:rPr>
          <w:rFonts w:ascii="宋体" w:hAnsi="宋体" w:cs="宋体"/>
          <w:color w:val="auto"/>
          <w:spacing w:val="5"/>
          <w:sz w:val="24"/>
          <w:highlight w:val="none"/>
        </w:rPr>
      </w:pPr>
      <w:r>
        <w:rPr>
          <w:rFonts w:hint="eastAsia" w:ascii="宋体" w:hAnsi="宋体" w:cs="宋体"/>
          <w:color w:val="auto"/>
          <w:spacing w:val="5"/>
          <w:sz w:val="24"/>
          <w:highlight w:val="none"/>
        </w:rPr>
        <w:t>技术联系电话：0398-3117871</w:t>
      </w:r>
    </w:p>
    <w:p w14:paraId="0D45A5F9">
      <w:pPr>
        <w:spacing w:line="480" w:lineRule="exact"/>
        <w:ind w:firstLine="482" w:firstLineChars="200"/>
        <w:rPr>
          <w:rFonts w:ascii="宋体" w:hAnsi="宋体" w:cs="宋体"/>
          <w:b/>
          <w:color w:val="auto"/>
          <w:kern w:val="1"/>
          <w:sz w:val="24"/>
          <w:highlight w:val="none"/>
        </w:rPr>
      </w:pPr>
      <w:bookmarkStart w:id="41" w:name="_Toc26718"/>
      <w:bookmarkStart w:id="42" w:name="_Toc127797702"/>
      <w:r>
        <w:rPr>
          <w:rFonts w:hint="eastAsia" w:ascii="宋体" w:hAnsi="宋体" w:cs="宋体"/>
          <w:b/>
          <w:bCs/>
          <w:color w:val="auto"/>
          <w:kern w:val="1"/>
          <w:sz w:val="24"/>
          <w:highlight w:val="none"/>
        </w:rPr>
        <w:t>8、</w:t>
      </w:r>
      <w:bookmarkStart w:id="43" w:name="_Toc530664092"/>
      <w:bookmarkEnd w:id="43"/>
      <w:bookmarkStart w:id="44" w:name="_Toc531936128"/>
      <w:bookmarkEnd w:id="44"/>
      <w:bookmarkStart w:id="45" w:name="_Toc530663936"/>
      <w:bookmarkEnd w:id="45"/>
      <w:bookmarkStart w:id="46" w:name="_Toc511663232"/>
      <w:bookmarkEnd w:id="46"/>
      <w:bookmarkStart w:id="47" w:name="_Toc530665439"/>
      <w:bookmarkEnd w:id="47"/>
      <w:bookmarkStart w:id="48" w:name="_Toc511897549"/>
      <w:bookmarkEnd w:id="48"/>
      <w:r>
        <w:rPr>
          <w:rFonts w:hint="eastAsia" w:ascii="宋体" w:hAnsi="宋体" w:cs="宋体"/>
          <w:b/>
          <w:color w:val="auto"/>
          <w:kern w:val="1"/>
          <w:sz w:val="24"/>
          <w:highlight w:val="none"/>
        </w:rPr>
        <w:t>电子化项目开标、解密、唱标、评标</w:t>
      </w:r>
      <w:bookmarkEnd w:id="41"/>
      <w:bookmarkEnd w:id="42"/>
    </w:p>
    <w:p w14:paraId="43FD0006">
      <w:pPr>
        <w:widowControl/>
        <w:spacing w:line="480" w:lineRule="exact"/>
        <w:ind w:firstLine="500" w:firstLineChars="200"/>
        <w:rPr>
          <w:rFonts w:ascii="宋体" w:hAnsi="宋体" w:cs="宋体"/>
          <w:color w:val="auto"/>
          <w:spacing w:val="5"/>
          <w:sz w:val="24"/>
          <w:highlight w:val="none"/>
        </w:rPr>
      </w:pPr>
      <w:r>
        <w:rPr>
          <w:rFonts w:hint="eastAsia" w:ascii="宋体" w:hAnsi="宋体" w:cs="宋体"/>
          <w:color w:val="auto"/>
          <w:spacing w:val="5"/>
          <w:sz w:val="24"/>
          <w:highlight w:val="none"/>
        </w:rPr>
        <w:t>8.1、本项目采用电子化、无纸化进行招标，供应商应当在投标截止时间前，登陆不见面开标大厅选择登陆三门峡市公共资源电子招投标系统进行登陆（网址</w:t>
      </w:r>
      <w:r>
        <w:rPr>
          <w:rFonts w:hint="eastAsia" w:ascii="宋体" w:hAnsi="宋体" w:cs="宋体"/>
          <w:color w:val="auto"/>
          <w:spacing w:val="5"/>
          <w:sz w:val="24"/>
          <w:highlight w:val="none"/>
          <w:lang w:eastAsia="zh-CN"/>
        </w:rPr>
        <w:t>http://120.194.249.36:10094/BidOpening/bidopeninghallaction/hall/login</w:t>
      </w:r>
      <w:r>
        <w:rPr>
          <w:rFonts w:hint="eastAsia" w:ascii="宋体" w:hAnsi="宋体" w:cs="宋体"/>
          <w:color w:val="auto"/>
          <w:spacing w:val="5"/>
          <w:sz w:val="24"/>
          <w:highlight w:val="none"/>
        </w:rPr>
        <w:t>）,在线准时参加开标活动并进行响应文件解密等。每位供应商的解密时间为开标时间起30分钟内完成。因供应商原因未能解密、解密失败或解密超时的将被拒绝。</w:t>
      </w:r>
    </w:p>
    <w:p w14:paraId="5BF6B35B">
      <w:pPr>
        <w:widowControl/>
        <w:spacing w:line="480" w:lineRule="exact"/>
        <w:ind w:firstLine="500" w:firstLineChars="200"/>
        <w:rPr>
          <w:rFonts w:ascii="宋体" w:hAnsi="宋体" w:cs="宋体"/>
          <w:color w:val="auto"/>
          <w:spacing w:val="5"/>
          <w:sz w:val="24"/>
          <w:highlight w:val="none"/>
        </w:rPr>
      </w:pPr>
      <w:r>
        <w:rPr>
          <w:rFonts w:hint="eastAsia" w:ascii="宋体" w:hAnsi="宋体" w:cs="宋体"/>
          <w:color w:val="auto"/>
          <w:spacing w:val="5"/>
          <w:sz w:val="24"/>
          <w:highlight w:val="none"/>
        </w:rPr>
        <w:t>8.2、电子化响应文件采用一次加密方式。开标时，由供应商使用CA 证书，在规定时间内对其电子化响应文件进行解密。每位供应商的解密时间为开标时间起30分钟内，如在规定时间内未完成解密的，其响应文件不予开标、唱标。</w:t>
      </w:r>
    </w:p>
    <w:p w14:paraId="224B8759">
      <w:pPr>
        <w:widowControl/>
        <w:spacing w:line="480" w:lineRule="exact"/>
        <w:ind w:firstLine="500" w:firstLineChars="200"/>
        <w:rPr>
          <w:rFonts w:ascii="宋体" w:hAnsi="宋体" w:cs="宋体"/>
          <w:color w:val="auto"/>
          <w:spacing w:val="5"/>
          <w:sz w:val="24"/>
          <w:highlight w:val="none"/>
        </w:rPr>
      </w:pPr>
      <w:r>
        <w:rPr>
          <w:rFonts w:hint="eastAsia" w:ascii="宋体" w:hAnsi="宋体" w:cs="宋体"/>
          <w:color w:val="auto"/>
          <w:spacing w:val="5"/>
          <w:sz w:val="24"/>
          <w:highlight w:val="none"/>
        </w:rPr>
        <w:t>8.3、电子化响应文件异常情况的处理</w:t>
      </w:r>
    </w:p>
    <w:p w14:paraId="46941A47">
      <w:pPr>
        <w:widowControl/>
        <w:spacing w:line="480" w:lineRule="exact"/>
        <w:ind w:firstLine="500" w:firstLineChars="200"/>
        <w:rPr>
          <w:rFonts w:ascii="宋体" w:hAnsi="宋体" w:cs="宋体"/>
          <w:color w:val="auto"/>
          <w:spacing w:val="5"/>
          <w:sz w:val="24"/>
          <w:highlight w:val="none"/>
        </w:rPr>
      </w:pPr>
      <w:r>
        <w:rPr>
          <w:rFonts w:hint="eastAsia" w:ascii="宋体" w:hAnsi="宋体" w:cs="宋体"/>
          <w:color w:val="auto"/>
          <w:spacing w:val="5"/>
          <w:sz w:val="24"/>
          <w:highlight w:val="none"/>
        </w:rPr>
        <w:t>如出现供应商的电子响应文件无法解密等异常情况，供应商应及时致电中介服务机构说明。响应文件异常，按以下步骤进行处理：</w:t>
      </w:r>
    </w:p>
    <w:p w14:paraId="3AC0F16E">
      <w:pPr>
        <w:widowControl/>
        <w:spacing w:line="480" w:lineRule="exact"/>
        <w:ind w:firstLine="500" w:firstLineChars="200"/>
        <w:rPr>
          <w:rFonts w:ascii="宋体" w:hAnsi="宋体" w:cs="宋体"/>
          <w:color w:val="auto"/>
          <w:spacing w:val="5"/>
          <w:sz w:val="24"/>
          <w:highlight w:val="none"/>
        </w:rPr>
      </w:pPr>
      <w:r>
        <w:rPr>
          <w:rFonts w:hint="eastAsia" w:ascii="宋体" w:hAnsi="宋体" w:cs="宋体"/>
          <w:color w:val="auto"/>
          <w:spacing w:val="5"/>
          <w:sz w:val="24"/>
          <w:highlight w:val="none"/>
        </w:rPr>
        <w:t>（1）首先由技术人员进行问题排查。</w:t>
      </w:r>
    </w:p>
    <w:p w14:paraId="16FAE86C">
      <w:pPr>
        <w:widowControl/>
        <w:spacing w:line="480" w:lineRule="exact"/>
        <w:ind w:firstLine="500" w:firstLineChars="200"/>
        <w:rPr>
          <w:rFonts w:ascii="宋体" w:hAnsi="宋体" w:cs="宋体"/>
          <w:color w:val="auto"/>
          <w:spacing w:val="5"/>
          <w:sz w:val="24"/>
          <w:highlight w:val="none"/>
        </w:rPr>
      </w:pPr>
      <w:r>
        <w:rPr>
          <w:rFonts w:hint="eastAsia" w:ascii="宋体" w:hAnsi="宋体" w:cs="宋体"/>
          <w:color w:val="auto"/>
          <w:spacing w:val="5"/>
          <w:sz w:val="24"/>
          <w:highlight w:val="none"/>
        </w:rPr>
        <w:t>（2）经技术人员排查后，是供应商文件自身问题导致投标文件无法解密的，该响应文件将不予接收、解密和唱标。开标会议继续进行。</w:t>
      </w:r>
    </w:p>
    <w:p w14:paraId="32B33A72">
      <w:pPr>
        <w:widowControl/>
        <w:spacing w:line="480" w:lineRule="exact"/>
        <w:ind w:firstLine="500" w:firstLineChars="200"/>
        <w:rPr>
          <w:rFonts w:ascii="宋体" w:hAnsi="宋体" w:cs="宋体"/>
          <w:color w:val="auto"/>
          <w:spacing w:val="5"/>
          <w:sz w:val="24"/>
          <w:highlight w:val="none"/>
        </w:rPr>
      </w:pPr>
      <w:r>
        <w:rPr>
          <w:rFonts w:hint="eastAsia" w:ascii="宋体" w:hAnsi="宋体" w:cs="宋体"/>
          <w:color w:val="auto"/>
          <w:spacing w:val="5"/>
          <w:sz w:val="24"/>
          <w:highlight w:val="none"/>
        </w:rPr>
        <w:t>（3）经技术人员排查后，如果是电子化交易系统问题造成响应文件无法解密的，将由技术人员对问题进行处理。如短时间内问题无法解决的，将由中介服务机构向监督部门申请，经监督部门同意后，暂停开标会议，待问题解决后继续开标。</w:t>
      </w:r>
    </w:p>
    <w:p w14:paraId="20D5FEA2">
      <w:pPr>
        <w:widowControl/>
        <w:spacing w:line="480" w:lineRule="exact"/>
        <w:ind w:firstLine="500" w:firstLineChars="200"/>
        <w:rPr>
          <w:rFonts w:ascii="宋体" w:hAnsi="宋体" w:cs="宋体"/>
          <w:color w:val="auto"/>
          <w:spacing w:val="5"/>
          <w:sz w:val="24"/>
          <w:highlight w:val="none"/>
        </w:rPr>
      </w:pPr>
      <w:r>
        <w:rPr>
          <w:rFonts w:hint="eastAsia" w:ascii="宋体" w:hAnsi="宋体" w:cs="宋体"/>
          <w:color w:val="auto"/>
          <w:spacing w:val="5"/>
          <w:sz w:val="24"/>
          <w:highlight w:val="none"/>
        </w:rPr>
        <w:t>8.4、待所有供应商响应文件解密完成后，由中介服务机构操作，对所有已解密响应文件进行唱标。供应商应保证在开标期间电话、电脑、网络能够正常工作，供应商因停电、电脑病毒、网络堵塞等原因，未在规定的解密时间内对响应文件进行解密的，其响应文件不予接收、唱标。</w:t>
      </w:r>
    </w:p>
    <w:p w14:paraId="4C9650D0">
      <w:pPr>
        <w:widowControl/>
        <w:spacing w:line="480" w:lineRule="exact"/>
        <w:ind w:firstLine="500" w:firstLineChars="200"/>
        <w:rPr>
          <w:rFonts w:ascii="宋体" w:hAnsi="宋体" w:cs="宋体"/>
          <w:color w:val="auto"/>
          <w:spacing w:val="5"/>
          <w:sz w:val="24"/>
          <w:highlight w:val="none"/>
        </w:rPr>
      </w:pPr>
      <w:r>
        <w:rPr>
          <w:rFonts w:hint="eastAsia" w:ascii="宋体" w:hAnsi="宋体" w:cs="宋体"/>
          <w:color w:val="auto"/>
          <w:spacing w:val="5"/>
          <w:sz w:val="24"/>
          <w:highlight w:val="none"/>
        </w:rPr>
        <w:t>8.5、开标时供应商可登录到交易系统中在开标大厅中点击开标一览表查看自己的投标报价。如对自己的唱标内容有异议的，应在唱标内容显示后10分钟内向中介服务机构电话质疑。中介服务机构应在监督人员的监督下进行免提通话接受供应商的质疑并做好书面记录。供应商未在规定时间内提出质疑的，视为认可唱标内容。</w:t>
      </w:r>
    </w:p>
    <w:p w14:paraId="3DA70BBC">
      <w:pPr>
        <w:widowControl/>
        <w:spacing w:line="480" w:lineRule="exact"/>
        <w:ind w:firstLine="500" w:firstLineChars="200"/>
        <w:rPr>
          <w:rFonts w:ascii="宋体" w:hAnsi="宋体" w:cs="宋体"/>
          <w:color w:val="auto"/>
          <w:spacing w:val="5"/>
          <w:sz w:val="24"/>
          <w:highlight w:val="none"/>
        </w:rPr>
      </w:pPr>
      <w:r>
        <w:rPr>
          <w:rFonts w:hint="eastAsia" w:ascii="宋体" w:hAnsi="宋体" w:cs="宋体"/>
          <w:color w:val="auto"/>
          <w:spacing w:val="5"/>
          <w:sz w:val="24"/>
          <w:highlight w:val="none"/>
        </w:rPr>
        <w:t>8.6、评标时，磋商小组对电子化响应文件有质疑的，将通过电子化交易系统对供应商发起质疑，并在监督人员的监督下，用免提模式致电需要答复的供应商进行详细质询。质疑回复内容确认后，供应商的回复文件必须以经过供应商和其法定代表人签章的PDF格式文件为准，并通过电子化交易系统提交至磋商小组。</w:t>
      </w:r>
    </w:p>
    <w:p w14:paraId="4C7A12C6">
      <w:pPr>
        <w:spacing w:line="480" w:lineRule="exact"/>
        <w:ind w:firstLine="500" w:firstLineChars="200"/>
        <w:contextualSpacing/>
        <w:rPr>
          <w:rFonts w:ascii="宋体" w:hAnsi="宋体" w:cs="宋体"/>
          <w:color w:val="auto"/>
          <w:spacing w:val="5"/>
          <w:sz w:val="24"/>
          <w:highlight w:val="none"/>
        </w:rPr>
      </w:pPr>
      <w:r>
        <w:rPr>
          <w:rFonts w:hint="eastAsia" w:ascii="宋体" w:hAnsi="宋体" w:cs="宋体"/>
          <w:color w:val="auto"/>
          <w:spacing w:val="5"/>
          <w:sz w:val="24"/>
          <w:highlight w:val="none"/>
        </w:rPr>
        <w:t>8.7、如磋商小组对需要回复的供应商连续三次致电未接通的，视为供应商放弃回复，磋商小组将自行对需要回复的内容进行认定。</w:t>
      </w:r>
    </w:p>
    <w:p w14:paraId="022F09DA">
      <w:pPr>
        <w:spacing w:line="480" w:lineRule="exact"/>
        <w:ind w:firstLine="480" w:firstLineChars="200"/>
        <w:contextualSpacing/>
        <w:rPr>
          <w:rFonts w:ascii="宋体" w:hAnsi="宋体" w:cs="宋体"/>
          <w:color w:val="auto"/>
          <w:kern w:val="1"/>
          <w:sz w:val="24"/>
          <w:highlight w:val="none"/>
        </w:rPr>
      </w:pPr>
      <w:bookmarkStart w:id="49" w:name="_Toc127797703"/>
      <w:bookmarkStart w:id="50" w:name="_Toc24766"/>
      <w:r>
        <w:rPr>
          <w:rFonts w:hint="eastAsia" w:ascii="宋体" w:hAnsi="宋体" w:cs="宋体"/>
          <w:color w:val="auto"/>
          <w:kern w:val="1"/>
          <w:sz w:val="24"/>
          <w:highlight w:val="none"/>
        </w:rPr>
        <w:t>9、</w:t>
      </w:r>
      <w:r>
        <w:rPr>
          <w:rFonts w:hint="eastAsia" w:ascii="宋体" w:hAnsi="宋体" w:cs="宋体"/>
          <w:b/>
          <w:color w:val="auto"/>
          <w:kern w:val="1"/>
          <w:sz w:val="24"/>
          <w:highlight w:val="none"/>
        </w:rPr>
        <w:t>磋商过程的保密性</w:t>
      </w:r>
      <w:bookmarkEnd w:id="49"/>
      <w:bookmarkEnd w:id="50"/>
    </w:p>
    <w:p w14:paraId="6199B474">
      <w:pPr>
        <w:spacing w:line="480" w:lineRule="exact"/>
        <w:ind w:firstLine="480" w:firstLineChars="200"/>
        <w:contextualSpacing/>
        <w:rPr>
          <w:rFonts w:ascii="宋体" w:hAnsi="宋体" w:cs="宋体"/>
          <w:color w:val="auto"/>
          <w:kern w:val="1"/>
          <w:sz w:val="24"/>
          <w:highlight w:val="none"/>
        </w:rPr>
      </w:pPr>
      <w:r>
        <w:rPr>
          <w:rFonts w:hint="eastAsia" w:ascii="宋体" w:hAnsi="宋体" w:cs="宋体"/>
          <w:color w:val="auto"/>
          <w:kern w:val="1"/>
          <w:sz w:val="24"/>
          <w:highlight w:val="none"/>
        </w:rPr>
        <w:t>9.1、磋商期间，直到授予成交人合同止，凡是与响应文件审查、澄清、评价、比较以及推荐成交人等方面的情况，均不得向供应商或其他无关的人员透露。</w:t>
      </w:r>
    </w:p>
    <w:p w14:paraId="60ACB230">
      <w:pPr>
        <w:spacing w:line="480" w:lineRule="exact"/>
        <w:ind w:firstLine="480" w:firstLineChars="200"/>
        <w:contextualSpacing/>
        <w:rPr>
          <w:rFonts w:ascii="宋体" w:hAnsi="宋体" w:cs="宋体"/>
          <w:color w:val="auto"/>
          <w:kern w:val="1"/>
          <w:sz w:val="24"/>
          <w:highlight w:val="none"/>
        </w:rPr>
      </w:pPr>
      <w:r>
        <w:rPr>
          <w:rFonts w:hint="eastAsia" w:ascii="宋体" w:hAnsi="宋体" w:cs="宋体"/>
          <w:color w:val="auto"/>
          <w:kern w:val="1"/>
          <w:sz w:val="24"/>
          <w:highlight w:val="none"/>
        </w:rPr>
        <w:t>9.1.2在磋商过程中，供应商如向磋商小组成员施加任何影响，都将会导致其磋商被拒绝，政府招标监管部门将记录其不良行为。</w:t>
      </w:r>
    </w:p>
    <w:p w14:paraId="5C3CC96E">
      <w:pPr>
        <w:spacing w:line="480" w:lineRule="exact"/>
        <w:ind w:firstLine="480" w:firstLineChars="200"/>
        <w:rPr>
          <w:rFonts w:ascii="宋体" w:hAnsi="宋体" w:cs="宋体"/>
          <w:bCs/>
          <w:color w:val="auto"/>
          <w:sz w:val="24"/>
          <w:highlight w:val="none"/>
        </w:rPr>
      </w:pPr>
      <w:bookmarkStart w:id="51" w:name="_Toc3826"/>
      <w:bookmarkStart w:id="52" w:name="_Toc127797704"/>
      <w:r>
        <w:rPr>
          <w:rFonts w:hint="eastAsia" w:ascii="宋体" w:hAnsi="宋体" w:cs="宋体"/>
          <w:bCs/>
          <w:color w:val="auto"/>
          <w:sz w:val="24"/>
          <w:highlight w:val="none"/>
        </w:rPr>
        <w:t>10、</w:t>
      </w:r>
      <w:r>
        <w:rPr>
          <w:rFonts w:hint="eastAsia" w:ascii="宋体" w:hAnsi="宋体" w:cs="宋体"/>
          <w:b/>
          <w:bCs/>
          <w:color w:val="auto"/>
          <w:sz w:val="24"/>
          <w:highlight w:val="none"/>
        </w:rPr>
        <w:t>竞争性磋商</w:t>
      </w:r>
      <w:bookmarkEnd w:id="51"/>
      <w:bookmarkEnd w:id="52"/>
    </w:p>
    <w:p w14:paraId="230873AE">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10.1、采购单位据本项目的特点组成磋商小组，其成员</w:t>
      </w:r>
      <w:r>
        <w:rPr>
          <w:rFonts w:hint="eastAsia" w:ascii="宋体" w:hAnsi="宋体" w:cs="宋体"/>
          <w:color w:val="auto"/>
          <w:sz w:val="24"/>
          <w:highlight w:val="none"/>
        </w:rPr>
        <w:t>由采购人代表及有关技术、经济等方面的专家组成</w:t>
      </w:r>
      <w:r>
        <w:rPr>
          <w:rFonts w:hint="eastAsia" w:ascii="宋体" w:hAnsi="宋体" w:cs="宋体"/>
          <w:bCs/>
          <w:color w:val="auto"/>
          <w:sz w:val="24"/>
          <w:highlight w:val="none"/>
        </w:rPr>
        <w:t>等3人组成</w:t>
      </w:r>
      <w:r>
        <w:rPr>
          <w:rFonts w:hint="eastAsia" w:ascii="宋体" w:hAnsi="宋体" w:cs="宋体"/>
          <w:color w:val="auto"/>
          <w:sz w:val="24"/>
          <w:highlight w:val="none"/>
        </w:rPr>
        <w:t>，其中：采购人代表1人，技术和经济方面专家各1人（技术和经济方面专家从专家库抽取），</w:t>
      </w:r>
      <w:r>
        <w:rPr>
          <w:rFonts w:hint="eastAsia" w:ascii="宋体" w:hAnsi="宋体" w:cs="宋体"/>
          <w:bCs/>
          <w:color w:val="auto"/>
          <w:sz w:val="24"/>
          <w:highlight w:val="none"/>
        </w:rPr>
        <w:t>磋商小组负责对磋商响应文件进行综合评审，推荐1-3名成交候选人。</w:t>
      </w:r>
    </w:p>
    <w:p w14:paraId="164A9136">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10.2、磋商小组制定磋商文件或确认磋商文件符合政府招标政策规定，整个磋商过程将严格按照 “公开、公平、公正”的原则进行。</w:t>
      </w:r>
    </w:p>
    <w:p w14:paraId="45B18488">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10.3、磋商小组推荐3名成交候选人。</w:t>
      </w:r>
    </w:p>
    <w:p w14:paraId="46362CEC">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10.4、磋商小组首先要对各供应商的资格性、递交的响应文件的响应性进行审阅，以判定各供应商资格、响应文件的有效性，审阅结束后，要确定进入最终报价磋商阶段的供应商名单；</w:t>
      </w:r>
    </w:p>
    <w:p w14:paraId="27663992">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10.4.1在初审阶段，属于下列情况的响应文件将不得进入磋商阶段：</w:t>
      </w:r>
    </w:p>
    <w:p w14:paraId="17BB55BB">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（1）供应商在生成电子化响应文件后，应对电子化响应文件进行签章，未进行签章的视为无效投标。</w:t>
      </w:r>
    </w:p>
    <w:p w14:paraId="08D4A98C">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（2）响应文件中有采购人不能接受的其它条件；</w:t>
      </w:r>
    </w:p>
    <w:p w14:paraId="617925B1">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（3）资格不合格的供应商。</w:t>
      </w:r>
    </w:p>
    <w:p w14:paraId="7FA7DC3A">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10.4.2在初审阶段,响应文件出现以下情况之一者，属于重大偏差，为未能对磋商文件作出实质性响应，作废标处理：</w:t>
      </w:r>
    </w:p>
    <w:p w14:paraId="65B8909C">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（1）响应文件未按规定的格式填写、内容不全的；</w:t>
      </w:r>
    </w:p>
    <w:p w14:paraId="74908E1B">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（2）响应文件中无报价、无服务周期、无质量等达不到磋商文件要求的；</w:t>
      </w:r>
    </w:p>
    <w:p w14:paraId="68A88F0D">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（3）响应文件有保留或合同条款有采购人不可接受条件；</w:t>
      </w:r>
    </w:p>
    <w:p w14:paraId="2584DFA2">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（4）资格证明文件不全，或不满足磋商文件规定的供应商资质要求的；</w:t>
      </w:r>
    </w:p>
    <w:p w14:paraId="758411A1">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10.4.3详细磋商：</w:t>
      </w:r>
    </w:p>
    <w:p w14:paraId="66A54E23">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（1）磋商小组首先要对各供应商的资格性、递交的响应文件的符合性进行审阅，以判定各供应商资格、响应文件的有效性，审阅结束后，要确定进入最终报价磋商阶段的供应商名单；</w:t>
      </w:r>
    </w:p>
    <w:p w14:paraId="6EB39045">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2）磋商小组集中与单一供应商分别进行磋商。在磋商中，磋商双方可以就磋商项目所涉及的价格、技术、服务等进行实质性磋商，但磋商的任何一方不得透露与磋商有关的其他供应商的商业秘密、技术资料、价格和其他信息，不得变动磋商文件中的其他内容。</w:t>
      </w:r>
    </w:p>
    <w:p w14:paraId="79B2950F">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3）磋商小组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530D532A">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（4）磋商小组要求供应商澄清、说明或者更正响应文件应当在系统内作出。</w:t>
      </w:r>
    </w:p>
    <w:p w14:paraId="413C4FB2">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5）在磋商过程中，磋商小组可以根据磋商文件和磋商情况实质性变动磋商需求中的技术、服务要求以及合同草案条款，但不得变动磋商文件中的其他内容。实质性变动的内容，须经采购人代表确认。对磋商文件作出的实质性变动是磋商文件的有效组成部分，磋商小组应当在系统内通知所有参加磋商的供应商。</w:t>
      </w:r>
    </w:p>
    <w:p w14:paraId="41CA268C">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6）磋商文件不能详细列明招标标的的技术、服务要求，需经磋商由供应商提供最终设计方案或解决方案的，磋商结束后，磋商小组应当按照少数服从多数的原则投票推荐2家或以上供应商的设计方案或者解决方案，并要求其在规定时间内提交最后报价。</w:t>
      </w:r>
    </w:p>
    <w:p w14:paraId="03359C42">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（7）磋商文件能够详细列明招标标的的技术、服务要求的，磋商结束后，磋商小组应当要求所有继续参加磋商的供应商在规定的时间内提交最后报价。</w:t>
      </w:r>
    </w:p>
    <w:p w14:paraId="3AB849D2">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10.4.4磋商报价</w:t>
      </w:r>
    </w:p>
    <w:p w14:paraId="4AF4DFD2">
      <w:pPr>
        <w:spacing w:line="480" w:lineRule="exact"/>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（1）磋商报价采用人民币报价。</w:t>
      </w:r>
    </w:p>
    <w:p w14:paraId="2F3B66AA">
      <w:pPr>
        <w:spacing w:line="480" w:lineRule="exact"/>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（2）本次竞争性磋商分为两轮报价。供应商响应性文件中的报价作为第一次报价，不得高于项目预算金额且不公开；第二轮报价不得高于第一轮报价。</w:t>
      </w:r>
    </w:p>
    <w:p w14:paraId="14DE4667">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（3）磋商报价计量采用中华人民共和国法定的基本计量单位。供应商根据采购人提供的本项目采购清单、答疑纪要、磋商文件及补充答疑文件进行磋商报价。</w:t>
      </w:r>
    </w:p>
    <w:p w14:paraId="2E3F8B33">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（4）磋商报价为供应商在响应性文件中提出的各项支付金额的总和，报价应是目的地交货价，含</w:t>
      </w:r>
      <w:r>
        <w:rPr>
          <w:rFonts w:hint="eastAsia" w:ascii="宋体" w:hAnsi="宋体" w:cs="宋体"/>
          <w:color w:val="auto"/>
          <w:sz w:val="24"/>
          <w:highlight w:val="none"/>
        </w:rPr>
        <w:t>报价、服务、税费、售后服务等综合费用及交付使用过程中涉及到的一切费用</w:t>
      </w:r>
      <w:r>
        <w:rPr>
          <w:rFonts w:hint="eastAsia" w:ascii="宋体" w:hAnsi="宋体" w:cs="宋体"/>
          <w:bCs/>
          <w:color w:val="auto"/>
          <w:sz w:val="24"/>
          <w:highlight w:val="none"/>
        </w:rPr>
        <w:t>，成交后不予调整。</w:t>
      </w:r>
    </w:p>
    <w:p w14:paraId="56CBFCB1">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（5）经磋商小组确定最终采购需求和提交最终报价的供应商后，由磋商小组采用综合评分法对提交最终报价的供应商的响应文件和最终报价进行综合评分。</w:t>
      </w:r>
    </w:p>
    <w:p w14:paraId="6AA9F1FB">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10.4.5成交原则</w:t>
      </w:r>
    </w:p>
    <w:p w14:paraId="14B528AA">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磋商小组根据综合评分情况，按照评审得分由高到低顺序推荐1-3名供应商，并编写评审报告并在报告上签字。评审得分相同的，按照最后报价由低到高的顺序推荐。评审得分且最后报价相同的，按照技术指标优劣顺序推荐。</w:t>
      </w:r>
    </w:p>
    <w:p w14:paraId="04E5CC9D">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10.4.6评审报告</w:t>
      </w:r>
    </w:p>
    <w:p w14:paraId="7EE7681E">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磋商小组应当根据评审记录和评审结果编写评审报告，其主要内容包括：</w:t>
      </w:r>
    </w:p>
    <w:p w14:paraId="0E9232E0">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（1）招标活动的具体方式和相关情况，以及参加招标活动的投标人名单；</w:t>
      </w:r>
    </w:p>
    <w:p w14:paraId="19B6651D">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（2）评审日期和地点，磋商小组成员名单；</w:t>
      </w:r>
    </w:p>
    <w:p w14:paraId="0551C3AF">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（3）评审情况记录和说明，包括对供应商的资格审查情况、响应文件评审情况、磋商情况、报价情况等；</w:t>
      </w:r>
    </w:p>
    <w:p w14:paraId="2CCCC241">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（4）提出的成交候选人的名单及理由。</w:t>
      </w:r>
    </w:p>
    <w:p w14:paraId="4644FB80">
      <w:pPr>
        <w:spacing w:line="480" w:lineRule="exact"/>
        <w:ind w:firstLine="480" w:firstLineChars="200"/>
        <w:rPr>
          <w:rFonts w:ascii="宋体" w:hAnsi="宋体" w:cs="宋体"/>
          <w:color w:val="auto"/>
          <w:sz w:val="24"/>
          <w:highlight w:val="none"/>
        </w:rPr>
      </w:pPr>
      <w:r>
        <w:rPr>
          <w:rFonts w:hint="eastAsia" w:ascii="宋体" w:hAnsi="宋体" w:cs="宋体"/>
          <w:bCs/>
          <w:color w:val="auto"/>
          <w:sz w:val="24"/>
          <w:highlight w:val="none"/>
        </w:rPr>
        <w:t>评审报告应当由磋商小组全体人员签字认可。磋商小组成员对评审报告有异议的，磋商小组按照少数服从多数的原则推荐成交候选人，招标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5F7126B4">
      <w:pPr>
        <w:spacing w:line="480" w:lineRule="exact"/>
        <w:ind w:firstLine="482" w:firstLineChars="200"/>
        <w:rPr>
          <w:rFonts w:ascii="宋体" w:hAnsi="宋体" w:cs="宋体"/>
          <w:b/>
          <w:bCs/>
          <w:color w:val="auto"/>
          <w:sz w:val="24"/>
          <w:highlight w:val="none"/>
        </w:rPr>
      </w:pPr>
      <w:bookmarkStart w:id="53" w:name="_Toc127797705"/>
      <w:bookmarkStart w:id="54" w:name="_Toc27083"/>
      <w:r>
        <w:rPr>
          <w:rFonts w:hint="eastAsia" w:ascii="宋体" w:hAnsi="宋体" w:cs="宋体"/>
          <w:b/>
          <w:bCs/>
          <w:color w:val="auto"/>
          <w:sz w:val="24"/>
          <w:highlight w:val="none"/>
        </w:rPr>
        <w:t>11、响应性文件的提交</w:t>
      </w:r>
      <w:bookmarkEnd w:id="53"/>
      <w:bookmarkEnd w:id="54"/>
    </w:p>
    <w:p w14:paraId="12E6B2FE">
      <w:pPr>
        <w:spacing w:line="480" w:lineRule="exact"/>
        <w:ind w:firstLine="456" w:firstLineChars="200"/>
        <w:rPr>
          <w:rFonts w:ascii="宋体" w:hAnsi="宋体" w:cs="宋体"/>
          <w:color w:val="auto"/>
          <w:spacing w:val="-6"/>
          <w:sz w:val="24"/>
          <w:highlight w:val="none"/>
        </w:rPr>
      </w:pPr>
      <w:r>
        <w:rPr>
          <w:rFonts w:hint="eastAsia" w:ascii="宋体" w:hAnsi="宋体" w:cs="宋体"/>
          <w:color w:val="auto"/>
          <w:spacing w:val="-6"/>
          <w:sz w:val="24"/>
          <w:highlight w:val="none"/>
        </w:rPr>
        <w:t>响应性文件递交截止时间见供应商须知前附表。</w:t>
      </w:r>
    </w:p>
    <w:p w14:paraId="376D6775">
      <w:pPr>
        <w:spacing w:line="480" w:lineRule="exact"/>
        <w:ind w:firstLine="482" w:firstLineChars="200"/>
        <w:rPr>
          <w:rFonts w:ascii="宋体" w:hAnsi="宋体" w:cs="宋体"/>
          <w:color w:val="auto"/>
          <w:sz w:val="24"/>
          <w:highlight w:val="none"/>
        </w:rPr>
      </w:pPr>
      <w:bookmarkStart w:id="55" w:name="_Toc26261"/>
      <w:bookmarkStart w:id="56" w:name="_Toc127797706"/>
      <w:r>
        <w:rPr>
          <w:rFonts w:hint="eastAsia" w:ascii="宋体" w:hAnsi="宋体" w:cs="宋体"/>
          <w:b/>
          <w:bCs/>
          <w:color w:val="auto"/>
          <w:sz w:val="24"/>
          <w:highlight w:val="none"/>
        </w:rPr>
        <w:t>12、</w:t>
      </w:r>
      <w:r>
        <w:rPr>
          <w:rFonts w:hint="eastAsia" w:ascii="宋体" w:hAnsi="宋体" w:cs="宋体"/>
          <w:b/>
          <w:color w:val="auto"/>
          <w:sz w:val="24"/>
          <w:highlight w:val="none"/>
        </w:rPr>
        <w:t>终止竞争性磋商采购活动</w:t>
      </w:r>
      <w:bookmarkEnd w:id="55"/>
      <w:bookmarkEnd w:id="56"/>
    </w:p>
    <w:p w14:paraId="7B26BB48">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出现下列情形之一的，采购人或者招标代理机构应当终止竞争性磋商采购活动，发布项目终止公告并说明原因，重新开展采购活动：</w:t>
      </w:r>
    </w:p>
    <w:p w14:paraId="17EBB9D0">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（1）因情况变化，不再符合规定的竞争性磋商采购方式适用情形的；</w:t>
      </w:r>
    </w:p>
    <w:p w14:paraId="49440F64">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（2）出现影响采购公正的违法、违规行为的；</w:t>
      </w:r>
    </w:p>
    <w:p w14:paraId="530F5D52">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（3）在磋商过程中符合竞争要求的供应商或者报价未超过招标预算的供应商不足2家的，但货物和服务项目技术复杂或者性质特殊，不能确定详细规格或者具体要求的情形除外。</w:t>
      </w:r>
    </w:p>
    <w:p w14:paraId="0F7C0582">
      <w:pPr>
        <w:spacing w:line="480" w:lineRule="exact"/>
        <w:ind w:firstLine="482" w:firstLineChars="200"/>
        <w:rPr>
          <w:rFonts w:ascii="宋体" w:hAnsi="宋体" w:cs="宋体"/>
          <w:b/>
          <w:color w:val="auto"/>
          <w:sz w:val="24"/>
          <w:highlight w:val="none"/>
        </w:rPr>
      </w:pPr>
      <w:bookmarkStart w:id="57" w:name="_Toc127797707"/>
      <w:bookmarkStart w:id="58" w:name="_Toc20264"/>
      <w:r>
        <w:rPr>
          <w:rFonts w:hint="eastAsia" w:ascii="宋体" w:hAnsi="宋体" w:cs="宋体"/>
          <w:b/>
          <w:color w:val="auto"/>
          <w:sz w:val="24"/>
          <w:highlight w:val="none"/>
        </w:rPr>
        <w:t>13、确定成交人</w:t>
      </w:r>
      <w:bookmarkEnd w:id="57"/>
      <w:bookmarkEnd w:id="58"/>
    </w:p>
    <w:p w14:paraId="23EC033A">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13.1、招标代理机构应当在磋商结束后2个工作日内将评审报告送采购人。采购人应当在收到评审报告后5个工作日内，按照磋商评审报告中推荐的成交候选人顺序确定成交人，并将结果发布网上。</w:t>
      </w:r>
    </w:p>
    <w:p w14:paraId="304487FC">
      <w:pPr>
        <w:spacing w:line="480" w:lineRule="exact"/>
        <w:ind w:firstLine="480" w:firstLineChars="200"/>
        <w:rPr>
          <w:rFonts w:ascii="宋体" w:hAnsi="宋体" w:cs="宋体"/>
          <w:bCs/>
          <w:color w:val="auto"/>
          <w:sz w:val="24"/>
          <w:highlight w:val="none"/>
        </w:rPr>
      </w:pPr>
      <w:r>
        <w:rPr>
          <w:rFonts w:hint="eastAsia" w:ascii="宋体" w:hAnsi="宋体" w:cs="宋体"/>
          <w:color w:val="auto"/>
          <w:sz w:val="24"/>
          <w:highlight w:val="none"/>
        </w:rPr>
        <w:t>13.2、采购人也可以授权磋商小组直接确定成交供应商。磋商小组直接确定成交供应商的应在磋商文件中写明。</w:t>
      </w:r>
    </w:p>
    <w:p w14:paraId="5021A610">
      <w:pPr>
        <w:spacing w:line="480" w:lineRule="exact"/>
        <w:ind w:firstLine="482" w:firstLineChars="200"/>
        <w:contextualSpacing/>
        <w:rPr>
          <w:rFonts w:ascii="宋体" w:hAnsi="宋体" w:cs="宋体"/>
          <w:color w:val="auto"/>
          <w:kern w:val="1"/>
          <w:sz w:val="24"/>
          <w:highlight w:val="none"/>
        </w:rPr>
      </w:pPr>
      <w:bookmarkStart w:id="59" w:name="_Toc9164"/>
      <w:bookmarkStart w:id="60" w:name="_Toc127797708"/>
      <w:r>
        <w:rPr>
          <w:rFonts w:hint="eastAsia" w:ascii="宋体" w:hAnsi="宋体" w:cs="宋体"/>
          <w:b/>
          <w:color w:val="auto"/>
          <w:sz w:val="24"/>
          <w:highlight w:val="none"/>
        </w:rPr>
        <w:t>14、</w:t>
      </w:r>
      <w:r>
        <w:rPr>
          <w:rFonts w:hint="eastAsia" w:ascii="宋体" w:hAnsi="宋体" w:cs="宋体"/>
          <w:b/>
          <w:color w:val="auto"/>
          <w:kern w:val="1"/>
          <w:sz w:val="24"/>
          <w:highlight w:val="none"/>
        </w:rPr>
        <w:t>成交结果公告</w:t>
      </w:r>
      <w:bookmarkEnd w:id="59"/>
      <w:bookmarkEnd w:id="60"/>
    </w:p>
    <w:p w14:paraId="35EC93A6">
      <w:pPr>
        <w:spacing w:line="480" w:lineRule="exact"/>
        <w:ind w:firstLine="480" w:firstLineChars="200"/>
        <w:contextualSpacing/>
        <w:rPr>
          <w:rFonts w:ascii="宋体" w:hAnsi="宋体" w:cs="宋体"/>
          <w:color w:val="auto"/>
          <w:kern w:val="1"/>
          <w:sz w:val="24"/>
          <w:highlight w:val="none"/>
        </w:rPr>
      </w:pPr>
      <w:r>
        <w:rPr>
          <w:rFonts w:hint="eastAsia" w:ascii="宋体" w:hAnsi="宋体" w:cs="宋体"/>
          <w:color w:val="auto"/>
          <w:kern w:val="1"/>
          <w:sz w:val="24"/>
          <w:highlight w:val="none"/>
        </w:rPr>
        <w:t>14.1、采购人应当在成交人确定后2个工作日内，在公告发布的同一媒介上发布成交结果，同时向成交供应商发出成交通知书，并将磋商文件随成交结果同时公告，公告期限1个工作日。</w:t>
      </w:r>
    </w:p>
    <w:p w14:paraId="4FE906FE">
      <w:pPr>
        <w:spacing w:line="480" w:lineRule="exact"/>
        <w:ind w:firstLine="480" w:firstLineChars="200"/>
        <w:rPr>
          <w:rFonts w:ascii="宋体" w:hAnsi="宋体" w:cs="宋体"/>
          <w:color w:val="auto"/>
          <w:sz w:val="24"/>
          <w:highlight w:val="none"/>
        </w:rPr>
      </w:pPr>
      <w:bookmarkStart w:id="61" w:name="_Toc454788042"/>
      <w:bookmarkEnd w:id="61"/>
      <w:r>
        <w:rPr>
          <w:rFonts w:hint="eastAsia" w:ascii="宋体" w:hAnsi="宋体" w:cs="宋体"/>
          <w:color w:val="auto"/>
          <w:kern w:val="1"/>
          <w:sz w:val="24"/>
          <w:highlight w:val="none"/>
        </w:rPr>
        <w:t>14.2、成交结果公告内容应当包括采购人和招标代理机构的名称、地址、联系方式，项目名称和项目编号，成交人名称、地址和成交金额，主要成交标的的名称、规格型号、数量、单价、服务要求或标的的基本概况以及磋商小组名单。</w:t>
      </w:r>
    </w:p>
    <w:p w14:paraId="39BE2740">
      <w:pPr>
        <w:spacing w:line="480" w:lineRule="exact"/>
        <w:ind w:firstLine="482" w:firstLineChars="200"/>
        <w:contextualSpacing/>
        <w:rPr>
          <w:rFonts w:ascii="宋体" w:hAnsi="宋体" w:cs="宋体"/>
          <w:color w:val="auto"/>
          <w:kern w:val="1"/>
          <w:sz w:val="24"/>
          <w:highlight w:val="none"/>
        </w:rPr>
      </w:pPr>
      <w:bookmarkStart w:id="62" w:name="_Toc127797709"/>
      <w:bookmarkStart w:id="63" w:name="_Toc14649"/>
      <w:r>
        <w:rPr>
          <w:rFonts w:hint="eastAsia" w:ascii="宋体" w:hAnsi="宋体" w:cs="宋体"/>
          <w:b/>
          <w:color w:val="auto"/>
          <w:sz w:val="24"/>
          <w:highlight w:val="none"/>
        </w:rPr>
        <w:t>15、</w:t>
      </w:r>
      <w:r>
        <w:rPr>
          <w:rFonts w:hint="eastAsia" w:ascii="宋体" w:hAnsi="宋体" w:cs="宋体"/>
          <w:b/>
          <w:color w:val="auto"/>
          <w:kern w:val="1"/>
          <w:sz w:val="24"/>
          <w:highlight w:val="none"/>
        </w:rPr>
        <w:t>合同授予</w:t>
      </w:r>
      <w:bookmarkEnd w:id="62"/>
      <w:bookmarkEnd w:id="63"/>
    </w:p>
    <w:p w14:paraId="4EF48815">
      <w:pPr>
        <w:spacing w:line="480" w:lineRule="exact"/>
        <w:ind w:firstLine="480" w:firstLineChars="200"/>
        <w:contextualSpacing/>
        <w:rPr>
          <w:rFonts w:ascii="宋体" w:hAnsi="宋体" w:cs="宋体"/>
          <w:color w:val="auto"/>
          <w:kern w:val="1"/>
          <w:sz w:val="24"/>
          <w:highlight w:val="none"/>
        </w:rPr>
      </w:pPr>
      <w:r>
        <w:rPr>
          <w:rFonts w:hint="eastAsia" w:ascii="宋体" w:hAnsi="宋体" w:cs="宋体"/>
          <w:color w:val="auto"/>
          <w:kern w:val="1"/>
          <w:sz w:val="24"/>
          <w:highlight w:val="none"/>
        </w:rPr>
        <w:t>15.1、成交结果公示的同时，采购人以书面形式向成交人发出成交通知书。</w:t>
      </w:r>
    </w:p>
    <w:p w14:paraId="1615728F">
      <w:pPr>
        <w:spacing w:line="480" w:lineRule="exact"/>
        <w:ind w:firstLine="480" w:firstLineChars="200"/>
        <w:contextualSpacing/>
        <w:rPr>
          <w:rFonts w:ascii="宋体" w:hAnsi="宋体" w:cs="宋体"/>
          <w:color w:val="auto"/>
          <w:kern w:val="1"/>
          <w:sz w:val="24"/>
          <w:highlight w:val="none"/>
        </w:rPr>
      </w:pPr>
      <w:bookmarkStart w:id="64" w:name="_Toc530665447"/>
      <w:bookmarkEnd w:id="64"/>
      <w:bookmarkStart w:id="65" w:name="_Toc511663240"/>
      <w:bookmarkEnd w:id="65"/>
      <w:bookmarkStart w:id="66" w:name="_Toc531936136"/>
      <w:bookmarkEnd w:id="66"/>
      <w:bookmarkStart w:id="67" w:name="_Toc511897557"/>
      <w:bookmarkEnd w:id="67"/>
      <w:bookmarkStart w:id="68" w:name="_Toc269470335"/>
      <w:bookmarkEnd w:id="68"/>
      <w:bookmarkStart w:id="69" w:name="_Toc463011501"/>
      <w:bookmarkEnd w:id="69"/>
      <w:bookmarkStart w:id="70" w:name="_Toc530664100"/>
      <w:bookmarkEnd w:id="70"/>
      <w:bookmarkStart w:id="71" w:name="_Toc455678262"/>
      <w:bookmarkEnd w:id="71"/>
      <w:bookmarkStart w:id="72" w:name="_Toc530663944"/>
      <w:bookmarkEnd w:id="72"/>
      <w:r>
        <w:rPr>
          <w:rFonts w:hint="eastAsia" w:ascii="宋体" w:hAnsi="宋体" w:cs="宋体"/>
          <w:color w:val="auto"/>
          <w:kern w:val="1"/>
          <w:sz w:val="24"/>
          <w:highlight w:val="none"/>
        </w:rPr>
        <w:t>15.2、 供应商的最后一轮报价为成交价，成交价即为合同价。</w:t>
      </w:r>
    </w:p>
    <w:p w14:paraId="4FD8A520">
      <w:pPr>
        <w:spacing w:line="480" w:lineRule="exact"/>
        <w:ind w:firstLine="480" w:firstLineChars="200"/>
        <w:contextualSpacing/>
        <w:rPr>
          <w:rFonts w:ascii="宋体" w:hAnsi="宋体" w:cs="宋体"/>
          <w:color w:val="auto"/>
          <w:kern w:val="1"/>
          <w:sz w:val="24"/>
          <w:highlight w:val="none"/>
        </w:rPr>
      </w:pPr>
      <w:bookmarkStart w:id="73" w:name="_Toc531936137"/>
      <w:bookmarkEnd w:id="73"/>
      <w:bookmarkStart w:id="74" w:name="_Toc463011502"/>
      <w:bookmarkEnd w:id="74"/>
      <w:bookmarkStart w:id="75" w:name="_Toc511897558"/>
      <w:bookmarkEnd w:id="75"/>
      <w:bookmarkStart w:id="76" w:name="_Toc530664101"/>
      <w:bookmarkEnd w:id="76"/>
      <w:bookmarkStart w:id="77" w:name="_Toc455678263"/>
      <w:bookmarkEnd w:id="77"/>
      <w:bookmarkStart w:id="78" w:name="_Toc530663945"/>
      <w:bookmarkEnd w:id="78"/>
      <w:bookmarkStart w:id="79" w:name="_Toc530665448"/>
      <w:bookmarkEnd w:id="79"/>
      <w:bookmarkStart w:id="80" w:name="_Toc511663241"/>
      <w:bookmarkEnd w:id="80"/>
      <w:r>
        <w:rPr>
          <w:rFonts w:hint="eastAsia" w:ascii="宋体" w:hAnsi="宋体" w:cs="宋体"/>
          <w:color w:val="auto"/>
          <w:kern w:val="1"/>
          <w:sz w:val="24"/>
          <w:highlight w:val="none"/>
        </w:rPr>
        <w:t>15.3 、采购人和成交人应当自成交通知书发出之日起15天内，根据竞争性磋商文件、供应商的响应性文件及在磋商过程中对响应性文件作出的澄清、解释订立书面合同。供应商无正当理由拒签合同的，采购人取消其成交资格，并追究其违约责任。在此情况下，采购人可将合同授予排名次髙的供应商。</w:t>
      </w:r>
    </w:p>
    <w:p w14:paraId="454399E9">
      <w:pPr>
        <w:spacing w:line="480" w:lineRule="exact"/>
        <w:ind w:firstLine="480" w:firstLineChars="200"/>
        <w:rPr>
          <w:rFonts w:ascii="宋体" w:hAnsi="宋体" w:cs="宋体"/>
          <w:color w:val="auto"/>
          <w:sz w:val="24"/>
          <w:highlight w:val="none"/>
        </w:rPr>
      </w:pPr>
      <w:r>
        <w:rPr>
          <w:rFonts w:hint="eastAsia" w:ascii="宋体" w:hAnsi="宋体" w:cs="宋体"/>
          <w:color w:val="auto"/>
          <w:kern w:val="1"/>
          <w:sz w:val="24"/>
          <w:highlight w:val="none"/>
        </w:rPr>
        <w:t>15.4、在签订合同过程中，如发现成交供应商以他人名义磋商或者以其他方式弄虚作假，骗取成交的，采购人有权取消其成交资格。</w:t>
      </w:r>
    </w:p>
    <w:p w14:paraId="4D745EF4">
      <w:pPr>
        <w:spacing w:line="480" w:lineRule="exact"/>
        <w:ind w:firstLine="482" w:firstLineChars="200"/>
        <w:contextualSpacing/>
        <w:rPr>
          <w:rFonts w:ascii="宋体" w:hAnsi="宋体" w:cs="宋体"/>
          <w:color w:val="auto"/>
          <w:kern w:val="1"/>
          <w:sz w:val="24"/>
          <w:highlight w:val="none"/>
        </w:rPr>
      </w:pPr>
      <w:bookmarkStart w:id="81" w:name="_Toc17303"/>
      <w:bookmarkStart w:id="82" w:name="_Toc127797710"/>
      <w:r>
        <w:rPr>
          <w:rFonts w:hint="eastAsia" w:ascii="宋体" w:hAnsi="宋体" w:cs="宋体"/>
          <w:b/>
          <w:bCs/>
          <w:color w:val="auto"/>
          <w:sz w:val="24"/>
          <w:highlight w:val="none"/>
        </w:rPr>
        <w:t>16、</w:t>
      </w:r>
      <w:r>
        <w:rPr>
          <w:rFonts w:hint="eastAsia" w:ascii="宋体" w:hAnsi="宋体" w:cs="宋体"/>
          <w:b/>
          <w:color w:val="auto"/>
          <w:kern w:val="1"/>
          <w:sz w:val="24"/>
          <w:highlight w:val="none"/>
        </w:rPr>
        <w:t>履约保证金</w:t>
      </w:r>
      <w:bookmarkEnd w:id="81"/>
      <w:bookmarkEnd w:id="82"/>
    </w:p>
    <w:p w14:paraId="046B9248">
      <w:pPr>
        <w:spacing w:line="480" w:lineRule="exact"/>
        <w:ind w:firstLine="480" w:firstLineChars="200"/>
        <w:rPr>
          <w:rFonts w:ascii="宋体" w:hAnsi="宋体" w:cs="宋体"/>
          <w:color w:val="auto"/>
          <w:kern w:val="1"/>
          <w:sz w:val="24"/>
          <w:highlight w:val="none"/>
        </w:rPr>
      </w:pPr>
      <w:bookmarkStart w:id="83" w:name="_Toc463011504"/>
      <w:bookmarkEnd w:id="83"/>
      <w:bookmarkStart w:id="84" w:name="_Toc455678265"/>
      <w:bookmarkEnd w:id="84"/>
      <w:r>
        <w:rPr>
          <w:rFonts w:hint="eastAsia" w:ascii="宋体" w:hAnsi="宋体" w:cs="宋体"/>
          <w:color w:val="auto"/>
          <w:kern w:val="1"/>
          <w:sz w:val="24"/>
          <w:highlight w:val="none"/>
        </w:rPr>
        <w:t>本项目不收取履约保证金。</w:t>
      </w:r>
    </w:p>
    <w:p w14:paraId="2DD78D41">
      <w:pPr>
        <w:spacing w:line="480" w:lineRule="exact"/>
        <w:ind w:firstLine="482" w:firstLineChars="200"/>
        <w:rPr>
          <w:rFonts w:ascii="宋体" w:hAnsi="宋体" w:cs="宋体"/>
          <w:b/>
          <w:bCs/>
          <w:color w:val="auto"/>
          <w:sz w:val="24"/>
          <w:highlight w:val="none"/>
        </w:rPr>
      </w:pPr>
      <w:bookmarkStart w:id="85" w:name="_Toc127797711"/>
      <w:bookmarkStart w:id="86" w:name="_Toc30337"/>
      <w:r>
        <w:rPr>
          <w:rFonts w:hint="eastAsia" w:ascii="宋体" w:hAnsi="宋体" w:cs="宋体"/>
          <w:b/>
          <w:bCs/>
          <w:color w:val="auto"/>
          <w:sz w:val="24"/>
          <w:highlight w:val="none"/>
        </w:rPr>
        <w:t>17、合同授予</w:t>
      </w:r>
      <w:bookmarkEnd w:id="85"/>
      <w:bookmarkEnd w:id="86"/>
    </w:p>
    <w:p w14:paraId="4152B9D3">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17.1 、成交供应商在收到成交通知书后应与采购人签订承包合同。竞争性磋商文件成交供应商的响应性文件及其相关澄清、补遗文件等，均为签订合同的依据。</w:t>
      </w:r>
    </w:p>
    <w:p w14:paraId="1DAFAADF">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17.2、成交供应商如未能按竞争性磋商文件要求，在规定限期内与采购人签订合同，无论何种原因招标方将取消其成交资格、撤销其成交通知书，并没收其磋商保证金。在此情况下，采购人可将合同授予排名次髙的供应商。</w:t>
      </w:r>
    </w:p>
    <w:p w14:paraId="773AF0F8">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17.3、在签订合同过程中，如发现成交供应商以他人名义磋商或者以其他方式弄虚作假，骗取成交的，采购人有权取消其成交资格。</w:t>
      </w:r>
    </w:p>
    <w:p w14:paraId="2B3B50A2">
      <w:pPr>
        <w:spacing w:line="480" w:lineRule="exact"/>
        <w:ind w:firstLine="482" w:firstLineChars="200"/>
        <w:contextualSpacing/>
        <w:rPr>
          <w:rFonts w:ascii="宋体" w:hAnsi="宋体" w:cs="宋体"/>
          <w:color w:val="auto"/>
          <w:kern w:val="1"/>
          <w:sz w:val="24"/>
          <w:highlight w:val="none"/>
        </w:rPr>
      </w:pPr>
      <w:bookmarkStart w:id="87" w:name="_Toc4580"/>
      <w:bookmarkStart w:id="88" w:name="_Toc127797712"/>
      <w:r>
        <w:rPr>
          <w:rFonts w:hint="eastAsia" w:ascii="宋体" w:hAnsi="宋体" w:cs="宋体"/>
          <w:b/>
          <w:bCs/>
          <w:color w:val="auto"/>
          <w:sz w:val="24"/>
          <w:highlight w:val="none"/>
        </w:rPr>
        <w:t>18、</w:t>
      </w:r>
      <w:r>
        <w:rPr>
          <w:rFonts w:hint="eastAsia" w:ascii="宋体" w:hAnsi="宋体" w:cs="宋体"/>
          <w:b/>
          <w:color w:val="auto"/>
          <w:kern w:val="1"/>
          <w:sz w:val="24"/>
          <w:highlight w:val="none"/>
        </w:rPr>
        <w:t>纪律和监督</w:t>
      </w:r>
      <w:bookmarkEnd w:id="87"/>
      <w:bookmarkEnd w:id="88"/>
      <w:bookmarkStart w:id="89" w:name="_Toc511897564"/>
      <w:bookmarkEnd w:id="89"/>
      <w:bookmarkStart w:id="90" w:name="_Toc428276606"/>
      <w:bookmarkEnd w:id="90"/>
      <w:bookmarkStart w:id="91" w:name="_Toc463011513"/>
      <w:bookmarkEnd w:id="91"/>
      <w:bookmarkStart w:id="92" w:name="_Toc530664107"/>
      <w:bookmarkEnd w:id="92"/>
      <w:bookmarkStart w:id="93" w:name="_Toc531936143"/>
      <w:bookmarkEnd w:id="93"/>
      <w:bookmarkStart w:id="94" w:name="_Toc511663247"/>
      <w:bookmarkEnd w:id="94"/>
      <w:bookmarkStart w:id="95" w:name="_Toc277149399"/>
      <w:bookmarkEnd w:id="95"/>
      <w:bookmarkStart w:id="96" w:name="_Toc270604611"/>
      <w:bookmarkEnd w:id="96"/>
      <w:bookmarkStart w:id="97" w:name="_Toc530663951"/>
      <w:bookmarkEnd w:id="97"/>
      <w:bookmarkStart w:id="98" w:name="_Toc270604838"/>
      <w:bookmarkEnd w:id="98"/>
      <w:bookmarkStart w:id="99" w:name="_Toc455678274"/>
      <w:bookmarkEnd w:id="99"/>
      <w:bookmarkStart w:id="100" w:name="_Toc269470339"/>
      <w:bookmarkEnd w:id="100"/>
      <w:bookmarkStart w:id="101" w:name="_Toc454788293"/>
      <w:bookmarkEnd w:id="101"/>
      <w:bookmarkStart w:id="102" w:name="_Toc530665454"/>
      <w:bookmarkEnd w:id="102"/>
    </w:p>
    <w:p w14:paraId="1D91181E">
      <w:pPr>
        <w:tabs>
          <w:tab w:val="left" w:pos="540"/>
        </w:tabs>
        <w:autoSpaceDE w:val="0"/>
        <w:autoSpaceDN w:val="0"/>
        <w:adjustRightInd w:val="0"/>
        <w:spacing w:line="480" w:lineRule="exact"/>
        <w:ind w:firstLine="480" w:firstLineChars="200"/>
        <w:rPr>
          <w:rFonts w:ascii="宋体" w:hAnsi="宋体" w:cs="宋体"/>
          <w:color w:val="auto"/>
          <w:sz w:val="24"/>
          <w:highlight w:val="none"/>
        </w:rPr>
      </w:pPr>
      <w:bookmarkStart w:id="103" w:name="_Toc23882"/>
      <w:bookmarkStart w:id="104" w:name="_Toc530142110"/>
      <w:bookmarkStart w:id="105" w:name="_Toc21437473"/>
      <w:bookmarkStart w:id="106" w:name="_Toc22717750"/>
      <w:bookmarkStart w:id="107" w:name="_Toc521488519"/>
      <w:bookmarkStart w:id="108" w:name="_Toc22486"/>
      <w:bookmarkStart w:id="109" w:name="_Toc50397855"/>
      <w:bookmarkStart w:id="110" w:name="_Toc27652"/>
      <w:bookmarkStart w:id="111" w:name="_Toc526682544"/>
      <w:bookmarkStart w:id="112" w:name="_Toc528250057"/>
      <w:bookmarkStart w:id="113" w:name="_Toc50397315"/>
      <w:bookmarkStart w:id="114" w:name="_Toc521488759"/>
      <w:bookmarkStart w:id="115" w:name="_Toc514402140"/>
      <w:bookmarkStart w:id="116" w:name="_Toc127797713"/>
      <w:bookmarkStart w:id="117" w:name="_Toc13802"/>
      <w:bookmarkStart w:id="118" w:name="_Toc17415"/>
      <w:bookmarkStart w:id="119" w:name="_Toc19521"/>
      <w:bookmarkStart w:id="120" w:name="_Toc515378707"/>
      <w:bookmarkStart w:id="121" w:name="_Toc521488919"/>
      <w:bookmarkStart w:id="122" w:name="_Toc521486763"/>
      <w:bookmarkStart w:id="123" w:name="_Toc3206130"/>
      <w:bookmarkStart w:id="124" w:name="_Toc25797"/>
      <w:bookmarkStart w:id="125" w:name="_Toc4248302"/>
      <w:r>
        <w:rPr>
          <w:rFonts w:hint="eastAsia" w:ascii="宋体" w:hAnsi="宋体" w:cs="宋体"/>
          <w:color w:val="auto"/>
          <w:sz w:val="24"/>
          <w:highlight w:val="none"/>
        </w:rPr>
        <w:t>18.1、对采购人的纪律要求</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14:paraId="6256F264">
      <w:pPr>
        <w:tabs>
          <w:tab w:val="left" w:pos="540"/>
        </w:tabs>
        <w:autoSpaceDE w:val="0"/>
        <w:autoSpaceDN w:val="0"/>
        <w:adjustRightInd w:val="0"/>
        <w:spacing w:line="480" w:lineRule="exact"/>
        <w:ind w:firstLine="480" w:firstLineChars="200"/>
        <w:rPr>
          <w:rFonts w:ascii="宋体" w:hAnsi="宋体" w:cs="宋体"/>
          <w:color w:val="auto"/>
          <w:kern w:val="0"/>
          <w:sz w:val="24"/>
          <w:highlight w:val="none"/>
        </w:rPr>
      </w:pPr>
      <w:bookmarkStart w:id="126" w:name="_Toc4248303"/>
      <w:bookmarkStart w:id="127" w:name="_Toc27053"/>
      <w:bookmarkStart w:id="128" w:name="_Toc3206131"/>
      <w:bookmarkStart w:id="129" w:name="_Toc530142111"/>
      <w:bookmarkStart w:id="130" w:name="_Toc22717751"/>
      <w:bookmarkStart w:id="131" w:name="_Toc50397316"/>
      <w:bookmarkStart w:id="132" w:name="_Toc50397856"/>
      <w:bookmarkStart w:id="133" w:name="_Toc21437474"/>
      <w:bookmarkStart w:id="134" w:name="_Toc30898"/>
      <w:bookmarkStart w:id="135" w:name="_Toc127797714"/>
      <w:r>
        <w:rPr>
          <w:rFonts w:hint="eastAsia" w:ascii="宋体" w:hAnsi="宋体" w:cs="宋体"/>
          <w:color w:val="auto"/>
          <w:sz w:val="24"/>
          <w:highlight w:val="none"/>
        </w:rPr>
        <w:t>采购人不得泄漏竞争性</w:t>
      </w:r>
      <w:r>
        <w:rPr>
          <w:rFonts w:hint="eastAsia" w:ascii="宋体" w:hAnsi="宋体" w:cs="宋体"/>
          <w:color w:val="auto"/>
          <w:kern w:val="0"/>
          <w:sz w:val="24"/>
          <w:highlight w:val="none"/>
        </w:rPr>
        <w:t>磋商中应当保密的情况和资料，不得与供应商串通损害国家利益、社会公共利益或者他人合法权益。</w:t>
      </w:r>
      <w:bookmarkEnd w:id="126"/>
      <w:bookmarkEnd w:id="127"/>
      <w:bookmarkEnd w:id="128"/>
      <w:bookmarkEnd w:id="129"/>
      <w:bookmarkEnd w:id="130"/>
      <w:bookmarkEnd w:id="131"/>
      <w:bookmarkEnd w:id="132"/>
      <w:bookmarkEnd w:id="133"/>
      <w:bookmarkEnd w:id="134"/>
      <w:bookmarkEnd w:id="135"/>
    </w:p>
    <w:p w14:paraId="3C9DC8B6">
      <w:pPr>
        <w:tabs>
          <w:tab w:val="left" w:pos="540"/>
        </w:tabs>
        <w:autoSpaceDE w:val="0"/>
        <w:autoSpaceDN w:val="0"/>
        <w:adjustRightInd w:val="0"/>
        <w:spacing w:line="480" w:lineRule="exact"/>
        <w:ind w:firstLine="480" w:firstLineChars="200"/>
        <w:rPr>
          <w:rFonts w:ascii="宋体" w:hAnsi="宋体" w:cs="宋体"/>
          <w:color w:val="auto"/>
          <w:kern w:val="0"/>
          <w:sz w:val="24"/>
          <w:highlight w:val="none"/>
        </w:rPr>
      </w:pPr>
      <w:bookmarkStart w:id="136" w:name="_Toc21437475"/>
      <w:bookmarkStart w:id="137" w:name="_Toc270604839"/>
      <w:bookmarkStart w:id="138" w:name="_Toc31355"/>
      <w:bookmarkStart w:id="139" w:name="_Toc511897565"/>
      <w:bookmarkStart w:id="140" w:name="_Toc5793"/>
      <w:bookmarkStart w:id="141" w:name="_Toc428276607"/>
      <w:bookmarkStart w:id="142" w:name="_Toc22717752"/>
      <w:bookmarkStart w:id="143" w:name="_Toc528250058"/>
      <w:bookmarkStart w:id="144" w:name="_Toc25647"/>
      <w:bookmarkStart w:id="145" w:name="_Toc2963"/>
      <w:bookmarkStart w:id="146" w:name="_Toc23986"/>
      <w:bookmarkStart w:id="147" w:name="_Toc3096"/>
      <w:bookmarkStart w:id="148" w:name="_Toc521488520"/>
      <w:bookmarkStart w:id="149" w:name="_Toc488"/>
      <w:bookmarkStart w:id="150" w:name="_Toc455678275"/>
      <w:bookmarkStart w:id="151" w:name="_Toc454788294"/>
      <w:bookmarkStart w:id="152" w:name="_Toc521488920"/>
      <w:bookmarkStart w:id="153" w:name="_Toc3206132"/>
      <w:bookmarkStart w:id="154" w:name="_Toc526682545"/>
      <w:bookmarkStart w:id="155" w:name="_Toc515378708"/>
      <w:bookmarkStart w:id="156" w:name="_Toc50397857"/>
      <w:bookmarkStart w:id="157" w:name="_Toc530142112"/>
      <w:bookmarkStart w:id="158" w:name="_Toc521488760"/>
      <w:bookmarkStart w:id="159" w:name="_Toc463011514"/>
      <w:bookmarkStart w:id="160" w:name="_Toc514402141"/>
      <w:bookmarkStart w:id="161" w:name="_Toc4248304"/>
      <w:bookmarkStart w:id="162" w:name="_Toc270604612"/>
      <w:bookmarkStart w:id="163" w:name="_Toc127797715"/>
      <w:bookmarkStart w:id="164" w:name="_Toc277149400"/>
      <w:bookmarkStart w:id="165" w:name="_Toc50397317"/>
      <w:bookmarkStart w:id="166" w:name="_Toc521486764"/>
      <w:bookmarkStart w:id="167" w:name="_Toc269470340"/>
      <w:bookmarkStart w:id="168" w:name="_Toc511663248"/>
      <w:r>
        <w:rPr>
          <w:rFonts w:hint="eastAsia" w:ascii="宋体" w:hAnsi="宋体" w:cs="宋体"/>
          <w:color w:val="auto"/>
          <w:kern w:val="0"/>
          <w:sz w:val="24"/>
          <w:highlight w:val="none"/>
        </w:rPr>
        <w:t>18.2、对供应商的纪律要求</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14:paraId="0C29B48E">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供应商不得相互串通或者与采购人串通，不得向采购人或者磋商小组成员行贿谋取</w:t>
      </w:r>
      <w:r>
        <w:rPr>
          <w:rFonts w:hint="eastAsia" w:ascii="宋体" w:hAnsi="宋体" w:cs="宋体"/>
          <w:color w:val="auto"/>
          <w:sz w:val="24"/>
          <w:highlight w:val="none"/>
        </w:rPr>
        <w:t>成交</w:t>
      </w:r>
      <w:r>
        <w:rPr>
          <w:rFonts w:hint="eastAsia" w:ascii="宋体" w:hAnsi="宋体" w:cs="宋体"/>
          <w:color w:val="auto"/>
          <w:kern w:val="0"/>
          <w:sz w:val="24"/>
          <w:highlight w:val="none"/>
        </w:rPr>
        <w:t>，不得以他人名义磋商或者以其他方式弄虚作假骗取</w:t>
      </w:r>
      <w:r>
        <w:rPr>
          <w:rFonts w:hint="eastAsia" w:ascii="宋体" w:hAnsi="宋体" w:cs="宋体"/>
          <w:color w:val="auto"/>
          <w:sz w:val="24"/>
          <w:highlight w:val="none"/>
        </w:rPr>
        <w:t>成交</w:t>
      </w:r>
      <w:r>
        <w:rPr>
          <w:rFonts w:hint="eastAsia" w:ascii="宋体" w:hAnsi="宋体" w:cs="宋体"/>
          <w:color w:val="auto"/>
          <w:kern w:val="0"/>
          <w:sz w:val="24"/>
          <w:highlight w:val="none"/>
        </w:rPr>
        <w:t>；供应商不得以任何方式干扰、影响磋商工作。</w:t>
      </w:r>
    </w:p>
    <w:p w14:paraId="3700552C">
      <w:pPr>
        <w:tabs>
          <w:tab w:val="left" w:pos="540"/>
        </w:tabs>
        <w:autoSpaceDE w:val="0"/>
        <w:autoSpaceDN w:val="0"/>
        <w:adjustRightInd w:val="0"/>
        <w:spacing w:line="480" w:lineRule="exact"/>
        <w:ind w:firstLine="480" w:firstLineChars="200"/>
        <w:rPr>
          <w:rFonts w:ascii="宋体" w:hAnsi="宋体" w:cs="宋体"/>
          <w:color w:val="auto"/>
          <w:kern w:val="0"/>
          <w:sz w:val="24"/>
          <w:highlight w:val="none"/>
        </w:rPr>
      </w:pPr>
      <w:bookmarkStart w:id="169" w:name="_Toc32745"/>
      <w:bookmarkStart w:id="170" w:name="_Toc455678276"/>
      <w:bookmarkStart w:id="171" w:name="_Toc530142113"/>
      <w:bookmarkStart w:id="172" w:name="_Toc515378709"/>
      <w:bookmarkStart w:id="173" w:name="_Toc454788295"/>
      <w:bookmarkStart w:id="174" w:name="_Toc528250059"/>
      <w:bookmarkStart w:id="175" w:name="_Toc428276608"/>
      <w:bookmarkStart w:id="176" w:name="_Toc521488521"/>
      <w:bookmarkStart w:id="177" w:name="_Toc521488921"/>
      <w:bookmarkStart w:id="178" w:name="_Toc511897566"/>
      <w:bookmarkStart w:id="179" w:name="_Toc21437476"/>
      <w:bookmarkStart w:id="180" w:name="_Toc8673"/>
      <w:bookmarkStart w:id="181" w:name="_Toc127797716"/>
      <w:bookmarkStart w:id="182" w:name="_Toc50397318"/>
      <w:bookmarkStart w:id="183" w:name="_Toc511663249"/>
      <w:bookmarkStart w:id="184" w:name="_Toc514402142"/>
      <w:bookmarkStart w:id="185" w:name="_Toc277149401"/>
      <w:bookmarkStart w:id="186" w:name="_Toc463011515"/>
      <w:bookmarkStart w:id="187" w:name="_Toc521488761"/>
      <w:bookmarkStart w:id="188" w:name="_Toc12854"/>
      <w:bookmarkStart w:id="189" w:name="_Toc526682546"/>
      <w:bookmarkStart w:id="190" w:name="_Toc22717753"/>
      <w:bookmarkStart w:id="191" w:name="_Toc1306"/>
      <w:bookmarkStart w:id="192" w:name="_Toc23023"/>
      <w:bookmarkStart w:id="193" w:name="_Toc3206133"/>
      <w:bookmarkStart w:id="194" w:name="_Toc270604613"/>
      <w:bookmarkStart w:id="195" w:name="_Toc521486765"/>
      <w:bookmarkStart w:id="196" w:name="_Toc270604840"/>
      <w:bookmarkStart w:id="197" w:name="_Toc269470341"/>
      <w:bookmarkStart w:id="198" w:name="_Toc12234"/>
      <w:bookmarkStart w:id="199" w:name="_Toc9361"/>
      <w:bookmarkStart w:id="200" w:name="_Toc50397858"/>
      <w:bookmarkStart w:id="201" w:name="_Toc4248305"/>
      <w:r>
        <w:rPr>
          <w:rFonts w:hint="eastAsia" w:ascii="宋体" w:hAnsi="宋体" w:cs="宋体"/>
          <w:color w:val="auto"/>
          <w:kern w:val="0"/>
          <w:sz w:val="24"/>
          <w:highlight w:val="none"/>
        </w:rPr>
        <w:t>18.3、对磋商小组成员的纪律要求</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14:paraId="22D04B8F">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磋商小组成员不得收受他人的财物或者其他好处，不得向他人透漏对响应文件的评审和比较、</w:t>
      </w:r>
      <w:r>
        <w:rPr>
          <w:rFonts w:hint="eastAsia" w:ascii="宋体" w:hAnsi="宋体" w:cs="宋体"/>
          <w:color w:val="auto"/>
          <w:sz w:val="24"/>
          <w:highlight w:val="none"/>
        </w:rPr>
        <w:t>成交</w:t>
      </w:r>
      <w:r>
        <w:rPr>
          <w:rFonts w:hint="eastAsia" w:ascii="宋体" w:hAnsi="宋体" w:cs="宋体"/>
          <w:color w:val="auto"/>
          <w:kern w:val="0"/>
          <w:sz w:val="24"/>
          <w:highlight w:val="none"/>
        </w:rPr>
        <w:t>候选人的推荐情况以及与磋商有关的其他情况。在磋商活动中，磋商小组成员不得擅离职守，影响磋商程序正常进行。</w:t>
      </w:r>
    </w:p>
    <w:p w14:paraId="2BEF66DF">
      <w:pPr>
        <w:tabs>
          <w:tab w:val="left" w:pos="540"/>
        </w:tabs>
        <w:autoSpaceDE w:val="0"/>
        <w:autoSpaceDN w:val="0"/>
        <w:adjustRightInd w:val="0"/>
        <w:spacing w:line="480" w:lineRule="exact"/>
        <w:ind w:firstLine="480" w:firstLineChars="200"/>
        <w:rPr>
          <w:rFonts w:ascii="宋体" w:hAnsi="宋体" w:cs="宋体"/>
          <w:color w:val="auto"/>
          <w:kern w:val="0"/>
          <w:sz w:val="24"/>
          <w:highlight w:val="none"/>
        </w:rPr>
      </w:pPr>
      <w:bookmarkStart w:id="202" w:name="_Toc521488762"/>
      <w:bookmarkStart w:id="203" w:name="_Toc521488922"/>
      <w:bookmarkStart w:id="204" w:name="_Toc526682547"/>
      <w:bookmarkStart w:id="205" w:name="_Toc270604614"/>
      <w:bookmarkStart w:id="206" w:name="_Toc521488522"/>
      <w:bookmarkStart w:id="207" w:name="_Toc528250060"/>
      <w:bookmarkStart w:id="208" w:name="_Toc50397319"/>
      <w:bookmarkStart w:id="209" w:name="_Toc514402143"/>
      <w:bookmarkStart w:id="210" w:name="_Toc521486766"/>
      <w:bookmarkStart w:id="211" w:name="_Toc428276609"/>
      <w:bookmarkStart w:id="212" w:name="_Toc127797717"/>
      <w:bookmarkStart w:id="213" w:name="_Toc269470342"/>
      <w:bookmarkStart w:id="214" w:name="_Toc511897567"/>
      <w:bookmarkStart w:id="215" w:name="_Toc511663250"/>
      <w:bookmarkStart w:id="216" w:name="_Toc11428"/>
      <w:bookmarkStart w:id="217" w:name="_Toc8785"/>
      <w:bookmarkStart w:id="218" w:name="_Toc530142114"/>
      <w:bookmarkStart w:id="219" w:name="_Toc455678277"/>
      <w:bookmarkStart w:id="220" w:name="_Toc26852"/>
      <w:bookmarkStart w:id="221" w:name="_Toc5597"/>
      <w:bookmarkStart w:id="222" w:name="_Toc463011516"/>
      <w:bookmarkStart w:id="223" w:name="_Toc14108"/>
      <w:bookmarkStart w:id="224" w:name="_Toc21437477"/>
      <w:bookmarkStart w:id="225" w:name="_Toc22717754"/>
      <w:bookmarkStart w:id="226" w:name="_Toc277149402"/>
      <w:bookmarkStart w:id="227" w:name="_Toc454788296"/>
      <w:bookmarkStart w:id="228" w:name="_Toc270604841"/>
      <w:bookmarkStart w:id="229" w:name="_Toc4248306"/>
      <w:bookmarkStart w:id="230" w:name="_Toc13268"/>
      <w:bookmarkStart w:id="231" w:name="_Toc23391"/>
      <w:bookmarkStart w:id="232" w:name="_Toc50397859"/>
      <w:bookmarkStart w:id="233" w:name="_Toc515378710"/>
      <w:bookmarkStart w:id="234" w:name="_Toc3206134"/>
      <w:r>
        <w:rPr>
          <w:rFonts w:hint="eastAsia" w:ascii="宋体" w:hAnsi="宋体" w:cs="宋体"/>
          <w:color w:val="auto"/>
          <w:kern w:val="0"/>
          <w:sz w:val="24"/>
          <w:highlight w:val="none"/>
        </w:rPr>
        <w:t>18.4、对与磋商活动有关的工作人员的纪律要求</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14:paraId="1A4A3C26">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与磋商活动有关的工作人员不得收受他人的财物或者其他好处，不得向他人透漏对响应文件的评审和比较、</w:t>
      </w:r>
      <w:r>
        <w:rPr>
          <w:rFonts w:hint="eastAsia" w:ascii="宋体" w:hAnsi="宋体" w:cs="宋体"/>
          <w:color w:val="auto"/>
          <w:sz w:val="24"/>
          <w:highlight w:val="none"/>
        </w:rPr>
        <w:t>成交</w:t>
      </w:r>
      <w:r>
        <w:rPr>
          <w:rFonts w:hint="eastAsia" w:ascii="宋体" w:hAnsi="宋体" w:cs="宋体"/>
          <w:color w:val="auto"/>
          <w:kern w:val="0"/>
          <w:sz w:val="24"/>
          <w:highlight w:val="none"/>
        </w:rPr>
        <w:t>候选人的推荐情况以及与磋商有关的其他情况。在磋商活动中，与磋商活动有关的工作人员不得擅离职守，影响磋商程序正常进行。</w:t>
      </w:r>
    </w:p>
    <w:p w14:paraId="2CF24E0E">
      <w:pPr>
        <w:autoSpaceDE w:val="0"/>
        <w:autoSpaceDN w:val="0"/>
        <w:adjustRightInd w:val="0"/>
        <w:spacing w:line="480" w:lineRule="exact"/>
        <w:ind w:firstLine="480" w:firstLineChars="200"/>
        <w:jc w:val="left"/>
        <w:rPr>
          <w:rFonts w:ascii="宋体" w:hAnsi="宋体" w:cs="宋体"/>
          <w:color w:val="auto"/>
          <w:kern w:val="0"/>
          <w:sz w:val="24"/>
          <w:highlight w:val="none"/>
        </w:rPr>
      </w:pPr>
      <w:bookmarkStart w:id="235" w:name="_Toc25427"/>
      <w:bookmarkStart w:id="236" w:name="_Toc514402144"/>
      <w:bookmarkStart w:id="237" w:name="_Toc455678278"/>
      <w:bookmarkStart w:id="238" w:name="_Toc277149403"/>
      <w:bookmarkStart w:id="239" w:name="_Toc20395"/>
      <w:bookmarkStart w:id="240" w:name="_Toc270604615"/>
      <w:bookmarkStart w:id="241" w:name="_Toc511663251"/>
      <w:bookmarkStart w:id="242" w:name="_Toc515378711"/>
      <w:bookmarkStart w:id="243" w:name="_Toc521486767"/>
      <w:bookmarkStart w:id="244" w:name="_Toc526682548"/>
      <w:bookmarkStart w:id="245" w:name="_Toc270604842"/>
      <w:bookmarkStart w:id="246" w:name="_Toc511897568"/>
      <w:bookmarkStart w:id="247" w:name="_Toc454788297"/>
      <w:bookmarkStart w:id="248" w:name="_Toc269470343"/>
      <w:bookmarkStart w:id="249" w:name="_Toc521488763"/>
      <w:bookmarkStart w:id="250" w:name="_Toc12322"/>
      <w:bookmarkStart w:id="251" w:name="_Toc428276610"/>
      <w:bookmarkStart w:id="252" w:name="_Toc528250061"/>
      <w:bookmarkStart w:id="253" w:name="_Toc463011517"/>
      <w:bookmarkStart w:id="254" w:name="_Toc521488523"/>
      <w:bookmarkStart w:id="255" w:name="_Toc29575"/>
      <w:bookmarkStart w:id="256" w:name="_Toc2654"/>
      <w:bookmarkStart w:id="257" w:name="_Toc521488923"/>
      <w:r>
        <w:rPr>
          <w:rFonts w:hint="eastAsia" w:ascii="宋体" w:hAnsi="宋体" w:cs="宋体"/>
          <w:color w:val="auto"/>
          <w:kern w:val="0"/>
          <w:sz w:val="24"/>
          <w:highlight w:val="none"/>
        </w:rPr>
        <w:t>18.5、投诉</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14:paraId="66A9372A">
      <w:pPr>
        <w:tabs>
          <w:tab w:val="left" w:pos="540"/>
        </w:tabs>
        <w:autoSpaceDE w:val="0"/>
        <w:autoSpaceDN w:val="0"/>
        <w:adjustRightInd w:val="0"/>
        <w:spacing w:line="480" w:lineRule="exact"/>
        <w:ind w:firstLine="480" w:firstLineChars="200"/>
        <w:rPr>
          <w:rFonts w:ascii="宋体" w:hAnsi="宋体" w:cs="宋体"/>
          <w:color w:val="auto"/>
          <w:sz w:val="24"/>
          <w:highlight w:val="none"/>
        </w:rPr>
      </w:pPr>
      <w:bookmarkStart w:id="258" w:name="_Toc50397320"/>
      <w:bookmarkStart w:id="259" w:name="_Toc628"/>
      <w:bookmarkStart w:id="260" w:name="_Toc22717755"/>
      <w:bookmarkStart w:id="261" w:name="_Toc127797718"/>
      <w:bookmarkStart w:id="262" w:name="_Toc4248307"/>
      <w:bookmarkStart w:id="263" w:name="_Toc21437478"/>
      <w:bookmarkStart w:id="264" w:name="_Toc50397860"/>
      <w:bookmarkStart w:id="265" w:name="_Toc14811"/>
      <w:bookmarkStart w:id="266" w:name="_Toc3206135"/>
      <w:r>
        <w:rPr>
          <w:rFonts w:hint="eastAsia" w:ascii="宋体" w:hAnsi="宋体" w:cs="宋体"/>
          <w:color w:val="auto"/>
          <w:sz w:val="24"/>
          <w:highlight w:val="none"/>
        </w:rPr>
        <w:t>供应商和其他利害关系人认为本次竞争性磋商违反法律、法规和规章规定的，有权向有关行政监督部门投诉。</w:t>
      </w:r>
      <w:bookmarkEnd w:id="258"/>
      <w:bookmarkEnd w:id="259"/>
      <w:bookmarkEnd w:id="260"/>
      <w:bookmarkEnd w:id="261"/>
      <w:bookmarkEnd w:id="262"/>
      <w:bookmarkEnd w:id="263"/>
      <w:bookmarkEnd w:id="264"/>
      <w:bookmarkEnd w:id="265"/>
      <w:bookmarkEnd w:id="266"/>
    </w:p>
    <w:p w14:paraId="04B63C6C">
      <w:pPr>
        <w:autoSpaceDE w:val="0"/>
        <w:autoSpaceDN w:val="0"/>
        <w:adjustRightInd w:val="0"/>
        <w:spacing w:line="480" w:lineRule="exact"/>
        <w:ind w:firstLine="482" w:firstLineChars="200"/>
        <w:jc w:val="left"/>
        <w:rPr>
          <w:rFonts w:ascii="宋体" w:hAnsi="宋体" w:cs="宋体"/>
          <w:b/>
          <w:color w:val="auto"/>
          <w:sz w:val="24"/>
          <w:highlight w:val="none"/>
        </w:rPr>
      </w:pPr>
      <w:bookmarkStart w:id="267" w:name="_Toc28235"/>
      <w:bookmarkStart w:id="268" w:name="_Toc521488524"/>
      <w:bookmarkStart w:id="269" w:name="_Toc454788050"/>
      <w:bookmarkStart w:id="270" w:name="_Toc521488924"/>
      <w:bookmarkStart w:id="271" w:name="_Toc32469"/>
      <w:bookmarkStart w:id="272" w:name="_Toc521486768"/>
      <w:bookmarkStart w:id="273" w:name="_Toc530142115"/>
      <w:bookmarkStart w:id="274" w:name="_Toc428351670"/>
      <w:bookmarkStart w:id="275" w:name="_Toc18997_WPSOffice_Level2"/>
      <w:bookmarkStart w:id="276" w:name="_Toc521488764"/>
      <w:bookmarkStart w:id="277" w:name="_Toc22717756"/>
      <w:bookmarkStart w:id="278" w:name="_Toc15944_WPSOffice_Level2"/>
      <w:bookmarkStart w:id="279" w:name="_Toc528250062"/>
      <w:bookmarkStart w:id="280" w:name="_Toc127797719"/>
      <w:bookmarkStart w:id="281" w:name="_Toc24230"/>
      <w:r>
        <w:rPr>
          <w:rFonts w:hint="eastAsia" w:ascii="宋体" w:hAnsi="宋体" w:cs="宋体"/>
          <w:b/>
          <w:color w:val="auto"/>
          <w:sz w:val="24"/>
          <w:highlight w:val="none"/>
        </w:rPr>
        <w:t>19、</w:t>
      </w:r>
      <w:bookmarkEnd w:id="267"/>
      <w:bookmarkEnd w:id="268"/>
      <w:bookmarkEnd w:id="269"/>
      <w:bookmarkEnd w:id="270"/>
      <w:bookmarkEnd w:id="271"/>
      <w:bookmarkEnd w:id="272"/>
      <w:bookmarkEnd w:id="273"/>
      <w:bookmarkEnd w:id="274"/>
      <w:bookmarkEnd w:id="275"/>
      <w:bookmarkEnd w:id="276"/>
      <w:bookmarkEnd w:id="277"/>
      <w:bookmarkEnd w:id="278"/>
      <w:bookmarkEnd w:id="279"/>
      <w:bookmarkStart w:id="282" w:name="_Toc530142122"/>
      <w:bookmarkStart w:id="283" w:name="_Toc521488772"/>
      <w:bookmarkStart w:id="284" w:name="_Toc22717764"/>
      <w:bookmarkStart w:id="285" w:name="_Toc521486776"/>
      <w:bookmarkStart w:id="286" w:name="_Toc3774"/>
      <w:bookmarkStart w:id="287" w:name="_Toc528250070"/>
      <w:bookmarkStart w:id="288" w:name="_Toc4098"/>
      <w:bookmarkStart w:id="289" w:name="_Toc521488532"/>
      <w:bookmarkStart w:id="290" w:name="_Toc30905_WPSOffice_Level2"/>
      <w:bookmarkStart w:id="291" w:name="_Toc16552_WPSOffice_Level2"/>
      <w:bookmarkStart w:id="292" w:name="_Toc521488932"/>
      <w:r>
        <w:rPr>
          <w:rFonts w:hint="eastAsia" w:ascii="宋体" w:hAnsi="宋体" w:cs="宋体"/>
          <w:b/>
          <w:color w:val="auto"/>
          <w:sz w:val="24"/>
          <w:highlight w:val="none"/>
        </w:rPr>
        <w:t>质疑程序及处理</w:t>
      </w:r>
      <w:bookmarkEnd w:id="280"/>
      <w:bookmarkEnd w:id="281"/>
    </w:p>
    <w:p w14:paraId="5E38BFDE">
      <w:pPr>
        <w:tabs>
          <w:tab w:val="left" w:pos="540"/>
        </w:tabs>
        <w:autoSpaceDE w:val="0"/>
        <w:autoSpaceDN w:val="0"/>
        <w:adjustRightInd w:val="0"/>
        <w:spacing w:line="480" w:lineRule="exact"/>
        <w:ind w:firstLine="480" w:firstLineChars="200"/>
        <w:rPr>
          <w:rFonts w:ascii="宋体" w:hAnsi="宋体" w:cs="宋体"/>
          <w:color w:val="auto"/>
          <w:sz w:val="24"/>
          <w:highlight w:val="none"/>
        </w:rPr>
      </w:pPr>
      <w:bookmarkStart w:id="293" w:name="_Toc127797720"/>
      <w:bookmarkStart w:id="294" w:name="_Toc8571"/>
      <w:bookmarkStart w:id="295" w:name="_Toc50397861"/>
      <w:bookmarkStart w:id="296" w:name="_Toc50397321"/>
      <w:bookmarkStart w:id="297" w:name="_Toc17187"/>
      <w:r>
        <w:rPr>
          <w:rFonts w:hint="eastAsia" w:ascii="宋体" w:hAnsi="宋体" w:cs="宋体"/>
          <w:color w:val="auto"/>
          <w:sz w:val="24"/>
          <w:highlight w:val="none"/>
        </w:rPr>
        <w:t>19.1、 若供应商认为其磋商未获公平评审或磋商文件、采购过程和成交结果使自己的合法权益受到损害，可以在知道或者应知其权益受到损害之日起7个工作日内，将质疑书原件送达采购人或采购代理机构。提出质疑期限的计算，依照下列规定办理：</w:t>
      </w:r>
      <w:bookmarkEnd w:id="293"/>
      <w:bookmarkEnd w:id="294"/>
      <w:bookmarkEnd w:id="295"/>
      <w:bookmarkEnd w:id="296"/>
      <w:bookmarkEnd w:id="297"/>
    </w:p>
    <w:p w14:paraId="4225902C">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（一）对可以质疑的磋商文件提出质疑的，为收到磋商文件之日或者磋商文件公告期限届满之日；</w:t>
      </w:r>
    </w:p>
    <w:p w14:paraId="3618D0BC">
      <w:pPr>
        <w:autoSpaceDE w:val="0"/>
        <w:autoSpaceDN w:val="0"/>
        <w:adjustRightInd w:val="0"/>
        <w:spacing w:line="48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 xml:space="preserve">（二）对采购过程提出质疑的，为各采购程序环节结束之日； </w:t>
      </w:r>
    </w:p>
    <w:p w14:paraId="710C9396">
      <w:pPr>
        <w:autoSpaceDE w:val="0"/>
        <w:autoSpaceDN w:val="0"/>
        <w:adjustRightInd w:val="0"/>
        <w:spacing w:line="48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 xml:space="preserve">（三）对成交结果提出质疑的，为成交结果公告期限届满之日。 </w:t>
      </w:r>
    </w:p>
    <w:p w14:paraId="0A86D2CA">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19.2、 质疑书应当包括下列主要内容，并按照“谁主张、谁举证”的原则，附上相关证明材料。否则，采购人不予受理： </w:t>
      </w:r>
    </w:p>
    <w:p w14:paraId="71513512">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（一）质疑供应商全称、地址、法定代表人、联系人及联系电话、邮政编码等； </w:t>
      </w:r>
    </w:p>
    <w:p w14:paraId="536DDB64">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（二）被质疑采购项目的名称、编号； </w:t>
      </w:r>
    </w:p>
    <w:p w14:paraId="38865BE0">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（三）质疑的具体事项、明确的请求和主张；</w:t>
      </w:r>
    </w:p>
    <w:p w14:paraId="157F8455">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（四）质疑所依据的法律依据（具体条款）、具体事实和具体理由。质疑书依据理由部分只有主观陈述、推理、猜测等，而没有提供客观事实依据、法律依据的； </w:t>
      </w:r>
    </w:p>
    <w:p w14:paraId="58047031">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五）质疑事项按照有关法律、法规和规章规定及竞争性磋商文件要求属于保密或者处于保密阶段的事项，磋商响应供应商必须提供正常的信息来源或有效证据，磋商响应供应商不能提供或者拒绝提供合法的信息来源或有效证据的； </w:t>
      </w:r>
    </w:p>
    <w:p w14:paraId="3D50F44C">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（六）充足有效的相关证明材料；如果涉及到产品功能或技术指标的，应出具相关制造商的证明文件； </w:t>
      </w:r>
    </w:p>
    <w:p w14:paraId="65B8E20C">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（七）质疑材料中有外文资料的，应一并附上中文译本，并以中文译本为准。 </w:t>
      </w:r>
    </w:p>
    <w:p w14:paraId="00C4C96B">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（八）提起质疑的日期</w:t>
      </w:r>
    </w:p>
    <w:p w14:paraId="186FC64B">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19.3、供应商质疑实行实名制并须在质疑书上署名。供应商不得进行虚假、恶意质疑，不得以质疑为手段获取不当得利、实现非法目的。供应商为自然人的，应当由本人签字；供应商为法人的，应当由法定代表人签字或盖章并加盖公章；供应商为其他组织的，应当由主要负责人签字或盖章并加盖公章。供应商其他工作人员或代理人员在质疑书上的署名不具有法律效力。 </w:t>
      </w:r>
    </w:p>
    <w:p w14:paraId="1316FC79">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19.4、供应商委托代理人办理质疑事宜，应当提交授权委托书，并载明委托代理的具体权限和事项。授权委托书应当由委托人签字并加盖单位公章。 </w:t>
      </w:r>
    </w:p>
    <w:p w14:paraId="73E06909">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19.5、 提交质疑书时，供应商应同时提交本人身份证，委托他人代理质疑事宜的，还应提交被委托人的身份证。供应商是法人的，应一并提交法人营业执照和法定代表人身份证；供应商是其他组织的，应一并提交其他组织经营许可证和主要负责人身份证。供应商应当提供上述证明材料的原件及复印件，原件经采购人核对无误后返还。</w:t>
      </w:r>
    </w:p>
    <w:p w14:paraId="032A73E0">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19.6 、质疑书提交方式。供应商或者其委托代理人应当当面提交质疑书及相关证明材料。供应商以电子邮件、传真等其他方式提交质疑书及相关证明材料的，或者不是供应商或者其委托代理人提交质疑书及相关证明材料的，采购人或采购机构可以拒收。 </w:t>
      </w:r>
    </w:p>
    <w:p w14:paraId="0EABFBF8">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19.7、供应商不得虚假质疑和恶意质疑，并对质疑内容的真实性承担责任。供应商或者其他利害关系人通过捏造事实、伪造证明材料等方式提出异议或投诉，阻碍磋商活动正常进行的，属于严重不良行为，采购人将提请财政部门将其列入不良行为记录名单，并依法予以处罚。</w:t>
      </w:r>
    </w:p>
    <w:p w14:paraId="76EE1749">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19.8 、采购人将在收到符合上述条件的书面质疑后 7 个工作日内审查质疑事项，作出答复或相关处理决定，并以书面形式通知质疑供应商和其他有关供应商，但答复的内容不涉及商业秘密。若质疑涉及磋商制度或程序，将被转交政府采购的管理部门审查。采购人遵循“谁过错谁负担”的原则，有过错的一方承担调查论证费用。</w:t>
      </w:r>
    </w:p>
    <w:p w14:paraId="27003339">
      <w:pPr>
        <w:autoSpaceDE w:val="0"/>
        <w:autoSpaceDN w:val="0"/>
        <w:adjustRightInd w:val="0"/>
        <w:spacing w:line="46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19.9、 质疑供应商对采购人的答复不满意以及采购人未在规定的时间内做出答复的，可以在答复期满后15个工作日内向财政部门投诉。</w:t>
      </w:r>
    </w:p>
    <w:p w14:paraId="4DB9D42B">
      <w:pPr>
        <w:tabs>
          <w:tab w:val="left" w:pos="540"/>
        </w:tabs>
        <w:autoSpaceDE w:val="0"/>
        <w:autoSpaceDN w:val="0"/>
        <w:adjustRightInd w:val="0"/>
        <w:spacing w:line="460" w:lineRule="exact"/>
        <w:ind w:firstLine="482" w:firstLineChars="200"/>
        <w:rPr>
          <w:rFonts w:ascii="宋体" w:hAnsi="宋体" w:cs="宋体"/>
          <w:b/>
          <w:color w:val="auto"/>
          <w:sz w:val="24"/>
          <w:highlight w:val="none"/>
        </w:rPr>
      </w:pPr>
      <w:bookmarkStart w:id="298" w:name="_Toc50397322"/>
      <w:bookmarkStart w:id="299" w:name="_Toc13440"/>
      <w:bookmarkStart w:id="300" w:name="_Toc50397862"/>
      <w:bookmarkStart w:id="301" w:name="_Toc21446"/>
      <w:bookmarkStart w:id="302" w:name="_Toc127797721"/>
      <w:r>
        <w:rPr>
          <w:rFonts w:hint="eastAsia" w:ascii="宋体" w:hAnsi="宋体" w:cs="宋体"/>
          <w:b/>
          <w:color w:val="auto"/>
          <w:sz w:val="24"/>
          <w:highlight w:val="none"/>
        </w:rPr>
        <w:t>20、需要补充的其他内容</w:t>
      </w:r>
      <w:bookmarkEnd w:id="282"/>
      <w:bookmarkEnd w:id="283"/>
      <w:bookmarkEnd w:id="284"/>
      <w:bookmarkEnd w:id="285"/>
      <w:bookmarkEnd w:id="286"/>
      <w:bookmarkEnd w:id="287"/>
      <w:bookmarkEnd w:id="288"/>
      <w:bookmarkEnd w:id="289"/>
      <w:bookmarkEnd w:id="290"/>
      <w:bookmarkEnd w:id="291"/>
      <w:bookmarkEnd w:id="292"/>
      <w:bookmarkEnd w:id="298"/>
      <w:bookmarkEnd w:id="299"/>
      <w:bookmarkEnd w:id="300"/>
      <w:bookmarkEnd w:id="301"/>
      <w:bookmarkEnd w:id="302"/>
    </w:p>
    <w:p w14:paraId="6D0D53E1">
      <w:pPr>
        <w:tabs>
          <w:tab w:val="left" w:pos="540"/>
        </w:tabs>
        <w:autoSpaceDE w:val="0"/>
        <w:autoSpaceDN w:val="0"/>
        <w:adjustRightInd w:val="0"/>
        <w:spacing w:line="460" w:lineRule="exact"/>
        <w:ind w:firstLine="480" w:firstLineChars="200"/>
        <w:rPr>
          <w:rFonts w:ascii="宋体" w:hAnsi="宋体" w:cs="宋体"/>
          <w:color w:val="auto"/>
          <w:sz w:val="24"/>
          <w:highlight w:val="none"/>
        </w:rPr>
      </w:pPr>
      <w:bookmarkStart w:id="303" w:name="_Toc22717765"/>
      <w:bookmarkStart w:id="304" w:name="_Toc32159"/>
      <w:bookmarkStart w:id="305" w:name="_Toc27186"/>
      <w:bookmarkStart w:id="306" w:name="_Toc21437488"/>
      <w:bookmarkStart w:id="307" w:name="_Toc50397323"/>
      <w:bookmarkStart w:id="308" w:name="_Toc3206145"/>
      <w:bookmarkStart w:id="309" w:name="_Toc50397863"/>
      <w:bookmarkStart w:id="310" w:name="_Toc530142123"/>
      <w:bookmarkStart w:id="311" w:name="_Toc127797722"/>
      <w:bookmarkStart w:id="312" w:name="_Toc4248317"/>
      <w:r>
        <w:rPr>
          <w:rFonts w:hint="eastAsia" w:ascii="宋体" w:hAnsi="宋体" w:cs="宋体"/>
          <w:color w:val="auto"/>
          <w:sz w:val="24"/>
          <w:highlight w:val="none"/>
        </w:rPr>
        <w:t>需要补充的其他内容：见&lt;供应商须知前附表&gt;。</w:t>
      </w:r>
      <w:bookmarkEnd w:id="303"/>
      <w:bookmarkEnd w:id="304"/>
      <w:bookmarkEnd w:id="305"/>
      <w:bookmarkEnd w:id="306"/>
      <w:bookmarkEnd w:id="307"/>
      <w:bookmarkEnd w:id="308"/>
      <w:bookmarkEnd w:id="309"/>
      <w:bookmarkEnd w:id="310"/>
      <w:bookmarkEnd w:id="311"/>
      <w:bookmarkEnd w:id="312"/>
    </w:p>
    <w:p w14:paraId="3357CBE9">
      <w:pPr>
        <w:jc w:val="center"/>
        <w:outlineLvl w:val="0"/>
        <w:rPr>
          <w:rFonts w:ascii="宋体" w:hAnsi="宋体" w:cs="宋体"/>
          <w:b/>
          <w:bCs/>
          <w:color w:val="auto"/>
          <w:sz w:val="32"/>
          <w:szCs w:val="32"/>
          <w:highlight w:val="none"/>
        </w:rPr>
      </w:pPr>
      <w:bookmarkStart w:id="313" w:name="_Toc121405492"/>
      <w:bookmarkStart w:id="314" w:name="_Toc23881"/>
      <w:bookmarkStart w:id="315" w:name="_Toc3868"/>
      <w:r>
        <w:rPr>
          <w:rFonts w:hint="eastAsia" w:ascii="宋体" w:hAnsi="宋体" w:cs="宋体"/>
          <w:b/>
          <w:bCs/>
          <w:color w:val="auto"/>
          <w:sz w:val="32"/>
          <w:szCs w:val="32"/>
          <w:highlight w:val="none"/>
        </w:rPr>
        <w:br w:type="page"/>
      </w:r>
      <w:bookmarkStart w:id="316" w:name="_Toc15325"/>
      <w:r>
        <w:rPr>
          <w:rFonts w:hint="eastAsia" w:ascii="宋体" w:hAnsi="宋体" w:cs="宋体"/>
          <w:b/>
          <w:bCs/>
          <w:color w:val="auto"/>
          <w:sz w:val="32"/>
          <w:szCs w:val="32"/>
          <w:highlight w:val="none"/>
        </w:rPr>
        <w:t>第三章  服务内容及要求</w:t>
      </w:r>
      <w:bookmarkEnd w:id="313"/>
      <w:bookmarkEnd w:id="314"/>
      <w:bookmarkEnd w:id="315"/>
      <w:bookmarkEnd w:id="316"/>
    </w:p>
    <w:bookmarkEnd w:id="21"/>
    <w:bookmarkEnd w:id="22"/>
    <w:bookmarkEnd w:id="23"/>
    <w:bookmarkEnd w:id="24"/>
    <w:bookmarkEnd w:id="25"/>
    <w:bookmarkEnd w:id="26"/>
    <w:bookmarkEnd w:id="27"/>
    <w:bookmarkEnd w:id="28"/>
    <w:p w14:paraId="1001F4EF">
      <w:pPr>
        <w:pStyle w:val="3"/>
        <w:autoSpaceDE w:val="0"/>
        <w:autoSpaceDN w:val="0"/>
        <w:spacing w:after="0" w:line="360" w:lineRule="auto"/>
        <w:ind w:firstLine="562" w:firstLineChars="200"/>
        <w:jc w:val="left"/>
        <w:rPr>
          <w:rFonts w:hint="eastAsia" w:ascii="宋体" w:hAnsi="宋体" w:eastAsia="宋体" w:cs="宋体"/>
          <w:b/>
          <w:bCs/>
          <w:color w:val="auto"/>
          <w:sz w:val="28"/>
          <w:szCs w:val="28"/>
          <w:highlight w:val="none"/>
          <w:lang w:val="zh-CN" w:bidi="zh-CN"/>
        </w:rPr>
      </w:pPr>
      <w:bookmarkStart w:id="317" w:name="_Toc495647412"/>
      <w:bookmarkStart w:id="318" w:name="_Toc16520678"/>
      <w:bookmarkStart w:id="319" w:name="_Toc121405493"/>
      <w:bookmarkStart w:id="320" w:name="_Toc22500"/>
      <w:bookmarkStart w:id="321" w:name="_Toc10931"/>
      <w:bookmarkStart w:id="322" w:name="_Toc16520166"/>
      <w:bookmarkStart w:id="323" w:name="_Toc523220934"/>
      <w:bookmarkStart w:id="324" w:name="_Toc508179885"/>
      <w:r>
        <w:rPr>
          <w:rFonts w:hint="eastAsia" w:ascii="宋体" w:hAnsi="宋体" w:eastAsia="宋体" w:cs="宋体"/>
          <w:b/>
          <w:bCs/>
          <w:color w:val="auto"/>
          <w:sz w:val="28"/>
          <w:szCs w:val="28"/>
          <w:highlight w:val="none"/>
          <w:lang w:val="zh-CN" w:bidi="zh-CN"/>
        </w:rPr>
        <w:t>一、项目概况</w:t>
      </w:r>
    </w:p>
    <w:p w14:paraId="14B4C4ED">
      <w:pPr>
        <w:pStyle w:val="3"/>
        <w:numPr>
          <w:ilvl w:val="0"/>
          <w:numId w:val="0"/>
        </w:numPr>
        <w:autoSpaceDE w:val="0"/>
        <w:autoSpaceDN w:val="0"/>
        <w:spacing w:after="0" w:line="360" w:lineRule="auto"/>
        <w:ind w:left="0" w:leftChars="0" w:firstLine="560" w:firstLineChars="200"/>
        <w:jc w:val="left"/>
        <w:rPr>
          <w:rFonts w:hint="eastAsia" w:ascii="宋体" w:hAnsi="宋体" w:eastAsia="宋体" w:cs="宋体"/>
          <w:color w:val="auto"/>
          <w:sz w:val="28"/>
          <w:szCs w:val="28"/>
          <w:highlight w:val="none"/>
          <w:lang w:val="zh-CN" w:bidi="zh-CN"/>
        </w:rPr>
      </w:pPr>
      <w:r>
        <w:rPr>
          <w:rFonts w:hint="default" w:ascii="宋体" w:hAnsi="宋体" w:eastAsia="宋体" w:cs="宋体"/>
          <w:snapToGrid w:val="0"/>
          <w:color w:val="auto"/>
          <w:kern w:val="0"/>
          <w:sz w:val="28"/>
          <w:szCs w:val="28"/>
          <w:lang w:val="zh-CN" w:eastAsia="en-US" w:bidi="zh-CN"/>
        </w:rPr>
        <w:t>1．</w:t>
      </w:r>
      <w:r>
        <w:rPr>
          <w:rFonts w:hint="eastAsia" w:ascii="宋体" w:hAnsi="宋体" w:eastAsia="宋体" w:cs="宋体"/>
          <w:color w:val="auto"/>
          <w:sz w:val="28"/>
          <w:szCs w:val="28"/>
          <w:highlight w:val="none"/>
          <w:lang w:val="zh-CN" w:bidi="zh-CN"/>
        </w:rPr>
        <w:t>项目名称：灵宝市地质灾害防治“十五五”规划编制工作项目</w:t>
      </w:r>
    </w:p>
    <w:p w14:paraId="08A95E7C">
      <w:pPr>
        <w:pStyle w:val="3"/>
        <w:numPr>
          <w:ilvl w:val="0"/>
          <w:numId w:val="0"/>
        </w:numPr>
        <w:autoSpaceDE w:val="0"/>
        <w:autoSpaceDN w:val="0"/>
        <w:spacing w:after="0" w:line="360" w:lineRule="auto"/>
        <w:ind w:left="0" w:leftChars="0" w:firstLine="560" w:firstLineChars="200"/>
        <w:jc w:val="left"/>
        <w:rPr>
          <w:rFonts w:hint="eastAsia" w:ascii="宋体" w:hAnsi="宋体" w:eastAsia="宋体" w:cs="宋体"/>
          <w:color w:val="auto"/>
          <w:sz w:val="28"/>
          <w:szCs w:val="28"/>
          <w:highlight w:val="none"/>
          <w:lang w:val="zh-CN" w:bidi="zh-CN"/>
        </w:rPr>
      </w:pPr>
      <w:r>
        <w:rPr>
          <w:rFonts w:hint="default" w:ascii="宋体" w:hAnsi="宋体" w:eastAsia="宋体" w:cs="宋体"/>
          <w:snapToGrid w:val="0"/>
          <w:color w:val="auto"/>
          <w:kern w:val="0"/>
          <w:sz w:val="28"/>
          <w:szCs w:val="28"/>
          <w:lang w:val="zh-CN" w:eastAsia="en-US" w:bidi="zh-CN"/>
        </w:rPr>
        <w:t>2．</w:t>
      </w:r>
      <w:r>
        <w:rPr>
          <w:rFonts w:hint="eastAsia" w:ascii="宋体" w:hAnsi="宋体" w:eastAsia="宋体" w:cs="宋体"/>
          <w:color w:val="auto"/>
          <w:sz w:val="28"/>
          <w:szCs w:val="28"/>
          <w:highlight w:val="none"/>
          <w:lang w:val="zh-CN" w:bidi="zh-CN"/>
        </w:rPr>
        <w:t>采购方式：竞争性磋商</w:t>
      </w:r>
    </w:p>
    <w:p w14:paraId="5C924599">
      <w:pPr>
        <w:pStyle w:val="3"/>
        <w:numPr>
          <w:ilvl w:val="0"/>
          <w:numId w:val="0"/>
        </w:numPr>
        <w:autoSpaceDE w:val="0"/>
        <w:autoSpaceDN w:val="0"/>
        <w:spacing w:after="0" w:line="360" w:lineRule="auto"/>
        <w:ind w:left="0" w:leftChars="0" w:firstLine="560" w:firstLineChars="200"/>
        <w:jc w:val="left"/>
        <w:rPr>
          <w:rFonts w:hint="eastAsia" w:ascii="宋体" w:hAnsi="宋体" w:eastAsia="宋体" w:cs="宋体"/>
          <w:color w:val="auto"/>
          <w:sz w:val="28"/>
          <w:szCs w:val="28"/>
          <w:highlight w:val="none"/>
          <w:lang w:val="zh-CN" w:bidi="zh-CN"/>
        </w:rPr>
      </w:pPr>
      <w:r>
        <w:rPr>
          <w:rFonts w:hint="default" w:ascii="宋体" w:hAnsi="宋体" w:eastAsia="宋体" w:cs="宋体"/>
          <w:snapToGrid w:val="0"/>
          <w:color w:val="auto"/>
          <w:kern w:val="0"/>
          <w:sz w:val="28"/>
          <w:szCs w:val="28"/>
          <w:lang w:val="zh-CN" w:eastAsia="en-US" w:bidi="zh-CN"/>
        </w:rPr>
        <w:t>3．</w:t>
      </w:r>
      <w:r>
        <w:rPr>
          <w:rFonts w:hint="eastAsia" w:ascii="宋体" w:hAnsi="宋体" w:eastAsia="宋体" w:cs="宋体"/>
          <w:color w:val="auto"/>
          <w:sz w:val="28"/>
          <w:szCs w:val="28"/>
          <w:highlight w:val="none"/>
          <w:lang w:val="zh-CN" w:bidi="zh-CN"/>
        </w:rPr>
        <w:t>预算金额：</w:t>
      </w:r>
      <w:r>
        <w:rPr>
          <w:rFonts w:hint="eastAsia" w:cs="宋体"/>
          <w:color w:val="auto"/>
          <w:sz w:val="28"/>
          <w:szCs w:val="28"/>
          <w:highlight w:val="none"/>
          <w:lang w:val="en-US" w:bidi="zh-CN"/>
        </w:rPr>
        <w:t>61.5</w:t>
      </w:r>
      <w:r>
        <w:rPr>
          <w:rFonts w:hint="eastAsia" w:ascii="宋体" w:hAnsi="宋体" w:eastAsia="宋体" w:cs="宋体"/>
          <w:color w:val="auto"/>
          <w:sz w:val="28"/>
          <w:szCs w:val="28"/>
          <w:highlight w:val="none"/>
          <w:lang w:bidi="zh-CN"/>
        </w:rPr>
        <w:t>万元</w:t>
      </w:r>
    </w:p>
    <w:p w14:paraId="2A0AE174">
      <w:pPr>
        <w:pStyle w:val="3"/>
        <w:numPr>
          <w:ilvl w:val="0"/>
          <w:numId w:val="0"/>
        </w:numPr>
        <w:autoSpaceDE w:val="0"/>
        <w:autoSpaceDN w:val="0"/>
        <w:spacing w:after="0" w:line="360" w:lineRule="auto"/>
        <w:ind w:left="0" w:leftChars="0" w:firstLine="560" w:firstLineChars="200"/>
        <w:jc w:val="left"/>
        <w:rPr>
          <w:rFonts w:hint="eastAsia" w:ascii="宋体" w:hAnsi="宋体" w:eastAsia="宋体" w:cs="宋体"/>
          <w:color w:val="auto"/>
          <w:sz w:val="28"/>
          <w:szCs w:val="28"/>
          <w:highlight w:val="none"/>
          <w:lang w:val="zh-CN" w:bidi="zh-CN"/>
        </w:rPr>
      </w:pPr>
      <w:r>
        <w:rPr>
          <w:rFonts w:hint="default" w:ascii="宋体" w:hAnsi="宋体" w:eastAsia="宋体" w:cs="宋体"/>
          <w:snapToGrid w:val="0"/>
          <w:color w:val="auto"/>
          <w:kern w:val="0"/>
          <w:sz w:val="28"/>
          <w:szCs w:val="28"/>
          <w:lang w:val="zh-CN" w:eastAsia="en-US" w:bidi="zh-CN"/>
        </w:rPr>
        <w:t>4．</w:t>
      </w:r>
      <w:r>
        <w:rPr>
          <w:rFonts w:hint="eastAsia" w:ascii="宋体" w:hAnsi="宋体" w:eastAsia="宋体" w:cs="宋体"/>
          <w:color w:val="auto"/>
          <w:sz w:val="28"/>
          <w:szCs w:val="28"/>
          <w:highlight w:val="none"/>
          <w:lang w:val="zh-CN" w:bidi="zh-CN"/>
        </w:rPr>
        <w:t>采购需求（包括但不限于标的的名称、数量、简要技术需求或服务要求等）</w:t>
      </w:r>
    </w:p>
    <w:p w14:paraId="7436A323">
      <w:pPr>
        <w:pStyle w:val="3"/>
        <w:numPr>
          <w:ilvl w:val="0"/>
          <w:numId w:val="0"/>
        </w:numPr>
        <w:autoSpaceDE w:val="0"/>
        <w:autoSpaceDN w:val="0"/>
        <w:spacing w:after="0" w:line="360" w:lineRule="auto"/>
        <w:ind w:left="0" w:leftChars="0" w:firstLine="560" w:firstLineChars="200"/>
        <w:jc w:val="left"/>
        <w:rPr>
          <w:rFonts w:hint="eastAsia" w:ascii="宋体" w:hAnsi="宋体" w:eastAsia="宋体" w:cs="宋体"/>
          <w:color w:val="auto"/>
          <w:sz w:val="28"/>
          <w:szCs w:val="28"/>
          <w:highlight w:val="none"/>
          <w:lang w:val="zh-CN" w:bidi="zh-CN"/>
        </w:rPr>
      </w:pPr>
      <w:r>
        <w:rPr>
          <w:rFonts w:hint="default" w:ascii="宋体" w:hAnsi="宋体" w:eastAsia="宋体" w:cs="宋体"/>
          <w:snapToGrid w:val="0"/>
          <w:color w:val="auto"/>
          <w:kern w:val="0"/>
          <w:sz w:val="28"/>
          <w:szCs w:val="28"/>
          <w:lang w:val="zh-CN" w:eastAsia="en-US" w:bidi="zh-CN"/>
        </w:rPr>
        <w:t>5．</w:t>
      </w:r>
      <w:r>
        <w:rPr>
          <w:rFonts w:hint="eastAsia" w:ascii="宋体" w:hAnsi="宋体" w:eastAsia="宋体" w:cs="宋体"/>
          <w:color w:val="auto"/>
          <w:sz w:val="28"/>
          <w:szCs w:val="28"/>
          <w:highlight w:val="none"/>
          <w:lang w:val="zh-CN" w:bidi="zh-CN"/>
        </w:rPr>
        <w:t>采购内容：</w:t>
      </w:r>
      <w:r>
        <w:rPr>
          <w:rFonts w:hint="eastAsia" w:ascii="宋体" w:hAnsi="宋体" w:eastAsia="宋体" w:cs="宋体"/>
          <w:color w:val="auto"/>
          <w:sz w:val="28"/>
          <w:szCs w:val="28"/>
          <w:highlight w:val="none"/>
          <w:lang w:eastAsia="zh-CN"/>
        </w:rPr>
        <w:t>本项目为通过资料收集及地面调查，在弄清地质灾害易发程度分区的基础上，根据地质灾害的危险程度，结合本区经济现状、发展规划和保护目标的重要程度，综合划定重点防治工作区、次重点防治区及一般防治区，部署地质灾害防治任务与防治工程，进行投资估算，制定保障措施。规划期内要构建地质灾害“隐患点+风险区”双控新格局；建立人防、技防相结合的地质灾害监测预警体系；实施重要地质灾害隐患综合治理</w:t>
      </w:r>
      <w:r>
        <w:rPr>
          <w:rFonts w:hint="eastAsia" w:ascii="宋体" w:hAnsi="宋体" w:eastAsia="宋体" w:cs="宋体"/>
          <w:color w:val="auto"/>
          <w:sz w:val="28"/>
          <w:szCs w:val="28"/>
          <w:highlight w:val="none"/>
        </w:rPr>
        <w:t>，具体内容详见磋商文件</w:t>
      </w:r>
      <w:r>
        <w:rPr>
          <w:rFonts w:hint="eastAsia" w:ascii="宋体" w:hAnsi="宋体" w:eastAsia="宋体" w:cs="宋体"/>
          <w:color w:val="auto"/>
          <w:sz w:val="28"/>
          <w:szCs w:val="28"/>
          <w:highlight w:val="none"/>
          <w:lang w:val="zh-CN" w:bidi="zh-CN"/>
        </w:rPr>
        <w:t>；</w:t>
      </w:r>
    </w:p>
    <w:p w14:paraId="5522E87A">
      <w:pPr>
        <w:pStyle w:val="3"/>
        <w:numPr>
          <w:ilvl w:val="0"/>
          <w:numId w:val="0"/>
        </w:numPr>
        <w:autoSpaceDE w:val="0"/>
        <w:autoSpaceDN w:val="0"/>
        <w:spacing w:after="0" w:line="360" w:lineRule="auto"/>
        <w:ind w:left="0" w:leftChars="0" w:firstLine="560" w:firstLineChars="200"/>
        <w:jc w:val="left"/>
        <w:rPr>
          <w:rFonts w:hint="eastAsia" w:ascii="宋体" w:hAnsi="宋体" w:eastAsia="宋体" w:cs="宋体"/>
          <w:color w:val="auto"/>
          <w:sz w:val="28"/>
          <w:szCs w:val="28"/>
          <w:highlight w:val="none"/>
          <w:lang w:bidi="zh-CN"/>
        </w:rPr>
      </w:pPr>
      <w:r>
        <w:rPr>
          <w:rFonts w:hint="default" w:ascii="宋体" w:hAnsi="宋体" w:eastAsia="宋体" w:cs="宋体"/>
          <w:snapToGrid w:val="0"/>
          <w:color w:val="auto"/>
          <w:kern w:val="0"/>
          <w:sz w:val="28"/>
          <w:szCs w:val="28"/>
          <w:lang w:val="en-US" w:eastAsia="en-US" w:bidi="zh-CN"/>
        </w:rPr>
        <w:t>6．</w:t>
      </w:r>
      <w:r>
        <w:rPr>
          <w:rFonts w:hint="eastAsia" w:ascii="宋体" w:hAnsi="宋体" w:eastAsia="宋体" w:cs="宋体"/>
          <w:color w:val="auto"/>
          <w:sz w:val="28"/>
          <w:szCs w:val="28"/>
          <w:highlight w:val="none"/>
          <w:lang w:bidi="zh-CN"/>
        </w:rPr>
        <w:t>标段划分：不划分标段；</w:t>
      </w:r>
    </w:p>
    <w:p w14:paraId="22E22787">
      <w:pPr>
        <w:pStyle w:val="3"/>
        <w:numPr>
          <w:ilvl w:val="0"/>
          <w:numId w:val="0"/>
        </w:numPr>
        <w:autoSpaceDE w:val="0"/>
        <w:autoSpaceDN w:val="0"/>
        <w:spacing w:after="0" w:line="360" w:lineRule="auto"/>
        <w:ind w:left="0" w:leftChars="0" w:firstLine="560" w:firstLineChars="200"/>
        <w:jc w:val="left"/>
        <w:rPr>
          <w:rFonts w:hint="eastAsia" w:ascii="宋体" w:hAnsi="宋体" w:eastAsia="宋体" w:cs="宋体"/>
          <w:color w:val="auto"/>
          <w:sz w:val="28"/>
          <w:szCs w:val="28"/>
          <w:highlight w:val="none"/>
          <w:lang w:val="zh-CN" w:bidi="zh-CN"/>
        </w:rPr>
      </w:pPr>
      <w:r>
        <w:rPr>
          <w:rFonts w:hint="default" w:ascii="宋体" w:hAnsi="宋体" w:eastAsia="宋体" w:cs="宋体"/>
          <w:snapToGrid w:val="0"/>
          <w:color w:val="auto"/>
          <w:kern w:val="0"/>
          <w:sz w:val="28"/>
          <w:szCs w:val="28"/>
          <w:lang w:val="zh-CN" w:eastAsia="en-US" w:bidi="zh-CN"/>
        </w:rPr>
        <w:t>7．</w:t>
      </w:r>
      <w:r>
        <w:rPr>
          <w:rFonts w:hint="eastAsia" w:ascii="宋体" w:hAnsi="宋体" w:eastAsia="宋体" w:cs="宋体"/>
          <w:color w:val="auto"/>
          <w:sz w:val="28"/>
          <w:szCs w:val="28"/>
          <w:highlight w:val="none"/>
          <w:lang w:val="zh-CN" w:bidi="zh-CN"/>
        </w:rPr>
        <w:t>服务地点：采购人指定地点；</w:t>
      </w:r>
    </w:p>
    <w:p w14:paraId="3AF03492">
      <w:pPr>
        <w:pStyle w:val="3"/>
        <w:numPr>
          <w:ilvl w:val="0"/>
          <w:numId w:val="0"/>
        </w:numPr>
        <w:autoSpaceDE w:val="0"/>
        <w:autoSpaceDN w:val="0"/>
        <w:spacing w:after="0" w:line="360" w:lineRule="auto"/>
        <w:ind w:left="0" w:leftChars="0" w:firstLine="560" w:firstLineChars="200"/>
        <w:jc w:val="left"/>
        <w:rPr>
          <w:rFonts w:hint="eastAsia" w:ascii="宋体" w:hAnsi="宋体" w:eastAsia="宋体" w:cs="宋体"/>
          <w:color w:val="auto"/>
          <w:sz w:val="28"/>
          <w:szCs w:val="28"/>
          <w:highlight w:val="none"/>
          <w:lang w:val="zh-CN" w:bidi="zh-CN"/>
        </w:rPr>
      </w:pPr>
      <w:r>
        <w:rPr>
          <w:rFonts w:hint="default" w:ascii="宋体" w:hAnsi="宋体" w:eastAsia="宋体" w:cs="宋体"/>
          <w:snapToGrid w:val="0"/>
          <w:color w:val="auto"/>
          <w:kern w:val="0"/>
          <w:sz w:val="28"/>
          <w:szCs w:val="28"/>
          <w:lang w:val="zh-CN" w:eastAsia="en-US" w:bidi="zh-CN"/>
        </w:rPr>
        <w:t>8．</w:t>
      </w:r>
      <w:r>
        <w:rPr>
          <w:rFonts w:hint="eastAsia" w:ascii="宋体" w:hAnsi="宋体" w:eastAsia="宋体" w:cs="宋体"/>
          <w:color w:val="auto"/>
          <w:sz w:val="28"/>
          <w:szCs w:val="28"/>
          <w:highlight w:val="none"/>
          <w:lang w:val="zh-CN" w:bidi="zh-CN"/>
        </w:rPr>
        <w:t>服务质量：符合国家及地方现行有关规范、规定的要求，满足采购人要求；</w:t>
      </w:r>
    </w:p>
    <w:p w14:paraId="14B5A456">
      <w:pPr>
        <w:numPr>
          <w:ilvl w:val="0"/>
          <w:numId w:val="0"/>
        </w:numPr>
        <w:spacing w:line="360" w:lineRule="auto"/>
        <w:ind w:left="0" w:leftChars="0" w:firstLine="560" w:firstLineChars="200"/>
        <w:jc w:val="left"/>
        <w:rPr>
          <w:rFonts w:hint="eastAsia" w:ascii="宋体" w:hAnsi="宋体" w:eastAsia="宋体" w:cs="宋体"/>
          <w:color w:val="auto"/>
          <w:sz w:val="28"/>
          <w:szCs w:val="28"/>
          <w:highlight w:val="none"/>
          <w:lang w:bidi="zh-CN"/>
        </w:rPr>
      </w:pPr>
      <w:r>
        <w:rPr>
          <w:rFonts w:hint="default" w:ascii="宋体" w:hAnsi="宋体" w:eastAsia="宋体" w:cs="宋体"/>
          <w:snapToGrid w:val="0"/>
          <w:color w:val="auto"/>
          <w:kern w:val="0"/>
          <w:sz w:val="28"/>
          <w:szCs w:val="28"/>
          <w:lang w:val="en-US" w:eastAsia="en-US" w:bidi="zh-CN"/>
        </w:rPr>
        <w:t>9．</w:t>
      </w:r>
      <w:r>
        <w:rPr>
          <w:rFonts w:hint="eastAsia" w:ascii="宋体" w:hAnsi="宋体" w:eastAsia="宋体" w:cs="宋体"/>
          <w:color w:val="auto"/>
          <w:sz w:val="28"/>
          <w:szCs w:val="28"/>
          <w:highlight w:val="none"/>
          <w:lang w:bidi="zh-CN"/>
        </w:rPr>
        <w:t>资金来源：财政资金，已落实；</w:t>
      </w:r>
    </w:p>
    <w:p w14:paraId="30D48E62">
      <w:pPr>
        <w:numPr>
          <w:ilvl w:val="0"/>
          <w:numId w:val="0"/>
        </w:numPr>
        <w:spacing w:line="360" w:lineRule="auto"/>
        <w:ind w:left="0" w:leftChars="0" w:firstLine="560" w:firstLineChars="200"/>
        <w:jc w:val="left"/>
        <w:rPr>
          <w:rFonts w:hint="eastAsia" w:ascii="宋体" w:hAnsi="宋体" w:eastAsia="宋体" w:cs="宋体"/>
          <w:color w:val="auto"/>
          <w:sz w:val="28"/>
          <w:szCs w:val="28"/>
          <w:highlight w:val="none"/>
          <w:lang w:val="zh-CN" w:bidi="zh-CN"/>
        </w:rPr>
      </w:pPr>
      <w:r>
        <w:rPr>
          <w:rFonts w:hint="default" w:ascii="宋体" w:hAnsi="宋体" w:eastAsia="宋体" w:cs="宋体"/>
          <w:snapToGrid w:val="0"/>
          <w:color w:val="auto"/>
          <w:kern w:val="0"/>
          <w:sz w:val="28"/>
          <w:szCs w:val="28"/>
          <w:lang w:val="zh-CN" w:eastAsia="en-US" w:bidi="zh-CN"/>
        </w:rPr>
        <w:t>10．</w:t>
      </w:r>
      <w:r>
        <w:rPr>
          <w:rFonts w:hint="eastAsia" w:ascii="宋体" w:hAnsi="宋体" w:eastAsia="宋体" w:cs="宋体"/>
          <w:color w:val="auto"/>
          <w:sz w:val="28"/>
          <w:szCs w:val="28"/>
          <w:highlight w:val="none"/>
          <w:lang w:val="zh-CN" w:bidi="zh-CN"/>
        </w:rPr>
        <w:t>服务期限：自签订合同之日起180日历天完成项目服务并提交成果；</w:t>
      </w:r>
    </w:p>
    <w:p w14:paraId="04F6F654">
      <w:pPr>
        <w:numPr>
          <w:ilvl w:val="0"/>
          <w:numId w:val="0"/>
        </w:numPr>
        <w:spacing w:line="360" w:lineRule="auto"/>
        <w:ind w:left="0" w:leftChars="0" w:firstLine="560" w:firstLineChars="200"/>
        <w:jc w:val="left"/>
        <w:rPr>
          <w:rFonts w:hint="eastAsia" w:ascii="宋体" w:hAnsi="宋体" w:eastAsia="宋体" w:cs="宋体"/>
          <w:color w:val="auto"/>
          <w:sz w:val="28"/>
          <w:szCs w:val="28"/>
          <w:highlight w:val="none"/>
          <w:lang w:bidi="zh-CN"/>
        </w:rPr>
      </w:pPr>
      <w:r>
        <w:rPr>
          <w:rFonts w:hint="default" w:ascii="宋体" w:hAnsi="宋体" w:eastAsia="宋体" w:cs="宋体"/>
          <w:snapToGrid w:val="0"/>
          <w:color w:val="auto"/>
          <w:kern w:val="0"/>
          <w:sz w:val="28"/>
          <w:szCs w:val="28"/>
          <w:lang w:val="en-US" w:eastAsia="en-US" w:bidi="zh-CN"/>
        </w:rPr>
        <w:t>11．</w:t>
      </w:r>
      <w:r>
        <w:rPr>
          <w:rFonts w:hint="eastAsia" w:ascii="宋体" w:hAnsi="宋体" w:eastAsia="宋体" w:cs="宋体"/>
          <w:color w:val="auto"/>
          <w:sz w:val="28"/>
          <w:szCs w:val="28"/>
          <w:highlight w:val="none"/>
          <w:lang w:bidi="zh-CN"/>
        </w:rPr>
        <w:t>合同履行期限：180日历天</w:t>
      </w:r>
    </w:p>
    <w:p w14:paraId="036DBCF8">
      <w:pPr>
        <w:numPr>
          <w:ilvl w:val="0"/>
          <w:numId w:val="0"/>
        </w:numPr>
        <w:spacing w:line="360" w:lineRule="auto"/>
        <w:ind w:left="0" w:leftChars="0" w:firstLine="560" w:firstLineChars="200"/>
        <w:jc w:val="left"/>
        <w:rPr>
          <w:rFonts w:hint="eastAsia" w:ascii="宋体" w:hAnsi="宋体" w:eastAsia="宋体" w:cs="宋体"/>
          <w:color w:val="auto"/>
          <w:sz w:val="28"/>
          <w:szCs w:val="28"/>
          <w:highlight w:val="none"/>
          <w:lang w:val="zh-CN" w:bidi="zh-CN"/>
        </w:rPr>
      </w:pPr>
      <w:r>
        <w:rPr>
          <w:rFonts w:hint="default" w:ascii="宋体" w:hAnsi="宋体" w:eastAsia="宋体" w:cs="宋体"/>
          <w:snapToGrid w:val="0"/>
          <w:color w:val="auto"/>
          <w:kern w:val="0"/>
          <w:sz w:val="28"/>
          <w:szCs w:val="28"/>
          <w:lang w:val="zh-CN" w:eastAsia="en-US" w:bidi="zh-CN"/>
        </w:rPr>
        <w:t>12．</w:t>
      </w:r>
      <w:r>
        <w:rPr>
          <w:rFonts w:hint="eastAsia" w:ascii="宋体" w:hAnsi="宋体" w:eastAsia="宋体" w:cs="宋体"/>
          <w:color w:val="auto"/>
          <w:sz w:val="28"/>
          <w:szCs w:val="28"/>
          <w:highlight w:val="none"/>
          <w:lang w:val="zh-CN" w:bidi="zh-CN"/>
        </w:rPr>
        <w:t>本项目是否接受联合体投标：否</w:t>
      </w:r>
    </w:p>
    <w:p w14:paraId="292B8853">
      <w:pPr>
        <w:numPr>
          <w:ilvl w:val="0"/>
          <w:numId w:val="0"/>
        </w:numPr>
        <w:spacing w:line="360" w:lineRule="auto"/>
        <w:ind w:left="0" w:leftChars="0" w:firstLine="560" w:firstLineChars="200"/>
        <w:jc w:val="left"/>
        <w:rPr>
          <w:rFonts w:hint="eastAsia" w:ascii="宋体" w:hAnsi="宋体" w:eastAsia="宋体" w:cs="宋体"/>
          <w:color w:val="auto"/>
          <w:sz w:val="28"/>
          <w:szCs w:val="28"/>
          <w:highlight w:val="none"/>
          <w:lang w:val="zh-CN" w:bidi="zh-CN"/>
        </w:rPr>
      </w:pPr>
      <w:r>
        <w:rPr>
          <w:rFonts w:hint="default" w:ascii="宋体" w:hAnsi="宋体" w:eastAsia="宋体" w:cs="宋体"/>
          <w:snapToGrid w:val="0"/>
          <w:color w:val="auto"/>
          <w:kern w:val="0"/>
          <w:sz w:val="28"/>
          <w:szCs w:val="28"/>
          <w:lang w:val="zh-CN" w:eastAsia="en-US" w:bidi="zh-CN"/>
        </w:rPr>
        <w:t>13．</w:t>
      </w:r>
      <w:r>
        <w:rPr>
          <w:rFonts w:hint="eastAsia" w:ascii="宋体" w:hAnsi="宋体" w:eastAsia="宋体" w:cs="宋体"/>
          <w:color w:val="auto"/>
          <w:sz w:val="28"/>
          <w:szCs w:val="28"/>
          <w:highlight w:val="none"/>
          <w:lang w:val="zh-CN" w:bidi="zh-CN"/>
        </w:rPr>
        <w:t>是否接受进口产品：否</w:t>
      </w:r>
    </w:p>
    <w:p w14:paraId="0578FE09">
      <w:pPr>
        <w:numPr>
          <w:ilvl w:val="0"/>
          <w:numId w:val="0"/>
        </w:numPr>
        <w:spacing w:line="360" w:lineRule="auto"/>
        <w:ind w:left="0" w:leftChars="0" w:firstLine="560" w:firstLineChars="200"/>
        <w:jc w:val="left"/>
        <w:rPr>
          <w:rFonts w:hint="eastAsia" w:ascii="宋体" w:hAnsi="宋体" w:eastAsia="宋体" w:cs="宋体"/>
          <w:color w:val="auto"/>
          <w:sz w:val="28"/>
          <w:szCs w:val="28"/>
          <w:highlight w:val="none"/>
          <w:lang w:bidi="zh-CN"/>
        </w:rPr>
      </w:pPr>
      <w:r>
        <w:rPr>
          <w:rFonts w:hint="default" w:ascii="宋体" w:hAnsi="宋体" w:eastAsia="宋体" w:cs="宋体"/>
          <w:snapToGrid w:val="0"/>
          <w:color w:val="auto"/>
          <w:kern w:val="0"/>
          <w:sz w:val="28"/>
          <w:szCs w:val="28"/>
          <w:lang w:val="en-US" w:eastAsia="en-US" w:bidi="zh-CN"/>
        </w:rPr>
        <w:t>14．</w:t>
      </w:r>
      <w:r>
        <w:rPr>
          <w:rFonts w:hint="eastAsia" w:ascii="宋体" w:hAnsi="宋体" w:eastAsia="宋体" w:cs="宋体"/>
          <w:color w:val="auto"/>
          <w:sz w:val="28"/>
          <w:szCs w:val="28"/>
          <w:highlight w:val="none"/>
          <w:lang w:bidi="zh-CN"/>
        </w:rPr>
        <w:t>是否专门面向中小企业：否</w:t>
      </w:r>
    </w:p>
    <w:p w14:paraId="4231C9DB">
      <w:pPr>
        <w:pStyle w:val="3"/>
        <w:spacing w:before="162" w:line="228" w:lineRule="auto"/>
        <w:ind w:left="25" w:firstLine="586" w:firstLineChars="200"/>
        <w:rPr>
          <w:rFonts w:hint="eastAsia" w:ascii="宋体" w:hAnsi="宋体" w:eastAsia="宋体" w:cs="宋体"/>
          <w:sz w:val="28"/>
          <w:szCs w:val="28"/>
        </w:rPr>
      </w:pPr>
      <w:r>
        <w:rPr>
          <w:rFonts w:hint="eastAsia" w:ascii="宋体" w:hAnsi="宋体" w:eastAsia="宋体" w:cs="宋体"/>
          <w:b/>
          <w:bCs/>
          <w:spacing w:val="6"/>
          <w:sz w:val="28"/>
          <w:szCs w:val="28"/>
        </w:rPr>
        <w:t>二、服务要求</w:t>
      </w:r>
    </w:p>
    <w:p w14:paraId="72D0CC95">
      <w:pPr>
        <w:pStyle w:val="3"/>
        <w:numPr>
          <w:ilvl w:val="0"/>
          <w:numId w:val="0"/>
        </w:numPr>
        <w:autoSpaceDE w:val="0"/>
        <w:autoSpaceDN w:val="0"/>
        <w:spacing w:after="0" w:line="360" w:lineRule="auto"/>
        <w:ind w:left="0" w:leftChars="0" w:firstLine="560" w:firstLineChars="200"/>
        <w:jc w:val="left"/>
        <w:rPr>
          <w:rFonts w:hint="eastAsia" w:ascii="宋体" w:hAnsi="宋体" w:eastAsia="宋体" w:cs="宋体"/>
          <w:color w:val="auto"/>
          <w:sz w:val="28"/>
          <w:szCs w:val="28"/>
          <w:highlight w:val="none"/>
          <w:lang w:val="en-US" w:eastAsia="en-US" w:bidi="zh-CN"/>
        </w:rPr>
      </w:pPr>
      <w:r>
        <w:rPr>
          <w:rFonts w:hint="eastAsia" w:ascii="宋体" w:hAnsi="宋体" w:eastAsia="宋体" w:cs="宋体"/>
          <w:color w:val="auto"/>
          <w:sz w:val="28"/>
          <w:szCs w:val="28"/>
          <w:highlight w:val="none"/>
          <w:lang w:val="en-US" w:eastAsia="en-US" w:bidi="zh-CN"/>
        </w:rPr>
        <w:t>全面收集灵宝市现有地质灾害调查、监测预警、工程治理、避险搬迁、应急处置等相关资料，开展必要的野外补充核查，开展综合分析研究；系统梳理全市地质灾害发育分布现状、隐患点变化情况、“十四五”地质灾害防治工作成效与存在问题；结合国土空间规划、城乡发展布局、生态保护修复等相关规划，研判“十五五”期间地质灾害风险发展趋势；科学划定地质灾害防治分区，明确防治总体目标、重点任务、重大工程与保障措施；完成规划文本编制、专题研究、附图附表制作，配合采购人开展规划评审、修改完善、报批等全过程技术服务工作，按期提交全套规划成果。</w:t>
      </w:r>
    </w:p>
    <w:p w14:paraId="487D8306">
      <w:pPr>
        <w:pStyle w:val="3"/>
        <w:spacing w:before="1" w:line="227" w:lineRule="auto"/>
        <w:ind w:left="22" w:firstLine="590" w:firstLineChars="200"/>
        <w:rPr>
          <w:rFonts w:hint="eastAsia" w:ascii="宋体" w:hAnsi="宋体" w:eastAsia="宋体" w:cs="宋体"/>
          <w:sz w:val="28"/>
          <w:szCs w:val="28"/>
        </w:rPr>
      </w:pPr>
      <w:r>
        <w:rPr>
          <w:rFonts w:hint="eastAsia" w:ascii="宋体" w:hAnsi="宋体" w:eastAsia="宋体" w:cs="宋体"/>
          <w:b/>
          <w:bCs/>
          <w:spacing w:val="7"/>
          <w:sz w:val="28"/>
          <w:szCs w:val="28"/>
        </w:rPr>
        <w:t>三、项目内容：</w:t>
      </w:r>
    </w:p>
    <w:p w14:paraId="2BDBF426">
      <w:pPr>
        <w:pStyle w:val="3"/>
        <w:numPr>
          <w:ilvl w:val="0"/>
          <w:numId w:val="0"/>
        </w:numPr>
        <w:autoSpaceDE w:val="0"/>
        <w:autoSpaceDN w:val="0"/>
        <w:spacing w:after="0" w:line="360" w:lineRule="auto"/>
        <w:ind w:left="0" w:leftChars="0" w:firstLine="560" w:firstLineChars="200"/>
        <w:jc w:val="left"/>
        <w:rPr>
          <w:rFonts w:hint="default" w:ascii="宋体" w:hAnsi="宋体" w:eastAsia="宋体" w:cs="宋体"/>
          <w:color w:val="auto"/>
          <w:sz w:val="28"/>
          <w:szCs w:val="28"/>
          <w:highlight w:val="none"/>
          <w:lang w:val="en-US" w:eastAsia="en-US" w:bidi="zh-CN"/>
        </w:rPr>
      </w:pPr>
      <w:r>
        <w:rPr>
          <w:rFonts w:hint="default" w:ascii="宋体" w:hAnsi="宋体" w:eastAsia="宋体" w:cs="宋体"/>
          <w:color w:val="auto"/>
          <w:sz w:val="28"/>
          <w:szCs w:val="28"/>
          <w:highlight w:val="none"/>
          <w:lang w:val="en-US" w:eastAsia="en-US" w:bidi="zh-CN"/>
        </w:rPr>
        <w:t>通过资料收集整理、野外补充调查、数据汇总分析、专题研究论证等技术手段，查清</w:t>
      </w:r>
      <w:r>
        <w:rPr>
          <w:rFonts w:hint="eastAsia" w:ascii="宋体" w:hAnsi="宋体" w:eastAsia="宋体" w:cs="宋体"/>
          <w:color w:val="auto"/>
          <w:sz w:val="28"/>
          <w:szCs w:val="28"/>
          <w:highlight w:val="none"/>
          <w:lang w:val="en-US" w:eastAsia="en-US" w:bidi="zh-CN"/>
        </w:rPr>
        <w:t>灵宝市</w:t>
      </w:r>
      <w:r>
        <w:rPr>
          <w:rFonts w:hint="default" w:ascii="宋体" w:hAnsi="宋体" w:eastAsia="宋体" w:cs="宋体"/>
          <w:color w:val="auto"/>
          <w:sz w:val="28"/>
          <w:szCs w:val="28"/>
          <w:highlight w:val="none"/>
          <w:lang w:val="en-US" w:eastAsia="en-US" w:bidi="zh-CN"/>
        </w:rPr>
        <w:t>地质灾害发育现状、风险分布特征、现有防治工程运行状况、群测群防体系建设情况，总结“十四五”地质灾害防治成效与短板；结合国土空间开发、重大工程建设、生态保护修复、乡村振兴等发展需求，科学研判“十五五”地质灾害风险形势；确定规划期内地质灾害防治总体目标、指标体系，划分地质灾害防治分区，明确监测预警体系建设、风险管控、工程治理、避险搬迁、应急能力建设、科普宣传等重点任务，谋划“十五五”期间地质灾害综合治理重大工程项目；开展规划协调性分析，完成规划文本、专题研究报告、附图附表编制，配合完成专家评审、征求意见、修改完善、报批等相关技术支撑工作。</w:t>
      </w:r>
    </w:p>
    <w:p w14:paraId="560E70C4">
      <w:pPr>
        <w:pStyle w:val="3"/>
        <w:spacing w:before="163" w:line="228" w:lineRule="auto"/>
        <w:ind w:left="41" w:firstLine="582" w:firstLineChars="200"/>
        <w:rPr>
          <w:rFonts w:hint="eastAsia" w:ascii="宋体" w:hAnsi="宋体" w:eastAsia="宋体" w:cs="宋体"/>
          <w:sz w:val="28"/>
          <w:szCs w:val="28"/>
        </w:rPr>
      </w:pPr>
      <w:r>
        <w:rPr>
          <w:rFonts w:hint="eastAsia" w:ascii="宋体" w:hAnsi="宋体" w:eastAsia="宋体" w:cs="宋体"/>
          <w:b/>
          <w:bCs/>
          <w:spacing w:val="5"/>
          <w:sz w:val="28"/>
          <w:szCs w:val="28"/>
        </w:rPr>
        <w:t>四、项目范围</w:t>
      </w:r>
    </w:p>
    <w:p w14:paraId="13B84464">
      <w:pPr>
        <w:pStyle w:val="3"/>
        <w:numPr>
          <w:ilvl w:val="0"/>
          <w:numId w:val="0"/>
        </w:numPr>
        <w:autoSpaceDE w:val="0"/>
        <w:autoSpaceDN w:val="0"/>
        <w:spacing w:after="0" w:line="360" w:lineRule="auto"/>
        <w:ind w:left="0" w:leftChars="0" w:firstLine="560" w:firstLineChars="200"/>
        <w:jc w:val="left"/>
        <w:rPr>
          <w:rFonts w:hint="default" w:ascii="宋体" w:hAnsi="宋体" w:eastAsia="宋体" w:cs="宋体"/>
          <w:color w:val="auto"/>
          <w:sz w:val="28"/>
          <w:szCs w:val="28"/>
          <w:highlight w:val="none"/>
          <w:lang w:val="en-US" w:eastAsia="en-US" w:bidi="zh-CN"/>
        </w:rPr>
      </w:pPr>
      <w:r>
        <w:rPr>
          <w:rFonts w:hint="default" w:ascii="宋体" w:hAnsi="宋体" w:eastAsia="宋体" w:cs="宋体"/>
          <w:color w:val="auto"/>
          <w:sz w:val="28"/>
          <w:szCs w:val="28"/>
          <w:highlight w:val="none"/>
          <w:lang w:val="en-US" w:eastAsia="en-US" w:bidi="zh-CN"/>
        </w:rPr>
        <w:t>项目行政范围：河南省</w:t>
      </w:r>
      <w:r>
        <w:rPr>
          <w:rFonts w:hint="eastAsia" w:ascii="宋体" w:hAnsi="宋体" w:eastAsia="宋体" w:cs="宋体"/>
          <w:color w:val="auto"/>
          <w:sz w:val="28"/>
          <w:szCs w:val="28"/>
          <w:highlight w:val="none"/>
          <w:lang w:val="en-US" w:eastAsia="en-US" w:bidi="zh-CN"/>
        </w:rPr>
        <w:t>三门峡市灵宝市</w:t>
      </w:r>
      <w:r>
        <w:rPr>
          <w:rFonts w:hint="default" w:ascii="宋体" w:hAnsi="宋体" w:eastAsia="宋体" w:cs="宋体"/>
          <w:color w:val="auto"/>
          <w:sz w:val="28"/>
          <w:szCs w:val="28"/>
          <w:highlight w:val="none"/>
          <w:lang w:val="en-US" w:eastAsia="en-US" w:bidi="zh-CN"/>
        </w:rPr>
        <w:t>全部行政辖区，包含所辖所有乡镇（街道），规划研究范围与</w:t>
      </w:r>
      <w:r>
        <w:rPr>
          <w:rFonts w:hint="eastAsia" w:ascii="宋体" w:hAnsi="宋体" w:eastAsia="宋体" w:cs="宋体"/>
          <w:color w:val="auto"/>
          <w:sz w:val="28"/>
          <w:szCs w:val="28"/>
          <w:highlight w:val="none"/>
          <w:lang w:val="en-US" w:eastAsia="en-US" w:bidi="zh-CN"/>
        </w:rPr>
        <w:t>灵宝市</w:t>
      </w:r>
      <w:r>
        <w:rPr>
          <w:rFonts w:hint="default" w:ascii="宋体" w:hAnsi="宋体" w:eastAsia="宋体" w:cs="宋体"/>
          <w:color w:val="auto"/>
          <w:sz w:val="28"/>
          <w:szCs w:val="28"/>
          <w:highlight w:val="none"/>
          <w:lang w:val="en-US" w:eastAsia="en-US" w:bidi="zh-CN"/>
        </w:rPr>
        <w:t>行政边界保持一致，规划期限为“十五五”规划周期。</w:t>
      </w:r>
    </w:p>
    <w:p w14:paraId="2F1232AD">
      <w:pPr>
        <w:pStyle w:val="3"/>
        <w:spacing w:before="162" w:line="228" w:lineRule="auto"/>
        <w:ind w:left="25" w:firstLine="586" w:firstLineChars="200"/>
        <w:rPr>
          <w:rFonts w:hint="eastAsia" w:ascii="宋体" w:hAnsi="宋体" w:eastAsia="宋体" w:cs="宋体"/>
          <w:b/>
          <w:bCs/>
          <w:spacing w:val="6"/>
          <w:sz w:val="28"/>
          <w:szCs w:val="28"/>
          <w:lang w:val="en-US" w:eastAsia="en-US"/>
        </w:rPr>
      </w:pPr>
      <w:r>
        <w:rPr>
          <w:rFonts w:hint="eastAsia" w:ascii="宋体" w:hAnsi="宋体" w:eastAsia="宋体" w:cs="宋体"/>
          <w:b/>
          <w:bCs/>
          <w:spacing w:val="6"/>
          <w:sz w:val="28"/>
          <w:szCs w:val="28"/>
          <w:lang w:val="en-US" w:eastAsia="zh-CN"/>
        </w:rPr>
        <w:t>五、</w:t>
      </w:r>
      <w:r>
        <w:rPr>
          <w:rFonts w:hint="eastAsia" w:ascii="宋体" w:hAnsi="宋体" w:eastAsia="宋体" w:cs="宋体"/>
          <w:b/>
          <w:bCs/>
          <w:spacing w:val="6"/>
          <w:sz w:val="28"/>
          <w:szCs w:val="28"/>
          <w:lang w:val="en-US" w:eastAsia="en-US"/>
        </w:rPr>
        <w:t>编制依据</w:t>
      </w:r>
    </w:p>
    <w:p w14:paraId="16A462B8">
      <w:pPr>
        <w:pStyle w:val="5"/>
        <w:numPr>
          <w:ilvl w:val="0"/>
          <w:numId w:val="2"/>
        </w:numPr>
        <w:rPr>
          <w:rFonts w:hint="eastAsia" w:ascii="宋体" w:hAnsi="宋体" w:eastAsia="宋体" w:cs="宋体"/>
          <w:snapToGrid w:val="0"/>
          <w:color w:val="auto"/>
          <w:kern w:val="0"/>
          <w:sz w:val="28"/>
          <w:szCs w:val="28"/>
          <w:highlight w:val="none"/>
          <w:lang w:val="en-US" w:eastAsia="en-US" w:bidi="zh-CN"/>
        </w:rPr>
      </w:pPr>
      <w:r>
        <w:rPr>
          <w:rFonts w:hint="eastAsia" w:ascii="宋体" w:hAnsi="宋体" w:eastAsia="宋体" w:cs="宋体"/>
          <w:snapToGrid w:val="0"/>
          <w:color w:val="auto"/>
          <w:kern w:val="0"/>
          <w:sz w:val="28"/>
          <w:szCs w:val="28"/>
          <w:highlight w:val="none"/>
          <w:lang w:val="en-US" w:eastAsia="en-US" w:bidi="zh-CN"/>
        </w:rPr>
        <w:t>本项目技术服务采购合同及招标文件要求；</w:t>
      </w:r>
    </w:p>
    <w:p w14:paraId="3521D841">
      <w:pPr>
        <w:pStyle w:val="5"/>
        <w:numPr>
          <w:ilvl w:val="0"/>
          <w:numId w:val="2"/>
        </w:numPr>
        <w:rPr>
          <w:rFonts w:hint="eastAsia" w:ascii="宋体" w:hAnsi="宋体" w:eastAsia="宋体" w:cs="宋体"/>
          <w:snapToGrid w:val="0"/>
          <w:color w:val="auto"/>
          <w:kern w:val="0"/>
          <w:sz w:val="28"/>
          <w:szCs w:val="28"/>
          <w:highlight w:val="none"/>
          <w:lang w:val="en-US" w:eastAsia="en-US" w:bidi="zh-CN"/>
        </w:rPr>
      </w:pPr>
      <w:r>
        <w:rPr>
          <w:rFonts w:hint="eastAsia" w:ascii="宋体" w:hAnsi="宋体" w:eastAsia="宋体" w:cs="宋体"/>
          <w:snapToGrid w:val="0"/>
          <w:color w:val="auto"/>
          <w:kern w:val="0"/>
          <w:sz w:val="28"/>
          <w:szCs w:val="28"/>
          <w:highlight w:val="none"/>
          <w:lang w:val="en-US" w:eastAsia="en-US" w:bidi="zh-CN"/>
        </w:rPr>
        <w:t>《地质灾害防治条例》（国务院令第394号）；</w:t>
      </w:r>
    </w:p>
    <w:p w14:paraId="3A2AD89D">
      <w:pPr>
        <w:numPr>
          <w:ilvl w:val="0"/>
          <w:numId w:val="2"/>
        </w:numPr>
        <w:ind w:left="0" w:leftChars="0" w:firstLine="0" w:firstLineChars="0"/>
        <w:rPr>
          <w:rFonts w:hint="eastAsia" w:ascii="宋体" w:hAnsi="宋体" w:eastAsia="宋体" w:cs="宋体"/>
          <w:snapToGrid w:val="0"/>
          <w:color w:val="auto"/>
          <w:kern w:val="0"/>
          <w:sz w:val="28"/>
          <w:szCs w:val="28"/>
          <w:highlight w:val="none"/>
          <w:lang w:val="en-US" w:eastAsia="en-US" w:bidi="zh-CN"/>
        </w:rPr>
      </w:pPr>
      <w:r>
        <w:rPr>
          <w:rFonts w:hint="eastAsia" w:ascii="宋体" w:hAnsi="宋体" w:eastAsia="宋体" w:cs="宋体"/>
          <w:snapToGrid w:val="0"/>
          <w:color w:val="auto"/>
          <w:kern w:val="0"/>
          <w:sz w:val="28"/>
          <w:szCs w:val="28"/>
          <w:highlight w:val="none"/>
          <w:lang w:val="en-US" w:eastAsia="en-US" w:bidi="zh-CN"/>
        </w:rPr>
        <w:t>《河南省地质环境保护条例》；</w:t>
      </w:r>
    </w:p>
    <w:p w14:paraId="74D1F8D6">
      <w:pPr>
        <w:numPr>
          <w:ilvl w:val="0"/>
          <w:numId w:val="2"/>
        </w:numPr>
        <w:ind w:left="0" w:leftChars="0" w:firstLine="0" w:firstLineChars="0"/>
        <w:rPr>
          <w:rFonts w:hint="eastAsia" w:ascii="宋体" w:hAnsi="宋体" w:eastAsia="宋体" w:cs="宋体"/>
          <w:snapToGrid w:val="0"/>
          <w:color w:val="auto"/>
          <w:kern w:val="0"/>
          <w:sz w:val="28"/>
          <w:szCs w:val="28"/>
          <w:highlight w:val="none"/>
          <w:lang w:val="en-US" w:eastAsia="en-US" w:bidi="zh-CN"/>
        </w:rPr>
      </w:pPr>
      <w:r>
        <w:rPr>
          <w:rFonts w:hint="eastAsia" w:ascii="宋体" w:hAnsi="宋体" w:eastAsia="宋体" w:cs="宋体"/>
          <w:snapToGrid w:val="0"/>
          <w:color w:val="auto"/>
          <w:kern w:val="0"/>
          <w:sz w:val="28"/>
          <w:szCs w:val="28"/>
          <w:highlight w:val="none"/>
          <w:lang w:val="en-US" w:eastAsia="en-US" w:bidi="zh-CN"/>
        </w:rPr>
        <w:t>国家、河南省、三门峡市相关国民经济和社会发展规划、地质灾害防治相关上位规划；</w:t>
      </w:r>
    </w:p>
    <w:p w14:paraId="0244AF0D">
      <w:pPr>
        <w:numPr>
          <w:ilvl w:val="0"/>
          <w:numId w:val="2"/>
        </w:numPr>
        <w:ind w:left="0" w:leftChars="0" w:firstLine="0" w:firstLineChars="0"/>
        <w:rPr>
          <w:rFonts w:hint="eastAsia" w:ascii="宋体" w:hAnsi="宋体" w:eastAsia="宋体" w:cs="宋体"/>
          <w:snapToGrid w:val="0"/>
          <w:color w:val="auto"/>
          <w:kern w:val="0"/>
          <w:sz w:val="28"/>
          <w:szCs w:val="28"/>
          <w:highlight w:val="none"/>
          <w:lang w:val="en-US" w:eastAsia="en-US" w:bidi="zh-CN"/>
        </w:rPr>
      </w:pPr>
      <w:r>
        <w:rPr>
          <w:rFonts w:hint="eastAsia" w:ascii="宋体" w:hAnsi="宋体" w:eastAsia="宋体" w:cs="宋体"/>
          <w:snapToGrid w:val="0"/>
          <w:color w:val="auto"/>
          <w:kern w:val="0"/>
          <w:sz w:val="28"/>
          <w:szCs w:val="28"/>
          <w:highlight w:val="none"/>
          <w:lang w:val="en-US" w:eastAsia="en-US" w:bidi="zh-CN"/>
        </w:rPr>
        <w:t>地质灾害调查、风险评价、规划编制相关国家、行业现行标准、技术规范；</w:t>
      </w:r>
    </w:p>
    <w:p w14:paraId="233F64D5">
      <w:pPr>
        <w:numPr>
          <w:ilvl w:val="0"/>
          <w:numId w:val="0"/>
        </w:numPr>
        <w:ind w:leftChars="0"/>
        <w:rPr>
          <w:rFonts w:hint="eastAsia" w:ascii="宋体" w:hAnsi="宋体" w:eastAsia="宋体" w:cs="宋体"/>
          <w:snapToGrid w:val="0"/>
          <w:color w:val="auto"/>
          <w:kern w:val="0"/>
          <w:sz w:val="28"/>
          <w:szCs w:val="28"/>
          <w:highlight w:val="none"/>
          <w:lang w:val="en-US" w:eastAsia="en-US" w:bidi="zh-CN"/>
        </w:rPr>
      </w:pPr>
      <w:r>
        <w:rPr>
          <w:rFonts w:hint="eastAsia" w:ascii="宋体" w:hAnsi="宋体" w:eastAsia="宋体" w:cs="宋体"/>
          <w:snapToGrid w:val="0"/>
          <w:color w:val="auto"/>
          <w:kern w:val="0"/>
          <w:sz w:val="28"/>
          <w:szCs w:val="28"/>
          <w:highlight w:val="none"/>
          <w:lang w:val="en-US" w:eastAsia="en-US" w:bidi="zh-CN"/>
        </w:rPr>
        <w:t>（6）国土空间规划、生态保护修复、应急管理相关法律法规、政策文件；</w:t>
      </w:r>
    </w:p>
    <w:p w14:paraId="4A6594F2">
      <w:pPr>
        <w:numPr>
          <w:ilvl w:val="0"/>
          <w:numId w:val="0"/>
        </w:numPr>
        <w:ind w:leftChars="0"/>
        <w:rPr>
          <w:rFonts w:hint="eastAsia" w:ascii="宋体" w:hAnsi="宋体" w:eastAsia="宋体" w:cs="宋体"/>
          <w:snapToGrid w:val="0"/>
          <w:color w:val="auto"/>
          <w:kern w:val="0"/>
          <w:sz w:val="28"/>
          <w:szCs w:val="28"/>
          <w:highlight w:val="none"/>
          <w:lang w:val="en-US" w:eastAsia="en-US" w:bidi="zh-CN"/>
        </w:rPr>
      </w:pPr>
      <w:r>
        <w:rPr>
          <w:rFonts w:hint="eastAsia" w:ascii="宋体" w:hAnsi="宋体" w:eastAsia="宋体" w:cs="宋体"/>
          <w:snapToGrid w:val="0"/>
          <w:color w:val="auto"/>
          <w:kern w:val="0"/>
          <w:sz w:val="28"/>
          <w:szCs w:val="28"/>
          <w:highlight w:val="none"/>
          <w:lang w:val="en-US" w:eastAsia="en-US" w:bidi="zh-CN"/>
        </w:rPr>
        <w:t>（7）灵宝市相关基础调查资料、已批复相关专项规划；</w:t>
      </w:r>
    </w:p>
    <w:p w14:paraId="6C39BB04">
      <w:pPr>
        <w:numPr>
          <w:ilvl w:val="0"/>
          <w:numId w:val="0"/>
        </w:numPr>
        <w:ind w:leftChars="0"/>
        <w:rPr>
          <w:rFonts w:hint="eastAsia" w:ascii="宋体" w:hAnsi="宋体" w:eastAsia="宋体" w:cs="宋体"/>
          <w:snapToGrid w:val="0"/>
          <w:color w:val="auto"/>
          <w:kern w:val="0"/>
          <w:sz w:val="28"/>
          <w:szCs w:val="28"/>
          <w:highlight w:val="none"/>
          <w:lang w:val="en-US" w:eastAsia="en-US" w:bidi="zh-CN"/>
        </w:rPr>
      </w:pPr>
      <w:r>
        <w:rPr>
          <w:rFonts w:hint="eastAsia" w:ascii="宋体" w:hAnsi="宋体" w:eastAsia="宋体" w:cs="宋体"/>
          <w:snapToGrid w:val="0"/>
          <w:color w:val="auto"/>
          <w:kern w:val="0"/>
          <w:sz w:val="28"/>
          <w:szCs w:val="28"/>
          <w:highlight w:val="none"/>
          <w:lang w:val="en-US" w:eastAsia="en-US" w:bidi="zh-CN"/>
        </w:rPr>
        <w:t>（8）采购人提出的其他相关工作要求。</w:t>
      </w:r>
    </w:p>
    <w:p w14:paraId="08D12CB0">
      <w:pPr>
        <w:pStyle w:val="3"/>
        <w:spacing w:before="162" w:line="228" w:lineRule="auto"/>
        <w:ind w:left="25" w:firstLine="586" w:firstLineChars="200"/>
        <w:rPr>
          <w:rFonts w:hint="eastAsia" w:ascii="宋体" w:hAnsi="宋体" w:eastAsia="宋体" w:cs="宋体"/>
          <w:b/>
          <w:bCs/>
          <w:spacing w:val="6"/>
          <w:sz w:val="28"/>
          <w:szCs w:val="28"/>
          <w:lang w:val="en-US" w:eastAsia="en-US"/>
        </w:rPr>
      </w:pPr>
      <w:r>
        <w:rPr>
          <w:rFonts w:hint="eastAsia" w:ascii="宋体" w:hAnsi="宋体" w:eastAsia="宋体" w:cs="宋体"/>
          <w:b/>
          <w:bCs/>
          <w:spacing w:val="6"/>
          <w:sz w:val="28"/>
          <w:szCs w:val="28"/>
          <w:lang w:val="en-US" w:eastAsia="en-US"/>
        </w:rPr>
        <w:t>六、编制基本原则</w:t>
      </w:r>
    </w:p>
    <w:p w14:paraId="6D0D248E">
      <w:pPr>
        <w:numPr>
          <w:ilvl w:val="0"/>
          <w:numId w:val="0"/>
        </w:numPr>
        <w:ind w:leftChars="0" w:firstLine="560" w:firstLineChars="200"/>
        <w:rPr>
          <w:rFonts w:hint="eastAsia" w:ascii="宋体" w:hAnsi="宋体" w:eastAsia="宋体" w:cs="宋体"/>
          <w:snapToGrid w:val="0"/>
          <w:color w:val="auto"/>
          <w:kern w:val="0"/>
          <w:sz w:val="28"/>
          <w:szCs w:val="28"/>
          <w:highlight w:val="none"/>
          <w:lang w:val="en-US" w:eastAsia="en-US" w:bidi="zh-CN"/>
        </w:rPr>
      </w:pPr>
      <w:r>
        <w:rPr>
          <w:rFonts w:hint="eastAsia" w:ascii="宋体" w:hAnsi="宋体" w:eastAsia="宋体" w:cs="宋体"/>
          <w:snapToGrid w:val="0"/>
          <w:color w:val="auto"/>
          <w:kern w:val="0"/>
          <w:sz w:val="28"/>
          <w:szCs w:val="28"/>
          <w:highlight w:val="none"/>
          <w:lang w:val="en-US" w:eastAsia="en-US" w:bidi="zh-CN"/>
        </w:rPr>
        <w:t>依法依规，上位衔接：严格遵循法律法规、技术规范，衔接国家、河南省、三门峡市地质灾害防治相关上位规划，与灵宝市国土空间总体规划、生态修复规划、应急体系规划等专项规划协调统一。事求是，风险导向：立足灵宝市地质环境实际，以地质灾害风险管控为核心，客观分析灾害现状，精准识别风险，科学谋划防治任务。统筹兼顾，重点突出：统筹发展与安全，兼顾城乡建设、重大项目开发保护，优先保障人口密集区、重要基础设施、重大工程安全，聚焦高风险区域综合治理。综合治理，防治结合：坚持预防为主、避让优先，统筹监测预警、工程治理、避险搬迁、应急处置、宣传教育等综合防治措施。可操作性，落地实施：规划目标合理可行，重大项目谋划符合地方财力与实施条件，保障规划可审批、可落地、可考核。公众参与，科学论证：充分征求相关部门、乡镇意见，开展专家论证，保障规划科学性、公开性。</w:t>
      </w:r>
    </w:p>
    <w:p w14:paraId="00812EA4">
      <w:pPr>
        <w:pStyle w:val="3"/>
        <w:spacing w:before="162" w:line="228" w:lineRule="auto"/>
        <w:ind w:left="25" w:firstLine="586" w:firstLineChars="200"/>
        <w:rPr>
          <w:rFonts w:hint="eastAsia" w:ascii="宋体" w:hAnsi="宋体" w:eastAsia="宋体" w:cs="宋体"/>
          <w:b/>
          <w:bCs/>
          <w:spacing w:val="6"/>
          <w:sz w:val="28"/>
          <w:szCs w:val="28"/>
          <w:lang w:val="en-US" w:eastAsia="en-US"/>
        </w:rPr>
      </w:pPr>
      <w:r>
        <w:rPr>
          <w:rFonts w:hint="eastAsia" w:ascii="宋体" w:hAnsi="宋体" w:eastAsia="宋体" w:cs="宋体"/>
          <w:b/>
          <w:bCs/>
          <w:spacing w:val="6"/>
          <w:sz w:val="28"/>
          <w:szCs w:val="28"/>
          <w:lang w:val="en-US" w:eastAsia="en-US"/>
        </w:rPr>
        <w:t>七、规划成果要求</w:t>
      </w:r>
    </w:p>
    <w:p w14:paraId="6BC68A5F">
      <w:pPr>
        <w:numPr>
          <w:ilvl w:val="0"/>
          <w:numId w:val="0"/>
        </w:numPr>
        <w:ind w:leftChars="0" w:firstLine="560" w:firstLineChars="200"/>
        <w:rPr>
          <w:rFonts w:hint="eastAsia" w:ascii="宋体" w:hAnsi="宋体" w:eastAsia="宋体" w:cs="宋体"/>
          <w:snapToGrid w:val="0"/>
          <w:color w:val="auto"/>
          <w:kern w:val="0"/>
          <w:sz w:val="28"/>
          <w:szCs w:val="28"/>
          <w:highlight w:val="none"/>
          <w:lang w:val="en-US" w:eastAsia="en-US" w:bidi="zh-CN"/>
        </w:rPr>
      </w:pPr>
      <w:r>
        <w:rPr>
          <w:rFonts w:hint="eastAsia" w:ascii="宋体" w:hAnsi="宋体" w:eastAsia="宋体" w:cs="宋体"/>
          <w:snapToGrid w:val="0"/>
          <w:color w:val="auto"/>
          <w:kern w:val="0"/>
          <w:sz w:val="28"/>
          <w:szCs w:val="28"/>
          <w:highlight w:val="none"/>
          <w:lang w:val="en-US" w:eastAsia="en-US" w:bidi="zh-CN"/>
        </w:rPr>
        <w:t>规划成果须符合国家、行业现行相关标准规范、上级规划编制技术要求及采购人相关工作要求，成果包含纸质成果与电子成果两类。提交全套成果包含：《灵宝市地质灾害防治“十五五”规划》规划文本、专题研究报告、规划附图、附表及相关附件；纸质成果4套，电子成果全套1套（包含可编辑源文件、PDF定稿文件，附图含矢量图源数据）。成交供应商须根据评审、征求意见、主管部门报批意见完成成果修改完善，全程配合采购人完成规划评审、上报报批等技术服务工作，直至规划通过审批。</w:t>
      </w:r>
    </w:p>
    <w:p w14:paraId="61887485">
      <w:pPr>
        <w:widowControl/>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br w:type="page"/>
      </w:r>
      <w:r>
        <w:rPr>
          <w:rFonts w:hint="eastAsia" w:ascii="宋体" w:hAnsi="宋体" w:cs="宋体"/>
          <w:b/>
          <w:bCs/>
          <w:color w:val="auto"/>
          <w:sz w:val="32"/>
          <w:szCs w:val="32"/>
          <w:highlight w:val="none"/>
        </w:rPr>
        <w:t>第四章  评审办法</w:t>
      </w:r>
      <w:bookmarkEnd w:id="317"/>
      <w:bookmarkEnd w:id="318"/>
      <w:bookmarkEnd w:id="319"/>
      <w:bookmarkEnd w:id="320"/>
      <w:bookmarkEnd w:id="321"/>
      <w:bookmarkEnd w:id="322"/>
    </w:p>
    <w:p w14:paraId="4AEAF17A">
      <w:pPr>
        <w:spacing w:line="480" w:lineRule="exact"/>
        <w:ind w:firstLine="482" w:firstLineChars="200"/>
        <w:rPr>
          <w:rFonts w:ascii="宋体" w:hAnsi="宋体" w:cs="宋体"/>
          <w:b/>
          <w:color w:val="auto"/>
          <w:sz w:val="24"/>
          <w:highlight w:val="none"/>
        </w:rPr>
      </w:pPr>
      <w:r>
        <w:rPr>
          <w:rFonts w:hint="eastAsia" w:ascii="宋体" w:hAnsi="宋体" w:cs="宋体"/>
          <w:b/>
          <w:color w:val="auto"/>
          <w:sz w:val="24"/>
          <w:highlight w:val="none"/>
        </w:rPr>
        <w:t>初步评审</w:t>
      </w:r>
    </w:p>
    <w:tbl>
      <w:tblPr>
        <w:tblStyle w:val="16"/>
        <w:tblW w:w="93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007"/>
        <w:gridCol w:w="2554"/>
        <w:gridCol w:w="4960"/>
      </w:tblGrid>
      <w:tr w14:paraId="7EBEE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823" w:type="dxa"/>
            <w:gridSpan w:val="2"/>
            <w:tcBorders>
              <w:top w:val="single" w:color="auto" w:sz="4" w:space="0"/>
              <w:left w:val="single" w:color="auto" w:sz="4" w:space="0"/>
              <w:bottom w:val="single" w:color="auto" w:sz="4" w:space="0"/>
              <w:right w:val="single" w:color="auto" w:sz="4" w:space="0"/>
            </w:tcBorders>
            <w:vAlign w:val="center"/>
          </w:tcPr>
          <w:p w14:paraId="323EA306">
            <w:pPr>
              <w:spacing w:line="360" w:lineRule="auto"/>
              <w:rPr>
                <w:rFonts w:ascii="宋体" w:hAnsi="宋体" w:cs="宋体"/>
                <w:b/>
                <w:color w:val="auto"/>
                <w:sz w:val="24"/>
                <w:highlight w:val="none"/>
              </w:rPr>
            </w:pPr>
            <w:r>
              <w:rPr>
                <w:rFonts w:hint="eastAsia" w:ascii="宋体" w:hAnsi="宋体" w:cs="宋体"/>
                <w:b/>
                <w:color w:val="auto"/>
                <w:sz w:val="24"/>
                <w:highlight w:val="none"/>
              </w:rPr>
              <w:t>条款号</w:t>
            </w:r>
          </w:p>
        </w:tc>
        <w:tc>
          <w:tcPr>
            <w:tcW w:w="2554" w:type="dxa"/>
            <w:tcBorders>
              <w:top w:val="single" w:color="auto" w:sz="4" w:space="0"/>
              <w:left w:val="single" w:color="auto" w:sz="4" w:space="0"/>
              <w:bottom w:val="single" w:color="auto" w:sz="4" w:space="0"/>
              <w:right w:val="single" w:color="auto" w:sz="4" w:space="0"/>
            </w:tcBorders>
            <w:vAlign w:val="center"/>
          </w:tcPr>
          <w:p w14:paraId="2800DE85">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评审因素</w:t>
            </w:r>
          </w:p>
        </w:tc>
        <w:tc>
          <w:tcPr>
            <w:tcW w:w="4960" w:type="dxa"/>
            <w:tcBorders>
              <w:top w:val="single" w:color="auto" w:sz="4" w:space="0"/>
              <w:left w:val="single" w:color="auto" w:sz="4" w:space="0"/>
              <w:bottom w:val="single" w:color="auto" w:sz="4" w:space="0"/>
              <w:right w:val="single" w:color="auto" w:sz="4" w:space="0"/>
            </w:tcBorders>
            <w:vAlign w:val="center"/>
          </w:tcPr>
          <w:p w14:paraId="446556C7">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评审标准</w:t>
            </w:r>
          </w:p>
        </w:tc>
      </w:tr>
      <w:tr w14:paraId="4E4BD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jc w:val="center"/>
        </w:trPr>
        <w:tc>
          <w:tcPr>
            <w:tcW w:w="816" w:type="dxa"/>
            <w:vMerge w:val="restart"/>
            <w:tcBorders>
              <w:top w:val="single" w:color="auto" w:sz="4" w:space="0"/>
              <w:left w:val="single" w:color="auto" w:sz="4" w:space="0"/>
              <w:right w:val="single" w:color="auto" w:sz="4" w:space="0"/>
            </w:tcBorders>
            <w:vAlign w:val="center"/>
          </w:tcPr>
          <w:p w14:paraId="7DD28464">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2.1.1</w:t>
            </w:r>
          </w:p>
        </w:tc>
        <w:tc>
          <w:tcPr>
            <w:tcW w:w="1007" w:type="dxa"/>
            <w:vMerge w:val="restart"/>
            <w:tcBorders>
              <w:top w:val="single" w:color="auto" w:sz="4" w:space="0"/>
              <w:left w:val="single" w:color="auto" w:sz="4" w:space="0"/>
              <w:right w:val="single" w:color="auto" w:sz="4" w:space="0"/>
            </w:tcBorders>
            <w:vAlign w:val="center"/>
          </w:tcPr>
          <w:p w14:paraId="102DE332">
            <w:pPr>
              <w:spacing w:line="360" w:lineRule="auto"/>
              <w:jc w:val="center"/>
              <w:rPr>
                <w:rFonts w:ascii="宋体" w:hAnsi="宋体" w:cs="宋体"/>
                <w:color w:val="auto"/>
                <w:sz w:val="24"/>
                <w:highlight w:val="none"/>
              </w:rPr>
            </w:pPr>
            <w:r>
              <w:rPr>
                <w:rFonts w:hint="eastAsia" w:ascii="宋体" w:hAnsi="宋体" w:cs="宋体"/>
                <w:color w:val="auto"/>
                <w:sz w:val="24"/>
                <w:highlight w:val="none"/>
              </w:rPr>
              <w:t>资格性审查标准</w:t>
            </w:r>
          </w:p>
        </w:tc>
        <w:tc>
          <w:tcPr>
            <w:tcW w:w="2554" w:type="dxa"/>
            <w:tcBorders>
              <w:top w:val="single" w:color="auto" w:sz="4" w:space="0"/>
              <w:left w:val="single" w:color="auto" w:sz="4" w:space="0"/>
              <w:right w:val="single" w:color="auto" w:sz="4" w:space="0"/>
            </w:tcBorders>
            <w:vAlign w:val="center"/>
          </w:tcPr>
          <w:p w14:paraId="4B71BA2C">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满足《中华人民共和国政府采购法》第二十二条规定</w:t>
            </w:r>
          </w:p>
        </w:tc>
        <w:tc>
          <w:tcPr>
            <w:tcW w:w="4960" w:type="dxa"/>
            <w:tcBorders>
              <w:top w:val="single" w:color="auto" w:sz="4" w:space="0"/>
              <w:left w:val="single" w:color="auto" w:sz="4" w:space="0"/>
              <w:right w:val="single" w:color="auto" w:sz="4" w:space="0"/>
            </w:tcBorders>
            <w:vAlign w:val="center"/>
          </w:tcPr>
          <w:p w14:paraId="65000EFC">
            <w:pPr>
              <w:spacing w:line="360" w:lineRule="auto"/>
              <w:jc w:val="left"/>
              <w:rPr>
                <w:rFonts w:ascii="宋体" w:hAnsi="宋体" w:cs="宋体"/>
                <w:color w:val="auto"/>
                <w:sz w:val="24"/>
                <w:highlight w:val="none"/>
              </w:rPr>
            </w:pPr>
            <w:r>
              <w:rPr>
                <w:rFonts w:hint="eastAsia" w:ascii="宋体" w:hAnsi="宋体" w:cs="宋体"/>
                <w:color w:val="auto"/>
                <w:sz w:val="24"/>
                <w:highlight w:val="none"/>
              </w:rPr>
              <w:t>提供证明材料或自行承诺（承诺格式自拟）；</w:t>
            </w:r>
          </w:p>
        </w:tc>
      </w:tr>
      <w:tr w14:paraId="08BE4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jc w:val="center"/>
        </w:trPr>
        <w:tc>
          <w:tcPr>
            <w:tcW w:w="816" w:type="dxa"/>
            <w:vMerge w:val="continue"/>
            <w:tcBorders>
              <w:left w:val="single" w:color="auto" w:sz="4" w:space="0"/>
              <w:right w:val="single" w:color="auto" w:sz="4" w:space="0"/>
            </w:tcBorders>
            <w:vAlign w:val="center"/>
          </w:tcPr>
          <w:p w14:paraId="4E12F640">
            <w:pPr>
              <w:spacing w:line="360" w:lineRule="auto"/>
              <w:jc w:val="center"/>
              <w:rPr>
                <w:rFonts w:ascii="宋体" w:hAnsi="宋体" w:cs="宋体"/>
                <w:bCs/>
                <w:color w:val="auto"/>
                <w:sz w:val="24"/>
                <w:highlight w:val="none"/>
              </w:rPr>
            </w:pPr>
          </w:p>
        </w:tc>
        <w:tc>
          <w:tcPr>
            <w:tcW w:w="1007" w:type="dxa"/>
            <w:vMerge w:val="continue"/>
            <w:tcBorders>
              <w:left w:val="single" w:color="auto" w:sz="4" w:space="0"/>
              <w:right w:val="single" w:color="auto" w:sz="4" w:space="0"/>
            </w:tcBorders>
            <w:vAlign w:val="center"/>
          </w:tcPr>
          <w:p w14:paraId="487DD4EF">
            <w:pPr>
              <w:spacing w:line="360" w:lineRule="auto"/>
              <w:jc w:val="center"/>
              <w:rPr>
                <w:rFonts w:ascii="宋体" w:hAnsi="宋体" w:cs="宋体"/>
                <w:color w:val="auto"/>
                <w:sz w:val="24"/>
                <w:highlight w:val="none"/>
              </w:rPr>
            </w:pPr>
          </w:p>
        </w:tc>
        <w:tc>
          <w:tcPr>
            <w:tcW w:w="2554" w:type="dxa"/>
            <w:tcBorders>
              <w:top w:val="single" w:color="auto" w:sz="4" w:space="0"/>
              <w:left w:val="single" w:color="auto" w:sz="4" w:space="0"/>
              <w:right w:val="single" w:color="auto" w:sz="4" w:space="0"/>
            </w:tcBorders>
            <w:vAlign w:val="center"/>
          </w:tcPr>
          <w:p w14:paraId="1E5EACF1">
            <w:pPr>
              <w:spacing w:line="360" w:lineRule="auto"/>
              <w:jc w:val="center"/>
              <w:rPr>
                <w:rFonts w:ascii="宋体" w:hAnsi="宋体" w:cs="宋体"/>
                <w:color w:val="auto"/>
                <w:sz w:val="24"/>
                <w:highlight w:val="none"/>
              </w:rPr>
            </w:pPr>
            <w:r>
              <w:rPr>
                <w:rFonts w:hint="eastAsia" w:ascii="宋体" w:hAnsi="宋体" w:cs="宋体"/>
                <w:color w:val="auto"/>
                <w:sz w:val="24"/>
                <w:highlight w:val="none"/>
              </w:rPr>
              <w:t>营业执照等证明</w:t>
            </w:r>
          </w:p>
          <w:p w14:paraId="311D6468">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文件</w:t>
            </w:r>
          </w:p>
        </w:tc>
        <w:tc>
          <w:tcPr>
            <w:tcW w:w="4960" w:type="dxa"/>
            <w:tcBorders>
              <w:top w:val="single" w:color="auto" w:sz="4" w:space="0"/>
              <w:left w:val="single" w:color="auto" w:sz="4" w:space="0"/>
              <w:right w:val="single" w:color="auto" w:sz="4" w:space="0"/>
            </w:tcBorders>
            <w:vAlign w:val="center"/>
          </w:tcPr>
          <w:p w14:paraId="4FA1AEDD">
            <w:pPr>
              <w:spacing w:line="360" w:lineRule="auto"/>
              <w:jc w:val="left"/>
              <w:rPr>
                <w:rFonts w:ascii="宋体" w:hAnsi="宋体" w:cs="宋体"/>
                <w:color w:val="auto"/>
                <w:sz w:val="24"/>
                <w:highlight w:val="none"/>
              </w:rPr>
            </w:pPr>
            <w:r>
              <w:rPr>
                <w:rFonts w:hint="eastAsia" w:ascii="宋体" w:hAnsi="宋体" w:cs="宋体"/>
                <w:color w:val="auto"/>
                <w:sz w:val="24"/>
                <w:highlight w:val="none"/>
              </w:rPr>
              <w:t>投标供应商具有独立承担民事责任的能力（</w:t>
            </w:r>
            <w:r>
              <w:rPr>
                <w:rFonts w:hint="eastAsia" w:ascii="宋体" w:hAnsi="宋体" w:cs="宋体"/>
                <w:color w:val="auto"/>
                <w:sz w:val="24"/>
                <w:highlight w:val="none"/>
                <w:lang w:eastAsia="zh-CN"/>
              </w:rPr>
              <w:t>法人或者其他组织的营业执照等证明文件</w:t>
            </w:r>
            <w:r>
              <w:rPr>
                <w:rFonts w:hint="eastAsia" w:ascii="宋体" w:hAnsi="宋体" w:cs="宋体"/>
                <w:color w:val="auto"/>
                <w:sz w:val="24"/>
                <w:highlight w:val="none"/>
              </w:rPr>
              <w:t>）；</w:t>
            </w:r>
          </w:p>
        </w:tc>
      </w:tr>
      <w:tr w14:paraId="09B76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jc w:val="center"/>
        </w:trPr>
        <w:tc>
          <w:tcPr>
            <w:tcW w:w="816" w:type="dxa"/>
            <w:vMerge w:val="continue"/>
            <w:tcBorders>
              <w:left w:val="single" w:color="auto" w:sz="4" w:space="0"/>
              <w:right w:val="single" w:color="auto" w:sz="4" w:space="0"/>
            </w:tcBorders>
            <w:vAlign w:val="center"/>
          </w:tcPr>
          <w:p w14:paraId="05B3F401">
            <w:pPr>
              <w:spacing w:line="360" w:lineRule="auto"/>
              <w:jc w:val="center"/>
              <w:rPr>
                <w:rFonts w:ascii="宋体" w:hAnsi="宋体" w:cs="宋体"/>
                <w:bCs/>
                <w:color w:val="auto"/>
                <w:sz w:val="24"/>
                <w:highlight w:val="none"/>
              </w:rPr>
            </w:pPr>
          </w:p>
        </w:tc>
        <w:tc>
          <w:tcPr>
            <w:tcW w:w="1007" w:type="dxa"/>
            <w:vMerge w:val="continue"/>
            <w:tcBorders>
              <w:left w:val="single" w:color="auto" w:sz="4" w:space="0"/>
              <w:right w:val="single" w:color="auto" w:sz="4" w:space="0"/>
            </w:tcBorders>
            <w:vAlign w:val="center"/>
          </w:tcPr>
          <w:p w14:paraId="63A47D8A">
            <w:pPr>
              <w:spacing w:line="360" w:lineRule="auto"/>
              <w:jc w:val="center"/>
              <w:rPr>
                <w:rFonts w:ascii="宋体" w:hAnsi="宋体" w:cs="宋体"/>
                <w:color w:val="auto"/>
                <w:sz w:val="24"/>
                <w:highlight w:val="none"/>
              </w:rPr>
            </w:pPr>
          </w:p>
        </w:tc>
        <w:tc>
          <w:tcPr>
            <w:tcW w:w="2554" w:type="dxa"/>
            <w:tcBorders>
              <w:top w:val="single" w:color="auto" w:sz="4" w:space="0"/>
              <w:left w:val="single" w:color="auto" w:sz="4" w:space="0"/>
              <w:right w:val="single" w:color="auto" w:sz="4" w:space="0"/>
            </w:tcBorders>
            <w:vAlign w:val="center"/>
          </w:tcPr>
          <w:p w14:paraId="3870F34C">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资质</w:t>
            </w:r>
          </w:p>
        </w:tc>
        <w:tc>
          <w:tcPr>
            <w:tcW w:w="4960" w:type="dxa"/>
            <w:tcBorders>
              <w:top w:val="single" w:color="auto" w:sz="4" w:space="0"/>
              <w:left w:val="single" w:color="auto" w:sz="4" w:space="0"/>
              <w:right w:val="single" w:color="auto" w:sz="4" w:space="0"/>
            </w:tcBorders>
            <w:vAlign w:val="center"/>
          </w:tcPr>
          <w:p w14:paraId="60326E1E">
            <w:pPr>
              <w:spacing w:line="360" w:lineRule="auto"/>
              <w:jc w:val="left"/>
              <w:rPr>
                <w:rFonts w:hint="eastAsia" w:ascii="宋体" w:hAnsi="宋体" w:cs="宋体"/>
                <w:color w:val="auto"/>
                <w:sz w:val="24"/>
                <w:highlight w:val="none"/>
              </w:rPr>
            </w:pPr>
            <w:r>
              <w:rPr>
                <w:rFonts w:hint="eastAsia" w:ascii="宋体" w:hAnsi="宋体" w:cs="宋体"/>
                <w:color w:val="auto"/>
                <w:sz w:val="24"/>
                <w:highlight w:val="none"/>
              </w:rPr>
              <w:t>供应商须同时具备相关</w:t>
            </w:r>
            <w:r>
              <w:rPr>
                <w:rFonts w:hint="eastAsia" w:ascii="宋体" w:hAnsi="宋体" w:cs="宋体"/>
                <w:color w:val="auto"/>
                <w:sz w:val="24"/>
                <w:highlight w:val="none"/>
                <w:lang w:eastAsia="zh-CN"/>
              </w:rPr>
              <w:t>行政主管部门颁发的地质灾害评估和治理工程勘查设计甲级资质</w:t>
            </w:r>
            <w:r>
              <w:rPr>
                <w:rFonts w:hint="eastAsia" w:ascii="宋体" w:hAnsi="宋体" w:cs="宋体"/>
                <w:color w:val="auto"/>
                <w:sz w:val="24"/>
                <w:highlight w:val="none"/>
              </w:rPr>
              <w:t>；</w:t>
            </w:r>
          </w:p>
        </w:tc>
      </w:tr>
      <w:tr w14:paraId="49F6B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jc w:val="center"/>
        </w:trPr>
        <w:tc>
          <w:tcPr>
            <w:tcW w:w="816" w:type="dxa"/>
            <w:vMerge w:val="continue"/>
            <w:tcBorders>
              <w:left w:val="single" w:color="auto" w:sz="4" w:space="0"/>
              <w:right w:val="single" w:color="auto" w:sz="4" w:space="0"/>
            </w:tcBorders>
            <w:vAlign w:val="center"/>
          </w:tcPr>
          <w:p w14:paraId="5C1D2EBF">
            <w:pPr>
              <w:spacing w:line="360" w:lineRule="auto"/>
              <w:jc w:val="center"/>
              <w:rPr>
                <w:rFonts w:ascii="宋体" w:hAnsi="宋体" w:cs="宋体"/>
                <w:bCs/>
                <w:color w:val="auto"/>
                <w:sz w:val="24"/>
                <w:highlight w:val="none"/>
              </w:rPr>
            </w:pPr>
          </w:p>
        </w:tc>
        <w:tc>
          <w:tcPr>
            <w:tcW w:w="1007" w:type="dxa"/>
            <w:vMerge w:val="continue"/>
            <w:tcBorders>
              <w:left w:val="single" w:color="auto" w:sz="4" w:space="0"/>
              <w:right w:val="single" w:color="auto" w:sz="4" w:space="0"/>
            </w:tcBorders>
            <w:vAlign w:val="center"/>
          </w:tcPr>
          <w:p w14:paraId="66974D6B">
            <w:pPr>
              <w:spacing w:line="360" w:lineRule="auto"/>
              <w:jc w:val="center"/>
              <w:rPr>
                <w:rFonts w:ascii="宋体" w:hAnsi="宋体" w:cs="宋体"/>
                <w:color w:val="auto"/>
                <w:sz w:val="24"/>
                <w:highlight w:val="none"/>
              </w:rPr>
            </w:pPr>
          </w:p>
        </w:tc>
        <w:tc>
          <w:tcPr>
            <w:tcW w:w="2554" w:type="dxa"/>
            <w:tcBorders>
              <w:top w:val="single" w:color="auto" w:sz="4" w:space="0"/>
              <w:left w:val="single" w:color="auto" w:sz="4" w:space="0"/>
              <w:right w:val="single" w:color="auto" w:sz="4" w:space="0"/>
            </w:tcBorders>
            <w:vAlign w:val="center"/>
          </w:tcPr>
          <w:p w14:paraId="5582019F">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项目负责人</w:t>
            </w:r>
          </w:p>
        </w:tc>
        <w:tc>
          <w:tcPr>
            <w:tcW w:w="4960" w:type="dxa"/>
            <w:tcBorders>
              <w:top w:val="single" w:color="auto" w:sz="4" w:space="0"/>
              <w:left w:val="single" w:color="auto" w:sz="4" w:space="0"/>
              <w:right w:val="single" w:color="auto" w:sz="4" w:space="0"/>
            </w:tcBorders>
            <w:vAlign w:val="center"/>
          </w:tcPr>
          <w:p w14:paraId="77852559">
            <w:pPr>
              <w:spacing w:line="360" w:lineRule="auto"/>
              <w:jc w:val="left"/>
              <w:rPr>
                <w:rFonts w:hint="eastAsia" w:ascii="宋体" w:hAnsi="宋体" w:cs="宋体"/>
                <w:color w:val="auto"/>
                <w:sz w:val="24"/>
                <w:highlight w:val="none"/>
              </w:rPr>
            </w:pPr>
            <w:bookmarkStart w:id="325" w:name="_Hlk234401100"/>
            <w:r>
              <w:rPr>
                <w:rFonts w:hint="eastAsia" w:ascii="宋体" w:hAnsi="宋体" w:cs="宋体"/>
                <w:color w:val="auto"/>
                <w:sz w:val="24"/>
                <w:highlight w:val="none"/>
                <w:lang w:val="zh-CN"/>
              </w:rPr>
              <w:t>项目负责人须具有地质类（水工环、测绘、岩土工程）或相关专业高级及以上职称，并提供近期社保证明；</w:t>
            </w:r>
            <w:bookmarkEnd w:id="325"/>
          </w:p>
        </w:tc>
      </w:tr>
      <w:tr w14:paraId="5500F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jc w:val="center"/>
        </w:trPr>
        <w:tc>
          <w:tcPr>
            <w:tcW w:w="816" w:type="dxa"/>
            <w:vMerge w:val="continue"/>
            <w:tcBorders>
              <w:left w:val="single" w:color="auto" w:sz="4" w:space="0"/>
              <w:right w:val="single" w:color="auto" w:sz="4" w:space="0"/>
            </w:tcBorders>
            <w:vAlign w:val="center"/>
          </w:tcPr>
          <w:p w14:paraId="19353CD5">
            <w:pPr>
              <w:spacing w:line="360" w:lineRule="auto"/>
              <w:jc w:val="center"/>
              <w:rPr>
                <w:rFonts w:ascii="宋体" w:hAnsi="宋体" w:cs="宋体"/>
                <w:bCs/>
                <w:color w:val="auto"/>
                <w:sz w:val="24"/>
                <w:highlight w:val="none"/>
              </w:rPr>
            </w:pPr>
          </w:p>
        </w:tc>
        <w:tc>
          <w:tcPr>
            <w:tcW w:w="1007" w:type="dxa"/>
            <w:vMerge w:val="continue"/>
            <w:tcBorders>
              <w:left w:val="single" w:color="auto" w:sz="4" w:space="0"/>
              <w:right w:val="single" w:color="auto" w:sz="4" w:space="0"/>
            </w:tcBorders>
            <w:vAlign w:val="center"/>
          </w:tcPr>
          <w:p w14:paraId="2A6B78DE">
            <w:pPr>
              <w:spacing w:line="360" w:lineRule="auto"/>
              <w:jc w:val="center"/>
              <w:rPr>
                <w:rFonts w:ascii="宋体" w:hAnsi="宋体" w:cs="宋体"/>
                <w:color w:val="auto"/>
                <w:sz w:val="24"/>
                <w:highlight w:val="none"/>
              </w:rPr>
            </w:pPr>
          </w:p>
        </w:tc>
        <w:tc>
          <w:tcPr>
            <w:tcW w:w="2554" w:type="dxa"/>
            <w:tcBorders>
              <w:top w:val="single" w:color="auto" w:sz="4" w:space="0"/>
              <w:left w:val="single" w:color="auto" w:sz="4" w:space="0"/>
              <w:right w:val="single" w:color="auto" w:sz="4" w:space="0"/>
            </w:tcBorders>
            <w:vAlign w:val="center"/>
          </w:tcPr>
          <w:p w14:paraId="7808AD0B">
            <w:pPr>
              <w:jc w:val="center"/>
              <w:rPr>
                <w:rFonts w:ascii="宋体" w:hAnsi="宋体" w:cs="宋体"/>
                <w:color w:val="auto"/>
                <w:sz w:val="24"/>
                <w:highlight w:val="none"/>
              </w:rPr>
            </w:pPr>
            <w:r>
              <w:rPr>
                <w:rFonts w:hint="eastAsia" w:ascii="宋体" w:hAnsi="宋体" w:cs="宋体"/>
                <w:color w:val="auto"/>
                <w:sz w:val="24"/>
                <w:highlight w:val="none"/>
              </w:rPr>
              <w:t>本单位无商业贿赂和不正当竞争行为</w:t>
            </w:r>
          </w:p>
        </w:tc>
        <w:tc>
          <w:tcPr>
            <w:tcW w:w="4960" w:type="dxa"/>
            <w:tcBorders>
              <w:top w:val="single" w:color="auto" w:sz="4" w:space="0"/>
              <w:left w:val="single" w:color="auto" w:sz="4" w:space="0"/>
              <w:right w:val="single" w:color="auto" w:sz="4" w:space="0"/>
            </w:tcBorders>
            <w:vAlign w:val="center"/>
          </w:tcPr>
          <w:p w14:paraId="7FE37B60">
            <w:pPr>
              <w:spacing w:line="360" w:lineRule="auto"/>
              <w:rPr>
                <w:rFonts w:ascii="宋体" w:hAnsi="宋体" w:cs="宋体"/>
                <w:color w:val="auto"/>
                <w:sz w:val="24"/>
                <w:highlight w:val="none"/>
              </w:rPr>
            </w:pPr>
            <w:r>
              <w:rPr>
                <w:rFonts w:hint="eastAsia" w:ascii="宋体" w:hAnsi="宋体" w:cs="宋体"/>
                <w:color w:val="auto"/>
                <w:sz w:val="24"/>
                <w:highlight w:val="none"/>
              </w:rPr>
              <w:t>供应商须提供本单位无商业贿赂和不正当竞争行为承诺书；</w:t>
            </w:r>
          </w:p>
        </w:tc>
      </w:tr>
      <w:tr w14:paraId="3B617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jc w:val="center"/>
        </w:trPr>
        <w:tc>
          <w:tcPr>
            <w:tcW w:w="816" w:type="dxa"/>
            <w:vMerge w:val="continue"/>
            <w:tcBorders>
              <w:left w:val="single" w:color="auto" w:sz="4" w:space="0"/>
              <w:right w:val="single" w:color="auto" w:sz="4" w:space="0"/>
            </w:tcBorders>
            <w:vAlign w:val="center"/>
          </w:tcPr>
          <w:p w14:paraId="2261FA92">
            <w:pPr>
              <w:spacing w:line="360" w:lineRule="auto"/>
              <w:jc w:val="center"/>
              <w:rPr>
                <w:rFonts w:ascii="宋体" w:hAnsi="宋体" w:cs="宋体"/>
                <w:bCs/>
                <w:color w:val="auto"/>
                <w:sz w:val="24"/>
                <w:highlight w:val="none"/>
              </w:rPr>
            </w:pPr>
          </w:p>
        </w:tc>
        <w:tc>
          <w:tcPr>
            <w:tcW w:w="1007" w:type="dxa"/>
            <w:vMerge w:val="continue"/>
            <w:tcBorders>
              <w:left w:val="single" w:color="auto" w:sz="4" w:space="0"/>
              <w:right w:val="single" w:color="auto" w:sz="4" w:space="0"/>
            </w:tcBorders>
            <w:vAlign w:val="center"/>
          </w:tcPr>
          <w:p w14:paraId="23D67521">
            <w:pPr>
              <w:spacing w:line="360" w:lineRule="auto"/>
              <w:jc w:val="center"/>
              <w:rPr>
                <w:rFonts w:ascii="宋体" w:hAnsi="宋体" w:cs="宋体"/>
                <w:color w:val="auto"/>
                <w:sz w:val="24"/>
                <w:highlight w:val="none"/>
              </w:rPr>
            </w:pPr>
          </w:p>
        </w:tc>
        <w:tc>
          <w:tcPr>
            <w:tcW w:w="2554" w:type="dxa"/>
            <w:tcBorders>
              <w:top w:val="single" w:color="auto" w:sz="4" w:space="0"/>
              <w:left w:val="single" w:color="auto" w:sz="4" w:space="0"/>
              <w:right w:val="single" w:color="auto" w:sz="4" w:space="0"/>
            </w:tcBorders>
            <w:vAlign w:val="center"/>
          </w:tcPr>
          <w:p w14:paraId="75582E67">
            <w:pPr>
              <w:jc w:val="center"/>
              <w:rPr>
                <w:rFonts w:ascii="宋体" w:hAnsi="宋体" w:cs="宋体"/>
                <w:color w:val="auto"/>
                <w:sz w:val="24"/>
                <w:highlight w:val="none"/>
              </w:rPr>
            </w:pPr>
            <w:r>
              <w:rPr>
                <w:rFonts w:hint="eastAsia" w:ascii="宋体" w:hAnsi="宋体" w:cs="宋体"/>
                <w:color w:val="auto"/>
                <w:sz w:val="24"/>
                <w:highlight w:val="none"/>
                <w:lang w:val="zh-CN" w:bidi="zh-CN"/>
              </w:rPr>
              <w:t>具有履行合同所必需的设备和专业技术能力</w:t>
            </w:r>
          </w:p>
        </w:tc>
        <w:tc>
          <w:tcPr>
            <w:tcW w:w="4960" w:type="dxa"/>
            <w:tcBorders>
              <w:top w:val="single" w:color="auto" w:sz="4" w:space="0"/>
              <w:left w:val="single" w:color="auto" w:sz="4" w:space="0"/>
              <w:right w:val="single" w:color="auto" w:sz="4" w:space="0"/>
            </w:tcBorders>
            <w:vAlign w:val="center"/>
          </w:tcPr>
          <w:p w14:paraId="52F92731">
            <w:pPr>
              <w:spacing w:line="360" w:lineRule="auto"/>
              <w:rPr>
                <w:rFonts w:ascii="宋体" w:hAnsi="宋体" w:cs="宋体"/>
                <w:color w:val="auto"/>
                <w:sz w:val="24"/>
                <w:highlight w:val="none"/>
              </w:rPr>
            </w:pPr>
            <w:r>
              <w:rPr>
                <w:rFonts w:hint="eastAsia" w:ascii="宋体" w:hAnsi="宋体" w:cs="宋体"/>
                <w:color w:val="auto"/>
                <w:sz w:val="24"/>
                <w:highlight w:val="none"/>
                <w:lang w:val="zh-CN" w:bidi="zh-CN"/>
              </w:rPr>
              <w:t>具有履行合同所必需的设备和专业技术能力（自行承诺，格式自拟）；</w:t>
            </w:r>
          </w:p>
        </w:tc>
      </w:tr>
      <w:tr w14:paraId="0D07A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jc w:val="center"/>
        </w:trPr>
        <w:tc>
          <w:tcPr>
            <w:tcW w:w="816" w:type="dxa"/>
            <w:vMerge w:val="continue"/>
            <w:tcBorders>
              <w:left w:val="single" w:color="auto" w:sz="4" w:space="0"/>
              <w:right w:val="single" w:color="auto" w:sz="4" w:space="0"/>
            </w:tcBorders>
            <w:vAlign w:val="center"/>
          </w:tcPr>
          <w:p w14:paraId="24A1296B">
            <w:pPr>
              <w:spacing w:line="360" w:lineRule="auto"/>
              <w:jc w:val="center"/>
              <w:rPr>
                <w:rFonts w:ascii="宋体" w:hAnsi="宋体" w:cs="宋体"/>
                <w:bCs/>
                <w:color w:val="auto"/>
                <w:sz w:val="24"/>
                <w:highlight w:val="none"/>
              </w:rPr>
            </w:pPr>
          </w:p>
        </w:tc>
        <w:tc>
          <w:tcPr>
            <w:tcW w:w="1007" w:type="dxa"/>
            <w:vMerge w:val="continue"/>
            <w:tcBorders>
              <w:left w:val="single" w:color="auto" w:sz="4" w:space="0"/>
              <w:right w:val="single" w:color="auto" w:sz="4" w:space="0"/>
            </w:tcBorders>
            <w:vAlign w:val="center"/>
          </w:tcPr>
          <w:p w14:paraId="55BEC3F6">
            <w:pPr>
              <w:spacing w:line="360" w:lineRule="auto"/>
              <w:jc w:val="center"/>
              <w:rPr>
                <w:rFonts w:ascii="宋体" w:hAnsi="宋体" w:cs="宋体"/>
                <w:color w:val="auto"/>
                <w:sz w:val="24"/>
                <w:highlight w:val="none"/>
              </w:rPr>
            </w:pPr>
          </w:p>
        </w:tc>
        <w:tc>
          <w:tcPr>
            <w:tcW w:w="2554" w:type="dxa"/>
            <w:tcBorders>
              <w:top w:val="single" w:color="auto" w:sz="4" w:space="0"/>
              <w:left w:val="single" w:color="auto" w:sz="4" w:space="0"/>
              <w:right w:val="single" w:color="auto" w:sz="4" w:space="0"/>
            </w:tcBorders>
            <w:vAlign w:val="center"/>
          </w:tcPr>
          <w:p w14:paraId="1270A942">
            <w:pPr>
              <w:jc w:val="center"/>
              <w:rPr>
                <w:rFonts w:ascii="宋体" w:hAnsi="宋体" w:cs="宋体"/>
                <w:color w:val="auto"/>
                <w:sz w:val="24"/>
                <w:highlight w:val="none"/>
              </w:rPr>
            </w:pPr>
            <w:r>
              <w:rPr>
                <w:rFonts w:hint="eastAsia" w:ascii="宋体" w:hAnsi="宋体" w:cs="宋体"/>
                <w:color w:val="auto"/>
                <w:sz w:val="24"/>
                <w:highlight w:val="none"/>
                <w:lang w:val="zh-CN" w:bidi="zh-CN"/>
              </w:rPr>
              <w:t>没有重大违法记录</w:t>
            </w:r>
          </w:p>
        </w:tc>
        <w:tc>
          <w:tcPr>
            <w:tcW w:w="4960" w:type="dxa"/>
            <w:tcBorders>
              <w:top w:val="single" w:color="auto" w:sz="4" w:space="0"/>
              <w:left w:val="single" w:color="auto" w:sz="4" w:space="0"/>
              <w:right w:val="single" w:color="auto" w:sz="4" w:space="0"/>
            </w:tcBorders>
            <w:vAlign w:val="center"/>
          </w:tcPr>
          <w:p w14:paraId="071A0A3E">
            <w:pPr>
              <w:pStyle w:val="3"/>
              <w:autoSpaceDE w:val="0"/>
              <w:autoSpaceDN w:val="0"/>
              <w:spacing w:after="0" w:line="360" w:lineRule="auto"/>
              <w:jc w:val="left"/>
              <w:rPr>
                <w:rFonts w:ascii="宋体" w:hAnsi="宋体" w:cs="宋体"/>
                <w:color w:val="auto"/>
                <w:sz w:val="24"/>
                <w:highlight w:val="none"/>
              </w:rPr>
            </w:pPr>
            <w:r>
              <w:rPr>
                <w:rFonts w:hint="eastAsia" w:ascii="宋体" w:hAnsi="宋体" w:cs="宋体"/>
                <w:color w:val="auto"/>
                <w:sz w:val="24"/>
                <w:highlight w:val="none"/>
                <w:lang w:val="zh-CN" w:bidi="zh-CN"/>
              </w:rPr>
              <w:t>参加政府采购活动前三年，在经营活动中没有重大违法记录（提供参加政府采购活动前三年没有重大违法记录的书面声明，格式自拟）；</w:t>
            </w:r>
          </w:p>
        </w:tc>
      </w:tr>
      <w:tr w14:paraId="09A90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16" w:type="dxa"/>
            <w:vMerge w:val="continue"/>
            <w:tcBorders>
              <w:left w:val="single" w:color="auto" w:sz="4" w:space="0"/>
              <w:right w:val="single" w:color="auto" w:sz="4" w:space="0"/>
            </w:tcBorders>
            <w:vAlign w:val="center"/>
          </w:tcPr>
          <w:p w14:paraId="79C583D5">
            <w:pPr>
              <w:spacing w:line="360" w:lineRule="auto"/>
              <w:jc w:val="center"/>
              <w:rPr>
                <w:rFonts w:ascii="宋体" w:hAnsi="宋体" w:cs="宋体"/>
                <w:bCs/>
                <w:color w:val="auto"/>
                <w:sz w:val="24"/>
                <w:highlight w:val="none"/>
              </w:rPr>
            </w:pPr>
          </w:p>
        </w:tc>
        <w:tc>
          <w:tcPr>
            <w:tcW w:w="1007" w:type="dxa"/>
            <w:vMerge w:val="continue"/>
            <w:tcBorders>
              <w:left w:val="single" w:color="auto" w:sz="4" w:space="0"/>
              <w:right w:val="single" w:color="auto" w:sz="4" w:space="0"/>
            </w:tcBorders>
            <w:vAlign w:val="center"/>
          </w:tcPr>
          <w:p w14:paraId="295F6F2D">
            <w:pPr>
              <w:spacing w:line="360" w:lineRule="auto"/>
              <w:jc w:val="center"/>
              <w:rPr>
                <w:rFonts w:ascii="宋体" w:hAnsi="宋体" w:cs="宋体"/>
                <w:color w:val="auto"/>
                <w:sz w:val="24"/>
                <w:highlight w:val="none"/>
              </w:rPr>
            </w:pPr>
          </w:p>
        </w:tc>
        <w:tc>
          <w:tcPr>
            <w:tcW w:w="2554" w:type="dxa"/>
            <w:tcBorders>
              <w:top w:val="single" w:color="auto" w:sz="4" w:space="0"/>
              <w:left w:val="single" w:color="auto" w:sz="4" w:space="0"/>
              <w:right w:val="single" w:color="auto" w:sz="4" w:space="0"/>
            </w:tcBorders>
            <w:vAlign w:val="center"/>
          </w:tcPr>
          <w:p w14:paraId="4D38E14C">
            <w:pPr>
              <w:jc w:val="center"/>
              <w:rPr>
                <w:rFonts w:ascii="宋体" w:hAnsi="宋体" w:cs="宋体"/>
                <w:color w:val="auto"/>
                <w:sz w:val="24"/>
                <w:highlight w:val="none"/>
              </w:rPr>
            </w:pPr>
            <w:r>
              <w:rPr>
                <w:rFonts w:hint="eastAsia" w:ascii="宋体" w:hAnsi="宋体" w:cs="宋体"/>
                <w:color w:val="auto"/>
                <w:sz w:val="24"/>
                <w:highlight w:val="none"/>
              </w:rPr>
              <w:t>信用查询</w:t>
            </w:r>
          </w:p>
        </w:tc>
        <w:tc>
          <w:tcPr>
            <w:tcW w:w="4960" w:type="dxa"/>
            <w:tcBorders>
              <w:top w:val="single" w:color="auto" w:sz="4" w:space="0"/>
              <w:left w:val="single" w:color="auto" w:sz="4" w:space="0"/>
              <w:right w:val="single" w:color="auto" w:sz="4" w:space="0"/>
            </w:tcBorders>
            <w:vAlign w:val="center"/>
          </w:tcPr>
          <w:p w14:paraId="1A27F32F">
            <w:pPr>
              <w:spacing w:line="360" w:lineRule="auto"/>
              <w:rPr>
                <w:rFonts w:ascii="宋体" w:hAnsi="宋体" w:cs="宋体"/>
                <w:color w:val="auto"/>
                <w:sz w:val="24"/>
                <w:highlight w:val="none"/>
              </w:rPr>
            </w:pPr>
            <w:r>
              <w:rPr>
                <w:rFonts w:hint="eastAsia" w:ascii="宋体" w:hAnsi="宋体" w:cs="宋体"/>
                <w:color w:val="auto"/>
                <w:sz w:val="24"/>
                <w:highlight w:val="none"/>
              </w:rPr>
              <w:t>根据《关于在政府采购活动中查询及使用信用记录有关问题的通知》(财库[2016]125号)和豫财购【2016】15号的规定，供应商没有被列入“信用中国”网站的“失信被执行人（跳转中国执行信息公开网）”和“重大税收违法失信主体”及“中国政府采购网”网站的“政府采购严重违法失信行为记录名单”，查询渠道： “中国执行信息公开网”网站（http://zxgk.court.gov.cn/shixin）“信用中国”网站（www.creditchina.gov.cn）、中国政府采购网（www.ccgp.gov.cn），提供网站的查询结果截图，截图要显示查询时间，查询时间自本公告发布之日起；</w:t>
            </w:r>
          </w:p>
        </w:tc>
      </w:tr>
      <w:tr w14:paraId="541A1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16" w:type="dxa"/>
            <w:vMerge w:val="continue"/>
            <w:tcBorders>
              <w:left w:val="single" w:color="auto" w:sz="4" w:space="0"/>
              <w:right w:val="single" w:color="auto" w:sz="4" w:space="0"/>
            </w:tcBorders>
            <w:vAlign w:val="center"/>
          </w:tcPr>
          <w:p w14:paraId="353DF8C6">
            <w:pPr>
              <w:spacing w:line="360" w:lineRule="auto"/>
              <w:jc w:val="center"/>
              <w:rPr>
                <w:rFonts w:ascii="宋体" w:hAnsi="宋体" w:cs="宋体"/>
                <w:bCs/>
                <w:color w:val="auto"/>
                <w:sz w:val="24"/>
                <w:highlight w:val="none"/>
              </w:rPr>
            </w:pPr>
          </w:p>
        </w:tc>
        <w:tc>
          <w:tcPr>
            <w:tcW w:w="1007" w:type="dxa"/>
            <w:vMerge w:val="continue"/>
            <w:tcBorders>
              <w:left w:val="single" w:color="auto" w:sz="4" w:space="0"/>
              <w:right w:val="single" w:color="auto" w:sz="4" w:space="0"/>
            </w:tcBorders>
            <w:vAlign w:val="center"/>
          </w:tcPr>
          <w:p w14:paraId="257D942E">
            <w:pPr>
              <w:spacing w:line="360" w:lineRule="auto"/>
              <w:jc w:val="center"/>
              <w:rPr>
                <w:rFonts w:ascii="宋体" w:hAnsi="宋体" w:cs="宋体"/>
                <w:color w:val="auto"/>
                <w:sz w:val="24"/>
                <w:highlight w:val="none"/>
              </w:rPr>
            </w:pPr>
          </w:p>
        </w:tc>
        <w:tc>
          <w:tcPr>
            <w:tcW w:w="2554" w:type="dxa"/>
            <w:tcBorders>
              <w:top w:val="single" w:color="auto" w:sz="4" w:space="0"/>
              <w:left w:val="single" w:color="auto" w:sz="4" w:space="0"/>
              <w:right w:val="single" w:color="auto" w:sz="4" w:space="0"/>
            </w:tcBorders>
            <w:vAlign w:val="center"/>
          </w:tcPr>
          <w:p w14:paraId="5DAA70CA">
            <w:pPr>
              <w:jc w:val="center"/>
              <w:rPr>
                <w:rFonts w:ascii="宋体" w:hAnsi="宋体" w:cs="宋体"/>
                <w:color w:val="auto"/>
                <w:sz w:val="24"/>
                <w:highlight w:val="none"/>
              </w:rPr>
            </w:pPr>
            <w:r>
              <w:rPr>
                <w:rFonts w:hint="eastAsia" w:ascii="宋体" w:hAnsi="宋体" w:cs="宋体"/>
                <w:color w:val="auto"/>
                <w:sz w:val="24"/>
                <w:highlight w:val="none"/>
              </w:rPr>
              <w:t>单位负责人为同一人或者存在直接控股、管理关系的不同供应商，不得参加同一合同项下的政府采购活动</w:t>
            </w:r>
          </w:p>
        </w:tc>
        <w:tc>
          <w:tcPr>
            <w:tcW w:w="4960" w:type="dxa"/>
            <w:tcBorders>
              <w:top w:val="single" w:color="auto" w:sz="4" w:space="0"/>
              <w:left w:val="single" w:color="auto" w:sz="4" w:space="0"/>
              <w:right w:val="single" w:color="auto" w:sz="4" w:space="0"/>
            </w:tcBorders>
            <w:vAlign w:val="center"/>
          </w:tcPr>
          <w:p w14:paraId="6EB5EB8B">
            <w:pPr>
              <w:spacing w:line="360" w:lineRule="auto"/>
              <w:rPr>
                <w:rFonts w:ascii="宋体" w:hAnsi="宋体" w:cs="宋体"/>
                <w:color w:val="auto"/>
                <w:sz w:val="24"/>
                <w:highlight w:val="none"/>
              </w:rPr>
            </w:pPr>
            <w:r>
              <w:rPr>
                <w:rFonts w:hint="eastAsia" w:ascii="宋体" w:hAnsi="宋体" w:cs="宋体"/>
                <w:color w:val="auto"/>
                <w:sz w:val="24"/>
                <w:highlight w:val="none"/>
              </w:rPr>
              <w:t>单位负责人为同一人或者存在直接控股、管理关系的不同供应商，不得参加同一合同项下的采购活动；（提供“国家企业信用信息公示系统”中查询打印的相关信息并加盖公章（查询信息需包含公司基本信息、股东信息及股权变更信息等相关信息，查询日期为本项目公告发布之后）；</w:t>
            </w:r>
          </w:p>
        </w:tc>
      </w:tr>
      <w:tr w14:paraId="05334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9" w:hRule="atLeast"/>
          <w:jc w:val="center"/>
        </w:trPr>
        <w:tc>
          <w:tcPr>
            <w:tcW w:w="816" w:type="dxa"/>
            <w:vMerge w:val="continue"/>
            <w:tcBorders>
              <w:left w:val="single" w:color="auto" w:sz="4" w:space="0"/>
              <w:right w:val="single" w:color="auto" w:sz="4" w:space="0"/>
            </w:tcBorders>
            <w:vAlign w:val="center"/>
          </w:tcPr>
          <w:p w14:paraId="0910B04D">
            <w:pPr>
              <w:spacing w:line="360" w:lineRule="auto"/>
              <w:jc w:val="center"/>
              <w:rPr>
                <w:rFonts w:ascii="宋体" w:hAnsi="宋体" w:cs="宋体"/>
                <w:bCs/>
                <w:color w:val="auto"/>
                <w:sz w:val="24"/>
                <w:highlight w:val="none"/>
              </w:rPr>
            </w:pPr>
          </w:p>
        </w:tc>
        <w:tc>
          <w:tcPr>
            <w:tcW w:w="1007" w:type="dxa"/>
            <w:vMerge w:val="continue"/>
            <w:tcBorders>
              <w:left w:val="single" w:color="auto" w:sz="4" w:space="0"/>
              <w:right w:val="single" w:color="auto" w:sz="4" w:space="0"/>
            </w:tcBorders>
            <w:vAlign w:val="center"/>
          </w:tcPr>
          <w:p w14:paraId="60483C5C">
            <w:pPr>
              <w:spacing w:line="360" w:lineRule="auto"/>
              <w:jc w:val="center"/>
              <w:rPr>
                <w:rFonts w:ascii="宋体" w:hAnsi="宋体" w:cs="宋体"/>
                <w:color w:val="auto"/>
                <w:sz w:val="24"/>
                <w:highlight w:val="none"/>
              </w:rPr>
            </w:pPr>
          </w:p>
        </w:tc>
        <w:tc>
          <w:tcPr>
            <w:tcW w:w="2554" w:type="dxa"/>
            <w:tcBorders>
              <w:top w:val="single" w:color="auto" w:sz="4" w:space="0"/>
              <w:left w:val="single" w:color="auto" w:sz="4" w:space="0"/>
              <w:right w:val="single" w:color="auto" w:sz="4" w:space="0"/>
            </w:tcBorders>
            <w:vAlign w:val="center"/>
          </w:tcPr>
          <w:p w14:paraId="4E406CB6">
            <w:pPr>
              <w:jc w:val="center"/>
              <w:rPr>
                <w:rFonts w:ascii="宋体" w:hAnsi="宋体" w:cs="宋体"/>
                <w:color w:val="auto"/>
                <w:sz w:val="24"/>
                <w:highlight w:val="none"/>
              </w:rPr>
            </w:pPr>
            <w:r>
              <w:rPr>
                <w:rFonts w:hint="eastAsia" w:ascii="宋体" w:hAnsi="宋体" w:cs="宋体"/>
                <w:color w:val="auto"/>
                <w:sz w:val="24"/>
                <w:highlight w:val="none"/>
              </w:rPr>
              <w:t>本项目不接受联合体投标</w:t>
            </w:r>
          </w:p>
        </w:tc>
        <w:tc>
          <w:tcPr>
            <w:tcW w:w="4960" w:type="dxa"/>
            <w:tcBorders>
              <w:top w:val="single" w:color="auto" w:sz="4" w:space="0"/>
              <w:left w:val="single" w:color="auto" w:sz="4" w:space="0"/>
              <w:right w:val="single" w:color="auto" w:sz="4" w:space="0"/>
            </w:tcBorders>
            <w:vAlign w:val="center"/>
          </w:tcPr>
          <w:p w14:paraId="18977369">
            <w:pPr>
              <w:spacing w:line="360" w:lineRule="auto"/>
              <w:rPr>
                <w:rFonts w:ascii="宋体" w:hAnsi="宋体" w:cs="宋体"/>
                <w:color w:val="auto"/>
                <w:sz w:val="24"/>
                <w:highlight w:val="none"/>
              </w:rPr>
            </w:pPr>
            <w:r>
              <w:rPr>
                <w:rFonts w:hint="eastAsia" w:ascii="宋体" w:hAnsi="宋体" w:cs="宋体"/>
                <w:color w:val="auto"/>
                <w:sz w:val="24"/>
                <w:highlight w:val="none"/>
              </w:rPr>
              <w:t>本项目不接受联合体投标。提供非联合体承诺，格式自拟。</w:t>
            </w:r>
          </w:p>
        </w:tc>
      </w:tr>
      <w:tr w14:paraId="60367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9" w:hRule="atLeast"/>
          <w:jc w:val="center"/>
        </w:trPr>
        <w:tc>
          <w:tcPr>
            <w:tcW w:w="9337" w:type="dxa"/>
            <w:gridSpan w:val="4"/>
            <w:tcBorders>
              <w:left w:val="single" w:color="auto" w:sz="4" w:space="0"/>
              <w:right w:val="single" w:color="auto" w:sz="4" w:space="0"/>
            </w:tcBorders>
            <w:vAlign w:val="center"/>
          </w:tcPr>
          <w:p w14:paraId="1C721904">
            <w:pPr>
              <w:tabs>
                <w:tab w:val="left" w:pos="1868"/>
              </w:tabs>
              <w:jc w:val="left"/>
              <w:rPr>
                <w:rFonts w:ascii="宋体" w:hAnsi="宋体" w:cs="宋体"/>
                <w:color w:val="auto"/>
                <w:sz w:val="24"/>
                <w:highlight w:val="none"/>
              </w:rPr>
            </w:pPr>
            <w:r>
              <w:rPr>
                <w:rFonts w:hint="eastAsia" w:ascii="宋体" w:hAnsi="宋体" w:cs="宋体"/>
                <w:color w:val="auto"/>
                <w:sz w:val="24"/>
                <w:highlight w:val="none"/>
              </w:rPr>
              <w:t>资格评审以响应文件为准，其上传资料真实性由供应商自行承担。</w:t>
            </w:r>
          </w:p>
        </w:tc>
      </w:tr>
      <w:tr w14:paraId="07944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816" w:type="dxa"/>
            <w:vMerge w:val="restart"/>
            <w:tcBorders>
              <w:top w:val="single" w:color="auto" w:sz="4" w:space="0"/>
              <w:left w:val="single" w:color="auto" w:sz="4" w:space="0"/>
              <w:right w:val="single" w:color="auto" w:sz="4" w:space="0"/>
            </w:tcBorders>
            <w:vAlign w:val="center"/>
          </w:tcPr>
          <w:p w14:paraId="25AD4737">
            <w:pPr>
              <w:spacing w:line="360" w:lineRule="auto"/>
              <w:jc w:val="center"/>
              <w:rPr>
                <w:rFonts w:ascii="宋体" w:hAnsi="宋体" w:cs="宋体"/>
                <w:color w:val="auto"/>
                <w:sz w:val="24"/>
                <w:highlight w:val="none"/>
              </w:rPr>
            </w:pPr>
            <w:r>
              <w:rPr>
                <w:rFonts w:hint="eastAsia" w:ascii="宋体" w:hAnsi="宋体" w:cs="宋体"/>
                <w:color w:val="auto"/>
                <w:sz w:val="24"/>
                <w:highlight w:val="none"/>
              </w:rPr>
              <w:t>2.1.2</w:t>
            </w:r>
          </w:p>
        </w:tc>
        <w:tc>
          <w:tcPr>
            <w:tcW w:w="1007" w:type="dxa"/>
            <w:vMerge w:val="restart"/>
            <w:tcBorders>
              <w:top w:val="single" w:color="auto" w:sz="4" w:space="0"/>
              <w:left w:val="single" w:color="auto" w:sz="4" w:space="0"/>
              <w:right w:val="single" w:color="auto" w:sz="4" w:space="0"/>
            </w:tcBorders>
            <w:vAlign w:val="center"/>
          </w:tcPr>
          <w:p w14:paraId="0391D08A">
            <w:pPr>
              <w:spacing w:line="360" w:lineRule="auto"/>
              <w:jc w:val="center"/>
              <w:rPr>
                <w:rFonts w:ascii="宋体" w:hAnsi="宋体" w:cs="宋体"/>
                <w:color w:val="auto"/>
                <w:sz w:val="24"/>
                <w:highlight w:val="none"/>
              </w:rPr>
            </w:pPr>
            <w:r>
              <w:rPr>
                <w:rFonts w:hint="eastAsia" w:ascii="宋体" w:hAnsi="宋体" w:cs="宋体"/>
                <w:bCs/>
                <w:color w:val="auto"/>
                <w:sz w:val="24"/>
                <w:highlight w:val="none"/>
              </w:rPr>
              <w:t>实质性响应评审标准</w:t>
            </w:r>
          </w:p>
        </w:tc>
        <w:tc>
          <w:tcPr>
            <w:tcW w:w="2554" w:type="dxa"/>
            <w:tcBorders>
              <w:top w:val="single" w:color="auto" w:sz="4" w:space="0"/>
              <w:left w:val="single" w:color="auto" w:sz="4" w:space="0"/>
              <w:right w:val="single" w:color="auto" w:sz="4" w:space="0"/>
            </w:tcBorders>
            <w:vAlign w:val="center"/>
          </w:tcPr>
          <w:p w14:paraId="0BFA0385">
            <w:pPr>
              <w:spacing w:line="720" w:lineRule="auto"/>
              <w:jc w:val="center"/>
              <w:rPr>
                <w:rFonts w:ascii="宋体" w:hAnsi="宋体" w:cs="宋体"/>
                <w:color w:val="auto"/>
                <w:sz w:val="24"/>
                <w:highlight w:val="none"/>
              </w:rPr>
            </w:pPr>
            <w:r>
              <w:rPr>
                <w:rFonts w:hint="eastAsia" w:ascii="宋体" w:hAnsi="宋体" w:cs="宋体"/>
                <w:color w:val="auto"/>
                <w:sz w:val="24"/>
                <w:highlight w:val="none"/>
              </w:rPr>
              <w:t>服务期限</w:t>
            </w:r>
          </w:p>
        </w:tc>
        <w:tc>
          <w:tcPr>
            <w:tcW w:w="4960" w:type="dxa"/>
            <w:tcBorders>
              <w:top w:val="single" w:color="auto" w:sz="4" w:space="0"/>
              <w:left w:val="single" w:color="auto" w:sz="4" w:space="0"/>
              <w:right w:val="single" w:color="auto" w:sz="4" w:space="0"/>
            </w:tcBorders>
            <w:vAlign w:val="center"/>
          </w:tcPr>
          <w:p w14:paraId="1165C070">
            <w:pPr>
              <w:spacing w:line="360" w:lineRule="auto"/>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自签订合同之日起180日历天完成项目服务并提交成果</w:t>
            </w:r>
          </w:p>
        </w:tc>
      </w:tr>
      <w:tr w14:paraId="54A29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816" w:type="dxa"/>
            <w:vMerge w:val="continue"/>
            <w:tcBorders>
              <w:left w:val="single" w:color="auto" w:sz="4" w:space="0"/>
              <w:right w:val="single" w:color="auto" w:sz="4" w:space="0"/>
            </w:tcBorders>
            <w:vAlign w:val="center"/>
          </w:tcPr>
          <w:p w14:paraId="5EA3B41B">
            <w:pPr>
              <w:rPr>
                <w:rFonts w:ascii="宋体" w:hAnsi="宋体" w:cs="宋体"/>
                <w:color w:val="auto"/>
                <w:sz w:val="24"/>
                <w:highlight w:val="none"/>
              </w:rPr>
            </w:pPr>
          </w:p>
        </w:tc>
        <w:tc>
          <w:tcPr>
            <w:tcW w:w="1007" w:type="dxa"/>
            <w:vMerge w:val="continue"/>
            <w:tcBorders>
              <w:left w:val="single" w:color="auto" w:sz="4" w:space="0"/>
              <w:right w:val="single" w:color="auto" w:sz="4" w:space="0"/>
            </w:tcBorders>
            <w:vAlign w:val="center"/>
          </w:tcPr>
          <w:p w14:paraId="4941643F">
            <w:pPr>
              <w:rPr>
                <w:rFonts w:ascii="宋体" w:hAnsi="宋体" w:cs="宋体"/>
                <w:color w:val="auto"/>
                <w:sz w:val="24"/>
                <w:highlight w:val="none"/>
              </w:rPr>
            </w:pPr>
          </w:p>
        </w:tc>
        <w:tc>
          <w:tcPr>
            <w:tcW w:w="2554" w:type="dxa"/>
            <w:tcBorders>
              <w:top w:val="single" w:color="auto" w:sz="4" w:space="0"/>
              <w:left w:val="single" w:color="auto" w:sz="4" w:space="0"/>
              <w:bottom w:val="single" w:color="auto" w:sz="4" w:space="0"/>
              <w:right w:val="single" w:color="auto" w:sz="4" w:space="0"/>
            </w:tcBorders>
            <w:vAlign w:val="center"/>
          </w:tcPr>
          <w:p w14:paraId="6CAFA910">
            <w:pPr>
              <w:spacing w:line="720" w:lineRule="auto"/>
              <w:jc w:val="center"/>
              <w:rPr>
                <w:rFonts w:ascii="宋体" w:hAnsi="宋体" w:cs="宋体"/>
                <w:color w:val="auto"/>
                <w:sz w:val="24"/>
                <w:highlight w:val="none"/>
              </w:rPr>
            </w:pPr>
            <w:r>
              <w:rPr>
                <w:rFonts w:hint="eastAsia" w:ascii="宋体" w:hAnsi="宋体" w:cs="宋体"/>
                <w:color w:val="auto"/>
                <w:sz w:val="24"/>
                <w:highlight w:val="none"/>
              </w:rPr>
              <w:t>质量要求</w:t>
            </w:r>
          </w:p>
        </w:tc>
        <w:tc>
          <w:tcPr>
            <w:tcW w:w="4960" w:type="dxa"/>
            <w:tcBorders>
              <w:top w:val="single" w:color="auto" w:sz="4" w:space="0"/>
              <w:left w:val="single" w:color="auto" w:sz="4" w:space="0"/>
              <w:bottom w:val="single" w:color="auto" w:sz="4" w:space="0"/>
              <w:right w:val="single" w:color="auto" w:sz="4" w:space="0"/>
            </w:tcBorders>
            <w:vAlign w:val="center"/>
          </w:tcPr>
          <w:p w14:paraId="29F5C566">
            <w:pPr>
              <w:spacing w:line="360" w:lineRule="auto"/>
              <w:jc w:val="left"/>
              <w:rPr>
                <w:rFonts w:ascii="宋体" w:hAnsi="宋体" w:cs="宋体"/>
                <w:color w:val="auto"/>
                <w:sz w:val="24"/>
                <w:highlight w:val="none"/>
              </w:rPr>
            </w:pPr>
            <w:r>
              <w:rPr>
                <w:rFonts w:hint="eastAsia" w:ascii="宋体" w:hAnsi="宋体" w:cs="宋体"/>
                <w:color w:val="auto"/>
                <w:sz w:val="24"/>
                <w:highlight w:val="none"/>
              </w:rPr>
              <w:t>符合国家及地方现行有关规范、规定的要求，满足采购人要求；</w:t>
            </w:r>
          </w:p>
        </w:tc>
      </w:tr>
      <w:tr w14:paraId="020D3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816" w:type="dxa"/>
            <w:vMerge w:val="continue"/>
            <w:tcBorders>
              <w:left w:val="single" w:color="auto" w:sz="4" w:space="0"/>
              <w:right w:val="single" w:color="auto" w:sz="4" w:space="0"/>
            </w:tcBorders>
            <w:vAlign w:val="center"/>
          </w:tcPr>
          <w:p w14:paraId="7C0DE136">
            <w:pPr>
              <w:rPr>
                <w:rFonts w:ascii="宋体" w:hAnsi="宋体" w:cs="宋体"/>
                <w:color w:val="auto"/>
                <w:sz w:val="24"/>
                <w:highlight w:val="none"/>
              </w:rPr>
            </w:pPr>
          </w:p>
        </w:tc>
        <w:tc>
          <w:tcPr>
            <w:tcW w:w="1007" w:type="dxa"/>
            <w:vMerge w:val="continue"/>
            <w:tcBorders>
              <w:left w:val="single" w:color="auto" w:sz="4" w:space="0"/>
              <w:right w:val="single" w:color="auto" w:sz="4" w:space="0"/>
            </w:tcBorders>
            <w:vAlign w:val="center"/>
          </w:tcPr>
          <w:p w14:paraId="3B85D379">
            <w:pPr>
              <w:rPr>
                <w:rFonts w:ascii="宋体" w:hAnsi="宋体" w:cs="宋体"/>
                <w:color w:val="auto"/>
                <w:sz w:val="24"/>
                <w:highlight w:val="none"/>
              </w:rPr>
            </w:pPr>
          </w:p>
        </w:tc>
        <w:tc>
          <w:tcPr>
            <w:tcW w:w="2554" w:type="dxa"/>
            <w:tcBorders>
              <w:top w:val="single" w:color="auto" w:sz="4" w:space="0"/>
              <w:left w:val="single" w:color="auto" w:sz="4" w:space="0"/>
              <w:bottom w:val="single" w:color="auto" w:sz="4" w:space="0"/>
              <w:right w:val="single" w:color="auto" w:sz="4" w:space="0"/>
            </w:tcBorders>
            <w:vAlign w:val="center"/>
          </w:tcPr>
          <w:p w14:paraId="180E905E">
            <w:pPr>
              <w:spacing w:line="720" w:lineRule="auto"/>
              <w:jc w:val="center"/>
              <w:rPr>
                <w:rFonts w:ascii="宋体" w:hAnsi="宋体" w:cs="宋体"/>
                <w:color w:val="auto"/>
                <w:sz w:val="24"/>
                <w:highlight w:val="none"/>
              </w:rPr>
            </w:pPr>
            <w:r>
              <w:rPr>
                <w:rFonts w:hint="eastAsia" w:ascii="宋体" w:hAnsi="宋体" w:cs="宋体"/>
                <w:color w:val="auto"/>
                <w:sz w:val="24"/>
                <w:highlight w:val="none"/>
              </w:rPr>
              <w:t>磋商有效期</w:t>
            </w:r>
          </w:p>
        </w:tc>
        <w:tc>
          <w:tcPr>
            <w:tcW w:w="4960" w:type="dxa"/>
            <w:tcBorders>
              <w:top w:val="single" w:color="auto" w:sz="4" w:space="0"/>
              <w:left w:val="single" w:color="auto" w:sz="4" w:space="0"/>
              <w:bottom w:val="single" w:color="auto" w:sz="4" w:space="0"/>
              <w:right w:val="single" w:color="auto" w:sz="4" w:space="0"/>
            </w:tcBorders>
            <w:vAlign w:val="center"/>
          </w:tcPr>
          <w:p w14:paraId="01C51D99">
            <w:pPr>
              <w:spacing w:line="360" w:lineRule="auto"/>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投标截止之日起</w:t>
            </w:r>
            <w:r>
              <w:rPr>
                <w:rFonts w:hint="eastAsia" w:ascii="宋体" w:hAnsi="宋体" w:cs="宋体"/>
                <w:color w:val="auto"/>
                <w:sz w:val="24"/>
                <w:highlight w:val="none"/>
                <w:lang w:val="en-US" w:eastAsia="zh-CN"/>
              </w:rPr>
              <w:t>60</w:t>
            </w:r>
            <w:r>
              <w:rPr>
                <w:rFonts w:hint="eastAsia" w:ascii="宋体" w:hAnsi="宋体" w:cs="宋体"/>
                <w:color w:val="auto"/>
                <w:sz w:val="24"/>
                <w:highlight w:val="none"/>
                <w:lang w:eastAsia="zh-CN"/>
              </w:rPr>
              <w:t>日历天</w:t>
            </w:r>
          </w:p>
        </w:tc>
      </w:tr>
      <w:tr w14:paraId="3FF28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exact"/>
          <w:jc w:val="center"/>
        </w:trPr>
        <w:tc>
          <w:tcPr>
            <w:tcW w:w="816" w:type="dxa"/>
            <w:vMerge w:val="continue"/>
            <w:tcBorders>
              <w:left w:val="single" w:color="auto" w:sz="4" w:space="0"/>
              <w:right w:val="single" w:color="auto" w:sz="4" w:space="0"/>
            </w:tcBorders>
            <w:vAlign w:val="center"/>
          </w:tcPr>
          <w:p w14:paraId="5074B7B5">
            <w:pPr>
              <w:rPr>
                <w:rFonts w:ascii="宋体" w:hAnsi="宋体" w:cs="宋体"/>
                <w:color w:val="auto"/>
                <w:sz w:val="24"/>
                <w:highlight w:val="none"/>
              </w:rPr>
            </w:pPr>
          </w:p>
        </w:tc>
        <w:tc>
          <w:tcPr>
            <w:tcW w:w="1007" w:type="dxa"/>
            <w:vMerge w:val="continue"/>
            <w:tcBorders>
              <w:left w:val="single" w:color="auto" w:sz="4" w:space="0"/>
              <w:right w:val="single" w:color="auto" w:sz="4" w:space="0"/>
            </w:tcBorders>
            <w:vAlign w:val="center"/>
          </w:tcPr>
          <w:p w14:paraId="28B86D79">
            <w:pPr>
              <w:rPr>
                <w:rFonts w:ascii="宋体" w:hAnsi="宋体" w:cs="宋体"/>
                <w:color w:val="auto"/>
                <w:sz w:val="24"/>
                <w:highlight w:val="none"/>
              </w:rPr>
            </w:pPr>
          </w:p>
        </w:tc>
        <w:tc>
          <w:tcPr>
            <w:tcW w:w="2554" w:type="dxa"/>
            <w:tcBorders>
              <w:top w:val="single" w:color="auto" w:sz="4" w:space="0"/>
              <w:left w:val="single" w:color="auto" w:sz="4" w:space="0"/>
              <w:bottom w:val="single" w:color="auto" w:sz="4" w:space="0"/>
              <w:right w:val="single" w:color="auto" w:sz="4" w:space="0"/>
            </w:tcBorders>
            <w:vAlign w:val="center"/>
          </w:tcPr>
          <w:p w14:paraId="464C7B2C">
            <w:pPr>
              <w:spacing w:line="720" w:lineRule="auto"/>
              <w:jc w:val="center"/>
              <w:rPr>
                <w:rFonts w:ascii="宋体" w:hAnsi="宋体" w:cs="宋体"/>
                <w:color w:val="auto"/>
                <w:sz w:val="24"/>
                <w:highlight w:val="none"/>
              </w:rPr>
            </w:pPr>
            <w:r>
              <w:rPr>
                <w:rFonts w:hint="eastAsia" w:ascii="宋体" w:hAnsi="宋体" w:cs="宋体"/>
                <w:color w:val="auto"/>
                <w:sz w:val="24"/>
                <w:highlight w:val="none"/>
              </w:rPr>
              <w:t>报价</w:t>
            </w:r>
          </w:p>
        </w:tc>
        <w:tc>
          <w:tcPr>
            <w:tcW w:w="4960" w:type="dxa"/>
            <w:tcBorders>
              <w:top w:val="single" w:color="auto" w:sz="4" w:space="0"/>
              <w:left w:val="single" w:color="auto" w:sz="4" w:space="0"/>
              <w:bottom w:val="single" w:color="auto" w:sz="4" w:space="0"/>
              <w:right w:val="single" w:color="auto" w:sz="4" w:space="0"/>
            </w:tcBorders>
            <w:vAlign w:val="center"/>
          </w:tcPr>
          <w:p w14:paraId="7F1E1402">
            <w:pPr>
              <w:spacing w:line="360" w:lineRule="auto"/>
              <w:jc w:val="left"/>
              <w:rPr>
                <w:rFonts w:ascii="宋体" w:hAnsi="宋体" w:cs="宋体"/>
                <w:color w:val="auto"/>
                <w:sz w:val="24"/>
                <w:highlight w:val="none"/>
              </w:rPr>
            </w:pPr>
            <w:r>
              <w:rPr>
                <w:rFonts w:hint="eastAsia" w:ascii="宋体" w:hAnsi="宋体" w:cs="宋体"/>
                <w:color w:val="auto"/>
                <w:sz w:val="24"/>
                <w:highlight w:val="none"/>
              </w:rPr>
              <w:t>响应人磋商总报价不得高于采购人的预算价，否则其投标将予否决。</w:t>
            </w:r>
          </w:p>
        </w:tc>
      </w:tr>
      <w:tr w14:paraId="11D32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exact"/>
          <w:jc w:val="center"/>
        </w:trPr>
        <w:tc>
          <w:tcPr>
            <w:tcW w:w="816" w:type="dxa"/>
            <w:vMerge w:val="restart"/>
            <w:tcBorders>
              <w:left w:val="single" w:color="auto" w:sz="4" w:space="0"/>
              <w:right w:val="single" w:color="auto" w:sz="4" w:space="0"/>
            </w:tcBorders>
            <w:vAlign w:val="center"/>
          </w:tcPr>
          <w:p w14:paraId="561C5E50">
            <w:pPr>
              <w:rPr>
                <w:rFonts w:ascii="宋体" w:hAnsi="宋体" w:cs="宋体"/>
                <w:color w:val="auto"/>
                <w:sz w:val="24"/>
                <w:highlight w:val="none"/>
              </w:rPr>
            </w:pPr>
            <w:r>
              <w:rPr>
                <w:rFonts w:hint="eastAsia" w:ascii="宋体" w:hAnsi="宋体" w:cs="宋体"/>
                <w:color w:val="auto"/>
                <w:sz w:val="24"/>
                <w:highlight w:val="none"/>
              </w:rPr>
              <w:t>2.1.3</w:t>
            </w:r>
          </w:p>
        </w:tc>
        <w:tc>
          <w:tcPr>
            <w:tcW w:w="1007" w:type="dxa"/>
            <w:vMerge w:val="restart"/>
            <w:tcBorders>
              <w:left w:val="single" w:color="auto" w:sz="4" w:space="0"/>
              <w:right w:val="single" w:color="auto" w:sz="4" w:space="0"/>
            </w:tcBorders>
            <w:vAlign w:val="center"/>
          </w:tcPr>
          <w:p w14:paraId="195B04EC">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符合性评审标准</w:t>
            </w:r>
          </w:p>
        </w:tc>
        <w:tc>
          <w:tcPr>
            <w:tcW w:w="2554" w:type="dxa"/>
            <w:tcBorders>
              <w:top w:val="single" w:color="auto" w:sz="4" w:space="0"/>
              <w:left w:val="single" w:color="auto" w:sz="4" w:space="0"/>
              <w:bottom w:val="single" w:color="auto" w:sz="4" w:space="0"/>
              <w:right w:val="single" w:color="auto" w:sz="4" w:space="0"/>
            </w:tcBorders>
            <w:vAlign w:val="center"/>
          </w:tcPr>
          <w:p w14:paraId="53D88DC0">
            <w:pPr>
              <w:spacing w:line="360" w:lineRule="auto"/>
              <w:jc w:val="center"/>
              <w:rPr>
                <w:rFonts w:ascii="宋体" w:hAnsi="宋体" w:cs="宋体"/>
                <w:color w:val="auto"/>
                <w:sz w:val="24"/>
                <w:highlight w:val="none"/>
              </w:rPr>
            </w:pPr>
            <w:r>
              <w:rPr>
                <w:rFonts w:hint="eastAsia" w:ascii="宋体" w:hAnsi="宋体" w:cs="宋体"/>
                <w:color w:val="auto"/>
                <w:sz w:val="24"/>
                <w:highlight w:val="none"/>
              </w:rPr>
              <w:t>供应商名称</w:t>
            </w:r>
          </w:p>
        </w:tc>
        <w:tc>
          <w:tcPr>
            <w:tcW w:w="4960" w:type="dxa"/>
            <w:tcBorders>
              <w:top w:val="single" w:color="auto" w:sz="4" w:space="0"/>
              <w:left w:val="single" w:color="auto" w:sz="4" w:space="0"/>
              <w:bottom w:val="single" w:color="auto" w:sz="4" w:space="0"/>
              <w:right w:val="single" w:color="auto" w:sz="4" w:space="0"/>
            </w:tcBorders>
            <w:vAlign w:val="center"/>
          </w:tcPr>
          <w:p w14:paraId="35C2EB8C">
            <w:pPr>
              <w:spacing w:line="360" w:lineRule="auto"/>
              <w:jc w:val="left"/>
              <w:rPr>
                <w:rFonts w:ascii="宋体" w:hAnsi="宋体" w:cs="宋体"/>
                <w:color w:val="auto"/>
                <w:sz w:val="24"/>
                <w:highlight w:val="none"/>
              </w:rPr>
            </w:pPr>
            <w:r>
              <w:rPr>
                <w:rFonts w:hint="eastAsia" w:ascii="宋体" w:hAnsi="宋体" w:cs="宋体"/>
                <w:color w:val="auto"/>
                <w:sz w:val="24"/>
                <w:highlight w:val="none"/>
              </w:rPr>
              <w:t>与营业执照一致</w:t>
            </w:r>
          </w:p>
        </w:tc>
      </w:tr>
      <w:tr w14:paraId="28130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exact"/>
          <w:jc w:val="center"/>
        </w:trPr>
        <w:tc>
          <w:tcPr>
            <w:tcW w:w="816" w:type="dxa"/>
            <w:vMerge w:val="continue"/>
            <w:tcBorders>
              <w:left w:val="single" w:color="auto" w:sz="4" w:space="0"/>
              <w:right w:val="single" w:color="auto" w:sz="4" w:space="0"/>
            </w:tcBorders>
            <w:vAlign w:val="center"/>
          </w:tcPr>
          <w:p w14:paraId="6CF7BCC5">
            <w:pPr>
              <w:rPr>
                <w:rFonts w:ascii="宋体" w:hAnsi="宋体" w:cs="宋体"/>
                <w:color w:val="auto"/>
                <w:sz w:val="24"/>
                <w:highlight w:val="none"/>
              </w:rPr>
            </w:pPr>
          </w:p>
        </w:tc>
        <w:tc>
          <w:tcPr>
            <w:tcW w:w="1007" w:type="dxa"/>
            <w:vMerge w:val="continue"/>
            <w:tcBorders>
              <w:left w:val="single" w:color="auto" w:sz="4" w:space="0"/>
              <w:right w:val="single" w:color="auto" w:sz="4" w:space="0"/>
            </w:tcBorders>
            <w:vAlign w:val="center"/>
          </w:tcPr>
          <w:p w14:paraId="7711B1D9">
            <w:pPr>
              <w:spacing w:line="360" w:lineRule="auto"/>
              <w:rPr>
                <w:rFonts w:ascii="宋体" w:hAnsi="宋体" w:cs="宋体"/>
                <w:color w:val="auto"/>
                <w:sz w:val="24"/>
                <w:highlight w:val="none"/>
              </w:rPr>
            </w:pPr>
          </w:p>
        </w:tc>
        <w:tc>
          <w:tcPr>
            <w:tcW w:w="2554" w:type="dxa"/>
            <w:tcBorders>
              <w:top w:val="single" w:color="auto" w:sz="4" w:space="0"/>
              <w:left w:val="single" w:color="auto" w:sz="4" w:space="0"/>
              <w:bottom w:val="single" w:color="auto" w:sz="4" w:space="0"/>
              <w:right w:val="single" w:color="auto" w:sz="4" w:space="0"/>
            </w:tcBorders>
            <w:vAlign w:val="center"/>
          </w:tcPr>
          <w:p w14:paraId="7CE0BB67">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报价唯一</w:t>
            </w:r>
          </w:p>
        </w:tc>
        <w:tc>
          <w:tcPr>
            <w:tcW w:w="4960" w:type="dxa"/>
            <w:tcBorders>
              <w:top w:val="single" w:color="auto" w:sz="4" w:space="0"/>
              <w:left w:val="single" w:color="auto" w:sz="4" w:space="0"/>
              <w:bottom w:val="single" w:color="auto" w:sz="4" w:space="0"/>
              <w:right w:val="single" w:color="auto" w:sz="4" w:space="0"/>
            </w:tcBorders>
            <w:vAlign w:val="center"/>
          </w:tcPr>
          <w:p w14:paraId="54825C12">
            <w:pPr>
              <w:spacing w:line="360" w:lineRule="auto"/>
              <w:jc w:val="left"/>
              <w:rPr>
                <w:rFonts w:ascii="宋体" w:hAnsi="宋体" w:cs="宋体"/>
                <w:color w:val="auto"/>
                <w:sz w:val="24"/>
                <w:highlight w:val="none"/>
              </w:rPr>
            </w:pPr>
            <w:r>
              <w:rPr>
                <w:rFonts w:hint="eastAsia" w:ascii="宋体" w:hAnsi="宋体" w:cs="宋体"/>
                <w:color w:val="auto"/>
                <w:sz w:val="24"/>
                <w:highlight w:val="none"/>
              </w:rPr>
              <w:t>只有一个有效报价</w:t>
            </w:r>
          </w:p>
        </w:tc>
      </w:tr>
      <w:tr w14:paraId="13F59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exact"/>
          <w:jc w:val="center"/>
        </w:trPr>
        <w:tc>
          <w:tcPr>
            <w:tcW w:w="816" w:type="dxa"/>
            <w:vMerge w:val="continue"/>
            <w:tcBorders>
              <w:left w:val="single" w:color="auto" w:sz="4" w:space="0"/>
              <w:right w:val="single" w:color="auto" w:sz="4" w:space="0"/>
            </w:tcBorders>
            <w:vAlign w:val="center"/>
          </w:tcPr>
          <w:p w14:paraId="7E560A4C">
            <w:pPr>
              <w:rPr>
                <w:rFonts w:ascii="宋体" w:hAnsi="宋体" w:cs="宋体"/>
                <w:color w:val="auto"/>
                <w:sz w:val="24"/>
                <w:highlight w:val="none"/>
              </w:rPr>
            </w:pPr>
          </w:p>
        </w:tc>
        <w:tc>
          <w:tcPr>
            <w:tcW w:w="1007" w:type="dxa"/>
            <w:vMerge w:val="continue"/>
            <w:tcBorders>
              <w:left w:val="single" w:color="auto" w:sz="4" w:space="0"/>
              <w:right w:val="single" w:color="auto" w:sz="4" w:space="0"/>
            </w:tcBorders>
            <w:vAlign w:val="center"/>
          </w:tcPr>
          <w:p w14:paraId="45D60FB4">
            <w:pPr>
              <w:spacing w:line="360" w:lineRule="auto"/>
              <w:rPr>
                <w:rFonts w:ascii="宋体" w:hAnsi="宋体" w:cs="宋体"/>
                <w:color w:val="auto"/>
                <w:sz w:val="24"/>
                <w:highlight w:val="none"/>
              </w:rPr>
            </w:pPr>
          </w:p>
        </w:tc>
        <w:tc>
          <w:tcPr>
            <w:tcW w:w="2554" w:type="dxa"/>
            <w:tcBorders>
              <w:top w:val="single" w:color="auto" w:sz="4" w:space="0"/>
              <w:left w:val="single" w:color="auto" w:sz="4" w:space="0"/>
              <w:bottom w:val="single" w:color="auto" w:sz="4" w:space="0"/>
              <w:right w:val="single" w:color="auto" w:sz="4" w:space="0"/>
            </w:tcBorders>
            <w:vAlign w:val="center"/>
          </w:tcPr>
          <w:p w14:paraId="40253D3D">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签字盖章</w:t>
            </w:r>
          </w:p>
        </w:tc>
        <w:tc>
          <w:tcPr>
            <w:tcW w:w="4960" w:type="dxa"/>
            <w:tcBorders>
              <w:top w:val="single" w:color="auto" w:sz="4" w:space="0"/>
              <w:left w:val="single" w:color="auto" w:sz="4" w:space="0"/>
              <w:bottom w:val="single" w:color="auto" w:sz="4" w:space="0"/>
              <w:right w:val="single" w:color="auto" w:sz="4" w:space="0"/>
            </w:tcBorders>
            <w:vAlign w:val="center"/>
          </w:tcPr>
          <w:p w14:paraId="6FAB269F">
            <w:pPr>
              <w:spacing w:line="360" w:lineRule="auto"/>
              <w:rPr>
                <w:rFonts w:ascii="宋体" w:hAnsi="宋体" w:cs="宋体"/>
                <w:color w:val="auto"/>
                <w:sz w:val="24"/>
                <w:highlight w:val="none"/>
              </w:rPr>
            </w:pPr>
            <w:r>
              <w:rPr>
                <w:rFonts w:hint="eastAsia" w:ascii="宋体" w:hAnsi="宋体" w:cs="宋体"/>
                <w:color w:val="auto"/>
                <w:sz w:val="24"/>
                <w:highlight w:val="none"/>
              </w:rPr>
              <w:t>符合第二章“投标人须知”规定</w:t>
            </w:r>
          </w:p>
        </w:tc>
      </w:tr>
      <w:tr w14:paraId="0572E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exact"/>
          <w:jc w:val="center"/>
        </w:trPr>
        <w:tc>
          <w:tcPr>
            <w:tcW w:w="816" w:type="dxa"/>
            <w:vMerge w:val="continue"/>
            <w:tcBorders>
              <w:left w:val="single" w:color="auto" w:sz="4" w:space="0"/>
              <w:bottom w:val="single" w:color="auto" w:sz="4" w:space="0"/>
              <w:right w:val="single" w:color="auto" w:sz="4" w:space="0"/>
            </w:tcBorders>
            <w:vAlign w:val="center"/>
          </w:tcPr>
          <w:p w14:paraId="50A11A7F">
            <w:pPr>
              <w:rPr>
                <w:rFonts w:ascii="宋体" w:hAnsi="宋体" w:cs="宋体"/>
                <w:color w:val="auto"/>
                <w:sz w:val="24"/>
                <w:highlight w:val="none"/>
              </w:rPr>
            </w:pPr>
          </w:p>
        </w:tc>
        <w:tc>
          <w:tcPr>
            <w:tcW w:w="1007" w:type="dxa"/>
            <w:vMerge w:val="continue"/>
            <w:tcBorders>
              <w:left w:val="single" w:color="auto" w:sz="4" w:space="0"/>
              <w:bottom w:val="single" w:color="auto" w:sz="4" w:space="0"/>
              <w:right w:val="single" w:color="auto" w:sz="4" w:space="0"/>
            </w:tcBorders>
            <w:vAlign w:val="center"/>
          </w:tcPr>
          <w:p w14:paraId="4F824D75">
            <w:pPr>
              <w:spacing w:line="360" w:lineRule="auto"/>
              <w:rPr>
                <w:rFonts w:ascii="宋体" w:hAnsi="宋体" w:cs="宋体"/>
                <w:color w:val="auto"/>
                <w:sz w:val="24"/>
                <w:highlight w:val="none"/>
              </w:rPr>
            </w:pPr>
          </w:p>
        </w:tc>
        <w:tc>
          <w:tcPr>
            <w:tcW w:w="2554" w:type="dxa"/>
            <w:tcBorders>
              <w:top w:val="single" w:color="auto" w:sz="4" w:space="0"/>
              <w:left w:val="single" w:color="auto" w:sz="4" w:space="0"/>
              <w:bottom w:val="single" w:color="auto" w:sz="4" w:space="0"/>
              <w:right w:val="single" w:color="auto" w:sz="4" w:space="0"/>
            </w:tcBorders>
            <w:vAlign w:val="center"/>
          </w:tcPr>
          <w:p w14:paraId="54E25ABE">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投标文件格式</w:t>
            </w:r>
          </w:p>
        </w:tc>
        <w:tc>
          <w:tcPr>
            <w:tcW w:w="4960" w:type="dxa"/>
            <w:tcBorders>
              <w:top w:val="single" w:color="auto" w:sz="4" w:space="0"/>
              <w:left w:val="single" w:color="auto" w:sz="4" w:space="0"/>
              <w:bottom w:val="single" w:color="auto" w:sz="4" w:space="0"/>
              <w:right w:val="single" w:color="auto" w:sz="4" w:space="0"/>
            </w:tcBorders>
            <w:vAlign w:val="center"/>
          </w:tcPr>
          <w:p w14:paraId="0AC011AE">
            <w:pPr>
              <w:spacing w:line="360" w:lineRule="auto"/>
              <w:jc w:val="left"/>
              <w:rPr>
                <w:rFonts w:ascii="宋体" w:hAnsi="宋体" w:cs="宋体"/>
                <w:color w:val="auto"/>
                <w:sz w:val="24"/>
                <w:highlight w:val="none"/>
              </w:rPr>
            </w:pPr>
            <w:r>
              <w:rPr>
                <w:rFonts w:hint="eastAsia" w:ascii="宋体" w:hAnsi="宋体" w:cs="宋体"/>
                <w:color w:val="auto"/>
                <w:sz w:val="24"/>
                <w:highlight w:val="none"/>
              </w:rPr>
              <w:t>符合“磋商文件格式”</w:t>
            </w:r>
          </w:p>
        </w:tc>
      </w:tr>
    </w:tbl>
    <w:p w14:paraId="251B42B3">
      <w:pPr>
        <w:widowControl/>
        <w:jc w:val="left"/>
        <w:rPr>
          <w:rFonts w:ascii="宋体" w:hAnsi="宋体" w:cs="宋体"/>
          <w:color w:val="auto"/>
          <w:highlight w:val="none"/>
        </w:rPr>
      </w:pPr>
    </w:p>
    <w:p w14:paraId="21DA8E97">
      <w:pPr>
        <w:spacing w:line="600" w:lineRule="exact"/>
        <w:ind w:firstLine="482" w:firstLineChars="200"/>
        <w:outlineLvl w:val="1"/>
        <w:rPr>
          <w:rFonts w:ascii="宋体" w:hAnsi="宋体" w:cs="宋体"/>
          <w:color w:val="auto"/>
          <w:sz w:val="24"/>
          <w:highlight w:val="none"/>
        </w:rPr>
      </w:pPr>
      <w:r>
        <w:rPr>
          <w:rFonts w:hint="eastAsia" w:ascii="宋体" w:hAnsi="宋体" w:cs="宋体"/>
          <w:b/>
          <w:color w:val="auto"/>
          <w:sz w:val="24"/>
          <w:highlight w:val="none"/>
        </w:rPr>
        <w:t>1. 磋商文件的评审、比较和否决</w:t>
      </w:r>
    </w:p>
    <w:p w14:paraId="589D0E38">
      <w:pPr>
        <w:spacing w:line="600" w:lineRule="exact"/>
        <w:ind w:firstLine="482" w:firstLineChars="200"/>
        <w:rPr>
          <w:rFonts w:ascii="宋体" w:hAnsi="宋体" w:cs="宋体"/>
          <w:color w:val="auto"/>
          <w:sz w:val="24"/>
          <w:highlight w:val="none"/>
        </w:rPr>
      </w:pPr>
      <w:r>
        <w:rPr>
          <w:rFonts w:hint="eastAsia" w:ascii="宋体" w:hAnsi="宋体" w:cs="宋体"/>
          <w:b/>
          <w:color w:val="auto"/>
          <w:sz w:val="24"/>
          <w:highlight w:val="none"/>
        </w:rPr>
        <w:t>1.1</w:t>
      </w:r>
      <w:r>
        <w:rPr>
          <w:rFonts w:hint="eastAsia" w:ascii="宋体" w:hAnsi="宋体" w:cs="宋体"/>
          <w:color w:val="auto"/>
          <w:sz w:val="24"/>
          <w:highlight w:val="none"/>
        </w:rPr>
        <w:t>磋商小组将按照竞争性磋商文件的规定，仅对在实质上响应竞争性磋商文件要求的响应文件进行评估和比较。</w:t>
      </w:r>
    </w:p>
    <w:p w14:paraId="1C37729B">
      <w:pPr>
        <w:spacing w:line="600" w:lineRule="exact"/>
        <w:ind w:firstLine="482" w:firstLineChars="200"/>
        <w:rPr>
          <w:rFonts w:ascii="宋体" w:hAnsi="宋体" w:cs="宋体"/>
          <w:color w:val="auto"/>
          <w:sz w:val="24"/>
          <w:highlight w:val="none"/>
        </w:rPr>
      </w:pPr>
      <w:r>
        <w:rPr>
          <w:rFonts w:hint="eastAsia" w:ascii="宋体" w:hAnsi="宋体" w:cs="宋体"/>
          <w:b/>
          <w:color w:val="auto"/>
          <w:sz w:val="24"/>
          <w:highlight w:val="none"/>
        </w:rPr>
        <w:t>1.2</w:t>
      </w:r>
      <w:r>
        <w:rPr>
          <w:rFonts w:hint="eastAsia" w:ascii="宋体" w:hAnsi="宋体" w:cs="宋体"/>
          <w:color w:val="auto"/>
          <w:sz w:val="24"/>
          <w:highlight w:val="none"/>
        </w:rPr>
        <w:t>根据相关法律法规及有关磋商文件规定，结合本项目具体情况，制定本次采购磋商办法。并按照“公平、公正、科学、择优”的原则进行磋商。采用百分制综合评估法进行评比。</w:t>
      </w:r>
    </w:p>
    <w:p w14:paraId="16346C3E">
      <w:pPr>
        <w:spacing w:line="600" w:lineRule="exact"/>
        <w:ind w:firstLine="482" w:firstLineChars="200"/>
        <w:rPr>
          <w:rFonts w:ascii="宋体" w:hAnsi="宋体" w:cs="宋体"/>
          <w:color w:val="auto"/>
          <w:sz w:val="24"/>
          <w:highlight w:val="none"/>
        </w:rPr>
      </w:pPr>
      <w:r>
        <w:rPr>
          <w:rFonts w:hint="eastAsia" w:ascii="宋体" w:hAnsi="宋体" w:cs="宋体"/>
          <w:b/>
          <w:color w:val="auto"/>
          <w:sz w:val="24"/>
          <w:highlight w:val="none"/>
        </w:rPr>
        <w:t>1.3</w:t>
      </w:r>
      <w:r>
        <w:rPr>
          <w:rFonts w:hint="eastAsia" w:ascii="宋体" w:hAnsi="宋体" w:cs="宋体"/>
          <w:color w:val="auto"/>
          <w:sz w:val="24"/>
          <w:highlight w:val="none"/>
        </w:rPr>
        <w:t>在磋商过程中，磋商小组可以以书面形式要求磋商供应商就响应文件中含义不明确的内容进行书面说明并提供相关材料；</w:t>
      </w:r>
      <w:r>
        <w:rPr>
          <w:rFonts w:hint="eastAsia" w:ascii="宋体" w:hAnsi="宋体" w:cs="宋体"/>
          <w:color w:val="auto"/>
          <w:spacing w:val="-12"/>
          <w:sz w:val="24"/>
          <w:highlight w:val="none"/>
        </w:rPr>
        <w:t>凡遇到响应文件中无界定或界定不清、前后不一致使评委会成员</w:t>
      </w:r>
      <w:r>
        <w:rPr>
          <w:rFonts w:hint="eastAsia" w:ascii="宋体" w:hAnsi="宋体" w:cs="宋体"/>
          <w:color w:val="auto"/>
          <w:sz w:val="24"/>
          <w:highlight w:val="none"/>
        </w:rPr>
        <w:t>意见</w:t>
      </w:r>
      <w:r>
        <w:rPr>
          <w:rFonts w:hint="eastAsia" w:ascii="宋体" w:hAnsi="宋体" w:cs="宋体"/>
          <w:color w:val="auto"/>
          <w:spacing w:val="-12"/>
          <w:sz w:val="24"/>
          <w:highlight w:val="none"/>
        </w:rPr>
        <w:t>有分歧且又难于协商一致的问题，均由评委会予以表决，获半数以上同意的即为通过，未获半数同意的即为否决</w:t>
      </w:r>
      <w:r>
        <w:rPr>
          <w:rFonts w:hint="eastAsia" w:ascii="宋体" w:hAnsi="宋体" w:cs="宋体"/>
          <w:color w:val="auto"/>
          <w:sz w:val="24"/>
          <w:highlight w:val="none"/>
        </w:rPr>
        <w:t>。</w:t>
      </w:r>
    </w:p>
    <w:p w14:paraId="74294862">
      <w:pPr>
        <w:spacing w:line="600" w:lineRule="exact"/>
        <w:ind w:firstLine="482" w:firstLineChars="200"/>
        <w:rPr>
          <w:rFonts w:ascii="宋体" w:hAnsi="宋体" w:cs="宋体"/>
          <w:color w:val="auto"/>
          <w:sz w:val="24"/>
          <w:highlight w:val="none"/>
        </w:rPr>
      </w:pPr>
      <w:r>
        <w:rPr>
          <w:rFonts w:hint="eastAsia" w:ascii="宋体" w:hAnsi="宋体" w:cs="宋体"/>
          <w:b/>
          <w:color w:val="auto"/>
          <w:sz w:val="24"/>
          <w:highlight w:val="none"/>
        </w:rPr>
        <w:t>1.4</w:t>
      </w:r>
      <w:r>
        <w:rPr>
          <w:rFonts w:hint="eastAsia" w:ascii="宋体" w:hAnsi="宋体" w:cs="宋体"/>
          <w:color w:val="auto"/>
          <w:sz w:val="24"/>
          <w:highlight w:val="none"/>
        </w:rPr>
        <w:t>磋商时，磋商报价是磋商的重要依据，但不是唯一依据，采购人不承诺将合同授予报价最低或最高的磋商供应商。</w:t>
      </w:r>
    </w:p>
    <w:p w14:paraId="6ECACAD7">
      <w:pPr>
        <w:spacing w:line="600" w:lineRule="exact"/>
        <w:ind w:firstLine="482" w:firstLineChars="200"/>
        <w:rPr>
          <w:rFonts w:ascii="宋体" w:hAnsi="宋体" w:cs="宋体"/>
          <w:color w:val="auto"/>
          <w:sz w:val="24"/>
          <w:highlight w:val="none"/>
        </w:rPr>
      </w:pPr>
      <w:r>
        <w:rPr>
          <w:rFonts w:hint="eastAsia" w:ascii="宋体" w:hAnsi="宋体" w:cs="宋体"/>
          <w:b/>
          <w:color w:val="auto"/>
          <w:sz w:val="24"/>
          <w:highlight w:val="none"/>
        </w:rPr>
        <w:t>1.5</w:t>
      </w:r>
      <w:r>
        <w:rPr>
          <w:rFonts w:hint="eastAsia" w:ascii="宋体" w:hAnsi="宋体" w:cs="宋体"/>
          <w:color w:val="auto"/>
          <w:sz w:val="24"/>
          <w:highlight w:val="none"/>
        </w:rPr>
        <w:t>磋商小组依据竞争性磋商文件中规定的磋商标准和方法，对响应文件进行评审和比较，向采购人提出书面磋商报告，并推荐符合国家及行业相关规范和标准的成交候选人。采购人根据磋商小组提出的书面磋商报告和推荐的成交候选人按序确定成交人。</w:t>
      </w:r>
    </w:p>
    <w:p w14:paraId="74D48207">
      <w:pPr>
        <w:spacing w:line="600" w:lineRule="exact"/>
        <w:ind w:firstLine="482" w:firstLineChars="200"/>
        <w:outlineLvl w:val="1"/>
        <w:rPr>
          <w:rFonts w:ascii="宋体" w:hAnsi="宋体" w:cs="宋体"/>
          <w:color w:val="auto"/>
          <w:sz w:val="24"/>
          <w:highlight w:val="none"/>
        </w:rPr>
      </w:pPr>
      <w:r>
        <w:rPr>
          <w:rFonts w:hint="eastAsia" w:ascii="宋体" w:hAnsi="宋体" w:cs="宋体"/>
          <w:b/>
          <w:color w:val="auto"/>
          <w:sz w:val="24"/>
          <w:highlight w:val="none"/>
        </w:rPr>
        <w:t>2. 磋商程序</w:t>
      </w:r>
    </w:p>
    <w:p w14:paraId="178D445A">
      <w:pPr>
        <w:spacing w:line="600" w:lineRule="exact"/>
        <w:ind w:firstLine="480" w:firstLineChars="200"/>
        <w:outlineLvl w:val="2"/>
        <w:rPr>
          <w:rFonts w:ascii="宋体" w:hAnsi="宋体" w:cs="宋体"/>
          <w:color w:val="auto"/>
          <w:sz w:val="24"/>
          <w:highlight w:val="none"/>
        </w:rPr>
      </w:pPr>
      <w:r>
        <w:rPr>
          <w:rFonts w:hint="eastAsia" w:ascii="宋体" w:hAnsi="宋体" w:cs="宋体"/>
          <w:color w:val="auto"/>
          <w:sz w:val="24"/>
          <w:highlight w:val="none"/>
        </w:rPr>
        <w:t>2.1 资格审查</w:t>
      </w:r>
    </w:p>
    <w:p w14:paraId="2183E346">
      <w:pPr>
        <w:spacing w:line="6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本项目采用资格后审</w:t>
      </w:r>
    </w:p>
    <w:p w14:paraId="5BB2BF35">
      <w:pPr>
        <w:spacing w:line="6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磋商小组按照竞争性磋商文件供应商资格要求，对磋商供应商的响应文件进行符合性、资格性、实质性响应评审，有一项不符合的，按废标处理，符合的进入下一磋商程序。</w:t>
      </w:r>
    </w:p>
    <w:p w14:paraId="735E38BB">
      <w:pPr>
        <w:spacing w:line="600" w:lineRule="exact"/>
        <w:ind w:firstLine="482" w:firstLineChars="200"/>
        <w:outlineLvl w:val="1"/>
        <w:rPr>
          <w:rFonts w:ascii="宋体" w:hAnsi="宋体" w:cs="宋体"/>
          <w:b/>
          <w:color w:val="auto"/>
          <w:sz w:val="24"/>
          <w:highlight w:val="none"/>
        </w:rPr>
      </w:pPr>
      <w:r>
        <w:rPr>
          <w:rFonts w:hint="eastAsia" w:ascii="宋体" w:hAnsi="宋体" w:cs="宋体"/>
          <w:b/>
          <w:color w:val="auto"/>
          <w:sz w:val="24"/>
          <w:highlight w:val="none"/>
        </w:rPr>
        <w:t>3.磋商具体方法和标准</w:t>
      </w:r>
    </w:p>
    <w:p w14:paraId="00B34E08">
      <w:pPr>
        <w:spacing w:line="6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磋商小组根据磋商原则和办法对所有响应文件进行集中审核，分别评价。</w:t>
      </w:r>
    </w:p>
    <w:tbl>
      <w:tblPr>
        <w:tblStyle w:val="16"/>
        <w:tblW w:w="5302"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510"/>
        <w:gridCol w:w="2614"/>
        <w:gridCol w:w="6107"/>
      </w:tblGrid>
      <w:tr w14:paraId="47DCD4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738" w:type="pct"/>
            <w:vAlign w:val="center"/>
          </w:tcPr>
          <w:p w14:paraId="79C53230">
            <w:pPr>
              <w:tabs>
                <w:tab w:val="left" w:pos="720"/>
              </w:tabs>
              <w:spacing w:line="480" w:lineRule="exact"/>
              <w:jc w:val="center"/>
              <w:rPr>
                <w:rFonts w:ascii="宋体" w:hAnsi="宋体" w:cs="宋体"/>
                <w:b/>
                <w:color w:val="auto"/>
                <w:sz w:val="24"/>
                <w:highlight w:val="none"/>
              </w:rPr>
            </w:pPr>
            <w:r>
              <w:rPr>
                <w:rFonts w:hint="eastAsia" w:ascii="宋体" w:hAnsi="宋体" w:cs="宋体"/>
                <w:b/>
                <w:color w:val="auto"/>
                <w:sz w:val="24"/>
                <w:highlight w:val="none"/>
              </w:rPr>
              <w:t>投标报价</w:t>
            </w:r>
          </w:p>
          <w:p w14:paraId="1D235EDE">
            <w:pPr>
              <w:tabs>
                <w:tab w:val="left" w:pos="720"/>
              </w:tabs>
              <w:spacing w:line="480" w:lineRule="exact"/>
              <w:jc w:val="center"/>
              <w:rPr>
                <w:rFonts w:ascii="宋体" w:hAnsi="宋体" w:cs="宋体"/>
                <w:b/>
                <w:color w:val="auto"/>
                <w:sz w:val="24"/>
                <w:highlight w:val="none"/>
              </w:rPr>
            </w:pPr>
            <w:r>
              <w:rPr>
                <w:rFonts w:hint="eastAsia" w:ascii="宋体" w:hAnsi="宋体" w:cs="宋体"/>
                <w:b/>
                <w:color w:val="auto"/>
                <w:sz w:val="24"/>
                <w:highlight w:val="none"/>
              </w:rPr>
              <w:t>（10分）</w:t>
            </w:r>
          </w:p>
        </w:tc>
        <w:tc>
          <w:tcPr>
            <w:tcW w:w="4261" w:type="pct"/>
            <w:gridSpan w:val="2"/>
            <w:vAlign w:val="center"/>
          </w:tcPr>
          <w:p w14:paraId="70FB1A3A">
            <w:pPr>
              <w:tabs>
                <w:tab w:val="left" w:pos="720"/>
              </w:tabs>
              <w:spacing w:line="480" w:lineRule="exact"/>
              <w:rPr>
                <w:rFonts w:ascii="宋体" w:hAnsi="宋体" w:cs="宋体"/>
                <w:color w:val="auto"/>
                <w:sz w:val="24"/>
                <w:highlight w:val="none"/>
              </w:rPr>
            </w:pPr>
            <w:r>
              <w:rPr>
                <w:rFonts w:hint="eastAsia" w:ascii="宋体" w:hAnsi="宋体" w:cs="宋体"/>
                <w:color w:val="auto"/>
                <w:sz w:val="24"/>
                <w:highlight w:val="none"/>
              </w:rPr>
              <w:t>1、本项目进行2轮报价，第二轮磋商报价为供应商的最终报价。若供应商最终报价超过控制价，按无效响应文件处理。</w:t>
            </w:r>
          </w:p>
          <w:p w14:paraId="6C2A0A05">
            <w:pPr>
              <w:tabs>
                <w:tab w:val="left" w:pos="720"/>
              </w:tabs>
              <w:spacing w:line="480" w:lineRule="exact"/>
              <w:rPr>
                <w:rFonts w:ascii="宋体" w:hAnsi="宋体" w:cs="宋体"/>
                <w:color w:val="auto"/>
                <w:sz w:val="24"/>
                <w:highlight w:val="none"/>
              </w:rPr>
            </w:pPr>
            <w:r>
              <w:rPr>
                <w:rFonts w:hint="eastAsia" w:ascii="宋体" w:hAnsi="宋体" w:cs="宋体"/>
                <w:color w:val="auto"/>
                <w:sz w:val="24"/>
                <w:highlight w:val="none"/>
              </w:rPr>
              <w:t>注：投标报价得分四舍五入至小数点后两位。</w:t>
            </w:r>
          </w:p>
          <w:p w14:paraId="23CF51D6">
            <w:pPr>
              <w:tabs>
                <w:tab w:val="left" w:pos="720"/>
              </w:tabs>
              <w:spacing w:line="480" w:lineRule="exact"/>
              <w:rPr>
                <w:rFonts w:ascii="宋体" w:hAnsi="宋体" w:cs="宋体"/>
                <w:color w:val="auto"/>
                <w:sz w:val="24"/>
                <w:highlight w:val="none"/>
              </w:rPr>
            </w:pPr>
            <w:r>
              <w:rPr>
                <w:rFonts w:hint="eastAsia" w:ascii="宋体" w:hAnsi="宋体" w:cs="宋体"/>
                <w:color w:val="auto"/>
                <w:sz w:val="24"/>
                <w:highlight w:val="none"/>
              </w:rPr>
              <w:t>2、价格分采用低价优先法计算，即通过资格性和符合性审查且投标价格最低的投标报价为评标基准价，其价格得分为满分10分。</w:t>
            </w:r>
          </w:p>
          <w:p w14:paraId="6383477F">
            <w:pPr>
              <w:tabs>
                <w:tab w:val="left" w:pos="720"/>
              </w:tabs>
              <w:spacing w:line="480" w:lineRule="exact"/>
              <w:rPr>
                <w:rFonts w:ascii="宋体" w:hAnsi="宋体" w:cs="宋体"/>
                <w:color w:val="auto"/>
                <w:sz w:val="24"/>
                <w:highlight w:val="none"/>
              </w:rPr>
            </w:pPr>
            <w:r>
              <w:rPr>
                <w:rFonts w:hint="eastAsia" w:ascii="宋体" w:hAnsi="宋体" w:cs="宋体"/>
                <w:color w:val="auto"/>
                <w:sz w:val="24"/>
                <w:highlight w:val="none"/>
              </w:rPr>
              <w:t>3、其他投标供应商的价格分统一按照下列公式计算：</w:t>
            </w:r>
          </w:p>
          <w:p w14:paraId="3E5ABB4A">
            <w:pPr>
              <w:tabs>
                <w:tab w:val="left" w:pos="720"/>
              </w:tabs>
              <w:spacing w:line="480" w:lineRule="exact"/>
              <w:rPr>
                <w:rFonts w:ascii="宋体" w:hAnsi="宋体" w:cs="宋体"/>
                <w:color w:val="auto"/>
                <w:sz w:val="24"/>
                <w:highlight w:val="none"/>
              </w:rPr>
            </w:pPr>
            <w:r>
              <w:rPr>
                <w:rFonts w:hint="eastAsia" w:ascii="宋体" w:hAnsi="宋体" w:cs="宋体"/>
                <w:color w:val="auto"/>
                <w:sz w:val="24"/>
                <w:highlight w:val="none"/>
              </w:rPr>
              <w:t>投标报价得分=(评标基准价／投标报价)×10</w:t>
            </w:r>
          </w:p>
          <w:p w14:paraId="39CFCBCB">
            <w:pPr>
              <w:tabs>
                <w:tab w:val="left" w:pos="720"/>
              </w:tabs>
              <w:spacing w:line="480" w:lineRule="exact"/>
              <w:rPr>
                <w:rFonts w:ascii="宋体" w:hAnsi="宋体" w:cs="宋体"/>
                <w:color w:val="auto"/>
                <w:sz w:val="24"/>
                <w:highlight w:val="none"/>
              </w:rPr>
            </w:pPr>
            <w:r>
              <w:rPr>
                <w:rFonts w:hint="eastAsia" w:ascii="宋体" w:hAnsi="宋体" w:cs="宋体"/>
                <w:color w:val="auto"/>
                <w:sz w:val="24"/>
                <w:highlight w:val="none"/>
              </w:rPr>
              <w:t>注：价格分计算保留小数点后二位。（磋商小组认为供应商的报价明显低于其他通过审查供应商的报价，有可能影响服务质量或者不能诚信履约的，应当要求其在开标现场合理的时间内提供书面说明，必要时提交相关证明材料；供应商不能证明其报价合理性的，磋商小组应当将其作为无效响应处理。）</w:t>
            </w:r>
          </w:p>
          <w:p w14:paraId="73C9F047">
            <w:pPr>
              <w:spacing w:line="360" w:lineRule="auto"/>
              <w:rPr>
                <w:rFonts w:ascii="宋体" w:hAnsi="宋体" w:cs="宋体"/>
                <w:color w:val="auto"/>
                <w:kern w:val="0"/>
                <w:sz w:val="24"/>
                <w:highlight w:val="none"/>
              </w:rPr>
            </w:pPr>
            <w:r>
              <w:rPr>
                <w:rFonts w:hint="eastAsia" w:ascii="宋体" w:hAnsi="宋体" w:cs="宋体"/>
                <w:color w:val="auto"/>
                <w:sz w:val="24"/>
                <w:highlight w:val="none"/>
              </w:rPr>
              <w:t>4、</w:t>
            </w:r>
            <w:r>
              <w:rPr>
                <w:rFonts w:hint="eastAsia" w:ascii="宋体" w:hAnsi="宋体" w:cs="宋体"/>
                <w:color w:val="auto"/>
                <w:kern w:val="0"/>
                <w:sz w:val="24"/>
                <w:highlight w:val="none"/>
              </w:rPr>
              <w:t>中型企业、小微企业应需完整填写中小企业声明函。</w:t>
            </w:r>
          </w:p>
          <w:p w14:paraId="2513C337">
            <w:pPr>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5、根据财政部司法部《关于政府采购支持监狱企业发展有关问题的通知》（财库〔2014〕68号）规定及《关于进一步加大政府采购支持中小企业发展有关事项的通知》（灵财[2022]97号）通知，对于监狱企业单位视同为小型、微型企业。监狱企业，应当提供由省级以上监狱管理局、戒毒管理局（含新疆生产建设兵团）出具的属于监狱企业的证明文件。</w:t>
            </w:r>
          </w:p>
          <w:p w14:paraId="0234CC5B">
            <w:pPr>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6、根据财政部民政部中国残疾人联合会《关于促进残疾人就业政府采购政策的通知》（财库〔2017〕141号）规定，对于残疾人福利性单位视同为小型、微型企业。</w:t>
            </w:r>
          </w:p>
          <w:p w14:paraId="3E907B74">
            <w:pPr>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7、本项目对小微企业、监狱企业、残疾人福利性企业作为供应商所提供的服务的价格给予20%的扣除，同一供应商小微企业、监狱企业、残疾人福利性单位的价格扣除优惠只享受一次，不得重复享受。</w:t>
            </w:r>
          </w:p>
        </w:tc>
      </w:tr>
      <w:tr w14:paraId="7961DA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738" w:type="pct"/>
            <w:vMerge w:val="restart"/>
            <w:vAlign w:val="center"/>
          </w:tcPr>
          <w:p w14:paraId="7DBFEF6E">
            <w:pPr>
              <w:tabs>
                <w:tab w:val="left" w:pos="720"/>
              </w:tabs>
              <w:spacing w:line="480" w:lineRule="exact"/>
              <w:jc w:val="center"/>
              <w:rPr>
                <w:rFonts w:ascii="宋体" w:hAnsi="宋体" w:cs="宋体"/>
                <w:b/>
                <w:color w:val="auto"/>
                <w:sz w:val="24"/>
                <w:highlight w:val="none"/>
              </w:rPr>
            </w:pPr>
            <w:r>
              <w:rPr>
                <w:rFonts w:hint="eastAsia" w:ascii="宋体" w:hAnsi="宋体" w:cs="宋体"/>
                <w:b/>
                <w:color w:val="auto"/>
                <w:sz w:val="24"/>
                <w:highlight w:val="none"/>
              </w:rPr>
              <w:t>技术部分</w:t>
            </w:r>
          </w:p>
          <w:p w14:paraId="475140B4">
            <w:pPr>
              <w:tabs>
                <w:tab w:val="left" w:pos="720"/>
              </w:tabs>
              <w:spacing w:line="480" w:lineRule="exact"/>
              <w:jc w:val="center"/>
              <w:rPr>
                <w:rFonts w:ascii="宋体" w:hAnsi="宋体" w:cs="宋体"/>
                <w:color w:val="auto"/>
                <w:sz w:val="24"/>
                <w:highlight w:val="none"/>
              </w:rPr>
            </w:pPr>
            <w:r>
              <w:rPr>
                <w:rFonts w:hint="eastAsia" w:ascii="宋体" w:hAnsi="宋体" w:cs="宋体"/>
                <w:b/>
                <w:color w:val="auto"/>
                <w:sz w:val="24"/>
                <w:highlight w:val="none"/>
              </w:rPr>
              <w:t>（</w:t>
            </w:r>
            <w:r>
              <w:rPr>
                <w:rFonts w:hint="eastAsia" w:ascii="宋体" w:hAnsi="宋体" w:cs="宋体"/>
                <w:b/>
                <w:color w:val="auto"/>
                <w:sz w:val="24"/>
                <w:highlight w:val="none"/>
                <w:lang w:val="en-US" w:eastAsia="zh-CN"/>
              </w:rPr>
              <w:t>6</w:t>
            </w:r>
            <w:r>
              <w:rPr>
                <w:rFonts w:hint="eastAsia" w:ascii="宋体" w:hAnsi="宋体" w:cs="宋体"/>
                <w:b/>
                <w:color w:val="auto"/>
                <w:sz w:val="24"/>
                <w:highlight w:val="none"/>
              </w:rPr>
              <w:t>0分）</w:t>
            </w:r>
          </w:p>
        </w:tc>
        <w:tc>
          <w:tcPr>
            <w:tcW w:w="1277" w:type="pct"/>
            <w:tcBorders>
              <w:right w:val="single" w:color="auto" w:sz="4" w:space="0"/>
            </w:tcBorders>
            <w:vAlign w:val="center"/>
          </w:tcPr>
          <w:p w14:paraId="132C090B">
            <w:pPr>
              <w:spacing w:line="360" w:lineRule="auto"/>
              <w:jc w:val="center"/>
              <w:rPr>
                <w:rFonts w:ascii="宋体" w:hAnsi="宋体" w:cs="宋体"/>
                <w:color w:val="auto"/>
                <w:sz w:val="24"/>
                <w:highlight w:val="none"/>
              </w:rPr>
            </w:pPr>
            <w:r>
              <w:rPr>
                <w:rFonts w:hint="eastAsia" w:ascii="宋体" w:hAnsi="宋体" w:cs="宋体"/>
                <w:b/>
                <w:bCs/>
                <w:color w:val="auto"/>
                <w:sz w:val="24"/>
                <w:highlight w:val="none"/>
              </w:rPr>
              <w:t>对本项目的理解（0-10分）</w:t>
            </w:r>
          </w:p>
        </w:tc>
        <w:tc>
          <w:tcPr>
            <w:tcW w:w="2984" w:type="pct"/>
            <w:tcBorders>
              <w:left w:val="single" w:color="auto" w:sz="4" w:space="0"/>
            </w:tcBorders>
            <w:vAlign w:val="center"/>
          </w:tcPr>
          <w:p w14:paraId="52CBF674">
            <w:pPr>
              <w:widowControl w:val="0"/>
              <w:adjustRightInd/>
              <w:snapToGrid/>
              <w:spacing w:line="40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对项目发展背景和对政策进行深入解读，准确理解本次规划的意义，解读充分，项目理解把握程度和整体思路符合招标要求，理念先进、编制思路清晰、重点突出的得10分；</w:t>
            </w:r>
          </w:p>
          <w:p w14:paraId="248F433B">
            <w:pPr>
              <w:widowControl w:val="0"/>
              <w:adjustRightInd/>
              <w:snapToGrid/>
              <w:spacing w:line="40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对本项目的整体理解把握程度和整体思路符合招标要求，理念及编制思路合理、有重点的得</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分；</w:t>
            </w:r>
          </w:p>
          <w:p w14:paraId="4A120049">
            <w:pPr>
              <w:widowControl w:val="0"/>
              <w:adjustRightInd/>
              <w:snapToGrid/>
              <w:spacing w:line="400" w:lineRule="exact"/>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rPr>
              <w:t>对本项目理解把握程度和整体思路基本符合招标要求，理念及编制思路可行的得</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分</w:t>
            </w:r>
            <w:r>
              <w:rPr>
                <w:rFonts w:hint="eastAsia" w:ascii="宋体" w:hAnsi="宋体" w:eastAsia="宋体" w:cs="宋体"/>
                <w:color w:val="auto"/>
                <w:sz w:val="24"/>
                <w:szCs w:val="24"/>
                <w:lang w:eastAsia="zh-CN"/>
              </w:rPr>
              <w:t>；</w:t>
            </w:r>
          </w:p>
          <w:p w14:paraId="7FB2B192">
            <w:pPr>
              <w:widowControl/>
              <w:kinsoku w:val="0"/>
              <w:autoSpaceDE w:val="0"/>
              <w:autoSpaceDN w:val="0"/>
              <w:adjustRightInd w:val="0"/>
              <w:snapToGrid w:val="0"/>
              <w:spacing w:line="360" w:lineRule="auto"/>
              <w:textAlignment w:val="baseline"/>
              <w:rPr>
                <w:rFonts w:ascii="宋体" w:hAnsi="宋体" w:cs="宋体"/>
                <w:color w:val="auto"/>
                <w:sz w:val="24"/>
                <w:highlight w:val="none"/>
              </w:rPr>
            </w:pPr>
            <w:r>
              <w:rPr>
                <w:rFonts w:hint="eastAsia" w:ascii="宋体" w:hAnsi="宋体" w:eastAsia="宋体" w:cs="宋体"/>
                <w:color w:val="auto"/>
                <w:sz w:val="24"/>
                <w:szCs w:val="24"/>
              </w:rPr>
              <w:t>缺项或不合理的，本项不得分。</w:t>
            </w:r>
          </w:p>
        </w:tc>
      </w:tr>
      <w:tr w14:paraId="0749BB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738" w:type="pct"/>
            <w:vMerge w:val="continue"/>
            <w:vAlign w:val="center"/>
          </w:tcPr>
          <w:p w14:paraId="3A1B3507">
            <w:pPr>
              <w:tabs>
                <w:tab w:val="left" w:pos="720"/>
              </w:tabs>
              <w:spacing w:line="480" w:lineRule="exact"/>
              <w:jc w:val="center"/>
              <w:rPr>
                <w:rFonts w:ascii="宋体" w:hAnsi="宋体" w:cs="宋体"/>
                <w:color w:val="auto"/>
                <w:sz w:val="24"/>
                <w:highlight w:val="none"/>
              </w:rPr>
            </w:pPr>
          </w:p>
        </w:tc>
        <w:tc>
          <w:tcPr>
            <w:tcW w:w="1277" w:type="pct"/>
            <w:tcBorders>
              <w:right w:val="single" w:color="auto" w:sz="4" w:space="0"/>
            </w:tcBorders>
            <w:vAlign w:val="center"/>
          </w:tcPr>
          <w:p w14:paraId="40CE1B3E">
            <w:pPr>
              <w:pStyle w:val="13"/>
              <w:widowControl/>
              <w:spacing w:line="259" w:lineRule="auto"/>
              <w:jc w:val="center"/>
              <w:textAlignment w:val="center"/>
              <w:rPr>
                <w:rFonts w:ascii="宋体" w:hAnsi="宋体" w:cs="宋体"/>
                <w:color w:val="auto"/>
                <w:highlight w:val="none"/>
              </w:rPr>
            </w:pPr>
            <w:r>
              <w:rPr>
                <w:rFonts w:hint="eastAsia" w:ascii="宋体" w:hAnsi="宋体" w:cs="宋体"/>
                <w:b/>
                <w:bCs/>
                <w:color w:val="auto"/>
                <w:highlight w:val="none"/>
              </w:rPr>
              <w:t>方案的编制（0-1</w:t>
            </w:r>
            <w:r>
              <w:rPr>
                <w:rFonts w:hint="eastAsia" w:ascii="宋体" w:hAnsi="宋体" w:cs="宋体"/>
                <w:b/>
                <w:bCs/>
                <w:color w:val="auto"/>
                <w:highlight w:val="none"/>
                <w:lang w:val="en-US" w:eastAsia="zh-CN"/>
              </w:rPr>
              <w:t>0</w:t>
            </w:r>
            <w:r>
              <w:rPr>
                <w:rFonts w:hint="eastAsia" w:ascii="宋体" w:hAnsi="宋体" w:cs="宋体"/>
                <w:b/>
                <w:bCs/>
                <w:color w:val="auto"/>
                <w:highlight w:val="none"/>
              </w:rPr>
              <w:t>分）</w:t>
            </w:r>
          </w:p>
        </w:tc>
        <w:tc>
          <w:tcPr>
            <w:tcW w:w="2984" w:type="pct"/>
            <w:tcBorders>
              <w:left w:val="single" w:color="auto" w:sz="4" w:space="0"/>
            </w:tcBorders>
            <w:vAlign w:val="center"/>
          </w:tcPr>
          <w:p w14:paraId="792909F1">
            <w:pPr>
              <w:widowControl/>
              <w:kinsoku w:val="0"/>
              <w:autoSpaceDE w:val="0"/>
              <w:autoSpaceDN w:val="0"/>
              <w:adjustRightInd w:val="0"/>
              <w:snapToGrid w:val="0"/>
              <w:spacing w:line="360" w:lineRule="auto"/>
              <w:textAlignment w:val="baseline"/>
              <w:rPr>
                <w:rFonts w:ascii="宋体" w:hAnsi="宋体" w:cs="宋体"/>
                <w:color w:val="auto"/>
                <w:sz w:val="24"/>
                <w:highlight w:val="none"/>
              </w:rPr>
            </w:pPr>
            <w:r>
              <w:rPr>
                <w:rFonts w:hint="eastAsia" w:ascii="宋体" w:hAnsi="宋体" w:cs="宋体"/>
                <w:color w:val="auto"/>
                <w:sz w:val="24"/>
                <w:highlight w:val="none"/>
              </w:rPr>
              <w:t>根据供应商对本项目编制原则、编制依据、总体思路、技术路线、工作方法等进行评分：</w:t>
            </w:r>
          </w:p>
          <w:p w14:paraId="366F4F46">
            <w:pPr>
              <w:widowControl/>
              <w:kinsoku w:val="0"/>
              <w:autoSpaceDE w:val="0"/>
              <w:autoSpaceDN w:val="0"/>
              <w:adjustRightInd w:val="0"/>
              <w:snapToGrid w:val="0"/>
              <w:spacing w:line="360" w:lineRule="auto"/>
              <w:textAlignment w:val="baseline"/>
              <w:rPr>
                <w:rFonts w:ascii="宋体" w:hAnsi="宋体" w:cs="宋体"/>
                <w:color w:val="auto"/>
                <w:sz w:val="24"/>
                <w:highlight w:val="none"/>
              </w:rPr>
            </w:pPr>
            <w:r>
              <w:rPr>
                <w:rFonts w:hint="eastAsia" w:ascii="宋体" w:hAnsi="宋体" w:cs="宋体"/>
                <w:color w:val="auto"/>
                <w:sz w:val="24"/>
                <w:highlight w:val="none"/>
              </w:rPr>
              <w:t>提供的方案内容完整、具体详细、表述清晰、透彻，得</w:t>
            </w:r>
            <w:r>
              <w:rPr>
                <w:rFonts w:hint="eastAsia" w:ascii="宋体" w:hAnsi="宋体" w:cs="宋体"/>
                <w:color w:val="auto"/>
                <w:sz w:val="24"/>
                <w:highlight w:val="none"/>
                <w:lang w:val="en-US" w:eastAsia="zh-CN"/>
              </w:rPr>
              <w:t>10</w:t>
            </w:r>
            <w:r>
              <w:rPr>
                <w:rFonts w:hint="eastAsia" w:ascii="宋体" w:hAnsi="宋体" w:cs="宋体"/>
                <w:color w:val="auto"/>
                <w:sz w:val="24"/>
                <w:highlight w:val="none"/>
              </w:rPr>
              <w:t>分；</w:t>
            </w:r>
          </w:p>
          <w:p w14:paraId="6740F97C">
            <w:pPr>
              <w:widowControl/>
              <w:kinsoku w:val="0"/>
              <w:autoSpaceDE w:val="0"/>
              <w:autoSpaceDN w:val="0"/>
              <w:adjustRightInd w:val="0"/>
              <w:snapToGrid w:val="0"/>
              <w:spacing w:line="360" w:lineRule="auto"/>
              <w:textAlignment w:val="baseline"/>
              <w:rPr>
                <w:rFonts w:ascii="宋体" w:hAnsi="宋体" w:cs="宋体"/>
                <w:color w:val="auto"/>
                <w:sz w:val="24"/>
                <w:highlight w:val="none"/>
              </w:rPr>
            </w:pPr>
            <w:r>
              <w:rPr>
                <w:rFonts w:hint="eastAsia" w:ascii="宋体" w:hAnsi="宋体" w:cs="宋体"/>
                <w:color w:val="auto"/>
                <w:sz w:val="24"/>
                <w:highlight w:val="none"/>
              </w:rPr>
              <w:t>提供的方案内容常规、通用，缺乏一定的针对性，得</w:t>
            </w:r>
            <w:r>
              <w:rPr>
                <w:rFonts w:hint="eastAsia" w:ascii="宋体" w:hAnsi="宋体" w:cs="宋体"/>
                <w:color w:val="auto"/>
                <w:sz w:val="24"/>
                <w:highlight w:val="none"/>
                <w:lang w:val="en-US" w:eastAsia="zh-CN"/>
              </w:rPr>
              <w:t>7</w:t>
            </w:r>
            <w:r>
              <w:rPr>
                <w:rFonts w:hint="eastAsia" w:ascii="宋体" w:hAnsi="宋体" w:cs="宋体"/>
                <w:color w:val="auto"/>
                <w:sz w:val="24"/>
                <w:highlight w:val="none"/>
              </w:rPr>
              <w:t>分；</w:t>
            </w:r>
          </w:p>
          <w:p w14:paraId="42AFE7B5">
            <w:pPr>
              <w:widowControl/>
              <w:kinsoku w:val="0"/>
              <w:autoSpaceDE w:val="0"/>
              <w:autoSpaceDN w:val="0"/>
              <w:adjustRightInd w:val="0"/>
              <w:snapToGrid w:val="0"/>
              <w:spacing w:line="360" w:lineRule="auto"/>
              <w:textAlignment w:val="baseline"/>
              <w:rPr>
                <w:rFonts w:ascii="宋体" w:hAnsi="宋体" w:cs="宋体"/>
                <w:color w:val="auto"/>
                <w:sz w:val="24"/>
                <w:highlight w:val="none"/>
              </w:rPr>
            </w:pPr>
            <w:r>
              <w:rPr>
                <w:rFonts w:hint="eastAsia" w:ascii="宋体" w:hAnsi="宋体" w:cs="宋体"/>
                <w:color w:val="auto"/>
                <w:sz w:val="24"/>
                <w:highlight w:val="none"/>
              </w:rPr>
              <w:t>提供的方案内容有缺失，整体表述笼统，得</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分；</w:t>
            </w:r>
          </w:p>
          <w:p w14:paraId="170DCBA2">
            <w:pPr>
              <w:widowControl/>
              <w:kinsoku w:val="0"/>
              <w:autoSpaceDE w:val="0"/>
              <w:autoSpaceDN w:val="0"/>
              <w:adjustRightInd w:val="0"/>
              <w:snapToGrid w:val="0"/>
              <w:spacing w:line="360" w:lineRule="auto"/>
              <w:textAlignment w:val="baseline"/>
              <w:rPr>
                <w:rFonts w:ascii="宋体" w:hAnsi="宋体" w:cs="宋体"/>
                <w:color w:val="auto"/>
                <w:sz w:val="24"/>
                <w:highlight w:val="none"/>
              </w:rPr>
            </w:pPr>
            <w:r>
              <w:rPr>
                <w:rFonts w:hint="eastAsia" w:ascii="宋体" w:hAnsi="宋体" w:cs="宋体"/>
                <w:color w:val="auto"/>
                <w:sz w:val="24"/>
                <w:highlight w:val="none"/>
              </w:rPr>
              <w:t>未提供方案或提供的方案不满足项目需求的，不得分。</w:t>
            </w:r>
          </w:p>
        </w:tc>
      </w:tr>
      <w:tr w14:paraId="2115FE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738" w:type="pct"/>
            <w:vMerge w:val="continue"/>
            <w:vAlign w:val="center"/>
          </w:tcPr>
          <w:p w14:paraId="608B68B2">
            <w:pPr>
              <w:tabs>
                <w:tab w:val="left" w:pos="720"/>
              </w:tabs>
              <w:spacing w:line="480" w:lineRule="exact"/>
              <w:jc w:val="center"/>
              <w:rPr>
                <w:rFonts w:ascii="宋体" w:hAnsi="宋体" w:cs="宋体"/>
                <w:color w:val="auto"/>
                <w:sz w:val="24"/>
                <w:highlight w:val="none"/>
              </w:rPr>
            </w:pPr>
          </w:p>
        </w:tc>
        <w:tc>
          <w:tcPr>
            <w:tcW w:w="1277" w:type="pct"/>
            <w:tcBorders>
              <w:right w:val="single" w:color="auto" w:sz="4" w:space="0"/>
            </w:tcBorders>
            <w:vAlign w:val="center"/>
          </w:tcPr>
          <w:p w14:paraId="5F3C4C41">
            <w:pPr>
              <w:pStyle w:val="13"/>
              <w:widowControl/>
              <w:jc w:val="center"/>
              <w:textAlignment w:val="center"/>
              <w:rPr>
                <w:rFonts w:ascii="宋体" w:hAnsi="宋体" w:cs="宋体"/>
                <w:color w:val="auto"/>
                <w:highlight w:val="none"/>
              </w:rPr>
            </w:pPr>
            <w:r>
              <w:rPr>
                <w:rFonts w:hint="eastAsia" w:ascii="宋体" w:hAnsi="宋体" w:cs="宋体"/>
                <w:b/>
                <w:bCs/>
                <w:color w:val="auto"/>
                <w:highlight w:val="none"/>
              </w:rPr>
              <w:t>工作进度计划与保证措施（0-</w:t>
            </w:r>
            <w:r>
              <w:rPr>
                <w:rFonts w:hint="eastAsia" w:ascii="宋体" w:hAnsi="宋体" w:cs="宋体"/>
                <w:b/>
                <w:bCs/>
                <w:color w:val="auto"/>
                <w:highlight w:val="none"/>
                <w:lang w:val="en-US" w:eastAsia="zh-CN"/>
              </w:rPr>
              <w:t>10</w:t>
            </w:r>
            <w:r>
              <w:rPr>
                <w:rFonts w:hint="eastAsia" w:ascii="宋体" w:hAnsi="宋体" w:cs="宋体"/>
                <w:b/>
                <w:bCs/>
                <w:color w:val="auto"/>
                <w:highlight w:val="none"/>
              </w:rPr>
              <w:t>分）</w:t>
            </w:r>
          </w:p>
        </w:tc>
        <w:tc>
          <w:tcPr>
            <w:tcW w:w="2984" w:type="pct"/>
            <w:tcBorders>
              <w:left w:val="single" w:color="auto" w:sz="4" w:space="0"/>
            </w:tcBorders>
            <w:vAlign w:val="center"/>
          </w:tcPr>
          <w:p w14:paraId="3121BBB1">
            <w:pPr>
              <w:widowControl/>
              <w:kinsoku w:val="0"/>
              <w:autoSpaceDE w:val="0"/>
              <w:autoSpaceDN w:val="0"/>
              <w:adjustRightInd w:val="0"/>
              <w:snapToGrid w:val="0"/>
              <w:spacing w:line="360" w:lineRule="auto"/>
              <w:textAlignment w:val="baseline"/>
              <w:rPr>
                <w:rFonts w:ascii="宋体" w:hAnsi="宋体" w:cs="宋体"/>
                <w:color w:val="auto"/>
                <w:sz w:val="24"/>
                <w:highlight w:val="none"/>
              </w:rPr>
            </w:pPr>
            <w:r>
              <w:rPr>
                <w:rFonts w:hint="eastAsia" w:ascii="宋体" w:hAnsi="宋体" w:cs="宋体"/>
                <w:color w:val="auto"/>
                <w:sz w:val="24"/>
                <w:highlight w:val="none"/>
              </w:rPr>
              <w:t>供应商针对本项目提出的工作进度安排，安排合理工作进度，时间节点安排事项，编制工作能够按时完成所提出的计划和保证措施：</w:t>
            </w:r>
          </w:p>
          <w:p w14:paraId="762A4552">
            <w:pPr>
              <w:widowControl/>
              <w:kinsoku w:val="0"/>
              <w:autoSpaceDE w:val="0"/>
              <w:autoSpaceDN w:val="0"/>
              <w:adjustRightInd w:val="0"/>
              <w:snapToGrid w:val="0"/>
              <w:spacing w:line="360" w:lineRule="auto"/>
              <w:textAlignment w:val="baseline"/>
              <w:rPr>
                <w:rFonts w:ascii="宋体" w:hAnsi="宋体" w:cs="宋体"/>
                <w:color w:val="auto"/>
                <w:sz w:val="24"/>
                <w:highlight w:val="none"/>
              </w:rPr>
            </w:pPr>
            <w:r>
              <w:rPr>
                <w:rFonts w:hint="eastAsia" w:ascii="宋体" w:hAnsi="宋体" w:cs="宋体"/>
                <w:color w:val="auto"/>
                <w:sz w:val="24"/>
                <w:highlight w:val="none"/>
              </w:rPr>
              <w:t>有工作部署及进度安排阐述，有具体措施描述，完全满足服务需求得</w:t>
            </w:r>
            <w:r>
              <w:rPr>
                <w:rFonts w:hint="eastAsia" w:ascii="宋体" w:hAnsi="宋体" w:cs="宋体"/>
                <w:color w:val="auto"/>
                <w:sz w:val="24"/>
                <w:highlight w:val="none"/>
                <w:lang w:val="en-US" w:eastAsia="zh-CN"/>
              </w:rPr>
              <w:t>10</w:t>
            </w:r>
            <w:r>
              <w:rPr>
                <w:rFonts w:hint="eastAsia" w:ascii="宋体" w:hAnsi="宋体" w:cs="宋体"/>
                <w:color w:val="auto"/>
                <w:sz w:val="24"/>
                <w:highlight w:val="none"/>
              </w:rPr>
              <w:t xml:space="preserve">分； </w:t>
            </w:r>
          </w:p>
          <w:p w14:paraId="13808DCA">
            <w:pPr>
              <w:widowControl/>
              <w:kinsoku w:val="0"/>
              <w:autoSpaceDE w:val="0"/>
              <w:autoSpaceDN w:val="0"/>
              <w:adjustRightInd w:val="0"/>
              <w:snapToGrid w:val="0"/>
              <w:spacing w:line="360" w:lineRule="auto"/>
              <w:textAlignment w:val="baseline"/>
              <w:rPr>
                <w:rFonts w:hint="eastAsia" w:ascii="宋体" w:hAnsi="宋体" w:cs="宋体"/>
                <w:color w:val="auto"/>
                <w:sz w:val="24"/>
                <w:highlight w:val="none"/>
              </w:rPr>
            </w:pPr>
            <w:r>
              <w:rPr>
                <w:rFonts w:hint="eastAsia" w:ascii="宋体" w:hAnsi="宋体" w:cs="宋体"/>
                <w:color w:val="auto"/>
                <w:sz w:val="24"/>
                <w:highlight w:val="none"/>
              </w:rPr>
              <w:t>有工作部署及进度安排阐述，但缺少具体措施描述或描述不够具体，满足服务需求得</w:t>
            </w:r>
            <w:r>
              <w:rPr>
                <w:rFonts w:hint="eastAsia" w:ascii="宋体" w:hAnsi="宋体" w:cs="宋体"/>
                <w:color w:val="auto"/>
                <w:sz w:val="24"/>
                <w:highlight w:val="none"/>
                <w:lang w:val="en-US" w:eastAsia="zh-CN"/>
              </w:rPr>
              <w:t>7</w:t>
            </w:r>
            <w:r>
              <w:rPr>
                <w:rFonts w:hint="eastAsia" w:ascii="宋体" w:hAnsi="宋体" w:cs="宋体"/>
                <w:color w:val="auto"/>
                <w:sz w:val="24"/>
                <w:highlight w:val="none"/>
              </w:rPr>
              <w:t>分；</w:t>
            </w:r>
          </w:p>
          <w:p w14:paraId="2B4E148A">
            <w:pPr>
              <w:widowControl/>
              <w:kinsoku w:val="0"/>
              <w:autoSpaceDE w:val="0"/>
              <w:autoSpaceDN w:val="0"/>
              <w:adjustRightInd w:val="0"/>
              <w:snapToGrid w:val="0"/>
              <w:spacing w:line="360" w:lineRule="auto"/>
              <w:textAlignment w:val="baseline"/>
              <w:rPr>
                <w:rFonts w:ascii="宋体" w:hAnsi="宋体" w:cs="宋体"/>
                <w:color w:val="auto"/>
                <w:sz w:val="24"/>
                <w:highlight w:val="none"/>
              </w:rPr>
            </w:pPr>
            <w:r>
              <w:rPr>
                <w:rFonts w:hint="eastAsia" w:ascii="宋体" w:hAnsi="宋体" w:cs="宋体"/>
                <w:color w:val="auto"/>
                <w:sz w:val="24"/>
                <w:highlight w:val="none"/>
              </w:rPr>
              <w:t>有工作部署及进度安排阐述，但部分方案阐述与服务需求存在偏差，不完全满足服务需求得</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分；</w:t>
            </w:r>
          </w:p>
          <w:p w14:paraId="7289873C">
            <w:pPr>
              <w:widowControl/>
              <w:kinsoku w:val="0"/>
              <w:autoSpaceDE w:val="0"/>
              <w:autoSpaceDN w:val="0"/>
              <w:adjustRightInd w:val="0"/>
              <w:snapToGrid w:val="0"/>
              <w:spacing w:line="360" w:lineRule="auto"/>
              <w:textAlignment w:val="baseline"/>
              <w:rPr>
                <w:rFonts w:ascii="宋体" w:hAnsi="宋体" w:cs="宋体"/>
                <w:color w:val="auto"/>
                <w:sz w:val="24"/>
                <w:highlight w:val="none"/>
              </w:rPr>
            </w:pPr>
            <w:r>
              <w:rPr>
                <w:rFonts w:hint="eastAsia" w:ascii="宋体" w:hAnsi="宋体" w:cs="宋体"/>
                <w:color w:val="auto"/>
                <w:sz w:val="24"/>
                <w:highlight w:val="none"/>
              </w:rPr>
              <w:t>未提供的不得分。</w:t>
            </w:r>
          </w:p>
        </w:tc>
      </w:tr>
      <w:tr w14:paraId="6C29D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738" w:type="pct"/>
            <w:vMerge w:val="continue"/>
            <w:vAlign w:val="center"/>
          </w:tcPr>
          <w:p w14:paraId="3BC2D105">
            <w:pPr>
              <w:tabs>
                <w:tab w:val="left" w:pos="720"/>
              </w:tabs>
              <w:spacing w:line="480" w:lineRule="exact"/>
              <w:jc w:val="center"/>
              <w:rPr>
                <w:rFonts w:ascii="宋体" w:hAnsi="宋体" w:cs="宋体"/>
                <w:color w:val="auto"/>
                <w:sz w:val="24"/>
                <w:highlight w:val="none"/>
              </w:rPr>
            </w:pPr>
          </w:p>
        </w:tc>
        <w:tc>
          <w:tcPr>
            <w:tcW w:w="1277" w:type="pct"/>
            <w:tcBorders>
              <w:right w:val="single" w:color="auto" w:sz="4" w:space="0"/>
            </w:tcBorders>
            <w:vAlign w:val="center"/>
          </w:tcPr>
          <w:p w14:paraId="3BD96EC1">
            <w:pPr>
              <w:spacing w:line="360" w:lineRule="auto"/>
              <w:jc w:val="center"/>
              <w:rPr>
                <w:rFonts w:ascii="宋体" w:hAnsi="宋体" w:cs="宋体"/>
                <w:b/>
                <w:bCs/>
                <w:color w:val="auto"/>
                <w:highlight w:val="none"/>
              </w:rPr>
            </w:pPr>
            <w:r>
              <w:rPr>
                <w:rFonts w:hint="eastAsia" w:ascii="宋体" w:hAnsi="宋体" w:cs="宋体"/>
                <w:b/>
                <w:bCs/>
                <w:color w:val="auto"/>
                <w:highlight w:val="none"/>
              </w:rPr>
              <w:t>工作重点、难点分析及相关的应对方法（0-</w:t>
            </w:r>
            <w:r>
              <w:rPr>
                <w:rFonts w:hint="eastAsia" w:ascii="宋体" w:hAnsi="宋体" w:cs="宋体"/>
                <w:b/>
                <w:bCs/>
                <w:color w:val="auto"/>
                <w:highlight w:val="none"/>
                <w:lang w:val="en-US" w:eastAsia="zh-CN"/>
              </w:rPr>
              <w:t>10</w:t>
            </w:r>
            <w:r>
              <w:rPr>
                <w:rFonts w:hint="eastAsia" w:ascii="宋体" w:hAnsi="宋体" w:cs="宋体"/>
                <w:b/>
                <w:bCs/>
                <w:color w:val="auto"/>
                <w:highlight w:val="none"/>
              </w:rPr>
              <w:t>分）</w:t>
            </w:r>
          </w:p>
        </w:tc>
        <w:tc>
          <w:tcPr>
            <w:tcW w:w="2984" w:type="pct"/>
            <w:tcBorders>
              <w:left w:val="single" w:color="auto" w:sz="4" w:space="0"/>
            </w:tcBorders>
            <w:vAlign w:val="center"/>
          </w:tcPr>
          <w:p w14:paraId="45E1380B">
            <w:pPr>
              <w:widowControl/>
              <w:kinsoku w:val="0"/>
              <w:autoSpaceDE w:val="0"/>
              <w:autoSpaceDN w:val="0"/>
              <w:adjustRightInd w:val="0"/>
              <w:snapToGrid w:val="0"/>
              <w:spacing w:line="360" w:lineRule="auto"/>
              <w:textAlignment w:val="baseline"/>
              <w:rPr>
                <w:rFonts w:ascii="宋体" w:hAnsi="宋体" w:cs="宋体"/>
                <w:color w:val="auto"/>
                <w:sz w:val="24"/>
                <w:highlight w:val="none"/>
              </w:rPr>
            </w:pPr>
            <w:r>
              <w:rPr>
                <w:rFonts w:hint="eastAsia" w:ascii="宋体" w:hAnsi="宋体" w:cs="宋体"/>
                <w:color w:val="auto"/>
                <w:sz w:val="24"/>
                <w:highlight w:val="none"/>
              </w:rPr>
              <w:t>工作重点、难点分析及相关的应对方法的完整性，根据方案是否科学可行、合理有效及针对性进行评分：</w:t>
            </w:r>
          </w:p>
          <w:p w14:paraId="4769330B">
            <w:pPr>
              <w:widowControl/>
              <w:numPr>
                <w:ilvl w:val="0"/>
                <w:numId w:val="3"/>
              </w:numPr>
              <w:kinsoku w:val="0"/>
              <w:autoSpaceDE w:val="0"/>
              <w:autoSpaceDN w:val="0"/>
              <w:adjustRightInd w:val="0"/>
              <w:snapToGrid w:val="0"/>
              <w:spacing w:line="360" w:lineRule="auto"/>
              <w:textAlignment w:val="baseline"/>
              <w:rPr>
                <w:rFonts w:hint="eastAsia" w:ascii="宋体" w:hAnsi="宋体" w:cs="宋体"/>
                <w:color w:val="auto"/>
                <w:sz w:val="24"/>
                <w:highlight w:val="none"/>
              </w:rPr>
            </w:pPr>
            <w:r>
              <w:rPr>
                <w:rFonts w:hint="eastAsia" w:ascii="宋体" w:hAnsi="宋体" w:cs="宋体"/>
                <w:color w:val="auto"/>
                <w:sz w:val="24"/>
                <w:highlight w:val="none"/>
              </w:rPr>
              <w:t>方案针对重点难点分析完整、详细、具体、分析透彻、认识全面、对应措施详细可行的，得10分；</w:t>
            </w:r>
          </w:p>
          <w:p w14:paraId="36C93866">
            <w:pPr>
              <w:widowControl/>
              <w:numPr>
                <w:ilvl w:val="0"/>
                <w:numId w:val="3"/>
              </w:numPr>
              <w:kinsoku w:val="0"/>
              <w:autoSpaceDE w:val="0"/>
              <w:autoSpaceDN w:val="0"/>
              <w:adjustRightInd w:val="0"/>
              <w:snapToGrid w:val="0"/>
              <w:spacing w:line="360" w:lineRule="auto"/>
              <w:ind w:left="0" w:leftChars="0" w:firstLine="0" w:firstLineChars="0"/>
              <w:textAlignment w:val="baseline"/>
              <w:rPr>
                <w:rFonts w:hint="eastAsia" w:ascii="宋体" w:hAnsi="宋体" w:cs="宋体"/>
                <w:color w:val="auto"/>
                <w:sz w:val="24"/>
                <w:highlight w:val="none"/>
              </w:rPr>
            </w:pPr>
            <w:r>
              <w:rPr>
                <w:rFonts w:hint="eastAsia" w:ascii="宋体" w:hAnsi="宋体" w:cs="宋体"/>
                <w:color w:val="auto"/>
                <w:sz w:val="24"/>
                <w:highlight w:val="none"/>
              </w:rPr>
              <w:t>方案对重点难点有一定针对性，分析具体、认识全面，对应可行的，得</w:t>
            </w:r>
            <w:r>
              <w:rPr>
                <w:rFonts w:hint="eastAsia" w:ascii="宋体" w:hAnsi="宋体" w:cs="宋体"/>
                <w:color w:val="auto"/>
                <w:sz w:val="24"/>
                <w:highlight w:val="none"/>
                <w:lang w:val="en-US" w:eastAsia="zh-CN"/>
              </w:rPr>
              <w:t>7</w:t>
            </w:r>
            <w:r>
              <w:rPr>
                <w:rFonts w:hint="eastAsia" w:ascii="宋体" w:hAnsi="宋体" w:cs="宋体"/>
                <w:color w:val="auto"/>
                <w:sz w:val="24"/>
                <w:highlight w:val="none"/>
              </w:rPr>
              <w:t>分；</w:t>
            </w:r>
          </w:p>
          <w:p w14:paraId="1D01E033">
            <w:pPr>
              <w:widowControl/>
              <w:numPr>
                <w:ilvl w:val="0"/>
                <w:numId w:val="3"/>
              </w:numPr>
              <w:kinsoku w:val="0"/>
              <w:autoSpaceDE w:val="0"/>
              <w:autoSpaceDN w:val="0"/>
              <w:adjustRightInd w:val="0"/>
              <w:snapToGrid w:val="0"/>
              <w:spacing w:line="360" w:lineRule="auto"/>
              <w:ind w:left="0" w:leftChars="0" w:firstLine="0" w:firstLineChars="0"/>
              <w:textAlignment w:val="baseline"/>
              <w:rPr>
                <w:rFonts w:hint="eastAsia" w:ascii="宋体" w:hAnsi="宋体" w:cs="宋体"/>
                <w:color w:val="auto"/>
                <w:sz w:val="24"/>
                <w:highlight w:val="none"/>
              </w:rPr>
            </w:pPr>
            <w:r>
              <w:rPr>
                <w:rFonts w:hint="eastAsia" w:ascii="宋体" w:hAnsi="宋体" w:cs="宋体"/>
                <w:color w:val="auto"/>
                <w:sz w:val="24"/>
                <w:highlight w:val="none"/>
              </w:rPr>
              <w:t>有重点难点分析内容的，得</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分；</w:t>
            </w:r>
          </w:p>
          <w:p w14:paraId="6C1EF0BC">
            <w:pPr>
              <w:widowControl/>
              <w:numPr>
                <w:ilvl w:val="0"/>
                <w:numId w:val="0"/>
              </w:numPr>
              <w:kinsoku w:val="0"/>
              <w:autoSpaceDE w:val="0"/>
              <w:autoSpaceDN w:val="0"/>
              <w:adjustRightInd w:val="0"/>
              <w:snapToGrid w:val="0"/>
              <w:spacing w:line="360" w:lineRule="auto"/>
              <w:ind w:leftChars="0"/>
              <w:textAlignment w:val="baseline"/>
              <w:rPr>
                <w:rFonts w:ascii="宋体" w:hAnsi="宋体" w:cs="宋体"/>
                <w:color w:val="auto"/>
                <w:sz w:val="24"/>
                <w:highlight w:val="none"/>
              </w:rPr>
            </w:pPr>
            <w:r>
              <w:rPr>
                <w:rFonts w:hint="eastAsia" w:ascii="宋体" w:hAnsi="宋体" w:cs="宋体"/>
                <w:color w:val="auto"/>
                <w:sz w:val="24"/>
                <w:highlight w:val="none"/>
              </w:rPr>
              <w:t>（4）缺项得0分。</w:t>
            </w:r>
          </w:p>
        </w:tc>
      </w:tr>
      <w:tr w14:paraId="697CF8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738" w:type="pct"/>
            <w:vMerge w:val="continue"/>
            <w:vAlign w:val="center"/>
          </w:tcPr>
          <w:p w14:paraId="146A8C4F">
            <w:pPr>
              <w:tabs>
                <w:tab w:val="left" w:pos="720"/>
              </w:tabs>
              <w:spacing w:line="480" w:lineRule="exact"/>
              <w:jc w:val="center"/>
              <w:rPr>
                <w:rFonts w:ascii="宋体" w:hAnsi="宋体" w:cs="宋体"/>
                <w:color w:val="auto"/>
                <w:sz w:val="24"/>
                <w:highlight w:val="none"/>
              </w:rPr>
            </w:pPr>
          </w:p>
        </w:tc>
        <w:tc>
          <w:tcPr>
            <w:tcW w:w="1277" w:type="pct"/>
            <w:tcBorders>
              <w:right w:val="single" w:color="auto" w:sz="4" w:space="0"/>
            </w:tcBorders>
            <w:vAlign w:val="center"/>
          </w:tcPr>
          <w:p w14:paraId="569562BA">
            <w:pPr>
              <w:spacing w:line="360" w:lineRule="auto"/>
              <w:jc w:val="center"/>
              <w:rPr>
                <w:rFonts w:hint="eastAsia" w:ascii="宋体" w:hAnsi="宋体" w:cs="宋体"/>
                <w:b/>
                <w:bCs/>
                <w:color w:val="auto"/>
                <w:highlight w:val="none"/>
              </w:rPr>
            </w:pPr>
            <w:r>
              <w:rPr>
                <w:rFonts w:hint="eastAsia" w:ascii="宋体" w:hAnsi="宋体" w:cs="宋体"/>
                <w:b/>
                <w:bCs/>
                <w:color w:val="auto"/>
                <w:sz w:val="24"/>
                <w:highlight w:val="none"/>
              </w:rPr>
              <w:t>质量管理体系与保证措施（0-</w:t>
            </w:r>
            <w:r>
              <w:rPr>
                <w:rFonts w:hint="eastAsia" w:ascii="宋体" w:hAnsi="宋体" w:cs="宋体"/>
                <w:b/>
                <w:bCs/>
                <w:color w:val="auto"/>
                <w:sz w:val="24"/>
                <w:highlight w:val="none"/>
                <w:lang w:val="en-US" w:eastAsia="zh-CN"/>
              </w:rPr>
              <w:t>10</w:t>
            </w:r>
            <w:r>
              <w:rPr>
                <w:rFonts w:hint="eastAsia" w:ascii="宋体" w:hAnsi="宋体" w:cs="宋体"/>
                <w:b/>
                <w:bCs/>
                <w:color w:val="auto"/>
                <w:sz w:val="24"/>
                <w:highlight w:val="none"/>
              </w:rPr>
              <w:t>分）</w:t>
            </w:r>
          </w:p>
        </w:tc>
        <w:tc>
          <w:tcPr>
            <w:tcW w:w="2984" w:type="pct"/>
            <w:tcBorders>
              <w:left w:val="single" w:color="auto" w:sz="4" w:space="0"/>
            </w:tcBorders>
            <w:vAlign w:val="center"/>
          </w:tcPr>
          <w:p w14:paraId="5F3CE2D5">
            <w:pPr>
              <w:widowControl/>
              <w:kinsoku w:val="0"/>
              <w:autoSpaceDE w:val="0"/>
              <w:autoSpaceDN w:val="0"/>
              <w:adjustRightInd w:val="0"/>
              <w:snapToGrid w:val="0"/>
              <w:spacing w:line="360" w:lineRule="auto"/>
              <w:textAlignment w:val="baseline"/>
              <w:rPr>
                <w:rFonts w:ascii="宋体" w:hAnsi="宋体" w:cs="宋体"/>
                <w:color w:val="auto"/>
                <w:sz w:val="24"/>
                <w:highlight w:val="none"/>
              </w:rPr>
            </w:pPr>
            <w:r>
              <w:rPr>
                <w:rFonts w:hint="eastAsia" w:ascii="宋体" w:hAnsi="宋体" w:cs="宋体"/>
                <w:color w:val="auto"/>
                <w:kern w:val="0"/>
                <w:sz w:val="24"/>
                <w:highlight w:val="none"/>
                <w:lang w:bidi="ar"/>
              </w:rPr>
              <w:t>供应商根据采购需求从</w:t>
            </w:r>
            <w:r>
              <w:rPr>
                <w:rFonts w:hint="eastAsia" w:ascii="宋体" w:hAnsi="宋体" w:cs="宋体"/>
                <w:color w:val="auto"/>
                <w:sz w:val="24"/>
                <w:highlight w:val="none"/>
              </w:rPr>
              <w:t>组织、质量、技术和保密等措施</w:t>
            </w:r>
            <w:r>
              <w:rPr>
                <w:rFonts w:hint="eastAsia" w:ascii="宋体" w:hAnsi="宋体" w:cs="宋体"/>
                <w:color w:val="auto"/>
                <w:kern w:val="0"/>
                <w:sz w:val="24"/>
                <w:highlight w:val="none"/>
                <w:lang w:bidi="ar"/>
              </w:rPr>
              <w:t>进行阐述：</w:t>
            </w:r>
          </w:p>
          <w:p w14:paraId="3DD6E0F1">
            <w:pPr>
              <w:widowControl/>
              <w:kinsoku w:val="0"/>
              <w:autoSpaceDE w:val="0"/>
              <w:autoSpaceDN w:val="0"/>
              <w:adjustRightInd w:val="0"/>
              <w:snapToGrid w:val="0"/>
              <w:spacing w:line="360" w:lineRule="auto"/>
              <w:textAlignment w:val="baseline"/>
              <w:rPr>
                <w:rFonts w:ascii="宋体" w:hAnsi="宋体" w:cs="宋体"/>
                <w:color w:val="auto"/>
                <w:sz w:val="24"/>
                <w:highlight w:val="none"/>
              </w:rPr>
            </w:pPr>
            <w:r>
              <w:rPr>
                <w:rFonts w:hint="eastAsia" w:ascii="宋体" w:hAnsi="宋体" w:cs="宋体"/>
                <w:color w:val="auto"/>
                <w:sz w:val="24"/>
                <w:highlight w:val="none"/>
              </w:rPr>
              <w:t>组织、质量、技术和保密措施得当，可操作性及针对性强、与本项目实施内容相匹配的得</w:t>
            </w:r>
            <w:r>
              <w:rPr>
                <w:rFonts w:hint="eastAsia" w:ascii="宋体" w:hAnsi="宋体" w:cs="宋体"/>
                <w:color w:val="auto"/>
                <w:sz w:val="24"/>
                <w:highlight w:val="none"/>
                <w:lang w:val="en-US" w:eastAsia="zh-CN"/>
              </w:rPr>
              <w:t>10</w:t>
            </w:r>
            <w:r>
              <w:rPr>
                <w:rFonts w:hint="eastAsia" w:ascii="宋体" w:hAnsi="宋体" w:cs="宋体"/>
                <w:color w:val="auto"/>
                <w:sz w:val="24"/>
                <w:highlight w:val="none"/>
              </w:rPr>
              <w:t>分；</w:t>
            </w:r>
          </w:p>
          <w:p w14:paraId="7780560A">
            <w:pPr>
              <w:widowControl/>
              <w:kinsoku w:val="0"/>
              <w:autoSpaceDE w:val="0"/>
              <w:autoSpaceDN w:val="0"/>
              <w:adjustRightInd w:val="0"/>
              <w:snapToGrid w:val="0"/>
              <w:spacing w:line="360" w:lineRule="auto"/>
              <w:textAlignment w:val="baseline"/>
              <w:rPr>
                <w:rFonts w:ascii="宋体" w:hAnsi="宋体" w:cs="宋体"/>
                <w:color w:val="auto"/>
                <w:sz w:val="24"/>
                <w:highlight w:val="none"/>
              </w:rPr>
            </w:pPr>
            <w:r>
              <w:rPr>
                <w:rFonts w:hint="eastAsia" w:ascii="宋体" w:hAnsi="宋体" w:cs="宋体"/>
                <w:color w:val="auto"/>
                <w:sz w:val="24"/>
                <w:highlight w:val="none"/>
              </w:rPr>
              <w:t>组织、质量、技术和保密措施可行，可操作性基本得当的得</w:t>
            </w:r>
            <w:r>
              <w:rPr>
                <w:rFonts w:hint="eastAsia" w:ascii="宋体" w:hAnsi="宋体" w:cs="宋体"/>
                <w:color w:val="auto"/>
                <w:sz w:val="24"/>
                <w:highlight w:val="none"/>
                <w:lang w:val="en-US" w:eastAsia="zh-CN"/>
              </w:rPr>
              <w:t>7</w:t>
            </w:r>
            <w:r>
              <w:rPr>
                <w:rFonts w:hint="eastAsia" w:ascii="宋体" w:hAnsi="宋体" w:cs="宋体"/>
                <w:color w:val="auto"/>
                <w:sz w:val="24"/>
                <w:highlight w:val="none"/>
              </w:rPr>
              <w:t>分；</w:t>
            </w:r>
          </w:p>
          <w:p w14:paraId="1171AB55">
            <w:pPr>
              <w:widowControl/>
              <w:kinsoku w:val="0"/>
              <w:autoSpaceDE w:val="0"/>
              <w:autoSpaceDN w:val="0"/>
              <w:adjustRightInd w:val="0"/>
              <w:snapToGrid w:val="0"/>
              <w:spacing w:line="360" w:lineRule="auto"/>
              <w:textAlignment w:val="baseline"/>
              <w:rPr>
                <w:rFonts w:ascii="宋体" w:hAnsi="宋体" w:cs="宋体"/>
                <w:color w:val="auto"/>
                <w:sz w:val="24"/>
                <w:highlight w:val="none"/>
              </w:rPr>
            </w:pPr>
            <w:r>
              <w:rPr>
                <w:rFonts w:hint="eastAsia" w:ascii="宋体" w:hAnsi="宋体" w:cs="宋体"/>
                <w:color w:val="auto"/>
                <w:sz w:val="24"/>
                <w:highlight w:val="none"/>
              </w:rPr>
              <w:t>组织、质量、技术和保密措施一般、可操作性一般的得</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分；</w:t>
            </w:r>
          </w:p>
          <w:p w14:paraId="3BF963F8">
            <w:pPr>
              <w:widowControl/>
              <w:kinsoku w:val="0"/>
              <w:autoSpaceDE w:val="0"/>
              <w:autoSpaceDN w:val="0"/>
              <w:adjustRightInd w:val="0"/>
              <w:snapToGrid w:val="0"/>
              <w:spacing w:line="360" w:lineRule="auto"/>
              <w:textAlignment w:val="baseline"/>
              <w:rPr>
                <w:rFonts w:hint="eastAsia" w:ascii="宋体" w:hAnsi="宋体" w:cs="宋体"/>
                <w:color w:val="auto"/>
                <w:sz w:val="24"/>
                <w:highlight w:val="none"/>
              </w:rPr>
            </w:pPr>
            <w:r>
              <w:rPr>
                <w:rFonts w:hint="eastAsia" w:ascii="宋体" w:hAnsi="宋体" w:cs="宋体"/>
                <w:color w:val="auto"/>
                <w:sz w:val="24"/>
                <w:highlight w:val="none"/>
              </w:rPr>
              <w:t>未提供的不得分。</w:t>
            </w:r>
          </w:p>
        </w:tc>
      </w:tr>
      <w:tr w14:paraId="22F63F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738" w:type="pct"/>
            <w:vMerge w:val="continue"/>
            <w:vAlign w:val="center"/>
          </w:tcPr>
          <w:p w14:paraId="36C97114">
            <w:pPr>
              <w:tabs>
                <w:tab w:val="left" w:pos="720"/>
              </w:tabs>
              <w:spacing w:line="480" w:lineRule="exact"/>
              <w:jc w:val="center"/>
              <w:rPr>
                <w:rFonts w:ascii="宋体" w:hAnsi="宋体" w:cs="宋体"/>
                <w:color w:val="auto"/>
                <w:sz w:val="24"/>
                <w:highlight w:val="none"/>
              </w:rPr>
            </w:pPr>
          </w:p>
        </w:tc>
        <w:tc>
          <w:tcPr>
            <w:tcW w:w="1277" w:type="pct"/>
            <w:tcBorders>
              <w:right w:val="single" w:color="auto" w:sz="4" w:space="0"/>
            </w:tcBorders>
            <w:vAlign w:val="center"/>
          </w:tcPr>
          <w:p w14:paraId="0A734434">
            <w:pPr>
              <w:spacing w:line="360" w:lineRule="auto"/>
              <w:jc w:val="center"/>
              <w:rPr>
                <w:rFonts w:hint="eastAsia" w:ascii="宋体" w:hAnsi="宋体" w:cs="宋体"/>
                <w:b/>
                <w:bCs/>
                <w:color w:val="auto"/>
                <w:sz w:val="24"/>
                <w:highlight w:val="none"/>
              </w:rPr>
            </w:pPr>
            <w:r>
              <w:rPr>
                <w:rFonts w:hint="eastAsia" w:ascii="宋体" w:hAnsi="宋体" w:cs="宋体"/>
                <w:b/>
                <w:bCs/>
                <w:color w:val="auto"/>
                <w:sz w:val="24"/>
                <w:highlight w:val="none"/>
              </w:rPr>
              <w:t>保密制度与措施（0-</w:t>
            </w:r>
            <w:r>
              <w:rPr>
                <w:rFonts w:hint="eastAsia" w:ascii="宋体" w:hAnsi="宋体" w:cs="宋体"/>
                <w:b/>
                <w:bCs/>
                <w:color w:val="auto"/>
                <w:sz w:val="24"/>
                <w:highlight w:val="none"/>
                <w:lang w:val="en-US" w:eastAsia="zh-CN"/>
              </w:rPr>
              <w:t>5</w:t>
            </w:r>
            <w:r>
              <w:rPr>
                <w:rFonts w:hint="eastAsia" w:ascii="宋体" w:hAnsi="宋体" w:cs="宋体"/>
                <w:b/>
                <w:bCs/>
                <w:color w:val="auto"/>
                <w:sz w:val="24"/>
                <w:highlight w:val="none"/>
              </w:rPr>
              <w:t>分）</w:t>
            </w:r>
          </w:p>
        </w:tc>
        <w:tc>
          <w:tcPr>
            <w:tcW w:w="2984" w:type="pct"/>
            <w:tcBorders>
              <w:left w:val="single" w:color="auto" w:sz="4" w:space="0"/>
            </w:tcBorders>
            <w:vAlign w:val="center"/>
          </w:tcPr>
          <w:p w14:paraId="77272F04">
            <w:pPr>
              <w:widowControl/>
              <w:kinsoku w:val="0"/>
              <w:autoSpaceDE w:val="0"/>
              <w:autoSpaceDN w:val="0"/>
              <w:adjustRightInd w:val="0"/>
              <w:snapToGrid w:val="0"/>
              <w:spacing w:line="360" w:lineRule="auto"/>
              <w:textAlignment w:val="baseline"/>
              <w:rPr>
                <w:rFonts w:hint="eastAsia" w:ascii="宋体" w:hAnsi="宋体" w:cs="宋体"/>
                <w:color w:val="auto"/>
                <w:sz w:val="24"/>
                <w:highlight w:val="none"/>
              </w:rPr>
            </w:pPr>
            <w:r>
              <w:rPr>
                <w:rFonts w:hint="eastAsia" w:ascii="宋体" w:hAnsi="宋体" w:cs="宋体"/>
                <w:color w:val="auto"/>
                <w:sz w:val="24"/>
                <w:highlight w:val="none"/>
              </w:rPr>
              <w:t>有完整的保密制度，且工作各阶段及成果保密措施切实可实施，针对数据泄露有完善的应急措施。</w:t>
            </w:r>
          </w:p>
          <w:p w14:paraId="64E81C60">
            <w:pPr>
              <w:widowControl/>
              <w:kinsoku w:val="0"/>
              <w:autoSpaceDE w:val="0"/>
              <w:autoSpaceDN w:val="0"/>
              <w:adjustRightInd w:val="0"/>
              <w:snapToGrid w:val="0"/>
              <w:spacing w:line="360" w:lineRule="auto"/>
              <w:textAlignment w:val="baseline"/>
              <w:rPr>
                <w:rFonts w:hint="eastAsia" w:ascii="宋体" w:hAnsi="宋体" w:cs="宋体"/>
                <w:color w:val="auto"/>
                <w:sz w:val="24"/>
                <w:highlight w:val="none"/>
              </w:rPr>
            </w:pPr>
            <w:r>
              <w:rPr>
                <w:rFonts w:hint="eastAsia" w:ascii="宋体" w:hAnsi="宋体" w:cs="宋体"/>
                <w:color w:val="auto"/>
                <w:sz w:val="24"/>
                <w:highlight w:val="none"/>
              </w:rPr>
              <w:t>内容完整全面、方案科学可行性强、措施合理得</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分；</w:t>
            </w:r>
          </w:p>
          <w:p w14:paraId="3B8EBA3F">
            <w:pPr>
              <w:widowControl/>
              <w:kinsoku w:val="0"/>
              <w:autoSpaceDE w:val="0"/>
              <w:autoSpaceDN w:val="0"/>
              <w:adjustRightInd w:val="0"/>
              <w:snapToGrid w:val="0"/>
              <w:spacing w:line="360" w:lineRule="auto"/>
              <w:textAlignment w:val="baseline"/>
              <w:rPr>
                <w:rFonts w:hint="eastAsia" w:ascii="宋体" w:hAnsi="宋体" w:cs="宋体"/>
                <w:color w:val="auto"/>
                <w:sz w:val="24"/>
                <w:highlight w:val="none"/>
              </w:rPr>
            </w:pPr>
            <w:r>
              <w:rPr>
                <w:rFonts w:hint="eastAsia" w:ascii="宋体" w:hAnsi="宋体" w:cs="宋体"/>
                <w:color w:val="auto"/>
                <w:sz w:val="24"/>
                <w:highlight w:val="none"/>
              </w:rPr>
              <w:t>内容较完整、方案科学可行性较强、措施较合理得</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分；</w:t>
            </w:r>
          </w:p>
          <w:p w14:paraId="485C82A5">
            <w:pPr>
              <w:widowControl/>
              <w:kinsoku w:val="0"/>
              <w:autoSpaceDE w:val="0"/>
              <w:autoSpaceDN w:val="0"/>
              <w:adjustRightInd w:val="0"/>
              <w:snapToGrid w:val="0"/>
              <w:spacing w:line="360" w:lineRule="auto"/>
              <w:textAlignment w:val="baseline"/>
              <w:rPr>
                <w:rFonts w:hint="eastAsia" w:ascii="宋体" w:hAnsi="宋体" w:cs="宋体"/>
                <w:color w:val="auto"/>
                <w:sz w:val="24"/>
                <w:highlight w:val="none"/>
              </w:rPr>
            </w:pPr>
            <w:r>
              <w:rPr>
                <w:rFonts w:hint="eastAsia" w:ascii="宋体" w:hAnsi="宋体" w:cs="宋体"/>
                <w:color w:val="auto"/>
                <w:sz w:val="24"/>
                <w:highlight w:val="none"/>
              </w:rPr>
              <w:t>内容基本完整、方案措施基本完善得</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分；</w:t>
            </w:r>
          </w:p>
          <w:p w14:paraId="2094FF9A">
            <w:pPr>
              <w:widowControl/>
              <w:kinsoku w:val="0"/>
              <w:autoSpaceDE w:val="0"/>
              <w:autoSpaceDN w:val="0"/>
              <w:adjustRightInd w:val="0"/>
              <w:snapToGrid w:val="0"/>
              <w:spacing w:line="360" w:lineRule="auto"/>
              <w:textAlignment w:val="baseline"/>
              <w:rPr>
                <w:rFonts w:hint="eastAsia" w:ascii="宋体" w:hAnsi="宋体" w:cs="宋体"/>
                <w:color w:val="auto"/>
                <w:sz w:val="24"/>
                <w:highlight w:val="none"/>
              </w:rPr>
            </w:pPr>
            <w:r>
              <w:rPr>
                <w:rFonts w:hint="eastAsia" w:ascii="宋体" w:hAnsi="宋体" w:cs="宋体"/>
                <w:color w:val="auto"/>
                <w:sz w:val="24"/>
                <w:highlight w:val="none"/>
              </w:rPr>
              <w:t>缺项不得分。</w:t>
            </w:r>
          </w:p>
        </w:tc>
      </w:tr>
      <w:tr w14:paraId="4B25FF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738" w:type="pct"/>
            <w:vMerge w:val="continue"/>
            <w:vAlign w:val="center"/>
          </w:tcPr>
          <w:p w14:paraId="13203D5E">
            <w:pPr>
              <w:tabs>
                <w:tab w:val="left" w:pos="720"/>
              </w:tabs>
              <w:spacing w:line="480" w:lineRule="exact"/>
              <w:jc w:val="center"/>
              <w:rPr>
                <w:rFonts w:ascii="宋体" w:hAnsi="宋体" w:cs="宋体"/>
                <w:color w:val="auto"/>
                <w:sz w:val="24"/>
                <w:highlight w:val="none"/>
              </w:rPr>
            </w:pPr>
          </w:p>
        </w:tc>
        <w:tc>
          <w:tcPr>
            <w:tcW w:w="1277" w:type="pct"/>
            <w:tcBorders>
              <w:right w:val="single" w:color="auto" w:sz="4" w:space="0"/>
            </w:tcBorders>
            <w:vAlign w:val="center"/>
          </w:tcPr>
          <w:p w14:paraId="1548E266">
            <w:pPr>
              <w:spacing w:line="360" w:lineRule="auto"/>
              <w:jc w:val="center"/>
              <w:rPr>
                <w:rFonts w:ascii="宋体" w:hAnsi="宋体" w:cs="宋体"/>
                <w:b/>
                <w:bCs/>
                <w:color w:val="auto"/>
                <w:highlight w:val="none"/>
              </w:rPr>
            </w:pPr>
            <w:r>
              <w:rPr>
                <w:rFonts w:hint="eastAsia" w:ascii="宋体" w:hAnsi="宋体" w:cs="宋体"/>
                <w:b/>
                <w:bCs/>
                <w:color w:val="auto"/>
                <w:sz w:val="24"/>
                <w:highlight w:val="none"/>
              </w:rPr>
              <w:t>合理化建议（0-</w:t>
            </w:r>
            <w:r>
              <w:rPr>
                <w:rFonts w:hint="eastAsia" w:ascii="宋体" w:hAnsi="宋体" w:cs="宋体"/>
                <w:b/>
                <w:bCs/>
                <w:color w:val="auto"/>
                <w:sz w:val="24"/>
                <w:highlight w:val="none"/>
                <w:lang w:val="en-US" w:eastAsia="zh-CN"/>
              </w:rPr>
              <w:t>5</w:t>
            </w:r>
            <w:r>
              <w:rPr>
                <w:rFonts w:hint="eastAsia" w:ascii="宋体" w:hAnsi="宋体" w:cs="宋体"/>
                <w:b/>
                <w:bCs/>
                <w:color w:val="auto"/>
                <w:sz w:val="24"/>
                <w:highlight w:val="none"/>
              </w:rPr>
              <w:t>分）</w:t>
            </w:r>
          </w:p>
        </w:tc>
        <w:tc>
          <w:tcPr>
            <w:tcW w:w="2984" w:type="pct"/>
            <w:tcBorders>
              <w:left w:val="single" w:color="auto" w:sz="4" w:space="0"/>
            </w:tcBorders>
            <w:vAlign w:val="center"/>
          </w:tcPr>
          <w:p w14:paraId="7F4F1335">
            <w:pPr>
              <w:widowControl/>
              <w:kinsoku w:val="0"/>
              <w:autoSpaceDE w:val="0"/>
              <w:autoSpaceDN w:val="0"/>
              <w:adjustRightInd w:val="0"/>
              <w:snapToGrid w:val="0"/>
              <w:spacing w:line="360" w:lineRule="auto"/>
              <w:textAlignment w:val="baseline"/>
              <w:rPr>
                <w:rFonts w:ascii="宋体" w:hAnsi="宋体" w:cs="宋体"/>
                <w:color w:val="auto"/>
                <w:sz w:val="24"/>
                <w:highlight w:val="none"/>
              </w:rPr>
            </w:pPr>
            <w:r>
              <w:rPr>
                <w:rFonts w:hint="eastAsia" w:ascii="宋体" w:hAnsi="宋体" w:cs="宋体"/>
                <w:color w:val="auto"/>
                <w:sz w:val="24"/>
                <w:highlight w:val="none"/>
              </w:rPr>
              <w:t>有针对本项目编制的建议，建议合理且具有完善性，科学性，前瞻性，根据建议内容进行评价：</w:t>
            </w:r>
          </w:p>
          <w:p w14:paraId="737BB089">
            <w:pPr>
              <w:widowControl/>
              <w:kinsoku w:val="0"/>
              <w:autoSpaceDE w:val="0"/>
              <w:autoSpaceDN w:val="0"/>
              <w:adjustRightInd w:val="0"/>
              <w:snapToGrid w:val="0"/>
              <w:spacing w:line="360" w:lineRule="auto"/>
              <w:textAlignment w:val="baseline"/>
              <w:rPr>
                <w:rFonts w:hint="eastAsia" w:ascii="宋体" w:hAnsi="宋体" w:cs="宋体"/>
                <w:color w:val="auto"/>
                <w:sz w:val="24"/>
                <w:highlight w:val="none"/>
              </w:rPr>
            </w:pPr>
            <w:r>
              <w:rPr>
                <w:rFonts w:hint="eastAsia" w:ascii="宋体" w:hAnsi="宋体" w:cs="宋体"/>
                <w:color w:val="auto"/>
                <w:sz w:val="24"/>
                <w:highlight w:val="none"/>
              </w:rPr>
              <w:t>内容完整全面、方案科学可行性强、措施合理得</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分；</w:t>
            </w:r>
          </w:p>
          <w:p w14:paraId="0747B4D2">
            <w:pPr>
              <w:widowControl/>
              <w:kinsoku w:val="0"/>
              <w:autoSpaceDE w:val="0"/>
              <w:autoSpaceDN w:val="0"/>
              <w:adjustRightInd w:val="0"/>
              <w:snapToGrid w:val="0"/>
              <w:spacing w:line="360" w:lineRule="auto"/>
              <w:textAlignment w:val="baseline"/>
              <w:rPr>
                <w:rFonts w:hint="eastAsia" w:ascii="宋体" w:hAnsi="宋体" w:cs="宋体"/>
                <w:color w:val="auto"/>
                <w:sz w:val="24"/>
                <w:highlight w:val="none"/>
              </w:rPr>
            </w:pPr>
            <w:r>
              <w:rPr>
                <w:rFonts w:hint="eastAsia" w:ascii="宋体" w:hAnsi="宋体" w:cs="宋体"/>
                <w:color w:val="auto"/>
                <w:sz w:val="24"/>
                <w:highlight w:val="none"/>
              </w:rPr>
              <w:t>内容较完整、方案科学可行性较强、措施较合理得</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分；</w:t>
            </w:r>
          </w:p>
          <w:p w14:paraId="420A8253">
            <w:pPr>
              <w:widowControl/>
              <w:kinsoku w:val="0"/>
              <w:autoSpaceDE w:val="0"/>
              <w:autoSpaceDN w:val="0"/>
              <w:adjustRightInd w:val="0"/>
              <w:snapToGrid w:val="0"/>
              <w:spacing w:line="360" w:lineRule="auto"/>
              <w:textAlignment w:val="baseline"/>
              <w:rPr>
                <w:rFonts w:hint="eastAsia" w:ascii="宋体" w:hAnsi="宋体" w:cs="宋体"/>
                <w:color w:val="auto"/>
                <w:sz w:val="24"/>
                <w:highlight w:val="none"/>
              </w:rPr>
            </w:pPr>
            <w:r>
              <w:rPr>
                <w:rFonts w:hint="eastAsia" w:ascii="宋体" w:hAnsi="宋体" w:cs="宋体"/>
                <w:color w:val="auto"/>
                <w:sz w:val="24"/>
                <w:highlight w:val="none"/>
              </w:rPr>
              <w:t>内容基本完整、方案措施基本完善得</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分；</w:t>
            </w:r>
          </w:p>
          <w:p w14:paraId="21C37920">
            <w:pPr>
              <w:widowControl/>
              <w:kinsoku w:val="0"/>
              <w:autoSpaceDE w:val="0"/>
              <w:autoSpaceDN w:val="0"/>
              <w:adjustRightInd w:val="0"/>
              <w:snapToGrid w:val="0"/>
              <w:spacing w:line="360" w:lineRule="auto"/>
              <w:textAlignment w:val="baseline"/>
              <w:rPr>
                <w:rFonts w:ascii="宋体" w:hAnsi="宋体" w:cs="宋体"/>
                <w:color w:val="auto"/>
                <w:sz w:val="24"/>
                <w:highlight w:val="none"/>
              </w:rPr>
            </w:pPr>
            <w:r>
              <w:rPr>
                <w:rFonts w:hint="eastAsia" w:ascii="宋体" w:hAnsi="宋体" w:cs="宋体"/>
                <w:color w:val="auto"/>
                <w:sz w:val="24"/>
                <w:highlight w:val="none"/>
              </w:rPr>
              <w:t>缺项不得分。</w:t>
            </w:r>
          </w:p>
        </w:tc>
      </w:tr>
      <w:tr w14:paraId="18687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738" w:type="pct"/>
            <w:vMerge w:val="restart"/>
            <w:tcBorders>
              <w:right w:val="single" w:color="auto" w:sz="4" w:space="0"/>
            </w:tcBorders>
            <w:vAlign w:val="center"/>
          </w:tcPr>
          <w:p w14:paraId="6A34B42C">
            <w:pPr>
              <w:spacing w:before="39" w:line="480" w:lineRule="exact"/>
              <w:ind w:left="105" w:leftChars="50" w:right="105" w:rightChars="50"/>
              <w:jc w:val="center"/>
              <w:rPr>
                <w:rFonts w:ascii="宋体" w:hAnsi="宋体" w:cs="宋体"/>
                <w:b/>
                <w:color w:val="auto"/>
                <w:sz w:val="24"/>
                <w:highlight w:val="none"/>
              </w:rPr>
            </w:pPr>
            <w:r>
              <w:rPr>
                <w:rFonts w:hint="eastAsia" w:ascii="宋体" w:hAnsi="宋体" w:cs="宋体"/>
                <w:b/>
                <w:color w:val="auto"/>
                <w:sz w:val="24"/>
                <w:highlight w:val="none"/>
              </w:rPr>
              <w:t>商务部分</w:t>
            </w:r>
          </w:p>
          <w:p w14:paraId="02F0DAD9">
            <w:pPr>
              <w:autoSpaceDE w:val="0"/>
              <w:autoSpaceDN w:val="0"/>
              <w:spacing w:before="154" w:line="480" w:lineRule="exact"/>
              <w:jc w:val="center"/>
              <w:rPr>
                <w:rFonts w:ascii="宋体" w:hAnsi="宋体" w:cs="宋体"/>
                <w:b/>
                <w:color w:val="auto"/>
                <w:kern w:val="0"/>
                <w:sz w:val="24"/>
                <w:highlight w:val="none"/>
              </w:rPr>
            </w:pPr>
            <w:r>
              <w:rPr>
                <w:rFonts w:hint="eastAsia" w:ascii="宋体" w:hAnsi="宋体" w:cs="宋体"/>
                <w:b/>
                <w:color w:val="auto"/>
                <w:kern w:val="0"/>
                <w:sz w:val="24"/>
                <w:highlight w:val="none"/>
              </w:rPr>
              <w:t>（</w:t>
            </w:r>
            <w:r>
              <w:rPr>
                <w:rFonts w:hint="eastAsia" w:ascii="宋体" w:hAnsi="宋体" w:cs="宋体"/>
                <w:b/>
                <w:color w:val="auto"/>
                <w:kern w:val="0"/>
                <w:sz w:val="24"/>
                <w:highlight w:val="none"/>
                <w:lang w:val="en-US" w:eastAsia="zh-CN"/>
              </w:rPr>
              <w:t>30</w:t>
            </w:r>
            <w:r>
              <w:rPr>
                <w:rFonts w:hint="eastAsia" w:ascii="宋体" w:hAnsi="宋体" w:cs="宋体"/>
                <w:b/>
                <w:color w:val="auto"/>
                <w:kern w:val="0"/>
                <w:sz w:val="24"/>
                <w:highlight w:val="none"/>
              </w:rPr>
              <w:t>分）</w:t>
            </w:r>
          </w:p>
        </w:tc>
        <w:tc>
          <w:tcPr>
            <w:tcW w:w="1277" w:type="pct"/>
            <w:tcBorders>
              <w:left w:val="single" w:color="auto" w:sz="4" w:space="0"/>
            </w:tcBorders>
            <w:vAlign w:val="center"/>
          </w:tcPr>
          <w:p w14:paraId="76A3ED37">
            <w:pPr>
              <w:pStyle w:val="13"/>
              <w:widowControl/>
              <w:ind w:right="241"/>
              <w:jc w:val="center"/>
              <w:textAlignment w:val="center"/>
              <w:rPr>
                <w:rFonts w:ascii="宋体" w:hAnsi="宋体" w:cs="宋体"/>
                <w:color w:val="auto"/>
                <w:highlight w:val="none"/>
              </w:rPr>
            </w:pPr>
            <w:r>
              <w:rPr>
                <w:rFonts w:hint="eastAsia" w:ascii="宋体" w:hAnsi="宋体" w:cs="宋体"/>
                <w:b/>
                <w:bCs/>
                <w:color w:val="auto"/>
                <w:highlight w:val="none"/>
              </w:rPr>
              <w:t>类似业绩（</w:t>
            </w:r>
            <w:r>
              <w:rPr>
                <w:rFonts w:hint="eastAsia" w:ascii="宋体" w:hAnsi="宋体" w:cs="宋体"/>
                <w:b/>
                <w:bCs/>
                <w:color w:val="auto"/>
                <w:highlight w:val="none"/>
                <w:lang w:val="en-US" w:eastAsia="zh-CN"/>
              </w:rPr>
              <w:t>10</w:t>
            </w:r>
            <w:r>
              <w:rPr>
                <w:rFonts w:hint="eastAsia" w:ascii="宋体" w:hAnsi="宋体" w:cs="宋体"/>
                <w:b/>
                <w:bCs/>
                <w:color w:val="auto"/>
                <w:highlight w:val="none"/>
              </w:rPr>
              <w:t>分）</w:t>
            </w:r>
          </w:p>
        </w:tc>
        <w:tc>
          <w:tcPr>
            <w:tcW w:w="2984" w:type="pct"/>
            <w:vAlign w:val="center"/>
          </w:tcPr>
          <w:p w14:paraId="6750D0B6">
            <w:pPr>
              <w:pStyle w:val="2"/>
              <w:spacing w:line="360" w:lineRule="auto"/>
              <w:rPr>
                <w:rFonts w:hint="eastAsia" w:ascii="宋体" w:hAnsi="宋体" w:eastAsia="宋体" w:cs="宋体"/>
                <w:b w:val="0"/>
                <w:bCs/>
                <w:color w:val="auto"/>
                <w:sz w:val="24"/>
                <w:highlight w:val="none"/>
              </w:rPr>
            </w:pPr>
            <w:r>
              <w:rPr>
                <w:rFonts w:hint="eastAsia" w:ascii="宋体" w:hAnsi="宋体" w:eastAsia="宋体" w:cs="宋体"/>
                <w:b w:val="0"/>
                <w:bCs/>
                <w:color w:val="auto"/>
                <w:sz w:val="24"/>
                <w:highlight w:val="none"/>
              </w:rPr>
              <w:t>供应商须提供自2023年1月1日以来（以合同签订日期为准）的</w:t>
            </w:r>
            <w:r>
              <w:rPr>
                <w:rFonts w:hint="eastAsia" w:ascii="宋体" w:hAnsi="宋体" w:eastAsia="宋体" w:cs="宋体"/>
                <w:b w:val="0"/>
                <w:bCs/>
                <w:color w:val="auto"/>
                <w:sz w:val="24"/>
                <w:highlight w:val="none"/>
                <w:lang w:val="en-US" w:eastAsia="zh-CN"/>
              </w:rPr>
              <w:t>类似</w:t>
            </w:r>
            <w:r>
              <w:rPr>
                <w:rFonts w:hint="eastAsia" w:ascii="宋体" w:hAnsi="宋体" w:eastAsia="宋体" w:cs="宋体"/>
                <w:b w:val="0"/>
                <w:bCs/>
                <w:color w:val="auto"/>
                <w:sz w:val="24"/>
                <w:highlight w:val="none"/>
              </w:rPr>
              <w:t>项目业绩的每项得5分，最多得1</w:t>
            </w:r>
            <w:r>
              <w:rPr>
                <w:rFonts w:hint="eastAsia" w:ascii="宋体" w:hAnsi="宋体" w:eastAsia="宋体" w:cs="宋体"/>
                <w:b w:val="0"/>
                <w:bCs/>
                <w:color w:val="auto"/>
                <w:sz w:val="24"/>
                <w:highlight w:val="none"/>
                <w:lang w:val="en-US" w:eastAsia="zh-CN"/>
              </w:rPr>
              <w:t>0</w:t>
            </w:r>
            <w:r>
              <w:rPr>
                <w:rFonts w:hint="eastAsia" w:ascii="宋体" w:hAnsi="宋体" w:eastAsia="宋体" w:cs="宋体"/>
                <w:b w:val="0"/>
                <w:bCs/>
                <w:color w:val="auto"/>
                <w:sz w:val="24"/>
                <w:highlight w:val="none"/>
              </w:rPr>
              <w:t>分），</w:t>
            </w:r>
          </w:p>
          <w:p w14:paraId="09D05563">
            <w:pPr>
              <w:pStyle w:val="2"/>
              <w:spacing w:line="360" w:lineRule="auto"/>
              <w:rPr>
                <w:b w:val="0"/>
                <w:bCs/>
                <w:color w:val="auto"/>
                <w:highlight w:val="none"/>
              </w:rPr>
            </w:pPr>
            <w:r>
              <w:rPr>
                <w:rFonts w:hint="eastAsia" w:ascii="宋体" w:hAnsi="宋体" w:eastAsia="宋体" w:cs="宋体"/>
                <w:b w:val="0"/>
                <w:bCs/>
                <w:color w:val="auto"/>
                <w:sz w:val="24"/>
                <w:highlight w:val="none"/>
                <w:lang w:val="en-US" w:eastAsia="zh-CN"/>
              </w:rPr>
              <w:t>注：业绩证明材料须提供中标通知书及合同扫描件，否则不得分</w:t>
            </w:r>
            <w:r>
              <w:rPr>
                <w:rFonts w:hint="eastAsia" w:ascii="宋体" w:hAnsi="宋体" w:eastAsia="宋体" w:cs="宋体"/>
                <w:b w:val="0"/>
                <w:bCs/>
                <w:color w:val="auto"/>
                <w:sz w:val="24"/>
                <w:highlight w:val="none"/>
              </w:rPr>
              <w:t>。</w:t>
            </w:r>
          </w:p>
        </w:tc>
      </w:tr>
      <w:tr w14:paraId="6142A1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738" w:type="pct"/>
            <w:vMerge w:val="continue"/>
            <w:tcBorders>
              <w:right w:val="single" w:color="auto" w:sz="4" w:space="0"/>
            </w:tcBorders>
            <w:vAlign w:val="center"/>
          </w:tcPr>
          <w:p w14:paraId="7B40A645">
            <w:pPr>
              <w:autoSpaceDE w:val="0"/>
              <w:autoSpaceDN w:val="0"/>
              <w:spacing w:before="154" w:line="480" w:lineRule="exact"/>
              <w:jc w:val="center"/>
              <w:rPr>
                <w:rFonts w:ascii="宋体" w:hAnsi="宋体" w:cs="宋体"/>
                <w:b/>
                <w:color w:val="auto"/>
                <w:kern w:val="0"/>
                <w:sz w:val="24"/>
                <w:highlight w:val="none"/>
              </w:rPr>
            </w:pPr>
          </w:p>
        </w:tc>
        <w:tc>
          <w:tcPr>
            <w:tcW w:w="1277" w:type="pct"/>
            <w:tcBorders>
              <w:left w:val="single" w:color="auto" w:sz="4" w:space="0"/>
            </w:tcBorders>
            <w:vAlign w:val="center"/>
          </w:tcPr>
          <w:p w14:paraId="7A378C8A">
            <w:pPr>
              <w:pStyle w:val="13"/>
              <w:widowControl/>
              <w:ind w:right="241"/>
              <w:jc w:val="center"/>
              <w:textAlignment w:val="center"/>
              <w:rPr>
                <w:rFonts w:ascii="宋体" w:hAnsi="宋体" w:cs="宋体"/>
                <w:color w:val="auto"/>
                <w:highlight w:val="none"/>
              </w:rPr>
            </w:pPr>
            <w:r>
              <w:rPr>
                <w:rFonts w:hint="eastAsia" w:ascii="宋体" w:hAnsi="宋体" w:cs="宋体"/>
                <w:b/>
                <w:bCs/>
                <w:color w:val="auto"/>
                <w:highlight w:val="none"/>
              </w:rPr>
              <w:t>人员配备（</w:t>
            </w:r>
            <w:r>
              <w:rPr>
                <w:rFonts w:hint="eastAsia" w:ascii="宋体" w:hAnsi="宋体" w:cs="宋体"/>
                <w:b/>
                <w:bCs/>
                <w:color w:val="auto"/>
                <w:highlight w:val="none"/>
                <w:lang w:val="en-US" w:eastAsia="zh-CN"/>
              </w:rPr>
              <w:t>10</w:t>
            </w:r>
            <w:r>
              <w:rPr>
                <w:rFonts w:hint="eastAsia" w:ascii="宋体" w:hAnsi="宋体" w:cs="宋体"/>
                <w:b/>
                <w:bCs/>
                <w:color w:val="auto"/>
                <w:highlight w:val="none"/>
              </w:rPr>
              <w:t>分）</w:t>
            </w:r>
          </w:p>
        </w:tc>
        <w:tc>
          <w:tcPr>
            <w:tcW w:w="2984" w:type="pct"/>
            <w:vAlign w:val="center"/>
          </w:tcPr>
          <w:p w14:paraId="686C965C">
            <w:pPr>
              <w:spacing w:line="360" w:lineRule="auto"/>
              <w:rPr>
                <w:rFonts w:ascii="宋体" w:hAnsi="宋体" w:cs="宋体"/>
                <w:color w:val="auto"/>
                <w:sz w:val="24"/>
                <w:highlight w:val="none"/>
              </w:rPr>
            </w:pPr>
            <w:r>
              <w:rPr>
                <w:rFonts w:hint="eastAsia" w:ascii="宋体" w:hAnsi="宋体" w:cs="宋体"/>
                <w:color w:val="auto"/>
                <w:sz w:val="24"/>
                <w:highlight w:val="none"/>
              </w:rPr>
              <w:t>拟派项目组成员中（除项目负责人外）：</w:t>
            </w:r>
          </w:p>
          <w:p w14:paraId="2CC697E8">
            <w:pPr>
              <w:spacing w:line="360" w:lineRule="auto"/>
              <w:rPr>
                <w:rFonts w:ascii="宋体" w:hAnsi="宋体" w:cs="宋体"/>
                <w:color w:val="auto"/>
                <w:sz w:val="24"/>
                <w:highlight w:val="none"/>
              </w:rPr>
            </w:pPr>
            <w:r>
              <w:rPr>
                <w:rFonts w:hint="eastAsia" w:ascii="宋体" w:hAnsi="宋体" w:cs="宋体"/>
                <w:color w:val="auto"/>
                <w:sz w:val="24"/>
                <w:highlight w:val="none"/>
              </w:rPr>
              <w:t>具有高级工程师及以上职称证书的，每提供一个得</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分，最高得</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分；</w:t>
            </w:r>
          </w:p>
          <w:p w14:paraId="4017847E">
            <w:pPr>
              <w:spacing w:line="360" w:lineRule="auto"/>
              <w:rPr>
                <w:rFonts w:ascii="宋体" w:hAnsi="宋体" w:cs="宋体"/>
                <w:color w:val="auto"/>
                <w:sz w:val="24"/>
                <w:highlight w:val="none"/>
              </w:rPr>
            </w:pPr>
            <w:r>
              <w:rPr>
                <w:rFonts w:hint="eastAsia" w:ascii="宋体" w:hAnsi="宋体" w:cs="宋体"/>
                <w:color w:val="auto"/>
                <w:sz w:val="24"/>
                <w:highlight w:val="none"/>
              </w:rPr>
              <w:t>具有</w:t>
            </w:r>
            <w:r>
              <w:rPr>
                <w:rFonts w:hint="eastAsia" w:ascii="宋体" w:hAnsi="宋体" w:cs="宋体"/>
                <w:color w:val="auto"/>
                <w:sz w:val="24"/>
                <w:highlight w:val="none"/>
                <w:lang w:val="en-US" w:eastAsia="zh-CN"/>
              </w:rPr>
              <w:t>中</w:t>
            </w:r>
            <w:r>
              <w:rPr>
                <w:rFonts w:hint="eastAsia" w:ascii="宋体" w:hAnsi="宋体" w:cs="宋体"/>
                <w:color w:val="auto"/>
                <w:sz w:val="24"/>
                <w:highlight w:val="none"/>
              </w:rPr>
              <w:t>级及以上职称证书的，每提供一个得2分，最高得</w:t>
            </w:r>
            <w:r>
              <w:rPr>
                <w:rFonts w:hint="eastAsia" w:ascii="宋体" w:hAnsi="宋体" w:cs="宋体"/>
                <w:color w:val="auto"/>
                <w:sz w:val="24"/>
                <w:highlight w:val="none"/>
                <w:lang w:val="en-US" w:eastAsia="zh-CN"/>
              </w:rPr>
              <w:t>4</w:t>
            </w:r>
            <w:r>
              <w:rPr>
                <w:rFonts w:hint="eastAsia" w:ascii="宋体" w:hAnsi="宋体" w:cs="宋体"/>
                <w:color w:val="auto"/>
                <w:sz w:val="24"/>
                <w:highlight w:val="none"/>
              </w:rPr>
              <w:t>分。（注：需提供人员身份证、</w:t>
            </w:r>
            <w:r>
              <w:rPr>
                <w:rFonts w:hint="eastAsia" w:ascii="宋体" w:hAnsi="宋体" w:cs="宋体"/>
                <w:color w:val="auto"/>
                <w:sz w:val="24"/>
                <w:highlight w:val="none"/>
                <w:lang w:val="en-US" w:eastAsia="zh-CN"/>
              </w:rPr>
              <w:t>劳动合同、</w:t>
            </w:r>
            <w:r>
              <w:rPr>
                <w:rFonts w:hint="eastAsia" w:ascii="宋体" w:hAnsi="宋体" w:cs="宋体"/>
                <w:color w:val="auto"/>
                <w:sz w:val="24"/>
                <w:highlight w:val="none"/>
              </w:rPr>
              <w:t>职称证书等相关证明材料，单位为其缴纳</w:t>
            </w:r>
            <w:r>
              <w:rPr>
                <w:rFonts w:hint="eastAsia" w:ascii="宋体" w:hAnsi="宋体" w:cs="宋体"/>
                <w:color w:val="auto"/>
                <w:sz w:val="24"/>
                <w:highlight w:val="none"/>
                <w:lang w:val="en-US" w:eastAsia="zh-CN"/>
              </w:rPr>
              <w:t>近期</w:t>
            </w:r>
            <w:r>
              <w:rPr>
                <w:rFonts w:hint="eastAsia" w:ascii="宋体" w:hAnsi="宋体" w:cs="宋体"/>
                <w:color w:val="auto"/>
                <w:sz w:val="24"/>
                <w:highlight w:val="none"/>
              </w:rPr>
              <w:t>社保证明，否则不得分。）</w:t>
            </w:r>
          </w:p>
        </w:tc>
      </w:tr>
      <w:tr w14:paraId="2AB173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738" w:type="pct"/>
            <w:vMerge w:val="continue"/>
            <w:tcBorders>
              <w:right w:val="single" w:color="auto" w:sz="4" w:space="0"/>
            </w:tcBorders>
            <w:vAlign w:val="center"/>
          </w:tcPr>
          <w:p w14:paraId="48D0C08E">
            <w:pPr>
              <w:autoSpaceDE w:val="0"/>
              <w:autoSpaceDN w:val="0"/>
              <w:spacing w:before="154" w:line="480" w:lineRule="exact"/>
              <w:jc w:val="center"/>
              <w:rPr>
                <w:rFonts w:ascii="宋体" w:hAnsi="宋体" w:cs="宋体"/>
                <w:b/>
                <w:color w:val="auto"/>
                <w:kern w:val="0"/>
                <w:sz w:val="24"/>
                <w:highlight w:val="none"/>
              </w:rPr>
            </w:pPr>
          </w:p>
        </w:tc>
        <w:tc>
          <w:tcPr>
            <w:tcW w:w="1277" w:type="pct"/>
            <w:tcBorders>
              <w:left w:val="single" w:color="auto" w:sz="4" w:space="0"/>
            </w:tcBorders>
            <w:vAlign w:val="center"/>
          </w:tcPr>
          <w:p w14:paraId="089D4554">
            <w:pPr>
              <w:pStyle w:val="13"/>
              <w:widowControl/>
              <w:ind w:right="241"/>
              <w:jc w:val="center"/>
              <w:textAlignment w:val="center"/>
              <w:rPr>
                <w:rFonts w:hint="eastAsia" w:ascii="宋体" w:hAnsi="宋体" w:eastAsia="宋体" w:cs="宋体"/>
                <w:b/>
                <w:bCs/>
                <w:color w:val="auto"/>
                <w:highlight w:val="none"/>
                <w:lang w:eastAsia="zh-CN"/>
              </w:rPr>
            </w:pPr>
            <w:r>
              <w:rPr>
                <w:rFonts w:hint="eastAsia" w:ascii="宋体" w:hAnsi="宋体" w:cs="宋体"/>
                <w:b/>
                <w:bCs/>
                <w:color w:val="auto"/>
                <w:highlight w:val="none"/>
              </w:rPr>
              <w:t>后续服务及优惠条件</w:t>
            </w:r>
            <w:r>
              <w:rPr>
                <w:rFonts w:hint="eastAsia" w:ascii="宋体" w:hAnsi="宋体" w:cs="宋体"/>
                <w:b/>
                <w:bCs/>
                <w:color w:val="auto"/>
                <w:highlight w:val="none"/>
                <w:lang w:eastAsia="zh-CN"/>
              </w:rPr>
              <w:t>（</w:t>
            </w:r>
            <w:r>
              <w:rPr>
                <w:rFonts w:hint="eastAsia" w:ascii="宋体" w:hAnsi="宋体" w:cs="宋体"/>
                <w:b/>
                <w:bCs/>
                <w:color w:val="auto"/>
                <w:highlight w:val="none"/>
                <w:lang w:val="en-US" w:eastAsia="zh-CN"/>
              </w:rPr>
              <w:t>6分</w:t>
            </w:r>
            <w:r>
              <w:rPr>
                <w:rFonts w:hint="eastAsia" w:ascii="宋体" w:hAnsi="宋体" w:cs="宋体"/>
                <w:b/>
                <w:bCs/>
                <w:color w:val="auto"/>
                <w:highlight w:val="none"/>
                <w:lang w:eastAsia="zh-CN"/>
              </w:rPr>
              <w:t>）</w:t>
            </w:r>
          </w:p>
        </w:tc>
        <w:tc>
          <w:tcPr>
            <w:tcW w:w="2984" w:type="pct"/>
            <w:vAlign w:val="center"/>
          </w:tcPr>
          <w:p w14:paraId="4E9610B8">
            <w:pPr>
              <w:numPr>
                <w:ilvl w:val="0"/>
                <w:numId w:val="4"/>
              </w:numPr>
              <w:spacing w:line="360" w:lineRule="auto"/>
              <w:rPr>
                <w:rFonts w:hint="eastAsia" w:ascii="宋体" w:hAnsi="宋体" w:cs="宋体"/>
                <w:color w:val="auto"/>
                <w:sz w:val="24"/>
                <w:highlight w:val="none"/>
              </w:rPr>
            </w:pPr>
            <w:r>
              <w:rPr>
                <w:rFonts w:hint="eastAsia" w:ascii="宋体" w:hAnsi="宋体" w:cs="宋体"/>
                <w:color w:val="auto"/>
                <w:sz w:val="24"/>
                <w:highlight w:val="none"/>
              </w:rPr>
              <w:t>基础服务意识与履约配合承诺承诺具备良好服务意识，包含“服从采购人日常管理、积极响应工作配合需求、以书面形式约定服务态度标准（如耐心沟通、及时反馈）”等具体内容。有此承诺的得</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分，没有不得分。</w:t>
            </w:r>
          </w:p>
          <w:p w14:paraId="2CB85632">
            <w:pPr>
              <w:numPr>
                <w:ilvl w:val="0"/>
                <w:numId w:val="4"/>
              </w:numPr>
              <w:spacing w:line="360" w:lineRule="auto"/>
              <w:ind w:left="0" w:leftChars="0" w:firstLine="0" w:firstLineChars="0"/>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rPr>
              <w:t>后续服务及优惠条件承诺①承诺成果文件递交后，积极配合采购人进行成果修改、数据完善、问题响应、技术支持等后续服务内容；②在满足磋商文件基础上，提供实质性优惠条件或其他延伸性服务的承诺。有一项承诺得2分，最高得4分，没有不得分。</w:t>
            </w:r>
          </w:p>
        </w:tc>
      </w:tr>
      <w:tr w14:paraId="07E488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738" w:type="pct"/>
            <w:vMerge w:val="continue"/>
            <w:tcBorders>
              <w:right w:val="single" w:color="auto" w:sz="4" w:space="0"/>
            </w:tcBorders>
            <w:vAlign w:val="center"/>
          </w:tcPr>
          <w:p w14:paraId="4CD8389F">
            <w:pPr>
              <w:autoSpaceDE w:val="0"/>
              <w:autoSpaceDN w:val="0"/>
              <w:spacing w:before="154" w:line="480" w:lineRule="exact"/>
              <w:jc w:val="center"/>
              <w:rPr>
                <w:rFonts w:ascii="宋体" w:hAnsi="宋体" w:cs="宋体"/>
                <w:color w:val="auto"/>
                <w:kern w:val="0"/>
                <w:sz w:val="24"/>
                <w:highlight w:val="none"/>
              </w:rPr>
            </w:pPr>
          </w:p>
        </w:tc>
        <w:tc>
          <w:tcPr>
            <w:tcW w:w="1277" w:type="pct"/>
            <w:tcBorders>
              <w:left w:val="single" w:color="auto" w:sz="4" w:space="0"/>
            </w:tcBorders>
            <w:vAlign w:val="center"/>
          </w:tcPr>
          <w:p w14:paraId="749E195A">
            <w:pPr>
              <w:autoSpaceDE w:val="0"/>
              <w:autoSpaceDN w:val="0"/>
              <w:jc w:val="center"/>
              <w:rPr>
                <w:rFonts w:ascii="宋体" w:hAnsi="宋体" w:cs="宋体"/>
                <w:color w:val="auto"/>
                <w:highlight w:val="none"/>
              </w:rPr>
            </w:pPr>
            <w:r>
              <w:rPr>
                <w:rFonts w:hint="eastAsia" w:ascii="宋体" w:hAnsi="宋体" w:eastAsia="宋体" w:cs="宋体"/>
                <w:b/>
                <w:bCs/>
                <w:color w:val="auto"/>
                <w:kern w:val="0"/>
                <w:sz w:val="24"/>
                <w:szCs w:val="24"/>
                <w:highlight w:val="none"/>
                <w:lang w:val="en-US" w:eastAsia="zh-CN" w:bidi="ar-SA"/>
              </w:rPr>
              <w:t>服务承诺</w:t>
            </w:r>
            <w:r>
              <w:rPr>
                <w:rFonts w:hint="eastAsia" w:ascii="宋体" w:hAnsi="宋体" w:cs="宋体"/>
                <w:b/>
                <w:bCs/>
                <w:color w:val="auto"/>
                <w:highlight w:val="none"/>
                <w:lang w:eastAsia="zh-CN"/>
              </w:rPr>
              <w:t>（</w:t>
            </w:r>
            <w:r>
              <w:rPr>
                <w:rFonts w:hint="eastAsia" w:ascii="宋体" w:hAnsi="宋体" w:cs="宋体"/>
                <w:b/>
                <w:bCs/>
                <w:color w:val="auto"/>
                <w:highlight w:val="none"/>
                <w:lang w:val="en-US" w:eastAsia="zh-CN"/>
              </w:rPr>
              <w:t>4分</w:t>
            </w:r>
            <w:r>
              <w:rPr>
                <w:rFonts w:hint="eastAsia" w:ascii="宋体" w:hAnsi="宋体" w:cs="宋体"/>
                <w:b/>
                <w:bCs/>
                <w:color w:val="auto"/>
                <w:highlight w:val="none"/>
                <w:lang w:eastAsia="zh-CN"/>
              </w:rPr>
              <w:t>）</w:t>
            </w:r>
          </w:p>
        </w:tc>
        <w:tc>
          <w:tcPr>
            <w:tcW w:w="2984" w:type="pct"/>
            <w:vAlign w:val="center"/>
          </w:tcPr>
          <w:p w14:paraId="5ED6F494">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服务承诺包含但不限于管理措施、质量保证措施、确保服务周期、后期服务配合等内容；</w:t>
            </w:r>
          </w:p>
          <w:p w14:paraId="3EAE1945">
            <w:pPr>
              <w:numPr>
                <w:ilvl w:val="0"/>
                <w:numId w:val="5"/>
              </w:num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内容完整详细，科学严谨，完全贴合项目实际情况的得</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分；</w:t>
            </w:r>
          </w:p>
          <w:p w14:paraId="3706949F">
            <w:pPr>
              <w:numPr>
                <w:ilvl w:val="0"/>
                <w:numId w:val="5"/>
              </w:num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内容较为完整，较能贴合项目实际情况的得</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分；</w:t>
            </w:r>
          </w:p>
          <w:p w14:paraId="062CA1AF">
            <w:pPr>
              <w:numPr>
                <w:ilvl w:val="0"/>
                <w:numId w:val="5"/>
              </w:num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内容基本满足项目要求的得</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分</w:t>
            </w:r>
          </w:p>
          <w:p w14:paraId="7F5D0E61">
            <w:pPr>
              <w:numPr>
                <w:ilvl w:val="0"/>
                <w:numId w:val="5"/>
              </w:numPr>
              <w:spacing w:line="360" w:lineRule="auto"/>
              <w:rPr>
                <w:rFonts w:ascii="宋体" w:hAnsi="宋体" w:cs="宋体"/>
                <w:color w:val="auto"/>
                <w:sz w:val="24"/>
                <w:highlight w:val="none"/>
              </w:rPr>
            </w:pPr>
            <w:r>
              <w:rPr>
                <w:rFonts w:hint="eastAsia" w:ascii="宋体" w:hAnsi="宋体" w:eastAsia="宋体" w:cs="宋体"/>
                <w:color w:val="auto"/>
                <w:sz w:val="24"/>
                <w:szCs w:val="24"/>
                <w:highlight w:val="none"/>
                <w:lang w:val="en-US" w:eastAsia="zh-CN"/>
              </w:rPr>
              <w:t>无内容或缺项的不得分；</w:t>
            </w:r>
          </w:p>
        </w:tc>
      </w:tr>
    </w:tbl>
    <w:p w14:paraId="654EB549">
      <w:pPr>
        <w:widowControl/>
        <w:jc w:val="left"/>
        <w:rPr>
          <w:rFonts w:ascii="宋体" w:hAnsi="宋体" w:cs="宋体"/>
          <w:color w:val="auto"/>
          <w:highlight w:val="none"/>
        </w:rPr>
      </w:pPr>
      <w:r>
        <w:rPr>
          <w:rFonts w:hint="eastAsia" w:ascii="宋体" w:hAnsi="宋体" w:cs="宋体"/>
          <w:color w:val="auto"/>
          <w:sz w:val="24"/>
          <w:highlight w:val="none"/>
        </w:rPr>
        <w:t>注：评标过程中涉及到资格审查、荣誉、业绩、业绩等计分部分时，以投标单位自行上传到投标文件中的相应内容为准。</w:t>
      </w:r>
    </w:p>
    <w:bookmarkEnd w:id="323"/>
    <w:bookmarkEnd w:id="324"/>
    <w:p w14:paraId="178DA942">
      <w:pPr>
        <w:tabs>
          <w:tab w:val="left" w:pos="1835"/>
        </w:tabs>
        <w:jc w:val="center"/>
        <w:outlineLvl w:val="0"/>
        <w:rPr>
          <w:rFonts w:ascii="宋体" w:hAnsi="宋体" w:cs="宋体"/>
          <w:b/>
          <w:bCs/>
          <w:color w:val="auto"/>
          <w:sz w:val="32"/>
          <w:szCs w:val="32"/>
          <w:highlight w:val="none"/>
        </w:rPr>
      </w:pPr>
      <w:bookmarkStart w:id="326" w:name="_Toc508179890"/>
      <w:bookmarkStart w:id="327" w:name="_Toc121405494"/>
      <w:bookmarkStart w:id="328" w:name="_Toc16520167"/>
      <w:bookmarkStart w:id="329" w:name="_Toc32577"/>
      <w:bookmarkStart w:id="330" w:name="_Toc31366"/>
      <w:bookmarkStart w:id="331" w:name="_Toc16520679"/>
      <w:r>
        <w:rPr>
          <w:rFonts w:hint="eastAsia" w:ascii="宋体" w:hAnsi="宋体" w:cs="宋体"/>
          <w:b/>
          <w:bCs/>
          <w:color w:val="auto"/>
          <w:sz w:val="32"/>
          <w:szCs w:val="32"/>
          <w:highlight w:val="none"/>
        </w:rPr>
        <w:br w:type="page"/>
      </w:r>
      <w:bookmarkStart w:id="332" w:name="_Toc27244"/>
      <w:r>
        <w:rPr>
          <w:rFonts w:hint="eastAsia" w:ascii="宋体" w:hAnsi="宋体" w:cs="宋体"/>
          <w:b/>
          <w:bCs/>
          <w:color w:val="auto"/>
          <w:sz w:val="32"/>
          <w:szCs w:val="32"/>
          <w:highlight w:val="none"/>
        </w:rPr>
        <w:t xml:space="preserve">第五章 </w:t>
      </w:r>
      <w:bookmarkEnd w:id="326"/>
      <w:r>
        <w:rPr>
          <w:rFonts w:hint="eastAsia" w:ascii="宋体" w:hAnsi="宋体" w:cs="宋体"/>
          <w:b/>
          <w:bCs/>
          <w:color w:val="auto"/>
          <w:sz w:val="32"/>
          <w:szCs w:val="32"/>
          <w:highlight w:val="none"/>
        </w:rPr>
        <w:t>合同协议书</w:t>
      </w:r>
      <w:bookmarkEnd w:id="327"/>
      <w:bookmarkEnd w:id="328"/>
      <w:bookmarkEnd w:id="329"/>
      <w:bookmarkEnd w:id="330"/>
      <w:bookmarkEnd w:id="331"/>
      <w:bookmarkEnd w:id="332"/>
    </w:p>
    <w:p w14:paraId="30A3067E">
      <w:pPr>
        <w:pStyle w:val="14"/>
        <w:ind w:firstLine="480" w:firstLineChars="200"/>
        <w:rPr>
          <w:rFonts w:ascii="宋体" w:hAnsi="宋体" w:eastAsia="宋体" w:cs="宋体"/>
          <w:color w:val="auto"/>
          <w:sz w:val="24"/>
          <w:szCs w:val="24"/>
          <w:highlight w:val="none"/>
        </w:rPr>
      </w:pPr>
      <w:bookmarkStart w:id="333" w:name="_Hlt16619369"/>
      <w:bookmarkEnd w:id="333"/>
      <w:bookmarkStart w:id="334" w:name="_Toc121405495"/>
      <w:bookmarkStart w:id="335" w:name="_Toc26125"/>
      <w:bookmarkStart w:id="336" w:name="_Toc16520680"/>
      <w:bookmarkStart w:id="337" w:name="_Toc16520168"/>
      <w:bookmarkStart w:id="338" w:name="_Toc5473"/>
      <w:bookmarkStart w:id="339" w:name="_Toc508179891"/>
      <w:r>
        <w:rPr>
          <w:rFonts w:hint="eastAsia" w:ascii="宋体" w:hAnsi="宋体" w:eastAsia="宋体" w:cs="宋体"/>
          <w:color w:val="auto"/>
          <w:kern w:val="0"/>
          <w:sz w:val="24"/>
          <w:szCs w:val="24"/>
          <w:highlight w:val="none"/>
          <w:lang w:val="zh-CN"/>
        </w:rPr>
        <w:t>按《三门峡市财政局关于市本级政府采购合同备案管理工作的通知》（三</w:t>
      </w:r>
      <w:r>
        <w:rPr>
          <w:rFonts w:hint="eastAsia" w:ascii="宋体" w:hAnsi="宋体" w:eastAsia="宋体" w:cs="宋体"/>
          <w:color w:val="auto"/>
          <w:kern w:val="0"/>
          <w:sz w:val="24"/>
          <w:szCs w:val="24"/>
          <w:highlight w:val="none"/>
        </w:rPr>
        <w:t>陕财预</w:t>
      </w:r>
      <w:r>
        <w:rPr>
          <w:rFonts w:hint="eastAsia" w:ascii="宋体" w:hAnsi="宋体" w:eastAsia="宋体" w:cs="宋体"/>
          <w:color w:val="auto"/>
          <w:kern w:val="0"/>
          <w:sz w:val="24"/>
          <w:szCs w:val="24"/>
          <w:highlight w:val="none"/>
          <w:lang w:val="zh-CN"/>
        </w:rPr>
        <w:t>[202</w:t>
      </w:r>
      <w:r>
        <w:rPr>
          <w:rFonts w:hint="eastAsia" w:ascii="宋体" w:hAnsi="宋体" w:eastAsia="宋体" w:cs="宋体"/>
          <w:color w:val="auto"/>
          <w:kern w:val="0"/>
          <w:sz w:val="24"/>
          <w:szCs w:val="24"/>
          <w:highlight w:val="none"/>
        </w:rPr>
        <w:t>4</w:t>
      </w:r>
      <w:r>
        <w:rPr>
          <w:rFonts w:hint="eastAsia" w:ascii="宋体" w:hAnsi="宋体" w:eastAsia="宋体" w:cs="宋体"/>
          <w:color w:val="auto"/>
          <w:kern w:val="0"/>
          <w:sz w:val="24"/>
          <w:szCs w:val="24"/>
          <w:highlight w:val="none"/>
          <w:lang w:val="zh-CN"/>
        </w:rPr>
        <w:t>]</w:t>
      </w:r>
      <w:r>
        <w:rPr>
          <w:rFonts w:hint="eastAsia" w:ascii="宋体" w:hAnsi="宋体" w:eastAsia="宋体" w:cs="宋体"/>
          <w:color w:val="auto"/>
          <w:kern w:val="0"/>
          <w:sz w:val="24"/>
          <w:szCs w:val="24"/>
          <w:highlight w:val="none"/>
        </w:rPr>
        <w:t>800</w:t>
      </w:r>
      <w:r>
        <w:rPr>
          <w:rFonts w:hint="eastAsia" w:ascii="宋体" w:hAnsi="宋体" w:eastAsia="宋体" w:cs="宋体"/>
          <w:color w:val="auto"/>
          <w:kern w:val="0"/>
          <w:sz w:val="24"/>
          <w:szCs w:val="24"/>
          <w:highlight w:val="none"/>
          <w:lang w:val="zh-CN"/>
        </w:rPr>
        <w:t>号）文要求，集中采购目录以外政府采购项目，原则上自中标通知书发出之日起2个工作日内与中标（成交）人按照采购文件确定的事项与成交人签订政府采购合同。</w:t>
      </w:r>
    </w:p>
    <w:p w14:paraId="793CEE7B">
      <w:pPr>
        <w:spacing w:before="133" w:line="360" w:lineRule="auto"/>
        <w:ind w:left="1277"/>
        <w:outlineLvl w:val="1"/>
        <w:rPr>
          <w:rFonts w:ascii="宋体" w:hAnsi="宋体" w:cs="宋体"/>
          <w:color w:val="auto"/>
          <w:sz w:val="24"/>
          <w:highlight w:val="none"/>
        </w:rPr>
      </w:pPr>
      <w:r>
        <w:rPr>
          <w:rFonts w:hint="eastAsia" w:ascii="宋体" w:hAnsi="宋体" w:cs="宋体"/>
          <w:b/>
          <w:bCs/>
          <w:color w:val="auto"/>
          <w:spacing w:val="-3"/>
          <w:sz w:val="24"/>
          <w:highlight w:val="none"/>
        </w:rPr>
        <w:t>（此合同范本仅供参考，具体以签订正式合同时为</w:t>
      </w:r>
      <w:r>
        <w:rPr>
          <w:rFonts w:hint="eastAsia" w:ascii="宋体" w:hAnsi="宋体" w:cs="宋体"/>
          <w:b/>
          <w:bCs/>
          <w:color w:val="auto"/>
          <w:spacing w:val="-4"/>
          <w:sz w:val="24"/>
          <w:highlight w:val="none"/>
        </w:rPr>
        <w:t>准）</w:t>
      </w:r>
    </w:p>
    <w:p w14:paraId="3195D54D">
      <w:pPr>
        <w:spacing w:before="29" w:line="360" w:lineRule="auto"/>
        <w:ind w:left="488" w:firstLine="1"/>
        <w:rPr>
          <w:rFonts w:ascii="宋体" w:hAnsi="宋体" w:cs="宋体"/>
          <w:color w:val="auto"/>
          <w:sz w:val="24"/>
          <w:highlight w:val="none"/>
        </w:rPr>
      </w:pPr>
      <w:r>
        <w:rPr>
          <w:rFonts w:hint="eastAsia" w:ascii="宋体" w:hAnsi="宋体" w:cs="宋体"/>
          <w:color w:val="auto"/>
          <w:sz w:val="24"/>
          <w:highlight w:val="none"/>
        </w:rPr>
        <w:t>采购人（甲方）：</w:t>
      </w:r>
    </w:p>
    <w:p w14:paraId="5C24C51C">
      <w:pPr>
        <w:spacing w:before="29" w:line="360" w:lineRule="auto"/>
        <w:ind w:left="488" w:firstLine="1"/>
        <w:rPr>
          <w:rFonts w:ascii="宋体" w:hAnsi="宋体" w:cs="宋体"/>
          <w:color w:val="auto"/>
          <w:sz w:val="24"/>
          <w:highlight w:val="none"/>
        </w:rPr>
      </w:pPr>
      <w:r>
        <w:rPr>
          <w:rFonts w:hint="eastAsia" w:ascii="宋体" w:hAnsi="宋体" w:cs="宋体"/>
          <w:color w:val="auto"/>
          <w:sz w:val="24"/>
          <w:highlight w:val="none"/>
        </w:rPr>
        <w:t>供应商（乙方）：</w:t>
      </w:r>
    </w:p>
    <w:p w14:paraId="09AAB0B8">
      <w:pPr>
        <w:spacing w:before="29" w:line="360" w:lineRule="auto"/>
        <w:ind w:left="488" w:firstLine="1"/>
        <w:rPr>
          <w:rFonts w:ascii="宋体" w:hAnsi="宋体" w:cs="宋体"/>
          <w:color w:val="auto"/>
          <w:sz w:val="24"/>
          <w:highlight w:val="none"/>
        </w:rPr>
      </w:pPr>
      <w:r>
        <w:rPr>
          <w:rFonts w:hint="eastAsia" w:ascii="宋体" w:hAnsi="宋体" w:cs="宋体"/>
          <w:color w:val="auto"/>
          <w:sz w:val="24"/>
          <w:highlight w:val="none"/>
        </w:rPr>
        <w:t>签订时间：</w:t>
      </w:r>
    </w:p>
    <w:p w14:paraId="744A4BBF">
      <w:pPr>
        <w:spacing w:before="29" w:line="360" w:lineRule="auto"/>
        <w:ind w:left="488" w:firstLine="1"/>
        <w:rPr>
          <w:rFonts w:ascii="宋体" w:hAnsi="宋体" w:cs="宋体"/>
          <w:color w:val="auto"/>
          <w:sz w:val="24"/>
          <w:highlight w:val="none"/>
        </w:rPr>
      </w:pPr>
      <w:r>
        <w:rPr>
          <w:rFonts w:hint="eastAsia" w:ascii="宋体" w:hAnsi="宋体" w:cs="宋体"/>
          <w:color w:val="auto"/>
          <w:sz w:val="24"/>
          <w:highlight w:val="none"/>
        </w:rPr>
        <w:t>签订地点：</w:t>
      </w:r>
    </w:p>
    <w:p w14:paraId="6148D479">
      <w:pPr>
        <w:spacing w:before="29" w:line="360" w:lineRule="auto"/>
        <w:ind w:left="488" w:firstLine="480" w:firstLineChars="200"/>
        <w:rPr>
          <w:rFonts w:ascii="宋体" w:hAnsi="宋体" w:cs="宋体"/>
          <w:color w:val="auto"/>
          <w:sz w:val="24"/>
          <w:highlight w:val="none"/>
        </w:rPr>
      </w:pPr>
      <w:r>
        <w:rPr>
          <w:rFonts w:hint="eastAsia" w:ascii="宋体" w:hAnsi="宋体" w:cs="宋体"/>
          <w:color w:val="auto"/>
          <w:sz w:val="24"/>
          <w:highlight w:val="none"/>
        </w:rPr>
        <w:t>本项目经相关单位批准,由 （以下简称“采购代理机</w:t>
      </w:r>
      <w:r>
        <w:rPr>
          <w:rFonts w:hint="eastAsia" w:ascii="宋体" w:hAnsi="宋体" w:cs="宋体"/>
          <w:color w:val="auto"/>
          <w:spacing w:val="-3"/>
          <w:sz w:val="24"/>
          <w:highlight w:val="none"/>
        </w:rPr>
        <w:t>构”）依法组织采购，经磋商小组评审，决定将政府采购合同授予乙方。为进一步明确甲</w:t>
      </w:r>
      <w:r>
        <w:rPr>
          <w:rFonts w:hint="eastAsia" w:ascii="宋体" w:hAnsi="宋体" w:cs="宋体"/>
          <w:color w:val="auto"/>
          <w:spacing w:val="13"/>
          <w:sz w:val="24"/>
          <w:highlight w:val="none"/>
        </w:rPr>
        <w:t xml:space="preserve"> </w:t>
      </w:r>
      <w:r>
        <w:rPr>
          <w:rFonts w:hint="eastAsia" w:ascii="宋体" w:hAnsi="宋体" w:cs="宋体"/>
          <w:color w:val="auto"/>
          <w:spacing w:val="-1"/>
          <w:sz w:val="24"/>
          <w:highlight w:val="none"/>
        </w:rPr>
        <w:t>乙双方的责任，确保合同顺利履行，根据《中华人民共和国政府采购法》及其实施条例、</w:t>
      </w:r>
      <w:r>
        <w:rPr>
          <w:rFonts w:hint="eastAsia" w:ascii="宋体" w:hAnsi="宋体" w:cs="宋体"/>
          <w:color w:val="auto"/>
          <w:spacing w:val="-7"/>
          <w:sz w:val="24"/>
          <w:highlight w:val="none"/>
        </w:rPr>
        <w:t>《中华人民共和国民法典》以及本项目中标（成交）结果，甲乙双方充分协商，订立合同，</w:t>
      </w:r>
      <w:r>
        <w:rPr>
          <w:rFonts w:hint="eastAsia" w:ascii="宋体" w:hAnsi="宋体" w:cs="宋体"/>
          <w:color w:val="auto"/>
          <w:spacing w:val="9"/>
          <w:sz w:val="24"/>
          <w:highlight w:val="none"/>
        </w:rPr>
        <w:t xml:space="preserve"> </w:t>
      </w:r>
      <w:r>
        <w:rPr>
          <w:rFonts w:hint="eastAsia" w:ascii="宋体" w:hAnsi="宋体" w:cs="宋体"/>
          <w:color w:val="auto"/>
          <w:spacing w:val="-7"/>
          <w:sz w:val="24"/>
          <w:highlight w:val="none"/>
        </w:rPr>
        <w:t>共同遵守。</w:t>
      </w:r>
    </w:p>
    <w:p w14:paraId="420C09FD">
      <w:pPr>
        <w:spacing w:before="35" w:line="360" w:lineRule="auto"/>
        <w:ind w:left="492"/>
        <w:outlineLvl w:val="1"/>
        <w:rPr>
          <w:rFonts w:ascii="宋体" w:hAnsi="宋体" w:cs="宋体"/>
          <w:color w:val="auto"/>
          <w:sz w:val="24"/>
          <w:highlight w:val="none"/>
        </w:rPr>
      </w:pPr>
      <w:r>
        <w:rPr>
          <w:rFonts w:hint="eastAsia" w:ascii="宋体" w:hAnsi="宋体" w:cs="宋体"/>
          <w:b/>
          <w:bCs/>
          <w:color w:val="auto"/>
          <w:spacing w:val="-2"/>
          <w:sz w:val="24"/>
          <w:highlight w:val="none"/>
        </w:rPr>
        <w:t>第一条</w:t>
      </w:r>
      <w:r>
        <w:rPr>
          <w:rFonts w:hint="eastAsia" w:ascii="宋体" w:hAnsi="宋体" w:cs="宋体"/>
          <w:color w:val="auto"/>
          <w:spacing w:val="-2"/>
          <w:sz w:val="24"/>
          <w:highlight w:val="none"/>
        </w:rPr>
        <w:t xml:space="preserve">   </w:t>
      </w:r>
      <w:r>
        <w:rPr>
          <w:rFonts w:hint="eastAsia" w:ascii="宋体" w:hAnsi="宋体" w:cs="宋体"/>
          <w:b/>
          <w:bCs/>
          <w:color w:val="auto"/>
          <w:spacing w:val="-2"/>
          <w:sz w:val="24"/>
          <w:highlight w:val="none"/>
        </w:rPr>
        <w:t>服务对象基本情况</w:t>
      </w:r>
    </w:p>
    <w:p w14:paraId="62E7F531">
      <w:pPr>
        <w:spacing w:before="294" w:line="360" w:lineRule="auto"/>
        <w:ind w:left="489"/>
        <w:rPr>
          <w:rFonts w:ascii="宋体" w:hAnsi="宋体" w:cs="宋体"/>
          <w:color w:val="auto"/>
          <w:sz w:val="24"/>
          <w:highlight w:val="none"/>
        </w:rPr>
      </w:pPr>
      <w:r>
        <w:rPr>
          <w:rFonts w:hint="eastAsia" w:ascii="宋体" w:hAnsi="宋体" w:cs="宋体"/>
          <w:color w:val="auto"/>
          <w:spacing w:val="29"/>
          <w:sz w:val="24"/>
          <w:highlight w:val="none"/>
        </w:rPr>
        <w:t>服务类型：</w:t>
      </w:r>
      <w:r>
        <w:rPr>
          <w:rFonts w:hint="eastAsia" w:ascii="宋体" w:hAnsi="宋体" w:cs="宋体"/>
          <w:color w:val="auto"/>
          <w:spacing w:val="-1"/>
          <w:sz w:val="24"/>
          <w:highlight w:val="none"/>
        </w:rPr>
        <w:t>________</w:t>
      </w:r>
    </w:p>
    <w:p w14:paraId="77B6412C">
      <w:pPr>
        <w:spacing w:before="304" w:line="360" w:lineRule="auto"/>
        <w:ind w:left="490"/>
        <w:rPr>
          <w:rFonts w:ascii="宋体" w:hAnsi="宋体" w:cs="宋体"/>
          <w:color w:val="auto"/>
          <w:sz w:val="24"/>
          <w:highlight w:val="none"/>
        </w:rPr>
      </w:pPr>
      <w:r>
        <w:rPr>
          <w:rFonts w:hint="eastAsia" w:ascii="宋体" w:hAnsi="宋体" w:cs="宋体"/>
          <w:color w:val="auto"/>
          <w:spacing w:val="-1"/>
          <w:sz w:val="24"/>
          <w:highlight w:val="none"/>
        </w:rPr>
        <w:t>其他必要内容  ________</w:t>
      </w:r>
    </w:p>
    <w:p w14:paraId="25EF362A">
      <w:pPr>
        <w:spacing w:before="303" w:line="360" w:lineRule="auto"/>
        <w:ind w:left="492"/>
        <w:outlineLvl w:val="1"/>
        <w:rPr>
          <w:rFonts w:ascii="宋体" w:hAnsi="宋体" w:cs="宋体"/>
          <w:color w:val="auto"/>
          <w:sz w:val="24"/>
          <w:highlight w:val="none"/>
        </w:rPr>
      </w:pPr>
      <w:r>
        <w:rPr>
          <w:rFonts w:hint="eastAsia" w:ascii="宋体" w:hAnsi="宋体" w:cs="宋体"/>
          <w:b/>
          <w:bCs/>
          <w:color w:val="auto"/>
          <w:spacing w:val="-3"/>
          <w:sz w:val="24"/>
          <w:highlight w:val="none"/>
        </w:rPr>
        <w:t>第二条</w:t>
      </w:r>
      <w:r>
        <w:rPr>
          <w:rFonts w:hint="eastAsia" w:ascii="宋体" w:hAnsi="宋体" w:cs="宋体"/>
          <w:color w:val="auto"/>
          <w:spacing w:val="-3"/>
          <w:sz w:val="24"/>
          <w:highlight w:val="none"/>
        </w:rPr>
        <w:t xml:space="preserve">  </w:t>
      </w:r>
      <w:r>
        <w:rPr>
          <w:rFonts w:hint="eastAsia" w:ascii="宋体" w:hAnsi="宋体" w:cs="宋体"/>
          <w:b/>
          <w:bCs/>
          <w:color w:val="auto"/>
          <w:spacing w:val="-3"/>
          <w:sz w:val="24"/>
          <w:highlight w:val="none"/>
        </w:rPr>
        <w:t>具体服务事项</w:t>
      </w:r>
    </w:p>
    <w:p w14:paraId="64FDA26D">
      <w:pPr>
        <w:pStyle w:val="3"/>
        <w:spacing w:line="360" w:lineRule="auto"/>
        <w:rPr>
          <w:rFonts w:ascii="宋体" w:hAnsi="宋体" w:cs="宋体"/>
          <w:color w:val="auto"/>
          <w:sz w:val="24"/>
          <w:highlight w:val="none"/>
        </w:rPr>
      </w:pPr>
    </w:p>
    <w:p w14:paraId="714D2023">
      <w:pPr>
        <w:spacing w:line="360" w:lineRule="auto"/>
        <w:ind w:right="98" w:firstLine="492"/>
        <w:rPr>
          <w:rFonts w:ascii="宋体" w:hAnsi="宋体" w:cs="宋体"/>
          <w:b/>
          <w:bCs/>
          <w:color w:val="auto"/>
          <w:spacing w:val="-2"/>
          <w:sz w:val="24"/>
          <w:highlight w:val="none"/>
        </w:rPr>
      </w:pPr>
      <w:r>
        <w:rPr>
          <w:rFonts w:hint="eastAsia" w:ascii="宋体" w:hAnsi="宋体" w:cs="宋体"/>
          <w:b/>
          <w:bCs/>
          <w:color w:val="auto"/>
          <w:spacing w:val="-2"/>
          <w:sz w:val="24"/>
          <w:highlight w:val="none"/>
        </w:rPr>
        <w:t xml:space="preserve">1、 </w:t>
      </w:r>
    </w:p>
    <w:p w14:paraId="36D6D82D">
      <w:pPr>
        <w:spacing w:line="360" w:lineRule="auto"/>
        <w:ind w:right="98" w:firstLine="492"/>
        <w:rPr>
          <w:rFonts w:ascii="宋体" w:hAnsi="宋体" w:cs="宋体"/>
          <w:b/>
          <w:bCs/>
          <w:color w:val="auto"/>
          <w:spacing w:val="-2"/>
          <w:sz w:val="24"/>
          <w:highlight w:val="none"/>
        </w:rPr>
      </w:pPr>
      <w:r>
        <w:rPr>
          <w:rFonts w:hint="eastAsia" w:ascii="宋体" w:hAnsi="宋体" w:cs="宋体"/>
          <w:b/>
          <w:bCs/>
          <w:color w:val="auto"/>
          <w:spacing w:val="-2"/>
          <w:sz w:val="24"/>
          <w:highlight w:val="none"/>
        </w:rPr>
        <w:t xml:space="preserve">2、 </w:t>
      </w:r>
    </w:p>
    <w:p w14:paraId="6B2FFAC1">
      <w:pPr>
        <w:spacing w:line="360" w:lineRule="auto"/>
        <w:ind w:right="98" w:firstLine="492"/>
        <w:rPr>
          <w:rFonts w:ascii="宋体" w:hAnsi="宋体" w:cs="宋体"/>
          <w:b/>
          <w:bCs/>
          <w:color w:val="auto"/>
          <w:spacing w:val="-2"/>
          <w:sz w:val="24"/>
          <w:highlight w:val="none"/>
        </w:rPr>
      </w:pPr>
      <w:r>
        <w:rPr>
          <w:rFonts w:hint="eastAsia" w:ascii="宋体" w:hAnsi="宋体" w:cs="宋体"/>
          <w:b/>
          <w:bCs/>
          <w:color w:val="auto"/>
          <w:spacing w:val="-2"/>
          <w:sz w:val="24"/>
          <w:highlight w:val="none"/>
        </w:rPr>
        <w:t>......</w:t>
      </w:r>
    </w:p>
    <w:p w14:paraId="2AB3B819">
      <w:pPr>
        <w:spacing w:line="360" w:lineRule="auto"/>
        <w:ind w:right="98" w:firstLine="492"/>
        <w:rPr>
          <w:rFonts w:ascii="宋体" w:hAnsi="宋体" w:cs="宋体"/>
          <w:color w:val="auto"/>
          <w:sz w:val="24"/>
          <w:highlight w:val="none"/>
        </w:rPr>
      </w:pPr>
      <w:r>
        <w:rPr>
          <w:rFonts w:hint="eastAsia" w:ascii="宋体" w:hAnsi="宋体" w:cs="宋体"/>
          <w:b/>
          <w:bCs/>
          <w:color w:val="auto"/>
          <w:spacing w:val="-2"/>
          <w:sz w:val="24"/>
          <w:highlight w:val="none"/>
        </w:rPr>
        <w:t>第三条</w:t>
      </w:r>
      <w:r>
        <w:rPr>
          <w:rFonts w:hint="eastAsia" w:ascii="宋体" w:hAnsi="宋体" w:cs="宋体"/>
          <w:color w:val="auto"/>
          <w:spacing w:val="-2"/>
          <w:sz w:val="24"/>
          <w:highlight w:val="none"/>
        </w:rPr>
        <w:t xml:space="preserve">   </w:t>
      </w:r>
      <w:r>
        <w:rPr>
          <w:rFonts w:hint="eastAsia" w:ascii="宋体" w:hAnsi="宋体" w:cs="宋体"/>
          <w:b/>
          <w:bCs/>
          <w:color w:val="auto"/>
          <w:spacing w:val="-2"/>
          <w:sz w:val="24"/>
          <w:highlight w:val="none"/>
        </w:rPr>
        <w:t>服务期限</w:t>
      </w:r>
      <w:r>
        <w:rPr>
          <w:rFonts w:hint="eastAsia" w:ascii="宋体" w:hAnsi="宋体" w:cs="宋体"/>
          <w:color w:val="auto"/>
          <w:spacing w:val="-2"/>
          <w:sz w:val="24"/>
          <w:highlight w:val="none"/>
        </w:rPr>
        <w:t>为</w:t>
      </w:r>
      <w:r>
        <w:rPr>
          <w:rFonts w:hint="eastAsia" w:ascii="宋体" w:hAnsi="宋体" w:cs="宋体"/>
          <w:color w:val="auto"/>
          <w:sz w:val="24"/>
          <w:highlight w:val="none"/>
        </w:rPr>
        <w:t>＿＿＿＿</w:t>
      </w:r>
      <w:r>
        <w:rPr>
          <w:rFonts w:hint="eastAsia" w:ascii="宋体" w:hAnsi="宋体" w:cs="宋体"/>
          <w:color w:val="auto"/>
          <w:spacing w:val="-2"/>
          <w:sz w:val="24"/>
          <w:highlight w:val="none"/>
        </w:rPr>
        <w:t>年。自</w:t>
      </w:r>
      <w:r>
        <w:rPr>
          <w:rFonts w:hint="eastAsia" w:ascii="宋体" w:hAnsi="宋体" w:cs="宋体"/>
          <w:color w:val="auto"/>
          <w:sz w:val="24"/>
          <w:highlight w:val="none"/>
        </w:rPr>
        <w:t>＿＿＿</w:t>
      </w:r>
      <w:r>
        <w:rPr>
          <w:rFonts w:hint="eastAsia" w:ascii="宋体" w:hAnsi="宋体" w:cs="宋体"/>
          <w:color w:val="auto"/>
          <w:spacing w:val="-2"/>
          <w:sz w:val="24"/>
          <w:highlight w:val="none"/>
        </w:rPr>
        <w:t>年</w:t>
      </w:r>
      <w:r>
        <w:rPr>
          <w:rFonts w:hint="eastAsia" w:ascii="宋体" w:hAnsi="宋体" w:cs="宋体"/>
          <w:color w:val="auto"/>
          <w:sz w:val="24"/>
          <w:highlight w:val="none"/>
        </w:rPr>
        <w:t>＿＿＿</w:t>
      </w:r>
      <w:r>
        <w:rPr>
          <w:rFonts w:hint="eastAsia" w:ascii="宋体" w:hAnsi="宋体" w:cs="宋体"/>
          <w:color w:val="auto"/>
          <w:spacing w:val="-2"/>
          <w:sz w:val="24"/>
          <w:highlight w:val="none"/>
        </w:rPr>
        <w:t>月</w:t>
      </w:r>
      <w:r>
        <w:rPr>
          <w:rFonts w:hint="eastAsia" w:ascii="宋体" w:hAnsi="宋体" w:cs="宋体"/>
          <w:color w:val="auto"/>
          <w:sz w:val="24"/>
          <w:highlight w:val="none"/>
        </w:rPr>
        <w:t>＿＿＿＿＿＿</w:t>
      </w:r>
      <w:r>
        <w:rPr>
          <w:rFonts w:hint="eastAsia" w:ascii="宋体" w:hAnsi="宋体" w:cs="宋体"/>
          <w:color w:val="auto"/>
          <w:spacing w:val="-2"/>
          <w:sz w:val="24"/>
          <w:highlight w:val="none"/>
        </w:rPr>
        <w:t>时起至</w:t>
      </w:r>
      <w:r>
        <w:rPr>
          <w:rFonts w:hint="eastAsia" w:ascii="宋体" w:hAnsi="宋体" w:cs="宋体"/>
          <w:color w:val="auto"/>
          <w:sz w:val="24"/>
          <w:highlight w:val="none"/>
        </w:rPr>
        <w:t>＿＿＿＿</w:t>
      </w:r>
      <w:r>
        <w:rPr>
          <w:rFonts w:hint="eastAsia" w:ascii="宋体" w:hAnsi="宋体" w:cs="宋体"/>
          <w:color w:val="auto"/>
          <w:spacing w:val="-2"/>
          <w:sz w:val="24"/>
          <w:highlight w:val="none"/>
        </w:rPr>
        <w:t>年</w:t>
      </w:r>
      <w:r>
        <w:rPr>
          <w:rFonts w:hint="eastAsia" w:ascii="宋体" w:hAnsi="宋体" w:cs="宋体"/>
          <w:color w:val="auto"/>
          <w:spacing w:val="23"/>
          <w:sz w:val="24"/>
          <w:highlight w:val="none"/>
        </w:rPr>
        <w:t>____月</w:t>
      </w:r>
      <w:r>
        <w:rPr>
          <w:rFonts w:hint="eastAsia" w:ascii="宋体" w:hAnsi="宋体" w:cs="宋体"/>
          <w:color w:val="auto"/>
          <w:spacing w:val="29"/>
          <w:sz w:val="24"/>
          <w:highlight w:val="none"/>
        </w:rPr>
        <w:t>＿＿＿＿</w:t>
      </w:r>
      <w:r>
        <w:rPr>
          <w:rFonts w:hint="eastAsia" w:ascii="宋体" w:hAnsi="宋体" w:cs="宋体"/>
          <w:color w:val="auto"/>
          <w:spacing w:val="23"/>
          <w:sz w:val="24"/>
          <w:highlight w:val="none"/>
        </w:rPr>
        <w:t>日</w:t>
      </w:r>
      <w:r>
        <w:rPr>
          <w:rFonts w:hint="eastAsia" w:ascii="宋体" w:hAnsi="宋体" w:cs="宋体"/>
          <w:color w:val="auto"/>
          <w:spacing w:val="29"/>
          <w:sz w:val="24"/>
          <w:highlight w:val="none"/>
        </w:rPr>
        <w:t>＿＿＿＿</w:t>
      </w:r>
      <w:r>
        <w:rPr>
          <w:rFonts w:hint="eastAsia" w:ascii="宋体" w:hAnsi="宋体" w:cs="宋体"/>
          <w:color w:val="auto"/>
          <w:spacing w:val="23"/>
          <w:sz w:val="24"/>
          <w:highlight w:val="none"/>
        </w:rPr>
        <w:t>时止。</w:t>
      </w:r>
    </w:p>
    <w:p w14:paraId="4BAA65D5">
      <w:pPr>
        <w:spacing w:before="43" w:line="360" w:lineRule="auto"/>
        <w:ind w:left="492"/>
        <w:outlineLvl w:val="1"/>
        <w:rPr>
          <w:rFonts w:ascii="宋体" w:hAnsi="宋体" w:cs="宋体"/>
          <w:color w:val="auto"/>
          <w:sz w:val="24"/>
          <w:highlight w:val="none"/>
        </w:rPr>
      </w:pPr>
      <w:r>
        <w:rPr>
          <w:rFonts w:hint="eastAsia" w:ascii="宋体" w:hAnsi="宋体" w:cs="宋体"/>
          <w:b/>
          <w:bCs/>
          <w:color w:val="auto"/>
          <w:spacing w:val="-8"/>
          <w:sz w:val="24"/>
          <w:highlight w:val="none"/>
        </w:rPr>
        <w:t>第四条</w:t>
      </w:r>
      <w:r>
        <w:rPr>
          <w:rFonts w:hint="eastAsia" w:ascii="宋体" w:hAnsi="宋体" w:cs="宋体"/>
          <w:color w:val="auto"/>
          <w:spacing w:val="16"/>
          <w:sz w:val="24"/>
          <w:highlight w:val="none"/>
        </w:rPr>
        <w:t xml:space="preserve">   </w:t>
      </w:r>
      <w:r>
        <w:rPr>
          <w:rFonts w:hint="eastAsia" w:ascii="宋体" w:hAnsi="宋体" w:cs="宋体"/>
          <w:b/>
          <w:bCs/>
          <w:color w:val="auto"/>
          <w:spacing w:val="-8"/>
          <w:sz w:val="24"/>
          <w:highlight w:val="none"/>
        </w:rPr>
        <w:t>甲方权利义务</w:t>
      </w:r>
    </w:p>
    <w:p w14:paraId="6311728B">
      <w:pPr>
        <w:spacing w:before="292" w:line="360" w:lineRule="auto"/>
        <w:ind w:left="507"/>
        <w:rPr>
          <w:rFonts w:ascii="宋体" w:hAnsi="宋体" w:cs="宋体"/>
          <w:color w:val="auto"/>
          <w:sz w:val="24"/>
          <w:highlight w:val="none"/>
        </w:rPr>
      </w:pPr>
      <w:r>
        <w:rPr>
          <w:rFonts w:hint="eastAsia" w:ascii="宋体" w:hAnsi="宋体" w:cs="宋体"/>
          <w:color w:val="auto"/>
          <w:spacing w:val="-2"/>
          <w:sz w:val="24"/>
          <w:highlight w:val="none"/>
        </w:rPr>
        <w:t>1、甲方有对乙方提出改进服务意见的权利，</w:t>
      </w:r>
      <w:r>
        <w:rPr>
          <w:rFonts w:hint="eastAsia" w:ascii="宋体" w:hAnsi="宋体" w:cs="宋体"/>
          <w:color w:val="auto"/>
          <w:spacing w:val="-3"/>
          <w:sz w:val="24"/>
          <w:highlight w:val="none"/>
        </w:rPr>
        <w:t>监督乙方工作。</w:t>
      </w:r>
    </w:p>
    <w:p w14:paraId="2F643A5B">
      <w:pPr>
        <w:spacing w:before="295" w:line="360" w:lineRule="auto"/>
        <w:ind w:left="492"/>
        <w:rPr>
          <w:rFonts w:ascii="宋体" w:hAnsi="宋体" w:cs="宋体"/>
          <w:color w:val="auto"/>
          <w:sz w:val="24"/>
          <w:highlight w:val="none"/>
        </w:rPr>
      </w:pPr>
      <w:r>
        <w:rPr>
          <w:rFonts w:hint="eastAsia" w:ascii="宋体" w:hAnsi="宋体" w:cs="宋体"/>
          <w:color w:val="auto"/>
          <w:spacing w:val="-2"/>
          <w:sz w:val="24"/>
          <w:highlight w:val="none"/>
        </w:rPr>
        <w:t>2、甲方负责协助乙方做好一切外部事物的处理与协调工作。</w:t>
      </w:r>
    </w:p>
    <w:p w14:paraId="331F7234">
      <w:pPr>
        <w:spacing w:before="292" w:line="360" w:lineRule="auto"/>
        <w:ind w:left="507"/>
        <w:rPr>
          <w:rFonts w:ascii="宋体" w:hAnsi="宋体" w:cs="宋体"/>
          <w:color w:val="auto"/>
          <w:spacing w:val="-2"/>
          <w:sz w:val="24"/>
          <w:highlight w:val="none"/>
        </w:rPr>
      </w:pPr>
      <w:r>
        <w:rPr>
          <w:rFonts w:hint="eastAsia" w:ascii="宋体" w:hAnsi="宋体" w:cs="宋体"/>
          <w:color w:val="auto"/>
          <w:spacing w:val="-2"/>
          <w:sz w:val="24"/>
          <w:highlight w:val="none"/>
        </w:rPr>
        <w:t>3、乙方在工作中需要甲方工作人员协助的，甲方应积极配合。</w:t>
      </w:r>
    </w:p>
    <w:p w14:paraId="586CF0C2">
      <w:pPr>
        <w:spacing w:before="292" w:line="360" w:lineRule="auto"/>
        <w:ind w:left="507"/>
        <w:rPr>
          <w:rFonts w:ascii="宋体" w:hAnsi="宋体" w:cs="宋体"/>
          <w:color w:val="auto"/>
          <w:spacing w:val="-2"/>
          <w:sz w:val="24"/>
          <w:highlight w:val="none"/>
        </w:rPr>
      </w:pPr>
      <w:r>
        <w:rPr>
          <w:rFonts w:hint="eastAsia" w:ascii="宋体" w:hAnsi="宋体" w:cs="宋体"/>
          <w:color w:val="auto"/>
          <w:spacing w:val="-2"/>
          <w:sz w:val="24"/>
          <w:highlight w:val="none"/>
        </w:rPr>
        <w:t>4、合同签订期限为     年。</w:t>
      </w:r>
    </w:p>
    <w:p w14:paraId="665D2155">
      <w:pPr>
        <w:spacing w:before="43" w:line="360" w:lineRule="auto"/>
        <w:ind w:left="492"/>
        <w:outlineLvl w:val="1"/>
        <w:rPr>
          <w:rFonts w:ascii="宋体" w:hAnsi="宋体" w:cs="宋体"/>
          <w:b/>
          <w:bCs/>
          <w:color w:val="auto"/>
          <w:spacing w:val="-8"/>
          <w:sz w:val="24"/>
          <w:highlight w:val="none"/>
        </w:rPr>
      </w:pPr>
      <w:r>
        <w:rPr>
          <w:rFonts w:hint="eastAsia" w:ascii="宋体" w:hAnsi="宋体" w:cs="宋体"/>
          <w:b/>
          <w:bCs/>
          <w:color w:val="auto"/>
          <w:spacing w:val="-8"/>
          <w:sz w:val="24"/>
          <w:highlight w:val="none"/>
        </w:rPr>
        <w:t>第五条   乙方权利义务</w:t>
      </w:r>
    </w:p>
    <w:p w14:paraId="1DD4B86F">
      <w:pPr>
        <w:spacing w:before="292" w:line="360" w:lineRule="auto"/>
        <w:ind w:left="507"/>
        <w:rPr>
          <w:rFonts w:ascii="宋体" w:hAnsi="宋体" w:cs="宋体"/>
          <w:color w:val="auto"/>
          <w:spacing w:val="-2"/>
          <w:sz w:val="24"/>
          <w:highlight w:val="none"/>
        </w:rPr>
      </w:pPr>
      <w:r>
        <w:rPr>
          <w:rFonts w:hint="eastAsia" w:ascii="宋体" w:hAnsi="宋体" w:cs="宋体"/>
          <w:color w:val="auto"/>
          <w:spacing w:val="-2"/>
          <w:sz w:val="24"/>
          <w:highlight w:val="none"/>
        </w:rPr>
        <w:t>1、乙方应根据有关法律法规及本合同约定，制定具体服务管理制度。</w:t>
      </w:r>
    </w:p>
    <w:p w14:paraId="04B44C26">
      <w:pPr>
        <w:spacing w:before="39" w:line="360" w:lineRule="auto"/>
        <w:ind w:firstLine="480"/>
        <w:rPr>
          <w:rFonts w:ascii="宋体" w:hAnsi="宋体" w:cs="宋体"/>
          <w:color w:val="auto"/>
          <w:spacing w:val="-4"/>
          <w:sz w:val="24"/>
          <w:highlight w:val="none"/>
        </w:rPr>
      </w:pPr>
      <w:r>
        <w:rPr>
          <w:rFonts w:hint="eastAsia" w:ascii="宋体" w:hAnsi="宋体" w:cs="宋体"/>
          <w:color w:val="auto"/>
          <w:spacing w:val="-4"/>
          <w:sz w:val="24"/>
          <w:highlight w:val="none"/>
        </w:rPr>
        <w:t>2、乙方应接受甲方的监督和考核， 遵守甲方的规章制度，根据合同约定，服从甲方安排。</w:t>
      </w:r>
    </w:p>
    <w:p w14:paraId="13DA0EC5">
      <w:pPr>
        <w:spacing w:before="39" w:line="360" w:lineRule="auto"/>
        <w:ind w:firstLine="480"/>
        <w:rPr>
          <w:rFonts w:ascii="宋体" w:hAnsi="宋体" w:cs="宋体"/>
          <w:color w:val="auto"/>
          <w:spacing w:val="-4"/>
          <w:sz w:val="24"/>
          <w:highlight w:val="none"/>
        </w:rPr>
      </w:pPr>
      <w:r>
        <w:rPr>
          <w:rFonts w:hint="eastAsia" w:ascii="宋体" w:hAnsi="宋体" w:cs="宋体"/>
          <w:color w:val="auto"/>
          <w:spacing w:val="-4"/>
          <w:sz w:val="24"/>
          <w:highlight w:val="none"/>
        </w:rPr>
        <w:t>3、在工作区域内乙方人员提供管理服务过程中，因乙方人员的故意或过失，造成甲乙双方或任何第三方的人身损害或财产损失，乙方承担一切法律责任与赔偿。</w:t>
      </w:r>
    </w:p>
    <w:p w14:paraId="2F75618D">
      <w:pPr>
        <w:spacing w:before="39" w:line="360" w:lineRule="auto"/>
        <w:ind w:firstLine="480"/>
        <w:outlineLvl w:val="2"/>
        <w:rPr>
          <w:rFonts w:ascii="宋体" w:hAnsi="宋体" w:cs="宋体"/>
          <w:color w:val="auto"/>
          <w:spacing w:val="-4"/>
          <w:sz w:val="24"/>
          <w:highlight w:val="none"/>
        </w:rPr>
      </w:pPr>
      <w:r>
        <w:rPr>
          <w:rFonts w:hint="eastAsia" w:ascii="宋体" w:hAnsi="宋体" w:cs="宋体"/>
          <w:color w:val="auto"/>
          <w:spacing w:val="-4"/>
          <w:sz w:val="24"/>
          <w:highlight w:val="none"/>
        </w:rPr>
        <w:t>4、详见合同约定内容</w:t>
      </w:r>
    </w:p>
    <w:p w14:paraId="452C2AB9">
      <w:pPr>
        <w:spacing w:before="39" w:line="360" w:lineRule="auto"/>
        <w:ind w:firstLine="480"/>
        <w:rPr>
          <w:rFonts w:ascii="宋体" w:hAnsi="宋体" w:cs="宋体"/>
          <w:color w:val="auto"/>
          <w:spacing w:val="-4"/>
          <w:sz w:val="24"/>
          <w:highlight w:val="none"/>
        </w:rPr>
      </w:pPr>
      <w:r>
        <w:rPr>
          <w:rFonts w:hint="eastAsia" w:ascii="宋体" w:hAnsi="宋体" w:cs="宋体"/>
          <w:color w:val="auto"/>
          <w:spacing w:val="-4"/>
          <w:sz w:val="24"/>
          <w:highlight w:val="none"/>
        </w:rPr>
        <w:t>......</w:t>
      </w:r>
    </w:p>
    <w:p w14:paraId="4A6FE681">
      <w:pPr>
        <w:spacing w:before="39" w:line="360" w:lineRule="auto"/>
        <w:ind w:firstLine="480"/>
        <w:outlineLvl w:val="1"/>
        <w:rPr>
          <w:rFonts w:ascii="宋体" w:hAnsi="宋体" w:cs="宋体"/>
          <w:color w:val="auto"/>
          <w:spacing w:val="-4"/>
          <w:sz w:val="24"/>
          <w:highlight w:val="none"/>
        </w:rPr>
      </w:pPr>
      <w:r>
        <w:rPr>
          <w:rFonts w:hint="eastAsia" w:ascii="宋体" w:hAnsi="宋体" w:cs="宋体"/>
          <w:color w:val="auto"/>
          <w:spacing w:val="-4"/>
          <w:sz w:val="24"/>
          <w:highlight w:val="none"/>
        </w:rPr>
        <w:t>第六条   服务目标</w:t>
      </w:r>
    </w:p>
    <w:p w14:paraId="41EAC0E6">
      <w:pPr>
        <w:spacing w:before="39" w:line="360" w:lineRule="auto"/>
        <w:ind w:firstLine="480"/>
        <w:rPr>
          <w:rFonts w:ascii="宋体" w:hAnsi="宋体" w:cs="宋体"/>
          <w:color w:val="auto"/>
          <w:spacing w:val="-4"/>
          <w:sz w:val="24"/>
          <w:highlight w:val="none"/>
        </w:rPr>
      </w:pPr>
      <w:r>
        <w:rPr>
          <w:rFonts w:hint="eastAsia" w:ascii="宋体" w:hAnsi="宋体" w:cs="宋体"/>
          <w:color w:val="auto"/>
          <w:spacing w:val="-3"/>
          <w:sz w:val="24"/>
          <w:highlight w:val="none"/>
        </w:rPr>
        <w:t>乙方根据甲方的具体服务事项及要求制定出服务工作标准和考核标准。经与</w:t>
      </w:r>
      <w:r>
        <w:rPr>
          <w:rFonts w:hint="eastAsia" w:ascii="宋体" w:hAnsi="宋体" w:cs="宋体"/>
          <w:color w:val="auto"/>
          <w:spacing w:val="-4"/>
          <w:sz w:val="24"/>
          <w:highlight w:val="none"/>
        </w:rPr>
        <w:t>甲方协商同意 后，乙方须按此工作标准和考核标准，实现服务目标。</w:t>
      </w:r>
    </w:p>
    <w:p w14:paraId="65F70FD1">
      <w:pPr>
        <w:numPr>
          <w:ilvl w:val="0"/>
          <w:numId w:val="6"/>
        </w:numPr>
        <w:spacing w:before="39" w:line="360" w:lineRule="auto"/>
        <w:ind w:firstLine="480"/>
        <w:rPr>
          <w:rFonts w:ascii="宋体" w:hAnsi="宋体" w:cs="宋体"/>
          <w:color w:val="auto"/>
          <w:spacing w:val="-4"/>
          <w:sz w:val="24"/>
          <w:highlight w:val="none"/>
        </w:rPr>
      </w:pPr>
      <w:r>
        <w:rPr>
          <w:rFonts w:hint="eastAsia" w:ascii="宋体" w:hAnsi="宋体" w:cs="宋体"/>
          <w:color w:val="auto"/>
          <w:spacing w:val="-4"/>
          <w:sz w:val="24"/>
          <w:highlight w:val="none"/>
        </w:rPr>
        <w:t xml:space="preserve">________________ 2、________________ 3、________________ </w:t>
      </w:r>
    </w:p>
    <w:p w14:paraId="5226C414">
      <w:pPr>
        <w:spacing w:before="39" w:line="360" w:lineRule="auto"/>
        <w:ind w:firstLine="464" w:firstLineChars="200"/>
        <w:rPr>
          <w:rFonts w:ascii="宋体" w:hAnsi="宋体" w:cs="宋体"/>
          <w:color w:val="auto"/>
          <w:spacing w:val="-4"/>
          <w:sz w:val="24"/>
          <w:highlight w:val="none"/>
        </w:rPr>
      </w:pPr>
      <w:r>
        <w:rPr>
          <w:rFonts w:hint="eastAsia" w:ascii="宋体" w:hAnsi="宋体" w:cs="宋体"/>
          <w:color w:val="auto"/>
          <w:spacing w:val="-4"/>
          <w:sz w:val="24"/>
          <w:highlight w:val="none"/>
        </w:rPr>
        <w:t>4、________________ 5、________________ „</w:t>
      </w:r>
    </w:p>
    <w:p w14:paraId="343D1679">
      <w:pPr>
        <w:spacing w:before="39" w:line="360" w:lineRule="auto"/>
        <w:ind w:firstLine="480"/>
        <w:outlineLvl w:val="1"/>
        <w:rPr>
          <w:rFonts w:ascii="宋体" w:hAnsi="宋体" w:cs="宋体"/>
          <w:color w:val="auto"/>
          <w:spacing w:val="-4"/>
          <w:sz w:val="24"/>
          <w:highlight w:val="none"/>
        </w:rPr>
      </w:pPr>
      <w:r>
        <w:rPr>
          <w:rFonts w:hint="eastAsia" w:ascii="宋体" w:hAnsi="宋体" w:cs="宋体"/>
          <w:color w:val="auto"/>
          <w:spacing w:val="-4"/>
          <w:sz w:val="24"/>
          <w:highlight w:val="none"/>
        </w:rPr>
        <w:t>第七条  服务费用</w:t>
      </w:r>
    </w:p>
    <w:p w14:paraId="2693E651">
      <w:pPr>
        <w:spacing w:before="39" w:line="360" w:lineRule="auto"/>
        <w:ind w:firstLine="480"/>
        <w:outlineLvl w:val="2"/>
        <w:rPr>
          <w:rFonts w:ascii="宋体" w:hAnsi="宋体" w:cs="宋体"/>
          <w:color w:val="auto"/>
          <w:spacing w:val="-4"/>
          <w:sz w:val="24"/>
          <w:highlight w:val="none"/>
        </w:rPr>
      </w:pPr>
      <w:r>
        <w:rPr>
          <w:rFonts w:hint="eastAsia" w:ascii="宋体" w:hAnsi="宋体" w:cs="宋体"/>
          <w:color w:val="auto"/>
          <w:spacing w:val="-4"/>
          <w:sz w:val="24"/>
          <w:highlight w:val="none"/>
        </w:rPr>
        <w:t>1、费用结算</w:t>
      </w:r>
    </w:p>
    <w:p w14:paraId="12F77A69">
      <w:pPr>
        <w:spacing w:before="39" w:line="360" w:lineRule="auto"/>
        <w:ind w:firstLine="480"/>
        <w:rPr>
          <w:rFonts w:ascii="宋体" w:hAnsi="宋体" w:cs="宋体"/>
          <w:color w:val="auto"/>
          <w:spacing w:val="-4"/>
          <w:sz w:val="24"/>
          <w:highlight w:val="none"/>
        </w:rPr>
      </w:pPr>
      <w:r>
        <w:rPr>
          <w:rFonts w:hint="eastAsia" w:ascii="宋体" w:hAnsi="宋体" w:cs="宋体"/>
          <w:color w:val="auto"/>
          <w:spacing w:val="-4"/>
          <w:sz w:val="24"/>
          <w:highlight w:val="none"/>
        </w:rPr>
        <w:t>本合同以人民币付款，总计   万元。</w:t>
      </w:r>
    </w:p>
    <w:p w14:paraId="3B1FBE79">
      <w:pPr>
        <w:spacing w:before="39" w:line="360" w:lineRule="auto"/>
        <w:ind w:firstLine="480"/>
        <w:rPr>
          <w:rFonts w:ascii="宋体" w:hAnsi="宋体" w:cs="宋体"/>
          <w:color w:val="auto"/>
          <w:spacing w:val="-4"/>
          <w:sz w:val="24"/>
          <w:highlight w:val="none"/>
        </w:rPr>
      </w:pPr>
      <w:r>
        <w:rPr>
          <w:rFonts w:hint="eastAsia" w:ascii="宋体" w:hAnsi="宋体" w:cs="宋体"/>
          <w:color w:val="auto"/>
          <w:spacing w:val="-4"/>
          <w:sz w:val="24"/>
          <w:highlight w:val="none"/>
        </w:rPr>
        <w:t>付款方式：</w:t>
      </w:r>
    </w:p>
    <w:p w14:paraId="4BDB07DD">
      <w:pPr>
        <w:spacing w:before="39" w:line="360" w:lineRule="auto"/>
        <w:ind w:firstLine="480"/>
        <w:outlineLvl w:val="2"/>
        <w:rPr>
          <w:rFonts w:ascii="宋体" w:hAnsi="宋体" w:cs="宋体"/>
          <w:color w:val="auto"/>
          <w:spacing w:val="-4"/>
          <w:sz w:val="24"/>
          <w:highlight w:val="none"/>
        </w:rPr>
      </w:pPr>
      <w:r>
        <w:rPr>
          <w:rFonts w:hint="eastAsia" w:ascii="宋体" w:hAnsi="宋体" w:cs="宋体"/>
          <w:color w:val="auto"/>
          <w:spacing w:val="-4"/>
          <w:sz w:val="24"/>
          <w:highlight w:val="none"/>
        </w:rPr>
        <w:t>2、费用构成</w:t>
      </w:r>
    </w:p>
    <w:p w14:paraId="2CC9964F">
      <w:pPr>
        <w:spacing w:before="39" w:line="360" w:lineRule="auto"/>
        <w:ind w:firstLine="480"/>
        <w:rPr>
          <w:rFonts w:ascii="宋体" w:hAnsi="宋体" w:cs="宋体"/>
          <w:color w:val="auto"/>
          <w:spacing w:val="-4"/>
          <w:sz w:val="24"/>
          <w:highlight w:val="none"/>
        </w:rPr>
      </w:pPr>
      <w:r>
        <w:rPr>
          <w:rFonts w:hint="eastAsia" w:ascii="宋体" w:hAnsi="宋体" w:cs="宋体"/>
          <w:color w:val="auto"/>
          <w:spacing w:val="-4"/>
          <w:sz w:val="24"/>
          <w:highlight w:val="none"/>
        </w:rPr>
        <w:t>（1）</w:t>
      </w:r>
    </w:p>
    <w:p w14:paraId="4C981330">
      <w:pPr>
        <w:spacing w:before="39" w:line="360" w:lineRule="auto"/>
        <w:ind w:firstLine="480"/>
        <w:rPr>
          <w:rFonts w:ascii="宋体" w:hAnsi="宋体" w:cs="宋体"/>
          <w:color w:val="auto"/>
          <w:spacing w:val="-4"/>
          <w:sz w:val="24"/>
          <w:highlight w:val="none"/>
        </w:rPr>
      </w:pPr>
      <w:r>
        <w:rPr>
          <w:rFonts w:hint="eastAsia" w:ascii="宋体" w:hAnsi="宋体" w:cs="宋体"/>
          <w:color w:val="auto"/>
          <w:spacing w:val="-4"/>
          <w:sz w:val="24"/>
          <w:highlight w:val="none"/>
        </w:rPr>
        <w:t>（2）</w:t>
      </w:r>
    </w:p>
    <w:p w14:paraId="01250503">
      <w:pPr>
        <w:spacing w:before="39" w:line="360" w:lineRule="auto"/>
        <w:ind w:firstLine="480"/>
        <w:rPr>
          <w:rFonts w:ascii="宋体" w:hAnsi="宋体" w:cs="宋体"/>
          <w:color w:val="auto"/>
          <w:spacing w:val="-4"/>
          <w:sz w:val="24"/>
          <w:highlight w:val="none"/>
        </w:rPr>
      </w:pPr>
      <w:r>
        <w:rPr>
          <w:rFonts w:hint="eastAsia" w:ascii="宋体" w:hAnsi="宋体" w:cs="宋体"/>
          <w:color w:val="auto"/>
          <w:spacing w:val="-4"/>
          <w:sz w:val="24"/>
          <w:highlight w:val="none"/>
        </w:rPr>
        <w:t>„</w:t>
      </w:r>
    </w:p>
    <w:p w14:paraId="043DFF23">
      <w:pPr>
        <w:spacing w:before="1" w:line="360" w:lineRule="auto"/>
        <w:ind w:left="481"/>
        <w:outlineLvl w:val="1"/>
        <w:rPr>
          <w:rFonts w:ascii="宋体" w:hAnsi="宋体" w:cs="宋体"/>
          <w:b/>
          <w:bCs/>
          <w:color w:val="auto"/>
          <w:spacing w:val="-3"/>
          <w:sz w:val="24"/>
          <w:highlight w:val="none"/>
        </w:rPr>
      </w:pPr>
      <w:r>
        <w:rPr>
          <w:rFonts w:hint="eastAsia" w:ascii="宋体" w:hAnsi="宋体" w:cs="宋体"/>
          <w:b/>
          <w:bCs/>
          <w:color w:val="auto"/>
          <w:spacing w:val="-3"/>
          <w:sz w:val="24"/>
          <w:highlight w:val="none"/>
        </w:rPr>
        <w:t>第八条  验收方法</w:t>
      </w:r>
    </w:p>
    <w:p w14:paraId="59719A49">
      <w:pPr>
        <w:spacing w:before="298" w:line="360" w:lineRule="auto"/>
        <w:ind w:left="1" w:right="20" w:firstLine="510"/>
        <w:rPr>
          <w:rFonts w:ascii="宋体" w:hAnsi="宋体" w:cs="宋体"/>
          <w:color w:val="auto"/>
          <w:sz w:val="24"/>
          <w:highlight w:val="none"/>
        </w:rPr>
      </w:pPr>
      <w:r>
        <w:rPr>
          <w:rFonts w:hint="eastAsia" w:ascii="宋体" w:hAnsi="宋体" w:cs="宋体"/>
          <w:color w:val="auto"/>
          <w:spacing w:val="-2"/>
          <w:sz w:val="24"/>
          <w:highlight w:val="none"/>
        </w:rPr>
        <w:t>甲方应当按照政府采购合同规定的技术、服务、安全标</w:t>
      </w:r>
      <w:r>
        <w:rPr>
          <w:rFonts w:hint="eastAsia" w:ascii="宋体" w:hAnsi="宋体" w:cs="宋体"/>
          <w:color w:val="auto"/>
          <w:spacing w:val="-3"/>
          <w:sz w:val="24"/>
          <w:highlight w:val="none"/>
        </w:rPr>
        <w:t>准组织对乙方履约情况进行验收，</w:t>
      </w:r>
      <w:r>
        <w:rPr>
          <w:rFonts w:hint="eastAsia" w:ascii="宋体" w:hAnsi="宋体" w:cs="宋体"/>
          <w:color w:val="auto"/>
          <w:spacing w:val="-5"/>
          <w:sz w:val="24"/>
          <w:highlight w:val="none"/>
        </w:rPr>
        <w:t>并出具验收书。验收书应当包括每一项技术、服务、安</w:t>
      </w:r>
      <w:r>
        <w:rPr>
          <w:rFonts w:hint="eastAsia" w:ascii="宋体" w:hAnsi="宋体" w:cs="宋体"/>
          <w:color w:val="auto"/>
          <w:spacing w:val="-6"/>
          <w:sz w:val="24"/>
          <w:highlight w:val="none"/>
        </w:rPr>
        <w:t>全标准的履约情况。验收不合格的， 乙</w:t>
      </w:r>
      <w:r>
        <w:rPr>
          <w:rFonts w:hint="eastAsia" w:ascii="宋体" w:hAnsi="宋体" w:cs="宋体"/>
          <w:color w:val="auto"/>
          <w:sz w:val="24"/>
          <w:highlight w:val="none"/>
        </w:rPr>
        <w:t>方应负责重新提供达到本合同约定的质量要求的标准；验收合格的,验</w:t>
      </w:r>
      <w:r>
        <w:rPr>
          <w:rFonts w:hint="eastAsia" w:ascii="宋体" w:hAnsi="宋体" w:cs="宋体"/>
          <w:color w:val="auto"/>
          <w:spacing w:val="-1"/>
          <w:sz w:val="24"/>
          <w:highlight w:val="none"/>
        </w:rPr>
        <w:t>收书作为支付货款的重</w:t>
      </w:r>
      <w:r>
        <w:rPr>
          <w:rFonts w:hint="eastAsia" w:ascii="宋体" w:hAnsi="宋体" w:cs="宋体"/>
          <w:color w:val="auto"/>
          <w:sz w:val="24"/>
          <w:highlight w:val="none"/>
        </w:rPr>
        <w:t xml:space="preserve"> </w:t>
      </w:r>
      <w:r>
        <w:rPr>
          <w:rFonts w:hint="eastAsia" w:ascii="宋体" w:hAnsi="宋体" w:cs="宋体"/>
          <w:color w:val="auto"/>
          <w:spacing w:val="-9"/>
          <w:sz w:val="24"/>
          <w:highlight w:val="none"/>
        </w:rPr>
        <w:t>要依据。</w:t>
      </w:r>
    </w:p>
    <w:p w14:paraId="7638CD2C">
      <w:pPr>
        <w:spacing w:before="33" w:line="360" w:lineRule="auto"/>
        <w:ind w:left="5" w:right="64" w:firstLine="474"/>
        <w:rPr>
          <w:rFonts w:ascii="宋体" w:hAnsi="宋体" w:cs="宋体"/>
          <w:color w:val="auto"/>
          <w:sz w:val="24"/>
          <w:highlight w:val="none"/>
        </w:rPr>
      </w:pPr>
      <w:r>
        <w:rPr>
          <w:rFonts w:hint="eastAsia" w:ascii="宋体" w:hAnsi="宋体" w:cs="宋体"/>
          <w:color w:val="auto"/>
          <w:spacing w:val="-3"/>
          <w:sz w:val="24"/>
          <w:highlight w:val="none"/>
        </w:rPr>
        <w:t>政府向社会公众提供的公共服务项目，验收时应当邀请服务对象参与并出具意见，验收结</w:t>
      </w:r>
      <w:r>
        <w:rPr>
          <w:rFonts w:hint="eastAsia" w:ascii="宋体" w:hAnsi="宋体" w:cs="宋体"/>
          <w:color w:val="auto"/>
          <w:spacing w:val="11"/>
          <w:sz w:val="24"/>
          <w:highlight w:val="none"/>
        </w:rPr>
        <w:t xml:space="preserve"> </w:t>
      </w:r>
      <w:r>
        <w:rPr>
          <w:rFonts w:hint="eastAsia" w:ascii="宋体" w:hAnsi="宋体" w:cs="宋体"/>
          <w:color w:val="auto"/>
          <w:spacing w:val="-5"/>
          <w:sz w:val="24"/>
          <w:highlight w:val="none"/>
        </w:rPr>
        <w:t>果应当向社会公告。</w:t>
      </w:r>
    </w:p>
    <w:p w14:paraId="7C240C17">
      <w:pPr>
        <w:spacing w:before="35" w:line="360" w:lineRule="auto"/>
        <w:ind w:left="483"/>
        <w:outlineLvl w:val="1"/>
        <w:rPr>
          <w:rFonts w:ascii="宋体" w:hAnsi="宋体" w:cs="宋体"/>
          <w:color w:val="auto"/>
          <w:sz w:val="24"/>
          <w:highlight w:val="none"/>
        </w:rPr>
      </w:pPr>
      <w:r>
        <w:rPr>
          <w:rFonts w:hint="eastAsia" w:ascii="宋体" w:hAnsi="宋体" w:cs="宋体"/>
          <w:b/>
          <w:bCs/>
          <w:color w:val="auto"/>
          <w:spacing w:val="-3"/>
          <w:sz w:val="24"/>
          <w:highlight w:val="none"/>
        </w:rPr>
        <w:t>第九条</w:t>
      </w:r>
      <w:r>
        <w:rPr>
          <w:rFonts w:hint="eastAsia" w:ascii="宋体" w:hAnsi="宋体" w:cs="宋体"/>
          <w:color w:val="auto"/>
          <w:spacing w:val="-3"/>
          <w:sz w:val="24"/>
          <w:highlight w:val="none"/>
        </w:rPr>
        <w:t xml:space="preserve"> </w:t>
      </w:r>
      <w:r>
        <w:rPr>
          <w:rFonts w:hint="eastAsia" w:ascii="宋体" w:hAnsi="宋体" w:cs="宋体"/>
          <w:b/>
          <w:bCs/>
          <w:color w:val="auto"/>
          <w:spacing w:val="-3"/>
          <w:sz w:val="24"/>
          <w:highlight w:val="none"/>
        </w:rPr>
        <w:t>违约责任</w:t>
      </w:r>
    </w:p>
    <w:p w14:paraId="0DF0B8FB">
      <w:pPr>
        <w:spacing w:before="293" w:line="360" w:lineRule="auto"/>
        <w:ind w:right="67" w:firstLine="499"/>
        <w:rPr>
          <w:rFonts w:ascii="宋体" w:hAnsi="宋体" w:cs="宋体"/>
          <w:color w:val="auto"/>
          <w:sz w:val="24"/>
          <w:highlight w:val="none"/>
        </w:rPr>
      </w:pPr>
      <w:r>
        <w:rPr>
          <w:rFonts w:hint="eastAsia" w:ascii="宋体" w:hAnsi="宋体" w:cs="宋体"/>
          <w:color w:val="auto"/>
          <w:sz w:val="24"/>
          <w:highlight w:val="none"/>
        </w:rPr>
        <w:t>1、甲方违反本合同的约定，使乙方不能完成服务目标，乙方有权要求甲</w:t>
      </w:r>
      <w:r>
        <w:rPr>
          <w:rFonts w:hint="eastAsia" w:ascii="宋体" w:hAnsi="宋体" w:cs="宋体"/>
          <w:color w:val="auto"/>
          <w:spacing w:val="-1"/>
          <w:sz w:val="24"/>
          <w:highlight w:val="none"/>
        </w:rPr>
        <w:t>方在一定期限内</w:t>
      </w:r>
      <w:r>
        <w:rPr>
          <w:rFonts w:hint="eastAsia" w:ascii="宋体" w:hAnsi="宋体" w:cs="宋体"/>
          <w:color w:val="auto"/>
          <w:sz w:val="24"/>
          <w:highlight w:val="none"/>
        </w:rPr>
        <w:t xml:space="preserve"> </w:t>
      </w:r>
      <w:r>
        <w:rPr>
          <w:rFonts w:hint="eastAsia" w:ascii="宋体" w:hAnsi="宋体" w:cs="宋体"/>
          <w:color w:val="auto"/>
          <w:spacing w:val="-1"/>
          <w:sz w:val="24"/>
          <w:highlight w:val="none"/>
        </w:rPr>
        <w:t>解决，逾期未解决的乙方有权终止合同；造成乙方经济损失的，甲方应给予乙方经济</w:t>
      </w:r>
      <w:r>
        <w:rPr>
          <w:rFonts w:hint="eastAsia" w:ascii="宋体" w:hAnsi="宋体" w:cs="宋体"/>
          <w:color w:val="auto"/>
          <w:spacing w:val="-2"/>
          <w:sz w:val="24"/>
          <w:highlight w:val="none"/>
        </w:rPr>
        <w:t>赔偿。</w:t>
      </w:r>
    </w:p>
    <w:p w14:paraId="66F53AF1">
      <w:pPr>
        <w:spacing w:before="35" w:line="360" w:lineRule="auto"/>
        <w:ind w:right="62" w:firstLine="484"/>
        <w:rPr>
          <w:rFonts w:ascii="宋体" w:hAnsi="宋体" w:cs="宋体"/>
          <w:color w:val="auto"/>
          <w:sz w:val="24"/>
          <w:highlight w:val="none"/>
        </w:rPr>
      </w:pPr>
      <w:r>
        <w:rPr>
          <w:rFonts w:hint="eastAsia" w:ascii="宋体" w:hAnsi="宋体" w:cs="宋体"/>
          <w:color w:val="auto"/>
          <w:sz w:val="24"/>
          <w:highlight w:val="none"/>
        </w:rPr>
        <w:t>2、乙方违反本合同的约定，不能完成服务目标，甲方有权要求乙方限期整改，逾期未整</w:t>
      </w:r>
      <w:r>
        <w:rPr>
          <w:rFonts w:hint="eastAsia" w:ascii="宋体" w:hAnsi="宋体" w:cs="宋体"/>
          <w:color w:val="auto"/>
          <w:spacing w:val="8"/>
          <w:sz w:val="24"/>
          <w:highlight w:val="none"/>
        </w:rPr>
        <w:t xml:space="preserve"> </w:t>
      </w:r>
      <w:r>
        <w:rPr>
          <w:rFonts w:hint="eastAsia" w:ascii="宋体" w:hAnsi="宋体" w:cs="宋体"/>
          <w:color w:val="auto"/>
          <w:spacing w:val="-2"/>
          <w:sz w:val="24"/>
          <w:highlight w:val="none"/>
        </w:rPr>
        <w:t>改或多次整改无提高，甲方有权单方终止合</w:t>
      </w:r>
      <w:r>
        <w:rPr>
          <w:rFonts w:hint="eastAsia" w:ascii="宋体" w:hAnsi="宋体" w:cs="宋体"/>
          <w:color w:val="auto"/>
          <w:spacing w:val="-3"/>
          <w:sz w:val="24"/>
          <w:highlight w:val="none"/>
        </w:rPr>
        <w:t>同；造成甲方经济损失的，乙方应给予甲方经济赔</w:t>
      </w:r>
      <w:r>
        <w:rPr>
          <w:rFonts w:hint="eastAsia" w:ascii="宋体" w:hAnsi="宋体" w:cs="宋体"/>
          <w:color w:val="auto"/>
          <w:sz w:val="24"/>
          <w:highlight w:val="none"/>
        </w:rPr>
        <w:t xml:space="preserve"> </w:t>
      </w:r>
      <w:r>
        <w:rPr>
          <w:rFonts w:hint="eastAsia" w:ascii="宋体" w:hAnsi="宋体" w:cs="宋体"/>
          <w:color w:val="auto"/>
          <w:spacing w:val="-11"/>
          <w:sz w:val="24"/>
          <w:highlight w:val="none"/>
        </w:rPr>
        <w:t>偿。</w:t>
      </w:r>
    </w:p>
    <w:p w14:paraId="68E30D82">
      <w:pPr>
        <w:spacing w:before="34" w:line="360" w:lineRule="auto"/>
        <w:ind w:left="1" w:right="64" w:firstLine="484"/>
        <w:rPr>
          <w:rFonts w:ascii="宋体" w:hAnsi="宋体" w:cs="宋体"/>
          <w:color w:val="auto"/>
          <w:sz w:val="24"/>
          <w:highlight w:val="none"/>
        </w:rPr>
      </w:pPr>
      <w:r>
        <w:rPr>
          <w:rFonts w:hint="eastAsia" w:ascii="宋体" w:hAnsi="宋体" w:cs="宋体"/>
          <w:color w:val="auto"/>
          <w:sz w:val="24"/>
          <w:highlight w:val="none"/>
        </w:rPr>
        <w:t>3、乙方违反本合同的约定，擅自提高收费标准的，甲方有权要求乙方清退；造成甲方经</w:t>
      </w:r>
      <w:r>
        <w:rPr>
          <w:rFonts w:hint="eastAsia" w:ascii="宋体" w:hAnsi="宋体" w:cs="宋体"/>
          <w:color w:val="auto"/>
          <w:spacing w:val="8"/>
          <w:sz w:val="24"/>
          <w:highlight w:val="none"/>
        </w:rPr>
        <w:t xml:space="preserve"> </w:t>
      </w:r>
      <w:r>
        <w:rPr>
          <w:rFonts w:hint="eastAsia" w:ascii="宋体" w:hAnsi="宋体" w:cs="宋体"/>
          <w:color w:val="auto"/>
          <w:spacing w:val="-3"/>
          <w:sz w:val="24"/>
          <w:highlight w:val="none"/>
        </w:rPr>
        <w:t>济损失的，乙方应给予甲方经济赔偿。</w:t>
      </w:r>
    </w:p>
    <w:p w14:paraId="698A2BE3">
      <w:pPr>
        <w:spacing w:before="39" w:line="360" w:lineRule="auto"/>
        <w:ind w:firstLine="480"/>
        <w:rPr>
          <w:rFonts w:ascii="宋体" w:hAnsi="宋体" w:cs="宋体"/>
          <w:color w:val="auto"/>
          <w:sz w:val="24"/>
          <w:highlight w:val="none"/>
        </w:rPr>
      </w:pPr>
      <w:r>
        <w:rPr>
          <w:rFonts w:hint="eastAsia" w:ascii="宋体" w:hAnsi="宋体" w:cs="宋体"/>
          <w:color w:val="auto"/>
          <w:spacing w:val="-4"/>
          <w:sz w:val="24"/>
          <w:highlight w:val="none"/>
        </w:rPr>
        <w:t>4、甲乙双方任何一方无法律依据提前终止本合同的，违约方应赔偿对方</w:t>
      </w:r>
      <w:r>
        <w:rPr>
          <w:rFonts w:hint="eastAsia" w:ascii="宋体" w:hAnsi="宋体" w:cs="宋体"/>
          <w:color w:val="auto"/>
          <w:spacing w:val="-5"/>
          <w:sz w:val="24"/>
          <w:highlight w:val="none"/>
        </w:rPr>
        <w:t>＿＿</w:t>
      </w:r>
      <w:r>
        <w:rPr>
          <w:rFonts w:hint="eastAsia" w:ascii="宋体" w:hAnsi="宋体" w:cs="宋体"/>
          <w:color w:val="auto"/>
          <w:spacing w:val="-4"/>
          <w:sz w:val="24"/>
          <w:highlight w:val="none"/>
        </w:rPr>
        <w:t>元的违约金；</w:t>
      </w:r>
      <w:r>
        <w:rPr>
          <w:rFonts w:hint="eastAsia" w:ascii="宋体" w:hAnsi="宋体" w:cs="宋体"/>
          <w:color w:val="auto"/>
          <w:spacing w:val="-3"/>
          <w:sz w:val="24"/>
          <w:highlight w:val="none"/>
        </w:rPr>
        <w:t>造成对方经济损失的，应给予经济赔偿。</w:t>
      </w:r>
    </w:p>
    <w:p w14:paraId="74C2805F">
      <w:pPr>
        <w:spacing w:before="32" w:line="360" w:lineRule="auto"/>
        <w:ind w:left="486"/>
        <w:outlineLvl w:val="2"/>
        <w:rPr>
          <w:rFonts w:ascii="宋体" w:hAnsi="宋体" w:cs="宋体"/>
          <w:color w:val="auto"/>
          <w:sz w:val="24"/>
          <w:highlight w:val="none"/>
        </w:rPr>
      </w:pPr>
      <w:r>
        <w:rPr>
          <w:rFonts w:hint="eastAsia" w:ascii="宋体" w:hAnsi="宋体" w:cs="宋体"/>
          <w:color w:val="auto"/>
          <w:spacing w:val="-8"/>
          <w:sz w:val="24"/>
          <w:highlight w:val="none"/>
        </w:rPr>
        <w:t>5、其他。</w:t>
      </w:r>
    </w:p>
    <w:p w14:paraId="64C3C5B4">
      <w:pPr>
        <w:spacing w:before="294" w:line="360" w:lineRule="auto"/>
        <w:ind w:left="483"/>
        <w:outlineLvl w:val="1"/>
        <w:rPr>
          <w:rFonts w:ascii="宋体" w:hAnsi="宋体" w:cs="宋体"/>
          <w:color w:val="auto"/>
          <w:sz w:val="24"/>
          <w:highlight w:val="none"/>
        </w:rPr>
      </w:pPr>
      <w:r>
        <w:rPr>
          <w:rFonts w:hint="eastAsia" w:ascii="宋体" w:hAnsi="宋体" w:cs="宋体"/>
          <w:b/>
          <w:bCs/>
          <w:color w:val="auto"/>
          <w:spacing w:val="-3"/>
          <w:sz w:val="24"/>
          <w:highlight w:val="none"/>
        </w:rPr>
        <w:t>第十条</w:t>
      </w:r>
      <w:r>
        <w:rPr>
          <w:rFonts w:hint="eastAsia" w:ascii="宋体" w:hAnsi="宋体" w:cs="宋体"/>
          <w:color w:val="auto"/>
          <w:spacing w:val="-3"/>
          <w:sz w:val="24"/>
          <w:highlight w:val="none"/>
        </w:rPr>
        <w:t xml:space="preserve"> </w:t>
      </w:r>
      <w:r>
        <w:rPr>
          <w:rFonts w:hint="eastAsia" w:ascii="宋体" w:hAnsi="宋体" w:cs="宋体"/>
          <w:b/>
          <w:bCs/>
          <w:color w:val="auto"/>
          <w:spacing w:val="-3"/>
          <w:sz w:val="24"/>
          <w:highlight w:val="none"/>
        </w:rPr>
        <w:t>其他事项</w:t>
      </w:r>
    </w:p>
    <w:p w14:paraId="45847AB5">
      <w:pPr>
        <w:spacing w:before="295" w:line="360" w:lineRule="auto"/>
        <w:ind w:left="499"/>
        <w:outlineLvl w:val="2"/>
        <w:rPr>
          <w:rFonts w:ascii="宋体" w:hAnsi="宋体" w:cs="宋体"/>
          <w:color w:val="auto"/>
          <w:sz w:val="24"/>
          <w:highlight w:val="none"/>
        </w:rPr>
      </w:pPr>
      <w:r>
        <w:rPr>
          <w:rFonts w:hint="eastAsia" w:ascii="宋体" w:hAnsi="宋体" w:cs="宋体"/>
          <w:color w:val="auto"/>
          <w:spacing w:val="-4"/>
          <w:sz w:val="24"/>
          <w:highlight w:val="none"/>
        </w:rPr>
        <w:t>1、本合同自甲乙双方签字盖章后生效。</w:t>
      </w:r>
    </w:p>
    <w:p w14:paraId="06645650">
      <w:pPr>
        <w:spacing w:before="266" w:line="360" w:lineRule="auto"/>
        <w:ind w:right="110" w:firstLine="484"/>
        <w:rPr>
          <w:rFonts w:ascii="宋体" w:hAnsi="宋体" w:cs="宋体"/>
          <w:color w:val="auto"/>
          <w:sz w:val="24"/>
          <w:highlight w:val="none"/>
        </w:rPr>
      </w:pPr>
      <w:r>
        <w:rPr>
          <w:rFonts w:hint="eastAsia" w:ascii="宋体" w:hAnsi="宋体" w:cs="宋体"/>
          <w:color w:val="auto"/>
          <w:spacing w:val="-1"/>
          <w:sz w:val="24"/>
          <w:highlight w:val="none"/>
        </w:rPr>
        <w:t>2、合同执行期内，甲乙双方均不得随意变更或解除合同。合同如有未尽事宜，须经双方</w:t>
      </w:r>
      <w:r>
        <w:rPr>
          <w:rFonts w:hint="eastAsia" w:ascii="宋体" w:hAnsi="宋体" w:cs="宋体"/>
          <w:color w:val="auto"/>
          <w:spacing w:val="16"/>
          <w:sz w:val="24"/>
          <w:highlight w:val="none"/>
        </w:rPr>
        <w:t xml:space="preserve"> </w:t>
      </w:r>
      <w:r>
        <w:rPr>
          <w:rFonts w:hint="eastAsia" w:ascii="宋体" w:hAnsi="宋体" w:cs="宋体"/>
          <w:color w:val="auto"/>
          <w:spacing w:val="-3"/>
          <w:sz w:val="24"/>
          <w:highlight w:val="none"/>
        </w:rPr>
        <w:t>共同协商，做出补充规定，补充规定与本合同具有同等效力，也可按照《</w:t>
      </w:r>
      <w:r>
        <w:rPr>
          <w:rFonts w:hint="eastAsia" w:ascii="宋体" w:hAnsi="宋体" w:cs="宋体"/>
          <w:color w:val="auto"/>
          <w:spacing w:val="-3"/>
          <w:sz w:val="24"/>
          <w:highlight w:val="none"/>
          <w:lang w:eastAsia="zh-CN"/>
        </w:rPr>
        <w:t>中华人民共和国民法典</w:t>
      </w:r>
      <w:r>
        <w:rPr>
          <w:rFonts w:hint="eastAsia" w:ascii="宋体" w:hAnsi="宋体" w:cs="宋体"/>
          <w:color w:val="auto"/>
          <w:spacing w:val="-5"/>
          <w:sz w:val="24"/>
          <w:highlight w:val="none"/>
        </w:rPr>
        <w:t>》的规定执行。</w:t>
      </w:r>
    </w:p>
    <w:p w14:paraId="524FE565">
      <w:pPr>
        <w:spacing w:before="35" w:line="360" w:lineRule="auto"/>
        <w:ind w:left="5" w:right="110" w:firstLine="480"/>
        <w:rPr>
          <w:rFonts w:ascii="宋体" w:hAnsi="宋体" w:cs="宋体"/>
          <w:color w:val="auto"/>
          <w:sz w:val="24"/>
          <w:highlight w:val="none"/>
        </w:rPr>
      </w:pPr>
      <w:r>
        <w:rPr>
          <w:rFonts w:hint="eastAsia" w:ascii="宋体" w:hAnsi="宋体" w:cs="宋体"/>
          <w:color w:val="auto"/>
          <w:sz w:val="24"/>
          <w:highlight w:val="none"/>
        </w:rPr>
        <w:t>3、本合同执行期间，如遇不可抗力，致使合同无法履行</w:t>
      </w:r>
      <w:r>
        <w:rPr>
          <w:rFonts w:hint="eastAsia" w:ascii="宋体" w:hAnsi="宋体" w:cs="宋体"/>
          <w:color w:val="auto"/>
          <w:spacing w:val="-1"/>
          <w:sz w:val="24"/>
          <w:highlight w:val="none"/>
        </w:rPr>
        <w:t>时，双方按有关法律规定及时协</w:t>
      </w:r>
      <w:r>
        <w:rPr>
          <w:rFonts w:hint="eastAsia" w:ascii="宋体" w:hAnsi="宋体" w:cs="宋体"/>
          <w:color w:val="auto"/>
          <w:spacing w:val="-10"/>
          <w:sz w:val="24"/>
          <w:highlight w:val="none"/>
        </w:rPr>
        <w:t>商处理。</w:t>
      </w:r>
    </w:p>
    <w:p w14:paraId="5E204595">
      <w:pPr>
        <w:spacing w:before="30" w:line="360" w:lineRule="auto"/>
        <w:ind w:right="106" w:firstLine="480"/>
        <w:rPr>
          <w:rFonts w:ascii="宋体" w:hAnsi="宋体" w:cs="宋体"/>
          <w:color w:val="auto"/>
          <w:spacing w:val="-1"/>
          <w:sz w:val="24"/>
          <w:highlight w:val="none"/>
        </w:rPr>
      </w:pPr>
      <w:r>
        <w:rPr>
          <w:rFonts w:hint="eastAsia" w:ascii="宋体" w:hAnsi="宋体" w:cs="宋体"/>
          <w:color w:val="auto"/>
          <w:sz w:val="24"/>
          <w:highlight w:val="none"/>
        </w:rPr>
        <w:t>4、本合同如发生纠纷，当事人双方应当及时协商解决，协商不成</w:t>
      </w:r>
      <w:r>
        <w:rPr>
          <w:rFonts w:hint="eastAsia" w:ascii="宋体" w:hAnsi="宋体" w:cs="宋体"/>
          <w:color w:val="auto"/>
          <w:spacing w:val="-1"/>
          <w:sz w:val="24"/>
          <w:highlight w:val="none"/>
        </w:rPr>
        <w:t>时，任何一方均可请政</w:t>
      </w:r>
      <w:r>
        <w:rPr>
          <w:rFonts w:hint="eastAsia" w:ascii="宋体" w:hAnsi="宋体" w:cs="宋体"/>
          <w:color w:val="auto"/>
          <w:sz w:val="24"/>
          <w:highlight w:val="none"/>
        </w:rPr>
        <w:t xml:space="preserve"> </w:t>
      </w:r>
      <w:r>
        <w:rPr>
          <w:rFonts w:hint="eastAsia" w:ascii="宋体" w:hAnsi="宋体" w:cs="宋体"/>
          <w:color w:val="auto"/>
          <w:spacing w:val="-1"/>
          <w:sz w:val="24"/>
          <w:highlight w:val="none"/>
        </w:rPr>
        <w:t>府采购监督管理机关调解，调解不成，按以下第</w:t>
      </w:r>
      <w:r>
        <w:rPr>
          <w:rFonts w:hint="eastAsia" w:ascii="宋体" w:hAnsi="宋体" w:cs="宋体"/>
          <w:color w:val="auto"/>
          <w:spacing w:val="-27"/>
          <w:sz w:val="24"/>
          <w:highlight w:val="none"/>
        </w:rPr>
        <w:t>（</w:t>
      </w:r>
      <w:r>
        <w:rPr>
          <w:rFonts w:hint="eastAsia" w:ascii="宋体" w:hAnsi="宋体" w:cs="宋体"/>
          <w:color w:val="auto"/>
          <w:spacing w:val="37"/>
          <w:sz w:val="24"/>
          <w:highlight w:val="none"/>
        </w:rPr>
        <w:t xml:space="preserve"> </w:t>
      </w:r>
      <w:r>
        <w:rPr>
          <w:rFonts w:hint="eastAsia" w:ascii="宋体" w:hAnsi="宋体" w:cs="宋体"/>
          <w:color w:val="auto"/>
          <w:spacing w:val="-27"/>
          <w:sz w:val="24"/>
          <w:highlight w:val="none"/>
        </w:rPr>
        <w:t>）</w:t>
      </w:r>
      <w:r>
        <w:rPr>
          <w:rFonts w:hint="eastAsia" w:ascii="宋体" w:hAnsi="宋体" w:cs="宋体"/>
          <w:color w:val="auto"/>
          <w:spacing w:val="-2"/>
          <w:sz w:val="24"/>
          <w:highlight w:val="none"/>
        </w:rPr>
        <w:t>项方式处理</w:t>
      </w:r>
      <w:r>
        <w:rPr>
          <w:rFonts w:hint="eastAsia" w:ascii="宋体" w:hAnsi="宋体" w:cs="宋体"/>
          <w:color w:val="auto"/>
          <w:spacing w:val="-27"/>
          <w:sz w:val="24"/>
          <w:highlight w:val="none"/>
        </w:rPr>
        <w:t>：（</w:t>
      </w:r>
      <w:r>
        <w:rPr>
          <w:rFonts w:hint="eastAsia" w:ascii="宋体" w:hAnsi="宋体" w:cs="宋体"/>
          <w:color w:val="auto"/>
          <w:spacing w:val="-2"/>
          <w:sz w:val="24"/>
          <w:highlight w:val="none"/>
        </w:rPr>
        <w:t>1）根据《中华人民共和</w:t>
      </w:r>
      <w:r>
        <w:rPr>
          <w:rFonts w:hint="eastAsia" w:ascii="宋体" w:hAnsi="宋体" w:cs="宋体"/>
          <w:color w:val="auto"/>
          <w:spacing w:val="-1"/>
          <w:sz w:val="24"/>
          <w:highlight w:val="none"/>
        </w:rPr>
        <w:t>国仲裁法》的规定申请仲裁。</w:t>
      </w:r>
    </w:p>
    <w:p w14:paraId="171A4291">
      <w:pPr>
        <w:spacing w:before="30" w:line="360" w:lineRule="auto"/>
        <w:ind w:right="106"/>
        <w:rPr>
          <w:rFonts w:ascii="宋体" w:hAnsi="宋体" w:cs="宋体"/>
          <w:color w:val="auto"/>
          <w:sz w:val="24"/>
          <w:highlight w:val="none"/>
        </w:rPr>
      </w:pPr>
      <w:r>
        <w:rPr>
          <w:rFonts w:hint="eastAsia" w:ascii="宋体" w:hAnsi="宋体" w:cs="宋体"/>
          <w:color w:val="auto"/>
          <w:spacing w:val="-1"/>
          <w:sz w:val="24"/>
          <w:highlight w:val="none"/>
        </w:rPr>
        <w:t>（2）向合同签订地有管辖权的</w:t>
      </w:r>
      <w:r>
        <w:rPr>
          <w:rFonts w:hint="eastAsia" w:ascii="宋体" w:hAnsi="宋体" w:cs="宋体"/>
          <w:color w:val="auto"/>
          <w:spacing w:val="-2"/>
          <w:sz w:val="24"/>
          <w:highlight w:val="none"/>
        </w:rPr>
        <w:t>人民法院起诉。</w:t>
      </w:r>
    </w:p>
    <w:p w14:paraId="65787B8E">
      <w:pPr>
        <w:spacing w:before="33" w:line="360" w:lineRule="auto"/>
        <w:ind w:firstLine="486"/>
        <w:rPr>
          <w:rFonts w:ascii="宋体" w:hAnsi="宋体" w:cs="宋体"/>
          <w:color w:val="auto"/>
          <w:sz w:val="24"/>
          <w:highlight w:val="none"/>
        </w:rPr>
      </w:pPr>
      <w:r>
        <w:rPr>
          <w:rFonts w:hint="eastAsia" w:ascii="宋体" w:hAnsi="宋体" w:cs="宋体"/>
          <w:color w:val="auto"/>
          <w:spacing w:val="-6"/>
          <w:sz w:val="24"/>
          <w:highlight w:val="none"/>
        </w:rPr>
        <w:t>5、采购双方必须严格按照磋商文件、响应文件及有关</w:t>
      </w:r>
      <w:r>
        <w:rPr>
          <w:rFonts w:hint="eastAsia" w:ascii="宋体" w:hAnsi="宋体" w:cs="宋体"/>
          <w:color w:val="auto"/>
          <w:spacing w:val="-7"/>
          <w:sz w:val="24"/>
          <w:highlight w:val="none"/>
        </w:rPr>
        <w:t>承诺签订采购合同， 不得擅自变更。</w:t>
      </w:r>
      <w:r>
        <w:rPr>
          <w:rFonts w:hint="eastAsia" w:ascii="宋体" w:hAnsi="宋体" w:cs="宋体"/>
          <w:color w:val="auto"/>
          <w:sz w:val="24"/>
          <w:highlight w:val="none"/>
        </w:rPr>
        <w:t xml:space="preserve"> </w:t>
      </w:r>
      <w:r>
        <w:rPr>
          <w:rFonts w:hint="eastAsia" w:ascii="宋体" w:hAnsi="宋体" w:cs="宋体"/>
          <w:color w:val="auto"/>
          <w:spacing w:val="-1"/>
          <w:sz w:val="24"/>
          <w:highlight w:val="none"/>
        </w:rPr>
        <w:t>对任何因双方擅自变更合同引起的问题市政府采购中心概不负责，合同风险由双方自行承</w:t>
      </w:r>
      <w:r>
        <w:rPr>
          <w:rFonts w:hint="eastAsia" w:ascii="宋体" w:hAnsi="宋体" w:cs="宋体"/>
          <w:color w:val="auto"/>
          <w:spacing w:val="-2"/>
          <w:sz w:val="24"/>
          <w:highlight w:val="none"/>
        </w:rPr>
        <w:t>担。</w:t>
      </w:r>
    </w:p>
    <w:p w14:paraId="5A28F058">
      <w:pPr>
        <w:spacing w:before="33" w:line="360" w:lineRule="auto"/>
        <w:ind w:firstLine="486"/>
        <w:rPr>
          <w:rFonts w:ascii="宋体" w:hAnsi="宋体" w:cs="宋体"/>
          <w:color w:val="auto"/>
          <w:spacing w:val="-6"/>
          <w:sz w:val="24"/>
          <w:highlight w:val="none"/>
        </w:rPr>
      </w:pPr>
      <w:r>
        <w:rPr>
          <w:rFonts w:hint="eastAsia" w:ascii="宋体" w:hAnsi="宋体" w:cs="宋体"/>
          <w:color w:val="auto"/>
          <w:spacing w:val="-6"/>
          <w:sz w:val="24"/>
          <w:highlight w:val="none"/>
        </w:rPr>
        <w:t>6、本合同一式 份，甲乙双方各执  份。</w:t>
      </w:r>
    </w:p>
    <w:p w14:paraId="6F99402D">
      <w:pPr>
        <w:spacing w:before="33" w:line="360" w:lineRule="auto"/>
        <w:ind w:firstLine="486"/>
        <w:rPr>
          <w:rFonts w:ascii="宋体" w:hAnsi="宋体" w:cs="宋体"/>
          <w:color w:val="auto"/>
          <w:spacing w:val="-6"/>
          <w:sz w:val="24"/>
          <w:highlight w:val="none"/>
        </w:rPr>
      </w:pPr>
      <w:r>
        <w:rPr>
          <w:rFonts w:hint="eastAsia" w:ascii="宋体" w:hAnsi="宋体" w:cs="宋体"/>
          <w:color w:val="auto"/>
          <w:spacing w:val="-6"/>
          <w:sz w:val="24"/>
          <w:highlight w:val="none"/>
        </w:rPr>
        <w:t>第十一条下列关于项目编号</w:t>
      </w:r>
      <w:r>
        <w:rPr>
          <w:rFonts w:hint="eastAsia" w:ascii="宋体" w:hAnsi="宋体" w:cs="宋体"/>
          <w:color w:val="auto"/>
          <w:spacing w:val="-6"/>
          <w:sz w:val="24"/>
          <w:highlight w:val="none"/>
          <w:u w:val="single"/>
        </w:rPr>
        <w:t xml:space="preserve">      </w:t>
      </w:r>
      <w:r>
        <w:rPr>
          <w:rFonts w:hint="eastAsia" w:ascii="宋体" w:hAnsi="宋体" w:cs="宋体"/>
          <w:color w:val="auto"/>
          <w:spacing w:val="-6"/>
          <w:sz w:val="24"/>
          <w:highlight w:val="none"/>
        </w:rPr>
        <w:t>号的采购文件及有关附件是本合同不可分割的组成部分，与本合同具有同等法律效力，这些文件包括但不限于：</w:t>
      </w:r>
    </w:p>
    <w:p w14:paraId="653FE0E0">
      <w:pPr>
        <w:spacing w:before="33" w:line="360" w:lineRule="auto"/>
        <w:ind w:firstLine="486"/>
        <w:rPr>
          <w:rFonts w:ascii="宋体" w:hAnsi="宋体" w:cs="宋体"/>
          <w:color w:val="auto"/>
          <w:spacing w:val="-6"/>
          <w:sz w:val="24"/>
          <w:highlight w:val="none"/>
        </w:rPr>
      </w:pPr>
      <w:r>
        <w:rPr>
          <w:rFonts w:hint="eastAsia" w:ascii="宋体" w:hAnsi="宋体" w:cs="宋体"/>
          <w:color w:val="auto"/>
          <w:spacing w:val="-6"/>
          <w:sz w:val="24"/>
          <w:highlight w:val="none"/>
        </w:rPr>
        <w:t>（1）磋商文件（2）乙方提供 的响应文件（3）服务承诺；（4）甲乙双方商定的其他文件。以上附件顺序在前的具有优先解释权。</w:t>
      </w:r>
    </w:p>
    <w:p w14:paraId="5EA2EC2E">
      <w:pPr>
        <w:spacing w:before="72" w:line="360" w:lineRule="auto"/>
        <w:rPr>
          <w:rFonts w:ascii="宋体" w:hAnsi="宋体" w:cs="宋体"/>
          <w:color w:val="auto"/>
          <w:spacing w:val="-1"/>
          <w:sz w:val="24"/>
          <w:highlight w:val="none"/>
        </w:rPr>
      </w:pPr>
    </w:p>
    <w:p w14:paraId="2B4B95C0">
      <w:pPr>
        <w:spacing w:before="72" w:line="360" w:lineRule="auto"/>
        <w:ind w:left="480"/>
        <w:rPr>
          <w:rFonts w:ascii="宋体" w:hAnsi="宋体" w:cs="宋体"/>
          <w:color w:val="auto"/>
          <w:sz w:val="24"/>
          <w:highlight w:val="none"/>
        </w:rPr>
      </w:pPr>
      <w:r>
        <w:rPr>
          <w:rFonts w:hint="eastAsia" w:ascii="宋体" w:hAnsi="宋体" w:cs="宋体"/>
          <w:color w:val="auto"/>
          <w:spacing w:val="-1"/>
          <w:sz w:val="24"/>
          <w:highlight w:val="none"/>
        </w:rPr>
        <w:t>采购人（甲方</w:t>
      </w:r>
      <w:r>
        <w:rPr>
          <w:rFonts w:hint="eastAsia" w:ascii="宋体" w:hAnsi="宋体" w:cs="宋体"/>
          <w:color w:val="auto"/>
          <w:sz w:val="24"/>
          <w:highlight w:val="none"/>
        </w:rPr>
        <w:t>）：    （</w:t>
      </w:r>
      <w:r>
        <w:rPr>
          <w:rFonts w:hint="eastAsia" w:ascii="宋体" w:hAnsi="宋体" w:cs="宋体"/>
          <w:color w:val="auto"/>
          <w:spacing w:val="-1"/>
          <w:sz w:val="24"/>
          <w:highlight w:val="none"/>
        </w:rPr>
        <w:t>公章）       供应商（乙方</w:t>
      </w:r>
      <w:r>
        <w:rPr>
          <w:rFonts w:hint="eastAsia" w:ascii="宋体" w:hAnsi="宋体" w:cs="宋体"/>
          <w:color w:val="auto"/>
          <w:sz w:val="24"/>
          <w:highlight w:val="none"/>
        </w:rPr>
        <w:t>）： （</w:t>
      </w:r>
      <w:r>
        <w:rPr>
          <w:rFonts w:hint="eastAsia" w:ascii="宋体" w:hAnsi="宋体" w:cs="宋体"/>
          <w:color w:val="auto"/>
          <w:spacing w:val="-1"/>
          <w:sz w:val="24"/>
          <w:highlight w:val="none"/>
        </w:rPr>
        <w:t>公章）</w:t>
      </w:r>
    </w:p>
    <w:p w14:paraId="0DBCB5F4">
      <w:pPr>
        <w:spacing w:before="183" w:line="360" w:lineRule="auto"/>
        <w:ind w:left="481"/>
        <w:rPr>
          <w:rFonts w:ascii="宋体" w:hAnsi="宋体" w:cs="宋体"/>
          <w:color w:val="auto"/>
          <w:sz w:val="24"/>
          <w:highlight w:val="none"/>
        </w:rPr>
      </w:pPr>
      <w:r>
        <w:rPr>
          <w:rFonts w:hint="eastAsia" w:ascii="宋体" w:hAnsi="宋体" w:cs="宋体"/>
          <w:color w:val="auto"/>
          <w:spacing w:val="-5"/>
          <w:sz w:val="24"/>
          <w:highlight w:val="none"/>
        </w:rPr>
        <w:t xml:space="preserve">地址：                               </w:t>
      </w:r>
      <w:r>
        <w:rPr>
          <w:rFonts w:hint="eastAsia" w:ascii="宋体" w:hAnsi="宋体" w:cs="宋体"/>
          <w:color w:val="auto"/>
          <w:spacing w:val="-6"/>
          <w:sz w:val="24"/>
          <w:highlight w:val="none"/>
        </w:rPr>
        <w:t xml:space="preserve"> 地址：</w:t>
      </w:r>
    </w:p>
    <w:p w14:paraId="1B9D04E5">
      <w:pPr>
        <w:spacing w:before="167" w:line="360" w:lineRule="auto"/>
        <w:ind w:left="482"/>
        <w:rPr>
          <w:rFonts w:ascii="宋体" w:hAnsi="宋体" w:cs="宋体"/>
          <w:color w:val="auto"/>
          <w:sz w:val="24"/>
          <w:highlight w:val="none"/>
        </w:rPr>
      </w:pPr>
      <w:r>
        <w:rPr>
          <w:rFonts w:hint="eastAsia" w:ascii="宋体" w:hAnsi="宋体" w:cs="宋体"/>
          <w:color w:val="auto"/>
          <w:spacing w:val="-6"/>
          <w:sz w:val="24"/>
          <w:highlight w:val="none"/>
        </w:rPr>
        <w:t>法定代表人：</w:t>
      </w:r>
      <w:r>
        <w:rPr>
          <w:rFonts w:hint="eastAsia" w:ascii="宋体" w:hAnsi="宋体" w:cs="宋体"/>
          <w:color w:val="auto"/>
          <w:sz w:val="24"/>
          <w:highlight w:val="none"/>
        </w:rPr>
        <w:t xml:space="preserve">                        </w:t>
      </w:r>
      <w:r>
        <w:rPr>
          <w:rFonts w:hint="eastAsia" w:ascii="宋体" w:hAnsi="宋体" w:cs="宋体"/>
          <w:color w:val="auto"/>
          <w:spacing w:val="-6"/>
          <w:sz w:val="24"/>
          <w:highlight w:val="none"/>
        </w:rPr>
        <w:t>法定代表人：</w:t>
      </w:r>
    </w:p>
    <w:p w14:paraId="71D181F5">
      <w:pPr>
        <w:spacing w:before="182" w:line="360" w:lineRule="auto"/>
        <w:ind w:left="480"/>
        <w:rPr>
          <w:rFonts w:ascii="宋体" w:hAnsi="宋体" w:cs="宋体"/>
          <w:color w:val="auto"/>
          <w:sz w:val="24"/>
          <w:highlight w:val="none"/>
        </w:rPr>
      </w:pPr>
      <w:r>
        <w:rPr>
          <w:rFonts w:hint="eastAsia" w:ascii="宋体" w:hAnsi="宋体" w:cs="宋体"/>
          <w:color w:val="auto"/>
          <w:spacing w:val="-6"/>
          <w:sz w:val="24"/>
          <w:highlight w:val="none"/>
        </w:rPr>
        <w:t>委托代理人：</w:t>
      </w:r>
      <w:r>
        <w:rPr>
          <w:rFonts w:hint="eastAsia" w:ascii="宋体" w:hAnsi="宋体" w:cs="宋体"/>
          <w:color w:val="auto"/>
          <w:sz w:val="24"/>
          <w:highlight w:val="none"/>
        </w:rPr>
        <w:t xml:space="preserve">                        </w:t>
      </w:r>
      <w:r>
        <w:rPr>
          <w:rFonts w:hint="eastAsia" w:ascii="宋体" w:hAnsi="宋体" w:cs="宋体"/>
          <w:color w:val="auto"/>
          <w:spacing w:val="-6"/>
          <w:sz w:val="24"/>
          <w:highlight w:val="none"/>
        </w:rPr>
        <w:t>委托代理人：</w:t>
      </w:r>
    </w:p>
    <w:p w14:paraId="0D7379C3">
      <w:pPr>
        <w:spacing w:before="181" w:line="360" w:lineRule="auto"/>
        <w:ind w:left="509"/>
        <w:rPr>
          <w:rFonts w:ascii="宋体" w:hAnsi="宋体" w:cs="宋体"/>
          <w:color w:val="auto"/>
          <w:sz w:val="24"/>
          <w:highlight w:val="none"/>
        </w:rPr>
      </w:pPr>
      <w:r>
        <w:rPr>
          <w:rFonts w:hint="eastAsia" w:ascii="宋体" w:hAnsi="宋体" w:cs="宋体"/>
          <w:color w:val="auto"/>
          <w:spacing w:val="-9"/>
          <w:sz w:val="24"/>
          <w:highlight w:val="none"/>
        </w:rPr>
        <w:t xml:space="preserve">电话：                        </w:t>
      </w:r>
      <w:r>
        <w:rPr>
          <w:rFonts w:hint="eastAsia" w:ascii="宋体" w:hAnsi="宋体" w:cs="宋体"/>
          <w:color w:val="auto"/>
          <w:spacing w:val="-10"/>
          <w:sz w:val="24"/>
          <w:highlight w:val="none"/>
        </w:rPr>
        <w:t xml:space="preserve">           电话：</w:t>
      </w:r>
    </w:p>
    <w:p w14:paraId="2212D4BB">
      <w:pPr>
        <w:spacing w:before="180" w:line="360" w:lineRule="auto"/>
        <w:ind w:left="482"/>
        <w:rPr>
          <w:rFonts w:ascii="宋体" w:hAnsi="宋体" w:cs="宋体"/>
          <w:color w:val="auto"/>
          <w:sz w:val="24"/>
          <w:highlight w:val="none"/>
        </w:rPr>
      </w:pPr>
      <w:r>
        <w:rPr>
          <w:rFonts w:hint="eastAsia" w:ascii="宋体" w:hAnsi="宋体" w:cs="宋体"/>
          <w:color w:val="auto"/>
          <w:spacing w:val="-7"/>
          <w:sz w:val="24"/>
          <w:highlight w:val="none"/>
        </w:rPr>
        <w:t>开户银行：</w:t>
      </w:r>
      <w:r>
        <w:rPr>
          <w:rFonts w:hint="eastAsia" w:ascii="宋体" w:hAnsi="宋体" w:cs="宋体"/>
          <w:color w:val="auto"/>
          <w:sz w:val="24"/>
          <w:highlight w:val="none"/>
        </w:rPr>
        <w:t xml:space="preserve">                          </w:t>
      </w:r>
      <w:r>
        <w:rPr>
          <w:rFonts w:hint="eastAsia" w:ascii="宋体" w:hAnsi="宋体" w:cs="宋体"/>
          <w:color w:val="auto"/>
          <w:spacing w:val="-7"/>
          <w:sz w:val="24"/>
          <w:highlight w:val="none"/>
        </w:rPr>
        <w:t>开户银行：</w:t>
      </w:r>
    </w:p>
    <w:p w14:paraId="4777C7D3">
      <w:pPr>
        <w:spacing w:before="179" w:line="360" w:lineRule="auto"/>
        <w:ind w:left="485"/>
        <w:rPr>
          <w:rFonts w:ascii="宋体" w:hAnsi="宋体" w:cs="宋体"/>
          <w:color w:val="auto"/>
          <w:sz w:val="24"/>
          <w:highlight w:val="none"/>
        </w:rPr>
      </w:pPr>
      <w:r>
        <w:rPr>
          <w:rFonts w:hint="eastAsia" w:ascii="宋体" w:hAnsi="宋体" w:cs="宋体"/>
          <w:color w:val="auto"/>
          <w:spacing w:val="-5"/>
          <w:sz w:val="24"/>
          <w:highlight w:val="none"/>
        </w:rPr>
        <w:t xml:space="preserve">账号：                      </w:t>
      </w:r>
      <w:r>
        <w:rPr>
          <w:rFonts w:hint="eastAsia" w:ascii="宋体" w:hAnsi="宋体" w:cs="宋体"/>
          <w:color w:val="auto"/>
          <w:spacing w:val="-6"/>
          <w:sz w:val="24"/>
          <w:highlight w:val="none"/>
        </w:rPr>
        <w:t xml:space="preserve">           账号：</w:t>
      </w:r>
    </w:p>
    <w:p w14:paraId="5939C4D7">
      <w:pPr>
        <w:ind w:firstLine="468" w:firstLineChars="200"/>
        <w:outlineLvl w:val="0"/>
        <w:rPr>
          <w:rFonts w:ascii="宋体" w:hAnsi="宋体" w:cs="宋体"/>
          <w:color w:val="auto"/>
          <w:spacing w:val="-3"/>
          <w:sz w:val="24"/>
          <w:highlight w:val="none"/>
        </w:rPr>
      </w:pPr>
      <w:bookmarkStart w:id="340" w:name="_Toc14810"/>
      <w:r>
        <w:rPr>
          <w:rFonts w:hint="eastAsia" w:ascii="宋体" w:hAnsi="宋体" w:cs="宋体"/>
          <w:color w:val="auto"/>
          <w:spacing w:val="-3"/>
          <w:sz w:val="24"/>
          <w:highlight w:val="none"/>
        </w:rPr>
        <w:t>年   月   日</w:t>
      </w:r>
      <w:r>
        <w:rPr>
          <w:rFonts w:hint="eastAsia" w:ascii="宋体" w:hAnsi="宋体" w:cs="宋体"/>
          <w:color w:val="auto"/>
          <w:sz w:val="24"/>
          <w:highlight w:val="none"/>
        </w:rPr>
        <w:t xml:space="preserve">                        </w:t>
      </w:r>
      <w:r>
        <w:rPr>
          <w:rFonts w:hint="eastAsia" w:ascii="宋体" w:hAnsi="宋体" w:cs="宋体"/>
          <w:color w:val="auto"/>
          <w:spacing w:val="-3"/>
          <w:sz w:val="24"/>
          <w:highlight w:val="none"/>
        </w:rPr>
        <w:t>年  月   日</w:t>
      </w:r>
      <w:bookmarkEnd w:id="340"/>
    </w:p>
    <w:p w14:paraId="1841481F">
      <w:pPr>
        <w:jc w:val="center"/>
        <w:outlineLvl w:val="0"/>
        <w:rPr>
          <w:rFonts w:ascii="宋体" w:hAnsi="宋体" w:cs="宋体"/>
          <w:b/>
          <w:bCs/>
          <w:color w:val="auto"/>
          <w:sz w:val="32"/>
          <w:szCs w:val="32"/>
          <w:highlight w:val="none"/>
        </w:rPr>
      </w:pPr>
      <w:r>
        <w:rPr>
          <w:rFonts w:hint="eastAsia" w:ascii="宋体" w:hAnsi="宋体" w:cs="宋体"/>
          <w:color w:val="auto"/>
          <w:spacing w:val="-3"/>
          <w:sz w:val="24"/>
          <w:highlight w:val="none"/>
        </w:rPr>
        <w:br w:type="page"/>
      </w:r>
      <w:bookmarkStart w:id="341" w:name="_Toc21487"/>
      <w:r>
        <w:rPr>
          <w:rFonts w:hint="eastAsia" w:ascii="宋体" w:hAnsi="宋体" w:cs="宋体"/>
          <w:b/>
          <w:bCs/>
          <w:color w:val="auto"/>
          <w:sz w:val="32"/>
          <w:szCs w:val="32"/>
          <w:highlight w:val="none"/>
        </w:rPr>
        <w:t>第六章 响应性文件部分格式</w:t>
      </w:r>
      <w:bookmarkEnd w:id="334"/>
      <w:bookmarkEnd w:id="335"/>
      <w:bookmarkEnd w:id="336"/>
      <w:bookmarkEnd w:id="337"/>
      <w:bookmarkEnd w:id="338"/>
      <w:bookmarkEnd w:id="339"/>
      <w:bookmarkEnd w:id="341"/>
    </w:p>
    <w:p w14:paraId="1B7882D7">
      <w:pPr>
        <w:spacing w:line="360" w:lineRule="auto"/>
        <w:rPr>
          <w:rFonts w:ascii="宋体" w:hAnsi="宋体" w:cs="宋体"/>
          <w:b/>
          <w:bCs/>
          <w:color w:val="auto"/>
          <w:sz w:val="32"/>
          <w:szCs w:val="32"/>
          <w:highlight w:val="none"/>
        </w:rPr>
      </w:pPr>
    </w:p>
    <w:p w14:paraId="794020B5">
      <w:pPr>
        <w:spacing w:line="360" w:lineRule="auto"/>
        <w:rPr>
          <w:rFonts w:ascii="宋体" w:hAnsi="宋体" w:cs="宋体"/>
          <w:b/>
          <w:color w:val="auto"/>
          <w:sz w:val="30"/>
          <w:szCs w:val="30"/>
          <w:highlight w:val="none"/>
        </w:rPr>
      </w:pPr>
    </w:p>
    <w:p w14:paraId="2C33BF35">
      <w:pPr>
        <w:widowControl/>
        <w:jc w:val="left"/>
        <w:rPr>
          <w:rFonts w:ascii="宋体" w:hAnsi="宋体" w:cs="宋体"/>
          <w:color w:val="auto"/>
          <w:highlight w:val="none"/>
        </w:rPr>
      </w:pPr>
    </w:p>
    <w:p w14:paraId="583B2D0B">
      <w:pPr>
        <w:spacing w:line="360" w:lineRule="auto"/>
        <w:jc w:val="center"/>
        <w:rPr>
          <w:rFonts w:ascii="宋体" w:hAnsi="宋体" w:cs="宋体"/>
          <w:b/>
          <w:color w:val="auto"/>
          <w:sz w:val="30"/>
          <w:szCs w:val="30"/>
          <w:highlight w:val="none"/>
          <w:u w:val="single"/>
        </w:rPr>
      </w:pPr>
      <w:r>
        <w:rPr>
          <w:rFonts w:hint="eastAsia" w:ascii="宋体" w:hAnsi="宋体" w:cs="宋体"/>
          <w:b/>
          <w:color w:val="auto"/>
          <w:sz w:val="30"/>
          <w:szCs w:val="30"/>
          <w:highlight w:val="none"/>
        </w:rPr>
        <w:t xml:space="preserve">       </w:t>
      </w:r>
      <w:r>
        <w:rPr>
          <w:rFonts w:hint="eastAsia" w:ascii="宋体" w:hAnsi="宋体" w:cs="宋体"/>
          <w:b/>
          <w:color w:val="auto"/>
          <w:sz w:val="30"/>
          <w:szCs w:val="30"/>
          <w:highlight w:val="none"/>
          <w:u w:val="single"/>
        </w:rPr>
        <w:t xml:space="preserve">                                 </w:t>
      </w:r>
      <w:r>
        <w:rPr>
          <w:rFonts w:hint="eastAsia" w:ascii="宋体" w:hAnsi="宋体" w:cs="宋体"/>
          <w:b/>
          <w:color w:val="auto"/>
          <w:sz w:val="30"/>
          <w:szCs w:val="30"/>
          <w:highlight w:val="none"/>
        </w:rPr>
        <w:t>（项目名称）</w:t>
      </w:r>
    </w:p>
    <w:p w14:paraId="713BE233">
      <w:pPr>
        <w:spacing w:line="360" w:lineRule="auto"/>
        <w:rPr>
          <w:rFonts w:ascii="宋体" w:hAnsi="宋体" w:cs="宋体"/>
          <w:b/>
          <w:color w:val="auto"/>
          <w:highlight w:val="none"/>
        </w:rPr>
      </w:pPr>
    </w:p>
    <w:p w14:paraId="2161AB40">
      <w:pPr>
        <w:spacing w:line="360" w:lineRule="auto"/>
        <w:jc w:val="center"/>
        <w:rPr>
          <w:rFonts w:ascii="宋体" w:hAnsi="宋体" w:cs="宋体"/>
          <w:b/>
          <w:color w:val="auto"/>
          <w:sz w:val="44"/>
          <w:szCs w:val="44"/>
          <w:highlight w:val="none"/>
        </w:rPr>
      </w:pPr>
      <w:r>
        <w:rPr>
          <w:rFonts w:hint="eastAsia" w:ascii="宋体" w:hAnsi="宋体" w:cs="宋体"/>
          <w:b/>
          <w:color w:val="auto"/>
          <w:sz w:val="44"/>
          <w:szCs w:val="44"/>
          <w:highlight w:val="none"/>
        </w:rPr>
        <w:t>响 应 性 文 件</w:t>
      </w:r>
    </w:p>
    <w:p w14:paraId="3AF37F4E">
      <w:pPr>
        <w:spacing w:line="360" w:lineRule="auto"/>
        <w:ind w:firstLine="420" w:firstLineChars="200"/>
        <w:rPr>
          <w:rFonts w:ascii="宋体" w:hAnsi="宋体" w:cs="宋体"/>
          <w:color w:val="auto"/>
          <w:highlight w:val="none"/>
        </w:rPr>
      </w:pPr>
    </w:p>
    <w:p w14:paraId="2A67B0FF">
      <w:pPr>
        <w:spacing w:line="360" w:lineRule="auto"/>
        <w:jc w:val="center"/>
        <w:rPr>
          <w:rFonts w:ascii="宋体" w:hAnsi="宋体" w:cs="宋体"/>
          <w:b/>
          <w:color w:val="auto"/>
          <w:sz w:val="30"/>
          <w:szCs w:val="30"/>
          <w:highlight w:val="none"/>
        </w:rPr>
      </w:pPr>
      <w:r>
        <w:rPr>
          <w:rFonts w:hint="eastAsia" w:ascii="宋体" w:hAnsi="宋体" w:cs="宋体"/>
          <w:b/>
          <w:color w:val="auto"/>
          <w:sz w:val="30"/>
          <w:szCs w:val="30"/>
          <w:highlight w:val="none"/>
        </w:rPr>
        <w:t xml:space="preserve"> 项目编号：</w:t>
      </w:r>
    </w:p>
    <w:p w14:paraId="66FE026C">
      <w:pPr>
        <w:spacing w:line="360" w:lineRule="auto"/>
        <w:ind w:firstLine="420" w:firstLineChars="200"/>
        <w:rPr>
          <w:rFonts w:ascii="宋体" w:hAnsi="宋体" w:cs="宋体"/>
          <w:color w:val="auto"/>
          <w:highlight w:val="none"/>
        </w:rPr>
      </w:pPr>
    </w:p>
    <w:p w14:paraId="39AFD6A1">
      <w:pPr>
        <w:spacing w:line="360" w:lineRule="auto"/>
        <w:ind w:firstLine="420" w:firstLineChars="200"/>
        <w:rPr>
          <w:rFonts w:ascii="宋体" w:hAnsi="宋体" w:cs="宋体"/>
          <w:color w:val="auto"/>
          <w:highlight w:val="none"/>
        </w:rPr>
      </w:pPr>
    </w:p>
    <w:p w14:paraId="29C9BFD2">
      <w:pPr>
        <w:spacing w:line="360" w:lineRule="auto"/>
        <w:ind w:firstLine="420" w:firstLineChars="200"/>
        <w:rPr>
          <w:rFonts w:ascii="宋体" w:hAnsi="宋体" w:cs="宋体"/>
          <w:color w:val="auto"/>
          <w:highlight w:val="none"/>
        </w:rPr>
      </w:pPr>
    </w:p>
    <w:p w14:paraId="3BD0B341">
      <w:pPr>
        <w:spacing w:line="360" w:lineRule="auto"/>
        <w:ind w:firstLine="420" w:firstLineChars="200"/>
        <w:rPr>
          <w:rFonts w:ascii="宋体" w:hAnsi="宋体" w:cs="宋体"/>
          <w:color w:val="auto"/>
          <w:highlight w:val="none"/>
        </w:rPr>
      </w:pPr>
    </w:p>
    <w:p w14:paraId="5079A7E5">
      <w:pPr>
        <w:spacing w:line="360" w:lineRule="auto"/>
        <w:ind w:firstLine="420" w:firstLineChars="200"/>
        <w:rPr>
          <w:rFonts w:ascii="宋体" w:hAnsi="宋体" w:cs="宋体"/>
          <w:color w:val="auto"/>
          <w:highlight w:val="none"/>
        </w:rPr>
      </w:pPr>
    </w:p>
    <w:p w14:paraId="662AC984">
      <w:pPr>
        <w:spacing w:line="360" w:lineRule="auto"/>
        <w:rPr>
          <w:rFonts w:ascii="宋体" w:hAnsi="宋体" w:cs="宋体"/>
          <w:color w:val="auto"/>
          <w:highlight w:val="none"/>
        </w:rPr>
      </w:pPr>
    </w:p>
    <w:p w14:paraId="1281B82E">
      <w:pPr>
        <w:spacing w:line="480" w:lineRule="auto"/>
        <w:jc w:val="center"/>
        <w:rPr>
          <w:rFonts w:ascii="宋体" w:hAnsi="宋体" w:cs="宋体"/>
          <w:color w:val="auto"/>
          <w:sz w:val="24"/>
          <w:highlight w:val="none"/>
        </w:rPr>
      </w:pPr>
      <w:r>
        <w:rPr>
          <w:rFonts w:hint="eastAsia" w:ascii="宋体" w:hAnsi="宋体" w:cs="宋体"/>
          <w:color w:val="auto"/>
          <w:sz w:val="24"/>
          <w:highlight w:val="none"/>
        </w:rPr>
        <w:t>供应商：</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（电子签章）</w:t>
      </w:r>
    </w:p>
    <w:p w14:paraId="15836D6B">
      <w:pPr>
        <w:spacing w:line="480" w:lineRule="auto"/>
        <w:jc w:val="center"/>
        <w:rPr>
          <w:rFonts w:ascii="宋体" w:hAnsi="宋体" w:cs="宋体"/>
          <w:color w:val="auto"/>
          <w:sz w:val="24"/>
          <w:highlight w:val="none"/>
        </w:rPr>
      </w:pPr>
      <w:r>
        <w:rPr>
          <w:rFonts w:hint="eastAsia" w:ascii="宋体" w:hAnsi="宋体" w:cs="宋体"/>
          <w:color w:val="auto"/>
          <w:sz w:val="24"/>
          <w:highlight w:val="none"/>
        </w:rPr>
        <w:t>法定代表人或其委托代理人：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（电子签章或签字）</w:t>
      </w:r>
    </w:p>
    <w:p w14:paraId="6E0957E4">
      <w:pPr>
        <w:spacing w:line="480" w:lineRule="auto"/>
        <w:jc w:val="center"/>
        <w:rPr>
          <w:rFonts w:ascii="宋体" w:hAnsi="宋体" w:cs="宋体"/>
          <w:color w:val="auto"/>
          <w:sz w:val="24"/>
          <w:highlight w:val="none"/>
        </w:rPr>
      </w:pPr>
      <w:r>
        <w:rPr>
          <w:rFonts w:hint="eastAsia" w:ascii="宋体" w:hAnsi="宋体" w:cs="宋体"/>
          <w:color w:val="auto"/>
          <w:sz w:val="24"/>
          <w:highlight w:val="none"/>
        </w:rPr>
        <w:t xml:space="preserve">                          _____年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777DC49B">
      <w:pPr>
        <w:spacing w:line="360" w:lineRule="auto"/>
        <w:rPr>
          <w:rFonts w:ascii="宋体" w:hAnsi="宋体" w:cs="宋体"/>
          <w:color w:val="auto"/>
          <w:highlight w:val="none"/>
        </w:rPr>
      </w:pPr>
    </w:p>
    <w:p w14:paraId="2EEC5509">
      <w:pPr>
        <w:spacing w:line="360" w:lineRule="auto"/>
        <w:rPr>
          <w:rFonts w:ascii="宋体" w:hAnsi="宋体" w:cs="宋体"/>
          <w:color w:val="auto"/>
          <w:highlight w:val="none"/>
        </w:rPr>
      </w:pPr>
    </w:p>
    <w:p w14:paraId="3B87154F">
      <w:pPr>
        <w:spacing w:line="360" w:lineRule="auto"/>
        <w:rPr>
          <w:rFonts w:ascii="宋体" w:hAnsi="宋体" w:cs="宋体"/>
          <w:color w:val="auto"/>
          <w:highlight w:val="none"/>
        </w:rPr>
      </w:pPr>
    </w:p>
    <w:p w14:paraId="484945C6">
      <w:pPr>
        <w:shd w:val="clear" w:color="auto" w:fill="FFFFFF"/>
        <w:tabs>
          <w:tab w:val="right" w:pos="6077"/>
        </w:tabs>
        <w:autoSpaceDE w:val="0"/>
        <w:autoSpaceDN w:val="0"/>
        <w:spacing w:line="560" w:lineRule="exact"/>
        <w:jc w:val="center"/>
        <w:rPr>
          <w:rFonts w:ascii="宋体" w:hAnsi="宋体" w:cs="宋体"/>
          <w:b/>
          <w:color w:val="auto"/>
          <w:highlight w:val="none"/>
        </w:rPr>
      </w:pPr>
    </w:p>
    <w:p w14:paraId="3E06A11C">
      <w:pPr>
        <w:shd w:val="clear" w:color="auto" w:fill="FFFFFF"/>
        <w:tabs>
          <w:tab w:val="right" w:pos="6077"/>
        </w:tabs>
        <w:autoSpaceDE w:val="0"/>
        <w:autoSpaceDN w:val="0"/>
        <w:spacing w:line="560" w:lineRule="exact"/>
        <w:jc w:val="center"/>
        <w:rPr>
          <w:rFonts w:ascii="宋体" w:hAnsi="宋体" w:cs="宋体"/>
          <w:b/>
          <w:color w:val="auto"/>
          <w:sz w:val="36"/>
          <w:szCs w:val="36"/>
          <w:highlight w:val="none"/>
        </w:rPr>
      </w:pPr>
      <w:r>
        <w:rPr>
          <w:rFonts w:hint="eastAsia" w:ascii="宋体" w:hAnsi="宋体" w:cs="宋体"/>
          <w:b/>
          <w:color w:val="auto"/>
          <w:sz w:val="36"/>
          <w:szCs w:val="36"/>
          <w:highlight w:val="none"/>
        </w:rPr>
        <w:br w:type="page"/>
      </w:r>
      <w:r>
        <w:rPr>
          <w:rFonts w:hint="eastAsia" w:ascii="宋体" w:hAnsi="宋体" w:cs="宋体"/>
          <w:b/>
          <w:color w:val="auto"/>
          <w:sz w:val="36"/>
          <w:szCs w:val="36"/>
          <w:highlight w:val="none"/>
        </w:rPr>
        <w:t>目    录</w:t>
      </w:r>
    </w:p>
    <w:p w14:paraId="1F5F8365">
      <w:pPr>
        <w:shd w:val="clear" w:color="auto" w:fill="FFFFFF"/>
        <w:autoSpaceDE w:val="0"/>
        <w:autoSpaceDN w:val="0"/>
        <w:spacing w:line="560" w:lineRule="exact"/>
        <w:ind w:right="600"/>
        <w:rPr>
          <w:rFonts w:ascii="宋体" w:hAnsi="宋体" w:cs="宋体"/>
          <w:color w:val="auto"/>
          <w:sz w:val="24"/>
          <w:highlight w:val="none"/>
        </w:rPr>
      </w:pPr>
    </w:p>
    <w:p w14:paraId="2E407376">
      <w:pPr>
        <w:shd w:val="clear" w:color="auto" w:fill="FFFFFF"/>
        <w:tabs>
          <w:tab w:val="right" w:pos="6077"/>
        </w:tabs>
        <w:autoSpaceDE w:val="0"/>
        <w:autoSpaceDN w:val="0"/>
        <w:spacing w:line="560" w:lineRule="exact"/>
        <w:jc w:val="center"/>
        <w:outlineLvl w:val="1"/>
        <w:rPr>
          <w:rFonts w:ascii="宋体" w:hAnsi="宋体" w:cs="宋体"/>
          <w:b/>
          <w:bCs/>
          <w:color w:val="auto"/>
          <w:sz w:val="32"/>
          <w:szCs w:val="32"/>
          <w:highlight w:val="none"/>
        </w:rPr>
      </w:pPr>
      <w:bookmarkStart w:id="342" w:name="_Toc16520169"/>
      <w:bookmarkStart w:id="343" w:name="_Toc16520681"/>
      <w:bookmarkStart w:id="344" w:name="_Toc30996"/>
      <w:bookmarkStart w:id="345" w:name="_Toc14135"/>
      <w:bookmarkStart w:id="346" w:name="_Toc508179892"/>
      <w:bookmarkStart w:id="347" w:name="_Toc121405496"/>
      <w:bookmarkStart w:id="348" w:name="_Toc90623954"/>
      <w:r>
        <w:rPr>
          <w:rFonts w:hint="eastAsia" w:ascii="宋体" w:hAnsi="宋体" w:cs="宋体"/>
          <w:b/>
          <w:bCs/>
          <w:color w:val="auto"/>
          <w:sz w:val="32"/>
          <w:szCs w:val="32"/>
          <w:highlight w:val="none"/>
        </w:rPr>
        <w:t>格式自拟</w:t>
      </w:r>
      <w:r>
        <w:rPr>
          <w:rFonts w:hint="eastAsia" w:ascii="宋体" w:hAnsi="宋体" w:cs="宋体"/>
          <w:b/>
          <w:bCs/>
          <w:color w:val="auto"/>
          <w:sz w:val="32"/>
          <w:szCs w:val="32"/>
          <w:highlight w:val="none"/>
        </w:rPr>
        <w:br w:type="page"/>
      </w:r>
      <w:r>
        <w:rPr>
          <w:rFonts w:hint="eastAsia" w:ascii="宋体" w:hAnsi="宋体" w:cs="宋体"/>
          <w:b/>
          <w:bCs/>
          <w:color w:val="auto"/>
          <w:sz w:val="32"/>
          <w:szCs w:val="32"/>
          <w:highlight w:val="none"/>
        </w:rPr>
        <w:t>一、报价函</w:t>
      </w:r>
      <w:bookmarkEnd w:id="342"/>
      <w:bookmarkEnd w:id="343"/>
      <w:bookmarkEnd w:id="344"/>
      <w:bookmarkEnd w:id="345"/>
      <w:bookmarkEnd w:id="346"/>
      <w:bookmarkEnd w:id="347"/>
      <w:bookmarkEnd w:id="348"/>
      <w:r>
        <w:rPr>
          <w:rFonts w:hint="eastAsia" w:ascii="宋体" w:hAnsi="宋体" w:cs="宋体"/>
          <w:b/>
          <w:bCs/>
          <w:color w:val="auto"/>
          <w:sz w:val="32"/>
          <w:szCs w:val="32"/>
          <w:highlight w:val="none"/>
        </w:rPr>
        <w:t xml:space="preserve"> </w:t>
      </w:r>
    </w:p>
    <w:p w14:paraId="799A516D">
      <w:pPr>
        <w:spacing w:line="360" w:lineRule="auto"/>
        <w:jc w:val="center"/>
        <w:rPr>
          <w:rFonts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（1）报价函</w:t>
      </w:r>
    </w:p>
    <w:p w14:paraId="3032C174">
      <w:pPr>
        <w:spacing w:line="360" w:lineRule="auto"/>
        <w:rPr>
          <w:rFonts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（采购人名称）:</w:t>
      </w:r>
    </w:p>
    <w:p w14:paraId="2634468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1．在研究了上述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（项目名称）的竞争性磋商文件后，我们愿意按人民币（大写）</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元（￥</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）的磋商报价，服务期限</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，服务质量</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，遵照竞争性磋商文件的要求及合同约定承包该项目的实施、完成及其缺陷修复工作。</w:t>
      </w:r>
    </w:p>
    <w:p w14:paraId="3E8346A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2．我方承诺在磋商投标有效期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内不修改、撤销响应性文件。</w:t>
      </w:r>
    </w:p>
    <w:p w14:paraId="4D3AF7D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如果你单位接受我们的报价，我们将保证在接到开工通知后，在本响应性文件内写明的开服务期限内开工，所有上岗人员按照磋商承诺，及时到位，组织工作。并在计划服务期限内完成本合同项目，达到合同规定的要求。</w:t>
      </w:r>
    </w:p>
    <w:p w14:paraId="6A42FE9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4．如我方成交：</w:t>
      </w:r>
    </w:p>
    <w:p w14:paraId="272EFBD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(l）我方承诺在收到成交通知书后，在成交通知书规定的期限内与你方签订合同。</w:t>
      </w:r>
    </w:p>
    <w:p w14:paraId="50805E6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(2）我们愿提供磋商文件中要求的所有文件资料。</w:t>
      </w:r>
    </w:p>
    <w:p w14:paraId="67B202C2">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5、在合同协议书正式签署生效之前，本响应性文件连同你单位的成交通知书将构成我们双方之间共同遵守的文件，对双方具有约束力。</w:t>
      </w:r>
    </w:p>
    <w:p w14:paraId="3320C3E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6、我方理解甲方竞争性磋商文件的所有要求，若不成交，不要求采购人做任何解释。</w:t>
      </w:r>
    </w:p>
    <w:p w14:paraId="0B08B00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7、我方在此声明，所递交的响应性文件及有关资料内容完整、真实和准确。</w:t>
      </w:r>
    </w:p>
    <w:p w14:paraId="6755524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8、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（其他补充说明,若无补充说明时本条可取消）。</w:t>
      </w:r>
    </w:p>
    <w:p w14:paraId="4F428346">
      <w:pPr>
        <w:spacing w:line="360" w:lineRule="auto"/>
        <w:rPr>
          <w:rFonts w:ascii="宋体" w:hAnsi="宋体" w:cs="宋体"/>
          <w:color w:val="auto"/>
          <w:sz w:val="24"/>
          <w:highlight w:val="none"/>
        </w:rPr>
      </w:pPr>
    </w:p>
    <w:p w14:paraId="45B2FC94">
      <w:pPr>
        <w:spacing w:line="360" w:lineRule="auto"/>
        <w:rPr>
          <w:rFonts w:ascii="宋体" w:hAnsi="宋体" w:cs="宋体"/>
          <w:color w:val="auto"/>
          <w:sz w:val="24"/>
          <w:highlight w:val="none"/>
        </w:rPr>
      </w:pPr>
      <w:r>
        <w:rPr>
          <w:rFonts w:hint="eastAsia" w:ascii="宋体" w:hAnsi="宋体" w:cs="宋体"/>
          <w:color w:val="auto"/>
          <w:sz w:val="24"/>
          <w:highlight w:val="none"/>
        </w:rPr>
        <w:t>供应商：</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（电子签章）</w:t>
      </w:r>
    </w:p>
    <w:p w14:paraId="7E90A609">
      <w:pPr>
        <w:spacing w:line="360" w:lineRule="auto"/>
        <w:rPr>
          <w:rFonts w:ascii="宋体" w:hAnsi="宋体" w:cs="宋体"/>
          <w:color w:val="auto"/>
          <w:sz w:val="24"/>
          <w:highlight w:val="none"/>
        </w:rPr>
      </w:pPr>
      <w:r>
        <w:rPr>
          <w:rFonts w:hint="eastAsia" w:ascii="宋体" w:hAnsi="宋体" w:cs="宋体"/>
          <w:color w:val="auto"/>
          <w:sz w:val="24"/>
          <w:highlight w:val="none"/>
        </w:rPr>
        <w:t>法定代表人或其委托代理人：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（电子签章或签字）</w:t>
      </w:r>
    </w:p>
    <w:p w14:paraId="0E3E932B">
      <w:pPr>
        <w:spacing w:line="360" w:lineRule="auto"/>
        <w:rPr>
          <w:rFonts w:ascii="宋体" w:hAnsi="宋体" w:cs="宋体"/>
          <w:color w:val="auto"/>
          <w:kern w:val="0"/>
          <w:sz w:val="24"/>
          <w:highlight w:val="none"/>
          <w:u w:val="single"/>
        </w:rPr>
      </w:pPr>
      <w:r>
        <w:rPr>
          <w:rFonts w:hint="eastAsia" w:ascii="宋体" w:hAnsi="宋体" w:cs="宋体"/>
          <w:color w:val="auto"/>
          <w:sz w:val="24"/>
          <w:highlight w:val="none"/>
        </w:rPr>
        <w:t>地址：</w:t>
      </w:r>
      <w:r>
        <w:rPr>
          <w:rFonts w:hint="eastAsia" w:ascii="宋体" w:hAnsi="宋体" w:cs="宋体"/>
          <w:color w:val="auto"/>
          <w:kern w:val="0"/>
          <w:sz w:val="24"/>
          <w:highlight w:val="none"/>
          <w:u w:val="single"/>
        </w:rPr>
        <w:t xml:space="preserve">                             </w:t>
      </w:r>
    </w:p>
    <w:p w14:paraId="11A0A1AE">
      <w:pPr>
        <w:widowControl/>
        <w:jc w:val="left"/>
        <w:rPr>
          <w:rFonts w:ascii="宋体" w:hAnsi="宋体" w:cs="宋体"/>
          <w:color w:val="auto"/>
          <w:highlight w:val="none"/>
        </w:rPr>
      </w:pPr>
      <w:r>
        <w:rPr>
          <w:rFonts w:hint="eastAsia" w:ascii="宋体" w:hAnsi="宋体" w:cs="宋体"/>
          <w:color w:val="auto"/>
          <w:sz w:val="24"/>
          <w:highlight w:val="none"/>
        </w:rPr>
        <w:t>电话：</w:t>
      </w:r>
      <w:r>
        <w:rPr>
          <w:rFonts w:hint="eastAsia" w:ascii="宋体" w:hAnsi="宋体" w:cs="宋体"/>
          <w:color w:val="auto"/>
          <w:sz w:val="24"/>
          <w:highlight w:val="none"/>
          <w:u w:val="single"/>
        </w:rPr>
        <w:t xml:space="preserve">                             </w:t>
      </w:r>
    </w:p>
    <w:p w14:paraId="5A674782">
      <w:pPr>
        <w:spacing w:line="360" w:lineRule="auto"/>
        <w:rPr>
          <w:rFonts w:ascii="宋体" w:hAnsi="宋体" w:cs="宋体"/>
          <w:color w:val="auto"/>
          <w:sz w:val="24"/>
          <w:highlight w:val="none"/>
        </w:rPr>
      </w:pPr>
      <w:r>
        <w:rPr>
          <w:rFonts w:hint="eastAsia" w:ascii="宋体" w:hAnsi="宋体" w:cs="宋体"/>
          <w:color w:val="auto"/>
          <w:sz w:val="24"/>
          <w:highlight w:val="none"/>
        </w:rPr>
        <w:t>日期：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bookmarkStart w:id="349" w:name="_Toc234421990"/>
    </w:p>
    <w:bookmarkEnd w:id="349"/>
    <w:p w14:paraId="472F2203">
      <w:pPr>
        <w:spacing w:line="360" w:lineRule="auto"/>
        <w:jc w:val="center"/>
        <w:rPr>
          <w:rFonts w:ascii="宋体" w:hAnsi="宋体" w:cs="宋体"/>
          <w:b/>
          <w:bCs/>
          <w:color w:val="auto"/>
          <w:kern w:val="0"/>
          <w:sz w:val="28"/>
          <w:szCs w:val="28"/>
          <w:highlight w:val="none"/>
        </w:rPr>
      </w:pPr>
      <w:r>
        <w:rPr>
          <w:rFonts w:hint="eastAsia" w:ascii="宋体" w:hAnsi="宋体" w:cs="宋体"/>
          <w:b/>
          <w:bCs/>
          <w:color w:val="auto"/>
          <w:kern w:val="0"/>
          <w:sz w:val="28"/>
          <w:szCs w:val="28"/>
          <w:highlight w:val="none"/>
        </w:rPr>
        <w:br w:type="page"/>
      </w:r>
      <w:r>
        <w:rPr>
          <w:rFonts w:hint="eastAsia" w:ascii="宋体" w:hAnsi="宋体" w:cs="宋体"/>
          <w:b/>
          <w:bCs/>
          <w:color w:val="auto"/>
          <w:kern w:val="0"/>
          <w:sz w:val="28"/>
          <w:szCs w:val="28"/>
          <w:highlight w:val="none"/>
        </w:rPr>
        <w:t>（2）初次报价一览表</w:t>
      </w:r>
    </w:p>
    <w:tbl>
      <w:tblPr>
        <w:tblStyle w:val="16"/>
        <w:tblW w:w="477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9"/>
        <w:gridCol w:w="2541"/>
        <w:gridCol w:w="1565"/>
        <w:gridCol w:w="2910"/>
      </w:tblGrid>
      <w:tr w14:paraId="1AE94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9" w:hRule="atLeast"/>
        </w:trPr>
        <w:tc>
          <w:tcPr>
            <w:tcW w:w="1274" w:type="pct"/>
            <w:vAlign w:val="center"/>
          </w:tcPr>
          <w:p w14:paraId="7638BA7B">
            <w:pPr>
              <w:spacing w:line="360" w:lineRule="auto"/>
              <w:jc w:val="center"/>
              <w:rPr>
                <w:rFonts w:ascii="宋体" w:hAnsi="宋体" w:cs="宋体"/>
                <w:color w:val="auto"/>
                <w:kern w:val="1"/>
                <w:sz w:val="24"/>
                <w:szCs w:val="22"/>
                <w:highlight w:val="none"/>
              </w:rPr>
            </w:pPr>
            <w:r>
              <w:rPr>
                <w:rFonts w:hint="eastAsia" w:ascii="宋体" w:hAnsi="宋体" w:cs="宋体"/>
                <w:color w:val="auto"/>
                <w:kern w:val="1"/>
                <w:sz w:val="24"/>
                <w:szCs w:val="22"/>
                <w:highlight w:val="none"/>
              </w:rPr>
              <w:t>项目名称</w:t>
            </w:r>
          </w:p>
        </w:tc>
        <w:tc>
          <w:tcPr>
            <w:tcW w:w="3725" w:type="pct"/>
            <w:gridSpan w:val="3"/>
            <w:vAlign w:val="center"/>
          </w:tcPr>
          <w:p w14:paraId="79570860">
            <w:pPr>
              <w:spacing w:line="360" w:lineRule="auto"/>
              <w:jc w:val="center"/>
              <w:rPr>
                <w:rFonts w:ascii="宋体" w:hAnsi="宋体" w:cs="宋体"/>
                <w:color w:val="auto"/>
                <w:kern w:val="1"/>
                <w:sz w:val="24"/>
                <w:szCs w:val="22"/>
                <w:highlight w:val="none"/>
              </w:rPr>
            </w:pPr>
          </w:p>
        </w:tc>
      </w:tr>
      <w:tr w14:paraId="0FFE3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trPr>
        <w:tc>
          <w:tcPr>
            <w:tcW w:w="1274" w:type="pct"/>
            <w:vAlign w:val="center"/>
          </w:tcPr>
          <w:p w14:paraId="02AD131F">
            <w:pPr>
              <w:spacing w:line="360" w:lineRule="auto"/>
              <w:jc w:val="center"/>
              <w:rPr>
                <w:rFonts w:ascii="宋体" w:hAnsi="宋体" w:cs="宋体"/>
                <w:color w:val="auto"/>
                <w:kern w:val="1"/>
                <w:sz w:val="24"/>
                <w:szCs w:val="22"/>
                <w:highlight w:val="none"/>
              </w:rPr>
            </w:pPr>
            <w:r>
              <w:rPr>
                <w:rFonts w:hint="eastAsia" w:ascii="宋体" w:hAnsi="宋体" w:cs="宋体"/>
                <w:color w:val="auto"/>
                <w:sz w:val="24"/>
                <w:szCs w:val="22"/>
                <w:highlight w:val="none"/>
              </w:rPr>
              <w:t>供应商</w:t>
            </w:r>
            <w:r>
              <w:rPr>
                <w:rFonts w:hint="eastAsia" w:ascii="宋体" w:hAnsi="宋体" w:cs="宋体"/>
                <w:color w:val="auto"/>
                <w:kern w:val="1"/>
                <w:sz w:val="24"/>
                <w:szCs w:val="22"/>
                <w:highlight w:val="none"/>
              </w:rPr>
              <w:t>名称</w:t>
            </w:r>
          </w:p>
        </w:tc>
        <w:tc>
          <w:tcPr>
            <w:tcW w:w="3725" w:type="pct"/>
            <w:gridSpan w:val="3"/>
            <w:vAlign w:val="center"/>
          </w:tcPr>
          <w:p w14:paraId="44C33612">
            <w:pPr>
              <w:spacing w:line="360" w:lineRule="auto"/>
              <w:jc w:val="center"/>
              <w:rPr>
                <w:rFonts w:ascii="宋体" w:hAnsi="宋体" w:cs="宋体"/>
                <w:color w:val="auto"/>
                <w:kern w:val="1"/>
                <w:sz w:val="24"/>
                <w:szCs w:val="22"/>
                <w:highlight w:val="none"/>
              </w:rPr>
            </w:pPr>
          </w:p>
        </w:tc>
      </w:tr>
      <w:tr w14:paraId="34E54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trPr>
        <w:tc>
          <w:tcPr>
            <w:tcW w:w="1274" w:type="pct"/>
            <w:vAlign w:val="center"/>
          </w:tcPr>
          <w:p w14:paraId="55183AFB">
            <w:pPr>
              <w:spacing w:line="360" w:lineRule="auto"/>
              <w:jc w:val="center"/>
              <w:rPr>
                <w:rFonts w:hint="eastAsia" w:ascii="宋体" w:hAnsi="宋体" w:cs="宋体"/>
                <w:color w:val="auto"/>
                <w:sz w:val="24"/>
                <w:szCs w:val="22"/>
                <w:highlight w:val="none"/>
              </w:rPr>
            </w:pPr>
            <w:r>
              <w:rPr>
                <w:rFonts w:hint="eastAsia" w:ascii="宋体" w:hAnsi="宋体" w:cs="宋体"/>
                <w:color w:val="auto"/>
                <w:sz w:val="24"/>
                <w:szCs w:val="22"/>
                <w:highlight w:val="none"/>
              </w:rPr>
              <w:t>统一社会信用代码</w:t>
            </w:r>
          </w:p>
        </w:tc>
        <w:tc>
          <w:tcPr>
            <w:tcW w:w="3725" w:type="pct"/>
            <w:gridSpan w:val="3"/>
            <w:vAlign w:val="center"/>
          </w:tcPr>
          <w:p w14:paraId="31EE3893">
            <w:pPr>
              <w:spacing w:line="360" w:lineRule="auto"/>
              <w:jc w:val="center"/>
              <w:rPr>
                <w:rFonts w:ascii="宋体" w:hAnsi="宋体" w:cs="宋体"/>
                <w:color w:val="auto"/>
                <w:kern w:val="1"/>
                <w:sz w:val="24"/>
                <w:szCs w:val="22"/>
                <w:highlight w:val="none"/>
              </w:rPr>
            </w:pPr>
          </w:p>
        </w:tc>
      </w:tr>
      <w:tr w14:paraId="2D4F2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1274" w:type="pct"/>
            <w:vAlign w:val="center"/>
          </w:tcPr>
          <w:p w14:paraId="26B7DC61">
            <w:pPr>
              <w:spacing w:line="360" w:lineRule="auto"/>
              <w:jc w:val="center"/>
              <w:rPr>
                <w:rFonts w:ascii="宋体" w:hAnsi="宋体" w:cs="宋体"/>
                <w:color w:val="auto"/>
                <w:kern w:val="1"/>
                <w:sz w:val="24"/>
                <w:szCs w:val="22"/>
                <w:highlight w:val="none"/>
              </w:rPr>
            </w:pPr>
            <w:r>
              <w:rPr>
                <w:rFonts w:hint="eastAsia" w:ascii="宋体" w:hAnsi="宋体" w:cs="宋体"/>
                <w:color w:val="auto"/>
                <w:kern w:val="1"/>
                <w:sz w:val="24"/>
                <w:szCs w:val="22"/>
                <w:highlight w:val="none"/>
              </w:rPr>
              <w:t>总报价</w:t>
            </w:r>
          </w:p>
          <w:p w14:paraId="768E306E">
            <w:pPr>
              <w:spacing w:line="360" w:lineRule="auto"/>
              <w:jc w:val="center"/>
              <w:rPr>
                <w:rFonts w:ascii="宋体" w:hAnsi="宋体" w:cs="宋体"/>
                <w:color w:val="auto"/>
                <w:kern w:val="1"/>
                <w:sz w:val="24"/>
                <w:szCs w:val="22"/>
                <w:highlight w:val="none"/>
              </w:rPr>
            </w:pPr>
            <w:r>
              <w:rPr>
                <w:rFonts w:hint="eastAsia" w:ascii="宋体" w:hAnsi="宋体" w:cs="宋体"/>
                <w:color w:val="auto"/>
                <w:kern w:val="1"/>
                <w:sz w:val="24"/>
                <w:szCs w:val="22"/>
                <w:highlight w:val="none"/>
              </w:rPr>
              <w:t>（第一轮）</w:t>
            </w:r>
          </w:p>
        </w:tc>
        <w:tc>
          <w:tcPr>
            <w:tcW w:w="3725" w:type="pct"/>
            <w:gridSpan w:val="3"/>
            <w:vAlign w:val="center"/>
          </w:tcPr>
          <w:p w14:paraId="47E4D8D5">
            <w:pPr>
              <w:spacing w:line="360" w:lineRule="auto"/>
              <w:rPr>
                <w:rFonts w:ascii="宋体" w:hAnsi="宋体" w:cs="宋体"/>
                <w:color w:val="auto"/>
                <w:kern w:val="1"/>
                <w:sz w:val="24"/>
                <w:szCs w:val="22"/>
                <w:highlight w:val="none"/>
              </w:rPr>
            </w:pPr>
            <w:r>
              <w:rPr>
                <w:rFonts w:hint="eastAsia" w:ascii="宋体" w:hAnsi="宋体" w:cs="宋体"/>
                <w:color w:val="auto"/>
                <w:kern w:val="1"/>
                <w:sz w:val="24"/>
                <w:szCs w:val="22"/>
                <w:highlight w:val="none"/>
              </w:rPr>
              <w:t>大写：</w:t>
            </w:r>
          </w:p>
          <w:p w14:paraId="315F3A5F">
            <w:pPr>
              <w:spacing w:line="360" w:lineRule="auto"/>
              <w:rPr>
                <w:rFonts w:ascii="宋体" w:hAnsi="宋体" w:cs="宋体"/>
                <w:color w:val="auto"/>
                <w:kern w:val="1"/>
                <w:sz w:val="24"/>
                <w:szCs w:val="22"/>
                <w:highlight w:val="none"/>
              </w:rPr>
            </w:pPr>
            <w:r>
              <w:rPr>
                <w:rFonts w:hint="eastAsia" w:ascii="宋体" w:hAnsi="宋体" w:cs="宋体"/>
                <w:color w:val="auto"/>
                <w:kern w:val="1"/>
                <w:sz w:val="24"/>
                <w:szCs w:val="22"/>
                <w:highlight w:val="none"/>
              </w:rPr>
              <w:t>小写：</w:t>
            </w:r>
          </w:p>
        </w:tc>
      </w:tr>
      <w:tr w14:paraId="47D6D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274" w:type="pct"/>
            <w:vAlign w:val="center"/>
          </w:tcPr>
          <w:p w14:paraId="50223DFF">
            <w:pPr>
              <w:spacing w:line="360" w:lineRule="auto"/>
              <w:jc w:val="center"/>
              <w:rPr>
                <w:rFonts w:ascii="宋体" w:hAnsi="宋体" w:cs="宋体"/>
                <w:color w:val="auto"/>
                <w:kern w:val="1"/>
                <w:sz w:val="24"/>
                <w:szCs w:val="22"/>
                <w:highlight w:val="none"/>
              </w:rPr>
            </w:pPr>
            <w:r>
              <w:rPr>
                <w:rFonts w:hint="eastAsia" w:ascii="宋体" w:hAnsi="宋体" w:cs="宋体"/>
                <w:color w:val="auto"/>
                <w:kern w:val="1"/>
                <w:sz w:val="24"/>
                <w:szCs w:val="22"/>
                <w:highlight w:val="none"/>
              </w:rPr>
              <w:t>服务期限</w:t>
            </w:r>
          </w:p>
        </w:tc>
        <w:tc>
          <w:tcPr>
            <w:tcW w:w="3725" w:type="pct"/>
            <w:gridSpan w:val="3"/>
            <w:vAlign w:val="center"/>
          </w:tcPr>
          <w:p w14:paraId="4CB145FD">
            <w:pPr>
              <w:spacing w:line="360" w:lineRule="auto"/>
              <w:rPr>
                <w:rFonts w:ascii="宋体" w:hAnsi="宋体" w:cs="宋体"/>
                <w:color w:val="auto"/>
                <w:kern w:val="1"/>
                <w:sz w:val="24"/>
                <w:szCs w:val="22"/>
                <w:highlight w:val="none"/>
              </w:rPr>
            </w:pPr>
          </w:p>
        </w:tc>
      </w:tr>
      <w:tr w14:paraId="3A50C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trPr>
        <w:tc>
          <w:tcPr>
            <w:tcW w:w="1274" w:type="pct"/>
            <w:vAlign w:val="center"/>
          </w:tcPr>
          <w:p w14:paraId="185ED368">
            <w:pPr>
              <w:spacing w:line="360" w:lineRule="auto"/>
              <w:jc w:val="center"/>
              <w:rPr>
                <w:rFonts w:ascii="宋体" w:hAnsi="宋体" w:cs="宋体"/>
                <w:color w:val="auto"/>
                <w:kern w:val="1"/>
                <w:sz w:val="24"/>
                <w:szCs w:val="22"/>
                <w:highlight w:val="none"/>
              </w:rPr>
            </w:pPr>
            <w:r>
              <w:rPr>
                <w:rFonts w:hint="eastAsia" w:ascii="宋体" w:hAnsi="宋体" w:cs="宋体"/>
                <w:color w:val="auto"/>
                <w:kern w:val="1"/>
                <w:sz w:val="24"/>
                <w:szCs w:val="22"/>
                <w:highlight w:val="none"/>
              </w:rPr>
              <w:t>服务质量</w:t>
            </w:r>
          </w:p>
        </w:tc>
        <w:tc>
          <w:tcPr>
            <w:tcW w:w="3725" w:type="pct"/>
            <w:gridSpan w:val="3"/>
            <w:vAlign w:val="center"/>
          </w:tcPr>
          <w:p w14:paraId="08E0FCD9">
            <w:pPr>
              <w:spacing w:line="360" w:lineRule="auto"/>
              <w:jc w:val="center"/>
              <w:rPr>
                <w:rFonts w:ascii="宋体" w:hAnsi="宋体" w:cs="宋体"/>
                <w:color w:val="auto"/>
                <w:kern w:val="1"/>
                <w:sz w:val="24"/>
                <w:szCs w:val="22"/>
                <w:highlight w:val="none"/>
              </w:rPr>
            </w:pPr>
          </w:p>
        </w:tc>
      </w:tr>
      <w:tr w14:paraId="512F0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274" w:type="pct"/>
            <w:vAlign w:val="center"/>
          </w:tcPr>
          <w:p w14:paraId="5802C263">
            <w:pPr>
              <w:spacing w:line="360" w:lineRule="auto"/>
              <w:jc w:val="center"/>
              <w:rPr>
                <w:rFonts w:ascii="宋体" w:hAnsi="宋体" w:cs="宋体"/>
                <w:color w:val="auto"/>
                <w:kern w:val="1"/>
                <w:sz w:val="24"/>
                <w:szCs w:val="22"/>
                <w:highlight w:val="none"/>
              </w:rPr>
            </w:pPr>
            <w:r>
              <w:rPr>
                <w:rFonts w:hint="eastAsia" w:ascii="宋体" w:hAnsi="宋体" w:cs="宋体"/>
                <w:color w:val="auto"/>
                <w:sz w:val="24"/>
                <w:highlight w:val="none"/>
              </w:rPr>
              <w:t>项目负责人</w:t>
            </w:r>
          </w:p>
        </w:tc>
        <w:tc>
          <w:tcPr>
            <w:tcW w:w="1349" w:type="pct"/>
            <w:vAlign w:val="center"/>
          </w:tcPr>
          <w:p w14:paraId="7CE838A3">
            <w:pPr>
              <w:spacing w:line="360" w:lineRule="auto"/>
              <w:jc w:val="center"/>
              <w:rPr>
                <w:rFonts w:ascii="宋体" w:hAnsi="宋体" w:cs="宋体"/>
                <w:color w:val="auto"/>
                <w:kern w:val="1"/>
                <w:sz w:val="24"/>
                <w:szCs w:val="22"/>
                <w:highlight w:val="none"/>
              </w:rPr>
            </w:pPr>
          </w:p>
        </w:tc>
        <w:tc>
          <w:tcPr>
            <w:tcW w:w="831" w:type="pct"/>
            <w:vAlign w:val="center"/>
          </w:tcPr>
          <w:p w14:paraId="73D1BBE6">
            <w:pPr>
              <w:spacing w:line="360" w:lineRule="auto"/>
              <w:jc w:val="center"/>
              <w:rPr>
                <w:rFonts w:ascii="宋体" w:hAnsi="宋体" w:cs="宋体"/>
                <w:color w:val="auto"/>
                <w:kern w:val="1"/>
                <w:sz w:val="24"/>
                <w:szCs w:val="22"/>
                <w:highlight w:val="none"/>
              </w:rPr>
            </w:pPr>
            <w:r>
              <w:rPr>
                <w:rFonts w:hint="eastAsia" w:ascii="宋体" w:hAnsi="宋体" w:cs="宋体"/>
                <w:color w:val="auto"/>
                <w:kern w:val="1"/>
                <w:sz w:val="24"/>
                <w:szCs w:val="22"/>
                <w:highlight w:val="none"/>
              </w:rPr>
              <w:t>联系方式</w:t>
            </w:r>
          </w:p>
        </w:tc>
        <w:tc>
          <w:tcPr>
            <w:tcW w:w="1545" w:type="pct"/>
            <w:vAlign w:val="center"/>
          </w:tcPr>
          <w:p w14:paraId="50225BF7">
            <w:pPr>
              <w:spacing w:line="360" w:lineRule="auto"/>
              <w:jc w:val="center"/>
              <w:rPr>
                <w:rFonts w:ascii="宋体" w:hAnsi="宋体" w:cs="宋体"/>
                <w:color w:val="auto"/>
                <w:kern w:val="1"/>
                <w:sz w:val="24"/>
                <w:szCs w:val="22"/>
                <w:highlight w:val="none"/>
              </w:rPr>
            </w:pPr>
          </w:p>
        </w:tc>
      </w:tr>
      <w:tr w14:paraId="7A30D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274" w:type="pct"/>
            <w:vAlign w:val="center"/>
          </w:tcPr>
          <w:p w14:paraId="13D9C4D0">
            <w:pPr>
              <w:spacing w:line="360" w:lineRule="auto"/>
              <w:jc w:val="center"/>
              <w:rPr>
                <w:rFonts w:ascii="宋体" w:hAnsi="宋体" w:cs="宋体"/>
                <w:color w:val="auto"/>
                <w:sz w:val="24"/>
                <w:highlight w:val="none"/>
              </w:rPr>
            </w:pPr>
            <w:r>
              <w:rPr>
                <w:rFonts w:hint="eastAsia" w:ascii="宋体" w:hAnsi="宋体" w:cs="宋体"/>
                <w:color w:val="auto"/>
                <w:sz w:val="24"/>
                <w:highlight w:val="none"/>
              </w:rPr>
              <w:t>职称</w:t>
            </w:r>
          </w:p>
        </w:tc>
        <w:tc>
          <w:tcPr>
            <w:tcW w:w="1349" w:type="pct"/>
            <w:vAlign w:val="center"/>
          </w:tcPr>
          <w:p w14:paraId="24601A15">
            <w:pPr>
              <w:spacing w:line="360" w:lineRule="auto"/>
              <w:jc w:val="center"/>
              <w:rPr>
                <w:rFonts w:ascii="宋体" w:hAnsi="宋体" w:cs="宋体"/>
                <w:color w:val="auto"/>
                <w:kern w:val="1"/>
                <w:sz w:val="24"/>
                <w:szCs w:val="22"/>
                <w:highlight w:val="none"/>
              </w:rPr>
            </w:pPr>
          </w:p>
        </w:tc>
        <w:tc>
          <w:tcPr>
            <w:tcW w:w="831" w:type="pct"/>
            <w:vAlign w:val="center"/>
          </w:tcPr>
          <w:p w14:paraId="15D56C27">
            <w:pPr>
              <w:spacing w:line="360" w:lineRule="auto"/>
              <w:jc w:val="center"/>
              <w:rPr>
                <w:rFonts w:ascii="宋体" w:hAnsi="宋体" w:cs="宋体"/>
                <w:color w:val="auto"/>
                <w:kern w:val="1"/>
                <w:sz w:val="24"/>
                <w:szCs w:val="22"/>
                <w:highlight w:val="none"/>
              </w:rPr>
            </w:pPr>
            <w:r>
              <w:rPr>
                <w:rFonts w:hint="eastAsia" w:ascii="宋体" w:hAnsi="宋体" w:cs="宋体"/>
                <w:color w:val="auto"/>
                <w:kern w:val="1"/>
                <w:sz w:val="24"/>
                <w:szCs w:val="22"/>
                <w:highlight w:val="none"/>
              </w:rPr>
              <w:t>证书编号</w:t>
            </w:r>
          </w:p>
        </w:tc>
        <w:tc>
          <w:tcPr>
            <w:tcW w:w="1545" w:type="pct"/>
            <w:vAlign w:val="center"/>
          </w:tcPr>
          <w:p w14:paraId="37A2C373">
            <w:pPr>
              <w:spacing w:line="360" w:lineRule="auto"/>
              <w:jc w:val="center"/>
              <w:rPr>
                <w:rFonts w:ascii="宋体" w:hAnsi="宋体" w:cs="宋体"/>
                <w:color w:val="auto"/>
                <w:kern w:val="1"/>
                <w:sz w:val="24"/>
                <w:szCs w:val="22"/>
                <w:highlight w:val="none"/>
              </w:rPr>
            </w:pPr>
          </w:p>
        </w:tc>
      </w:tr>
      <w:tr w14:paraId="18B9B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9" w:hRule="atLeast"/>
        </w:trPr>
        <w:tc>
          <w:tcPr>
            <w:tcW w:w="1274" w:type="pct"/>
            <w:vAlign w:val="center"/>
          </w:tcPr>
          <w:p w14:paraId="3FBBF48C">
            <w:pPr>
              <w:spacing w:line="360" w:lineRule="auto"/>
              <w:jc w:val="center"/>
              <w:rPr>
                <w:rFonts w:ascii="宋体" w:hAnsi="宋体" w:cs="宋体"/>
                <w:color w:val="auto"/>
                <w:kern w:val="1"/>
                <w:sz w:val="24"/>
                <w:szCs w:val="22"/>
                <w:highlight w:val="none"/>
              </w:rPr>
            </w:pPr>
            <w:r>
              <w:rPr>
                <w:rFonts w:hint="eastAsia" w:ascii="宋体" w:hAnsi="宋体" w:cs="宋体"/>
                <w:color w:val="auto"/>
                <w:kern w:val="1"/>
                <w:sz w:val="24"/>
                <w:szCs w:val="22"/>
                <w:highlight w:val="none"/>
              </w:rPr>
              <w:t>备注</w:t>
            </w:r>
          </w:p>
        </w:tc>
        <w:tc>
          <w:tcPr>
            <w:tcW w:w="3725" w:type="pct"/>
            <w:gridSpan w:val="3"/>
            <w:vAlign w:val="center"/>
          </w:tcPr>
          <w:p w14:paraId="28A17E8B">
            <w:pPr>
              <w:numPr>
                <w:ilvl w:val="0"/>
                <w:numId w:val="7"/>
              </w:numPr>
              <w:spacing w:line="360" w:lineRule="auto"/>
              <w:jc w:val="left"/>
              <w:rPr>
                <w:rFonts w:ascii="宋体" w:hAnsi="宋体" w:cs="宋体"/>
                <w:color w:val="auto"/>
                <w:kern w:val="1"/>
                <w:sz w:val="24"/>
                <w:szCs w:val="22"/>
                <w:highlight w:val="none"/>
              </w:rPr>
            </w:pPr>
            <w:r>
              <w:rPr>
                <w:rFonts w:hint="eastAsia" w:ascii="宋体" w:hAnsi="宋体" w:cs="宋体"/>
                <w:color w:val="auto"/>
                <w:kern w:val="1"/>
                <w:sz w:val="24"/>
                <w:szCs w:val="22"/>
                <w:highlight w:val="none"/>
              </w:rPr>
              <w:t>本表总报价应与响应文件中报价表、磋商函的总报价一致，不一致者以《磋商函》中总报价为准（大小写不一致以大写金额为准），供应商将承担由此造成的一切后果。</w:t>
            </w:r>
          </w:p>
          <w:p w14:paraId="5680729C">
            <w:pPr>
              <w:numPr>
                <w:ilvl w:val="0"/>
                <w:numId w:val="7"/>
              </w:numPr>
              <w:spacing w:line="360" w:lineRule="auto"/>
              <w:jc w:val="left"/>
              <w:rPr>
                <w:rFonts w:ascii="宋体" w:hAnsi="宋体" w:cs="宋体"/>
                <w:color w:val="auto"/>
                <w:kern w:val="1"/>
                <w:sz w:val="24"/>
                <w:szCs w:val="22"/>
                <w:highlight w:val="none"/>
              </w:rPr>
            </w:pPr>
            <w:r>
              <w:rPr>
                <w:rFonts w:hint="eastAsia" w:ascii="宋体" w:hAnsi="宋体" w:cs="宋体"/>
                <w:color w:val="auto"/>
                <w:kern w:val="1"/>
                <w:sz w:val="24"/>
                <w:szCs w:val="22"/>
                <w:highlight w:val="none"/>
              </w:rPr>
              <w:t>报价应包括磋商文件所确定的采购范围内的全部费用。</w:t>
            </w:r>
          </w:p>
        </w:tc>
      </w:tr>
    </w:tbl>
    <w:p w14:paraId="2869DEEA">
      <w:pPr>
        <w:autoSpaceDE w:val="0"/>
        <w:autoSpaceDN w:val="0"/>
        <w:adjustRightInd w:val="0"/>
        <w:spacing w:line="360" w:lineRule="auto"/>
        <w:ind w:right="315"/>
        <w:textAlignment w:val="baseline"/>
        <w:rPr>
          <w:rFonts w:ascii="宋体" w:hAnsi="宋体" w:cs="宋体"/>
          <w:color w:val="auto"/>
          <w:kern w:val="0"/>
          <w:sz w:val="24"/>
          <w:highlight w:val="none"/>
        </w:rPr>
      </w:pPr>
      <w:bookmarkStart w:id="350" w:name="_Toc90623955"/>
      <w:bookmarkStart w:id="351" w:name="_Toc16520170"/>
      <w:bookmarkStart w:id="352" w:name="_Toc1510"/>
      <w:bookmarkStart w:id="353" w:name="_Toc16520682"/>
      <w:bookmarkStart w:id="354" w:name="_Toc121405497"/>
      <w:bookmarkStart w:id="355" w:name="_Toc508179893"/>
      <w:bookmarkStart w:id="356" w:name="_Toc30579"/>
      <w:r>
        <w:rPr>
          <w:rFonts w:hint="eastAsia" w:ascii="宋体" w:hAnsi="宋体" w:cs="宋体"/>
          <w:color w:val="auto"/>
          <w:kern w:val="0"/>
          <w:sz w:val="24"/>
          <w:highlight w:val="none"/>
        </w:rPr>
        <w:t>供应商：</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（电子签章）</w:t>
      </w:r>
    </w:p>
    <w:p w14:paraId="00997C9F">
      <w:pPr>
        <w:autoSpaceDE w:val="0"/>
        <w:autoSpaceDN w:val="0"/>
        <w:adjustRightInd w:val="0"/>
        <w:spacing w:line="360" w:lineRule="auto"/>
        <w:ind w:right="315"/>
        <w:textAlignment w:val="baseline"/>
        <w:rPr>
          <w:rFonts w:ascii="宋体" w:hAnsi="宋体" w:cs="宋体"/>
          <w:color w:val="auto"/>
          <w:kern w:val="0"/>
          <w:sz w:val="24"/>
          <w:highlight w:val="none"/>
          <w:u w:val="single"/>
        </w:rPr>
      </w:pPr>
      <w:r>
        <w:rPr>
          <w:rFonts w:hint="eastAsia" w:ascii="宋体" w:hAnsi="宋体" w:cs="宋体"/>
          <w:color w:val="auto"/>
          <w:kern w:val="0"/>
          <w:sz w:val="24"/>
          <w:highlight w:val="none"/>
        </w:rPr>
        <w:t>法定代表人或其委托代理人：</w:t>
      </w:r>
      <w:r>
        <w:rPr>
          <w:rFonts w:hint="eastAsia" w:ascii="宋体" w:hAnsi="宋体" w:cs="宋体"/>
          <w:color w:val="auto"/>
          <w:kern w:val="0"/>
          <w:sz w:val="24"/>
          <w:highlight w:val="none"/>
          <w:u w:val="single"/>
        </w:rPr>
        <w:t xml:space="preserve">          （</w:t>
      </w:r>
      <w:r>
        <w:rPr>
          <w:rFonts w:hint="eastAsia" w:ascii="宋体" w:hAnsi="宋体" w:cs="宋体"/>
          <w:color w:val="auto"/>
          <w:sz w:val="24"/>
          <w:highlight w:val="none"/>
        </w:rPr>
        <w:t>电子签章或签字</w:t>
      </w:r>
      <w:r>
        <w:rPr>
          <w:rFonts w:hint="eastAsia" w:ascii="宋体" w:hAnsi="宋体" w:cs="宋体"/>
          <w:color w:val="auto"/>
          <w:kern w:val="0"/>
          <w:sz w:val="24"/>
          <w:highlight w:val="none"/>
        </w:rPr>
        <w:t>）</w:t>
      </w:r>
    </w:p>
    <w:p w14:paraId="1B4E896D">
      <w:pPr>
        <w:autoSpaceDE w:val="0"/>
        <w:autoSpaceDN w:val="0"/>
        <w:adjustRightInd w:val="0"/>
        <w:spacing w:line="360" w:lineRule="auto"/>
        <w:textAlignment w:val="baseline"/>
        <w:rPr>
          <w:rFonts w:ascii="宋体" w:hAnsi="宋体" w:cs="宋体"/>
          <w:color w:val="auto"/>
          <w:kern w:val="0"/>
          <w:sz w:val="24"/>
          <w:highlight w:val="none"/>
        </w:rPr>
      </w:pPr>
      <w:r>
        <w:rPr>
          <w:rFonts w:hint="eastAsia" w:ascii="宋体" w:hAnsi="宋体" w:cs="宋体"/>
          <w:color w:val="auto"/>
          <w:kern w:val="0"/>
          <w:sz w:val="24"/>
          <w:highlight w:val="none"/>
        </w:rPr>
        <w:t>日期：</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年</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月</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日</w:t>
      </w:r>
    </w:p>
    <w:p w14:paraId="2EFACDC7">
      <w:pPr>
        <w:spacing w:line="360" w:lineRule="auto"/>
        <w:jc w:val="center"/>
        <w:outlineLvl w:val="1"/>
        <w:rPr>
          <w:rFonts w:ascii="宋体" w:hAnsi="宋体" w:cs="宋体"/>
          <w:b/>
          <w:bCs/>
          <w:color w:val="auto"/>
          <w:sz w:val="32"/>
          <w:szCs w:val="32"/>
          <w:highlight w:val="none"/>
        </w:rPr>
      </w:pPr>
      <w:r>
        <w:rPr>
          <w:rFonts w:hint="eastAsia" w:ascii="宋体" w:hAnsi="宋体" w:cs="宋体"/>
          <w:b/>
          <w:bCs/>
          <w:color w:val="auto"/>
          <w:sz w:val="32"/>
          <w:szCs w:val="32"/>
          <w:highlight w:val="none"/>
        </w:rPr>
        <w:br w:type="page"/>
      </w:r>
      <w:r>
        <w:rPr>
          <w:rFonts w:hint="eastAsia" w:ascii="宋体" w:hAnsi="宋体" w:cs="宋体"/>
          <w:b/>
          <w:bCs/>
          <w:color w:val="auto"/>
          <w:sz w:val="32"/>
          <w:szCs w:val="32"/>
          <w:highlight w:val="none"/>
        </w:rPr>
        <w:t>二、法定代表人身份证明</w:t>
      </w:r>
      <w:bookmarkEnd w:id="350"/>
      <w:bookmarkEnd w:id="351"/>
      <w:bookmarkEnd w:id="352"/>
      <w:bookmarkEnd w:id="353"/>
      <w:bookmarkEnd w:id="354"/>
      <w:bookmarkEnd w:id="355"/>
      <w:bookmarkEnd w:id="356"/>
    </w:p>
    <w:p w14:paraId="66B50C97">
      <w:pPr>
        <w:rPr>
          <w:rFonts w:ascii="宋体" w:hAnsi="宋体" w:cs="宋体"/>
          <w:color w:val="auto"/>
          <w:szCs w:val="21"/>
          <w:highlight w:val="none"/>
        </w:rPr>
      </w:pPr>
      <w:bookmarkStart w:id="357" w:name="_Toc234382962"/>
      <w:bookmarkStart w:id="358" w:name="_Toc387669603"/>
      <w:bookmarkStart w:id="359" w:name="_Toc387671679"/>
      <w:bookmarkStart w:id="360" w:name="_Toc387671317"/>
    </w:p>
    <w:bookmarkEnd w:id="357"/>
    <w:bookmarkEnd w:id="358"/>
    <w:bookmarkEnd w:id="359"/>
    <w:bookmarkEnd w:id="360"/>
    <w:p w14:paraId="4AB0F561">
      <w:pPr>
        <w:spacing w:line="600" w:lineRule="exact"/>
        <w:ind w:firstLine="566" w:firstLineChars="236"/>
        <w:rPr>
          <w:color w:val="auto"/>
          <w:sz w:val="24"/>
          <w:highlight w:val="none"/>
          <w:u w:val="single"/>
          <w:shd w:val="clear" w:color="auto" w:fill="FFFFFF"/>
          <w:lang w:bidi="ar"/>
        </w:rPr>
      </w:pPr>
      <w:r>
        <w:rPr>
          <w:rFonts w:hint="eastAsia"/>
          <w:color w:val="auto"/>
          <w:sz w:val="24"/>
          <w:highlight w:val="none"/>
          <w:shd w:val="clear" w:color="auto" w:fill="FFFFFF"/>
          <w:lang w:bidi="ar"/>
        </w:rPr>
        <w:t>单位名称：</w:t>
      </w:r>
      <w:r>
        <w:rPr>
          <w:color w:val="auto"/>
          <w:sz w:val="24"/>
          <w:highlight w:val="none"/>
          <w:u w:val="single"/>
          <w:shd w:val="clear" w:color="auto" w:fill="FFFFFF"/>
          <w:lang w:bidi="ar"/>
        </w:rPr>
        <w:t xml:space="preserve">                                   </w:t>
      </w:r>
    </w:p>
    <w:p w14:paraId="01C2576B">
      <w:pPr>
        <w:spacing w:line="600" w:lineRule="exact"/>
        <w:ind w:firstLine="566" w:firstLineChars="236"/>
        <w:rPr>
          <w:color w:val="auto"/>
          <w:sz w:val="24"/>
          <w:highlight w:val="none"/>
          <w:u w:val="single"/>
          <w:shd w:val="clear" w:color="auto" w:fill="FFFFFF"/>
          <w:lang w:bidi="ar"/>
        </w:rPr>
      </w:pPr>
      <w:r>
        <w:rPr>
          <w:rFonts w:hint="eastAsia"/>
          <w:color w:val="auto"/>
          <w:sz w:val="24"/>
          <w:highlight w:val="none"/>
          <w:shd w:val="clear" w:color="auto" w:fill="FFFFFF"/>
          <w:lang w:bidi="ar"/>
        </w:rPr>
        <w:t>单位性质：</w:t>
      </w:r>
      <w:r>
        <w:rPr>
          <w:color w:val="auto"/>
          <w:sz w:val="24"/>
          <w:highlight w:val="none"/>
          <w:u w:val="single"/>
          <w:shd w:val="clear" w:color="auto" w:fill="FFFFFF"/>
          <w:lang w:bidi="ar"/>
        </w:rPr>
        <w:t xml:space="preserve">                                   </w:t>
      </w:r>
    </w:p>
    <w:p w14:paraId="17A05ACC">
      <w:pPr>
        <w:spacing w:line="600" w:lineRule="exact"/>
        <w:ind w:firstLine="566" w:firstLineChars="236"/>
        <w:rPr>
          <w:color w:val="auto"/>
          <w:sz w:val="24"/>
          <w:highlight w:val="none"/>
          <w:u w:val="single"/>
          <w:shd w:val="clear" w:color="auto" w:fill="FFFFFF"/>
          <w:lang w:bidi="ar"/>
        </w:rPr>
      </w:pPr>
      <w:r>
        <w:rPr>
          <w:rFonts w:hint="eastAsia"/>
          <w:color w:val="auto"/>
          <w:sz w:val="24"/>
          <w:highlight w:val="none"/>
          <w:shd w:val="clear" w:color="auto" w:fill="FFFFFF"/>
          <w:lang w:bidi="ar"/>
        </w:rPr>
        <w:t>地址：</w:t>
      </w:r>
      <w:r>
        <w:rPr>
          <w:color w:val="auto"/>
          <w:sz w:val="24"/>
          <w:highlight w:val="none"/>
          <w:shd w:val="clear" w:color="auto" w:fill="FFFFFF"/>
          <w:lang w:bidi="ar"/>
        </w:rPr>
        <w:t xml:space="preserve"> </w:t>
      </w:r>
      <w:r>
        <w:rPr>
          <w:color w:val="auto"/>
          <w:sz w:val="24"/>
          <w:highlight w:val="none"/>
          <w:u w:val="single"/>
          <w:shd w:val="clear" w:color="auto" w:fill="FFFFFF"/>
          <w:lang w:bidi="ar"/>
        </w:rPr>
        <w:t xml:space="preserve">                                  </w:t>
      </w:r>
      <w:r>
        <w:rPr>
          <w:color w:val="auto"/>
          <w:sz w:val="24"/>
          <w:highlight w:val="none"/>
          <w:u w:val="single"/>
          <w:shd w:val="clear" w:color="auto" w:fill="FFFFFF"/>
          <w:lang w:bidi="ar"/>
        </w:rPr>
        <w:tab/>
      </w:r>
      <w:r>
        <w:rPr>
          <w:color w:val="auto"/>
          <w:sz w:val="24"/>
          <w:highlight w:val="none"/>
          <w:u w:val="single"/>
          <w:shd w:val="clear" w:color="auto" w:fill="FFFFFF"/>
          <w:lang w:bidi="ar"/>
        </w:rPr>
        <w:t xml:space="preserve"> </w:t>
      </w:r>
    </w:p>
    <w:p w14:paraId="7DC7FD0E">
      <w:pPr>
        <w:spacing w:line="600" w:lineRule="exact"/>
        <w:ind w:firstLine="566" w:firstLineChars="236"/>
        <w:rPr>
          <w:color w:val="auto"/>
          <w:sz w:val="24"/>
          <w:highlight w:val="none"/>
          <w:shd w:val="clear" w:color="auto" w:fill="FFFFFF"/>
          <w:lang w:bidi="ar"/>
        </w:rPr>
      </w:pPr>
      <w:r>
        <w:rPr>
          <w:rFonts w:hint="eastAsia"/>
          <w:color w:val="auto"/>
          <w:sz w:val="24"/>
          <w:highlight w:val="none"/>
          <w:shd w:val="clear" w:color="auto" w:fill="FFFFFF"/>
          <w:lang w:bidi="ar"/>
        </w:rPr>
        <w:t>成立时间：</w:t>
      </w:r>
      <w:r>
        <w:rPr>
          <w:color w:val="auto"/>
          <w:sz w:val="24"/>
          <w:highlight w:val="none"/>
          <w:u w:val="single"/>
          <w:shd w:val="clear" w:color="auto" w:fill="FFFFFF"/>
          <w:lang w:bidi="ar"/>
        </w:rPr>
        <w:t xml:space="preserve">            </w:t>
      </w:r>
      <w:r>
        <w:rPr>
          <w:rFonts w:hint="eastAsia"/>
          <w:color w:val="auto"/>
          <w:sz w:val="24"/>
          <w:highlight w:val="none"/>
          <w:shd w:val="clear" w:color="auto" w:fill="FFFFFF"/>
          <w:lang w:bidi="ar"/>
        </w:rPr>
        <w:t>年</w:t>
      </w:r>
      <w:r>
        <w:rPr>
          <w:color w:val="auto"/>
          <w:sz w:val="24"/>
          <w:highlight w:val="none"/>
          <w:u w:val="single"/>
          <w:shd w:val="clear" w:color="auto" w:fill="FFFFFF"/>
          <w:lang w:bidi="ar"/>
        </w:rPr>
        <w:t xml:space="preserve">        </w:t>
      </w:r>
      <w:r>
        <w:rPr>
          <w:rFonts w:hint="eastAsia"/>
          <w:color w:val="auto"/>
          <w:sz w:val="24"/>
          <w:highlight w:val="none"/>
          <w:shd w:val="clear" w:color="auto" w:fill="FFFFFF"/>
          <w:lang w:bidi="ar"/>
        </w:rPr>
        <w:t>月</w:t>
      </w:r>
      <w:r>
        <w:rPr>
          <w:color w:val="auto"/>
          <w:sz w:val="24"/>
          <w:highlight w:val="none"/>
          <w:u w:val="single"/>
          <w:shd w:val="clear" w:color="auto" w:fill="FFFFFF"/>
          <w:lang w:bidi="ar"/>
        </w:rPr>
        <w:t xml:space="preserve">        </w:t>
      </w:r>
      <w:r>
        <w:rPr>
          <w:rFonts w:hint="eastAsia"/>
          <w:color w:val="auto"/>
          <w:sz w:val="24"/>
          <w:highlight w:val="none"/>
          <w:shd w:val="clear" w:color="auto" w:fill="FFFFFF"/>
          <w:lang w:bidi="ar"/>
        </w:rPr>
        <w:t>日</w:t>
      </w:r>
    </w:p>
    <w:p w14:paraId="7C43F4B9">
      <w:pPr>
        <w:spacing w:line="600" w:lineRule="exact"/>
        <w:ind w:firstLine="566" w:firstLineChars="236"/>
        <w:rPr>
          <w:color w:val="auto"/>
          <w:sz w:val="24"/>
          <w:highlight w:val="none"/>
          <w:u w:val="single"/>
          <w:shd w:val="clear" w:color="auto" w:fill="FFFFFF"/>
          <w:lang w:bidi="ar"/>
        </w:rPr>
      </w:pPr>
      <w:r>
        <w:rPr>
          <w:rFonts w:hint="eastAsia"/>
          <w:color w:val="auto"/>
          <w:sz w:val="24"/>
          <w:highlight w:val="none"/>
          <w:shd w:val="clear" w:color="auto" w:fill="FFFFFF"/>
          <w:lang w:bidi="ar"/>
        </w:rPr>
        <w:t>经营期限：</w:t>
      </w:r>
      <w:r>
        <w:rPr>
          <w:color w:val="auto"/>
          <w:sz w:val="24"/>
          <w:highlight w:val="none"/>
          <w:u w:val="single"/>
          <w:shd w:val="clear" w:color="auto" w:fill="FFFFFF"/>
          <w:lang w:bidi="ar"/>
        </w:rPr>
        <w:t xml:space="preserve">                               </w:t>
      </w:r>
      <w:r>
        <w:rPr>
          <w:color w:val="auto"/>
          <w:sz w:val="24"/>
          <w:highlight w:val="none"/>
          <w:u w:val="single"/>
          <w:shd w:val="clear" w:color="auto" w:fill="FFFFFF"/>
          <w:lang w:bidi="ar"/>
        </w:rPr>
        <w:tab/>
      </w:r>
    </w:p>
    <w:p w14:paraId="56105A1D">
      <w:pPr>
        <w:spacing w:line="600" w:lineRule="exact"/>
        <w:ind w:firstLine="566" w:firstLineChars="236"/>
        <w:rPr>
          <w:color w:val="auto"/>
          <w:sz w:val="24"/>
          <w:highlight w:val="none"/>
          <w:u w:val="single"/>
          <w:shd w:val="clear" w:color="auto" w:fill="FFFFFF"/>
          <w:lang w:bidi="ar"/>
        </w:rPr>
      </w:pPr>
      <w:r>
        <w:rPr>
          <w:rFonts w:hint="eastAsia"/>
          <w:color w:val="auto"/>
          <w:sz w:val="24"/>
          <w:highlight w:val="none"/>
          <w:shd w:val="clear" w:color="auto" w:fill="FFFFFF"/>
          <w:lang w:bidi="ar"/>
        </w:rPr>
        <w:t>姓</w:t>
      </w:r>
      <w:r>
        <w:rPr>
          <w:color w:val="auto"/>
          <w:sz w:val="24"/>
          <w:highlight w:val="none"/>
          <w:shd w:val="clear" w:color="auto" w:fill="FFFFFF"/>
          <w:lang w:bidi="ar"/>
        </w:rPr>
        <w:tab/>
      </w:r>
      <w:r>
        <w:rPr>
          <w:rFonts w:hint="eastAsia"/>
          <w:color w:val="auto"/>
          <w:sz w:val="24"/>
          <w:highlight w:val="none"/>
          <w:shd w:val="clear" w:color="auto" w:fill="FFFFFF"/>
          <w:lang w:bidi="ar"/>
        </w:rPr>
        <w:t>名：</w:t>
      </w:r>
      <w:r>
        <w:rPr>
          <w:color w:val="auto"/>
          <w:sz w:val="24"/>
          <w:highlight w:val="none"/>
          <w:u w:val="single"/>
          <w:shd w:val="clear" w:color="auto" w:fill="FFFFFF"/>
          <w:lang w:bidi="ar"/>
        </w:rPr>
        <w:t xml:space="preserve">      </w:t>
      </w:r>
      <w:r>
        <w:rPr>
          <w:rFonts w:hint="eastAsia"/>
          <w:color w:val="auto"/>
          <w:sz w:val="24"/>
          <w:highlight w:val="none"/>
          <w:shd w:val="clear" w:color="auto" w:fill="FFFFFF"/>
          <w:lang w:bidi="ar"/>
        </w:rPr>
        <w:t>性别：</w:t>
      </w:r>
      <w:r>
        <w:rPr>
          <w:color w:val="auto"/>
          <w:sz w:val="24"/>
          <w:highlight w:val="none"/>
          <w:u w:val="single"/>
          <w:shd w:val="clear" w:color="auto" w:fill="FFFFFF"/>
          <w:lang w:bidi="ar"/>
        </w:rPr>
        <w:t xml:space="preserve">      </w:t>
      </w:r>
      <w:r>
        <w:rPr>
          <w:rFonts w:hint="eastAsia"/>
          <w:color w:val="auto"/>
          <w:sz w:val="24"/>
          <w:highlight w:val="none"/>
          <w:shd w:val="clear" w:color="auto" w:fill="FFFFFF"/>
          <w:lang w:bidi="ar"/>
        </w:rPr>
        <w:t>年龄：</w:t>
      </w:r>
      <w:r>
        <w:rPr>
          <w:color w:val="auto"/>
          <w:sz w:val="24"/>
          <w:highlight w:val="none"/>
          <w:u w:val="single"/>
          <w:shd w:val="clear" w:color="auto" w:fill="FFFFFF"/>
          <w:lang w:bidi="ar"/>
        </w:rPr>
        <w:t xml:space="preserve">      </w:t>
      </w:r>
      <w:r>
        <w:rPr>
          <w:rFonts w:hint="eastAsia"/>
          <w:color w:val="auto"/>
          <w:sz w:val="24"/>
          <w:highlight w:val="none"/>
          <w:shd w:val="clear" w:color="auto" w:fill="FFFFFF"/>
          <w:lang w:bidi="ar"/>
        </w:rPr>
        <w:t>职务：</w:t>
      </w:r>
      <w:r>
        <w:rPr>
          <w:color w:val="auto"/>
          <w:sz w:val="24"/>
          <w:highlight w:val="none"/>
          <w:u w:val="single"/>
          <w:shd w:val="clear" w:color="auto" w:fill="FFFFFF"/>
          <w:lang w:bidi="ar"/>
        </w:rPr>
        <w:t xml:space="preserve">    </w:t>
      </w:r>
    </w:p>
    <w:p w14:paraId="4C5DDC95">
      <w:pPr>
        <w:spacing w:line="600" w:lineRule="exact"/>
        <w:ind w:firstLine="566" w:firstLineChars="236"/>
        <w:rPr>
          <w:color w:val="auto"/>
          <w:sz w:val="24"/>
          <w:highlight w:val="none"/>
          <w:shd w:val="clear" w:color="auto" w:fill="FFFFFF"/>
          <w:lang w:bidi="ar"/>
        </w:rPr>
      </w:pPr>
      <w:r>
        <w:rPr>
          <w:rFonts w:hint="eastAsia"/>
          <w:color w:val="auto"/>
          <w:sz w:val="24"/>
          <w:highlight w:val="none"/>
          <w:shd w:val="clear" w:color="auto" w:fill="FFFFFF"/>
          <w:lang w:bidi="ar"/>
        </w:rPr>
        <w:t>系</w:t>
      </w:r>
      <w:r>
        <w:rPr>
          <w:color w:val="auto"/>
          <w:sz w:val="24"/>
          <w:highlight w:val="none"/>
          <w:u w:val="single"/>
          <w:shd w:val="clear" w:color="auto" w:fill="FFFFFF"/>
          <w:lang w:bidi="ar"/>
        </w:rPr>
        <w:t xml:space="preserve">      </w:t>
      </w:r>
      <w:r>
        <w:rPr>
          <w:color w:val="auto"/>
          <w:sz w:val="24"/>
          <w:highlight w:val="none"/>
          <w:u w:val="single"/>
          <w:shd w:val="clear" w:color="auto" w:fill="FFFFFF"/>
          <w:lang w:bidi="ar"/>
        </w:rPr>
        <w:tab/>
      </w:r>
      <w:r>
        <w:rPr>
          <w:rFonts w:hint="eastAsia"/>
          <w:color w:val="auto"/>
          <w:sz w:val="24"/>
          <w:highlight w:val="none"/>
          <w:u w:val="single"/>
          <w:shd w:val="clear" w:color="auto" w:fill="FFFFFF"/>
          <w:lang w:bidi="ar"/>
        </w:rPr>
        <w:t>（供应商单位名称）</w:t>
      </w:r>
      <w:r>
        <w:rPr>
          <w:color w:val="auto"/>
          <w:sz w:val="24"/>
          <w:highlight w:val="none"/>
          <w:u w:val="single"/>
          <w:shd w:val="clear" w:color="auto" w:fill="FFFFFF"/>
          <w:lang w:bidi="ar"/>
        </w:rPr>
        <w:tab/>
      </w:r>
      <w:r>
        <w:rPr>
          <w:rFonts w:hint="eastAsia"/>
          <w:color w:val="auto"/>
          <w:sz w:val="24"/>
          <w:highlight w:val="none"/>
          <w:shd w:val="clear" w:color="auto" w:fill="FFFFFF"/>
          <w:lang w:bidi="ar"/>
        </w:rPr>
        <w:t>的法定代表人。</w:t>
      </w:r>
    </w:p>
    <w:p w14:paraId="47E415FF">
      <w:pPr>
        <w:spacing w:line="600" w:lineRule="exact"/>
        <w:ind w:firstLine="566" w:firstLineChars="236"/>
        <w:rPr>
          <w:color w:val="auto"/>
          <w:sz w:val="24"/>
          <w:highlight w:val="none"/>
          <w:shd w:val="clear" w:color="auto" w:fill="FFFFFF"/>
          <w:lang w:bidi="ar"/>
        </w:rPr>
      </w:pPr>
    </w:p>
    <w:p w14:paraId="142CB79F">
      <w:pPr>
        <w:spacing w:line="600" w:lineRule="exact"/>
        <w:ind w:firstLine="566" w:firstLineChars="236"/>
        <w:rPr>
          <w:color w:val="auto"/>
          <w:sz w:val="24"/>
          <w:highlight w:val="none"/>
          <w:shd w:val="clear" w:color="auto" w:fill="FFFFFF"/>
          <w:lang w:bidi="ar"/>
        </w:rPr>
      </w:pPr>
      <w:r>
        <w:rPr>
          <w:rFonts w:hint="eastAsia"/>
          <w:color w:val="auto"/>
          <w:sz w:val="24"/>
          <w:highlight w:val="none"/>
          <w:shd w:val="clear" w:color="auto" w:fill="FFFFFF"/>
          <w:lang w:bidi="ar"/>
        </w:rPr>
        <w:t>特此证明。</w:t>
      </w:r>
    </w:p>
    <w:p w14:paraId="128D1C64">
      <w:pPr>
        <w:spacing w:line="600" w:lineRule="exact"/>
        <w:ind w:firstLine="566" w:firstLineChars="236"/>
        <w:rPr>
          <w:color w:val="auto"/>
          <w:sz w:val="24"/>
          <w:highlight w:val="none"/>
          <w:shd w:val="clear" w:color="auto" w:fill="FFFFFF"/>
          <w:lang w:bidi="ar"/>
        </w:rPr>
      </w:pPr>
      <w:r>
        <w:rPr>
          <w:rFonts w:hint="eastAsia"/>
          <w:color w:val="auto"/>
          <w:sz w:val="24"/>
          <w:highlight w:val="none"/>
          <w:shd w:val="clear" w:color="auto" w:fill="FFFFFF"/>
          <w:lang w:bidi="ar"/>
        </w:rPr>
        <w:t>（后附法定代表人身份证正反面扫描件）</w:t>
      </w:r>
    </w:p>
    <w:p w14:paraId="4A86E2B2">
      <w:pPr>
        <w:spacing w:line="500" w:lineRule="exact"/>
        <w:rPr>
          <w:rFonts w:ascii="宋体" w:hAnsi="宋体" w:cs="宋体"/>
          <w:color w:val="auto"/>
          <w:sz w:val="24"/>
          <w:highlight w:val="none"/>
        </w:rPr>
      </w:pPr>
    </w:p>
    <w:p w14:paraId="33B3B39C">
      <w:pPr>
        <w:autoSpaceDE w:val="0"/>
        <w:autoSpaceDN w:val="0"/>
        <w:adjustRightInd w:val="0"/>
        <w:spacing w:line="360" w:lineRule="auto"/>
        <w:ind w:right="315"/>
        <w:textAlignment w:val="baseline"/>
        <w:rPr>
          <w:rFonts w:ascii="宋体" w:hAnsi="宋体" w:cs="宋体"/>
          <w:color w:val="auto"/>
          <w:kern w:val="0"/>
          <w:sz w:val="24"/>
          <w:highlight w:val="none"/>
        </w:rPr>
      </w:pPr>
      <w:r>
        <w:rPr>
          <w:rFonts w:hint="eastAsia" w:ascii="宋体" w:hAnsi="宋体" w:cs="宋体"/>
          <w:color w:val="auto"/>
          <w:kern w:val="0"/>
          <w:sz w:val="24"/>
          <w:highlight w:val="none"/>
        </w:rPr>
        <w:t>供应商：</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（电子签章）</w:t>
      </w:r>
    </w:p>
    <w:p w14:paraId="0FFE458F">
      <w:pPr>
        <w:autoSpaceDE w:val="0"/>
        <w:autoSpaceDN w:val="0"/>
        <w:adjustRightInd w:val="0"/>
        <w:spacing w:line="360" w:lineRule="auto"/>
        <w:ind w:right="315"/>
        <w:textAlignment w:val="baseline"/>
        <w:rPr>
          <w:rFonts w:ascii="宋体" w:hAnsi="宋体" w:cs="宋体"/>
          <w:color w:val="auto"/>
          <w:kern w:val="0"/>
          <w:sz w:val="24"/>
          <w:highlight w:val="none"/>
          <w:u w:val="single"/>
        </w:rPr>
      </w:pPr>
      <w:r>
        <w:rPr>
          <w:rFonts w:hint="eastAsia" w:ascii="宋体" w:hAnsi="宋体" w:cs="宋体"/>
          <w:color w:val="auto"/>
          <w:kern w:val="0"/>
          <w:sz w:val="24"/>
          <w:highlight w:val="none"/>
        </w:rPr>
        <w:t>法定代表人或其委托代理人：</w:t>
      </w:r>
      <w:r>
        <w:rPr>
          <w:rFonts w:hint="eastAsia" w:ascii="宋体" w:hAnsi="宋体" w:cs="宋体"/>
          <w:color w:val="auto"/>
          <w:kern w:val="0"/>
          <w:sz w:val="24"/>
          <w:highlight w:val="none"/>
          <w:u w:val="single"/>
        </w:rPr>
        <w:t xml:space="preserve">          （</w:t>
      </w:r>
      <w:r>
        <w:rPr>
          <w:rFonts w:hint="eastAsia" w:ascii="宋体" w:hAnsi="宋体" w:cs="宋体"/>
          <w:color w:val="auto"/>
          <w:sz w:val="24"/>
          <w:highlight w:val="none"/>
        </w:rPr>
        <w:t>电子签章或签字</w:t>
      </w:r>
      <w:r>
        <w:rPr>
          <w:rFonts w:hint="eastAsia" w:ascii="宋体" w:hAnsi="宋体" w:cs="宋体"/>
          <w:color w:val="auto"/>
          <w:kern w:val="0"/>
          <w:sz w:val="24"/>
          <w:highlight w:val="none"/>
        </w:rPr>
        <w:t>）</w:t>
      </w:r>
    </w:p>
    <w:p w14:paraId="28BF4948">
      <w:pPr>
        <w:autoSpaceDE w:val="0"/>
        <w:autoSpaceDN w:val="0"/>
        <w:adjustRightInd w:val="0"/>
        <w:spacing w:line="360" w:lineRule="auto"/>
        <w:textAlignment w:val="baseline"/>
        <w:rPr>
          <w:rFonts w:ascii="宋体" w:hAnsi="宋体" w:cs="宋体"/>
          <w:color w:val="auto"/>
          <w:kern w:val="0"/>
          <w:sz w:val="24"/>
          <w:highlight w:val="none"/>
        </w:rPr>
      </w:pPr>
      <w:r>
        <w:rPr>
          <w:rFonts w:hint="eastAsia" w:ascii="宋体" w:hAnsi="宋体" w:cs="宋体"/>
          <w:color w:val="auto"/>
          <w:kern w:val="0"/>
          <w:sz w:val="24"/>
          <w:highlight w:val="none"/>
        </w:rPr>
        <w:t>日期：</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年</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月</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日</w:t>
      </w:r>
    </w:p>
    <w:p w14:paraId="4D6B09D3">
      <w:pPr>
        <w:spacing w:line="400" w:lineRule="exact"/>
        <w:rPr>
          <w:rFonts w:ascii="宋体" w:hAnsi="宋体" w:cs="宋体"/>
          <w:color w:val="auto"/>
          <w:sz w:val="24"/>
          <w:highlight w:val="none"/>
        </w:rPr>
      </w:pPr>
    </w:p>
    <w:p w14:paraId="1B10ED93">
      <w:pPr>
        <w:jc w:val="center"/>
        <w:rPr>
          <w:rFonts w:ascii="宋体" w:hAnsi="宋体" w:cs="宋体"/>
          <w:color w:val="auto"/>
          <w:sz w:val="24"/>
          <w:highlight w:val="none"/>
        </w:rPr>
      </w:pPr>
      <w:r>
        <w:rPr>
          <w:rFonts w:hint="eastAsia" w:ascii="宋体" w:hAnsi="宋体" w:cs="宋体"/>
          <w:b/>
          <w:bCs/>
          <w:color w:val="auto"/>
          <w:kern w:val="44"/>
          <w:sz w:val="24"/>
          <w:highlight w:val="none"/>
        </w:rPr>
        <w:br w:type="page"/>
      </w:r>
      <w:r>
        <w:rPr>
          <w:rFonts w:hint="eastAsia" w:ascii="宋体" w:hAnsi="宋体" w:cs="宋体"/>
          <w:b/>
          <w:bCs/>
          <w:color w:val="auto"/>
          <w:kern w:val="44"/>
          <w:sz w:val="24"/>
          <w:highlight w:val="none"/>
        </w:rPr>
        <w:t>三、授权委托书</w:t>
      </w:r>
    </w:p>
    <w:p w14:paraId="7376EC3A">
      <w:pPr>
        <w:spacing w:line="5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本人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（姓名）系</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（供应商名称）的法定代表人，现委托</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（姓名）为我方代理人。代理人根据授权，以我方名义签署、澄清、递交、撤回、修改</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（项目名称）响应性文件、签订合同和处理有关事宜，其法律后果由我方承担。</w:t>
      </w:r>
    </w:p>
    <w:p w14:paraId="34516661">
      <w:pPr>
        <w:spacing w:line="5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委托期限：</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31D17413">
      <w:pPr>
        <w:spacing w:line="5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代理人无转委托权。</w:t>
      </w:r>
    </w:p>
    <w:p w14:paraId="10AEA535">
      <w:pPr>
        <w:spacing w:line="500" w:lineRule="exact"/>
        <w:ind w:firstLine="480" w:firstLineChars="200"/>
        <w:rPr>
          <w:rFonts w:ascii="宋体" w:hAnsi="宋体" w:cs="宋体"/>
          <w:color w:val="auto"/>
          <w:highlight w:val="none"/>
        </w:rPr>
      </w:pPr>
      <w:r>
        <w:rPr>
          <w:rFonts w:hint="eastAsia" w:ascii="宋体" w:hAnsi="宋体" w:cs="宋体"/>
          <w:color w:val="auto"/>
          <w:sz w:val="24"/>
          <w:highlight w:val="none"/>
        </w:rPr>
        <w:t>附：委托代理人身份证扫描件正反面</w:t>
      </w:r>
    </w:p>
    <w:p w14:paraId="1704991B">
      <w:pPr>
        <w:spacing w:line="500" w:lineRule="exact"/>
        <w:rPr>
          <w:rFonts w:ascii="宋体" w:hAnsi="宋体" w:cs="宋体"/>
          <w:color w:val="auto"/>
          <w:sz w:val="24"/>
          <w:highlight w:val="none"/>
        </w:rPr>
      </w:pPr>
      <w:r>
        <w:rPr>
          <w:rFonts w:hint="eastAsia" w:ascii="宋体" w:hAnsi="宋体" w:cs="宋体"/>
          <w:color w:val="auto"/>
          <w:sz w:val="24"/>
          <w:highlight w:val="none"/>
        </w:rPr>
        <w:t xml:space="preserve">                     供应商：</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r>
        <w:rPr>
          <w:rFonts w:hint="eastAsia" w:ascii="宋体" w:hAnsi="宋体" w:cs="宋体"/>
          <w:color w:val="auto"/>
          <w:kern w:val="0"/>
          <w:sz w:val="24"/>
          <w:highlight w:val="none"/>
        </w:rPr>
        <w:t>电子签章</w:t>
      </w:r>
      <w:r>
        <w:rPr>
          <w:rFonts w:hint="eastAsia" w:ascii="宋体" w:hAnsi="宋体" w:cs="宋体"/>
          <w:color w:val="auto"/>
          <w:sz w:val="24"/>
          <w:highlight w:val="none"/>
        </w:rPr>
        <w:t>）</w:t>
      </w:r>
    </w:p>
    <w:p w14:paraId="267252CA">
      <w:pPr>
        <w:spacing w:line="500" w:lineRule="exact"/>
        <w:rPr>
          <w:rFonts w:hint="eastAsia" w:ascii="宋体" w:hAnsi="宋体" w:cs="宋体"/>
          <w:color w:val="auto"/>
          <w:sz w:val="24"/>
          <w:highlight w:val="none"/>
        </w:rPr>
      </w:pPr>
      <w:r>
        <w:rPr>
          <w:rFonts w:hint="eastAsia" w:ascii="宋体" w:hAnsi="宋体" w:cs="宋体"/>
          <w:color w:val="auto"/>
          <w:sz w:val="24"/>
          <w:highlight w:val="none"/>
        </w:rPr>
        <w:t xml:space="preserve">                     法定代表人：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（电子签章或签字）</w:t>
      </w:r>
    </w:p>
    <w:p w14:paraId="35241AA3">
      <w:pPr>
        <w:spacing w:line="500" w:lineRule="exact"/>
        <w:rPr>
          <w:rFonts w:hint="eastAsia" w:ascii="宋体" w:hAnsi="宋体" w:cs="宋体"/>
          <w:color w:val="auto"/>
          <w:sz w:val="24"/>
          <w:highlight w:val="none"/>
          <w:u w:val="single"/>
        </w:rPr>
      </w:pPr>
      <w:r>
        <w:rPr>
          <w:rFonts w:hint="eastAsia" w:ascii="宋体" w:hAnsi="宋体" w:cs="宋体"/>
          <w:color w:val="auto"/>
          <w:sz w:val="24"/>
          <w:highlight w:val="none"/>
          <w:lang w:val="en-US" w:eastAsia="zh-CN"/>
        </w:rPr>
        <w:t xml:space="preserve">                     身份证号码</w:t>
      </w:r>
      <w:r>
        <w:rPr>
          <w:rFonts w:hint="eastAsia" w:ascii="宋体" w:hAnsi="宋体" w:cs="宋体"/>
          <w:color w:val="auto"/>
          <w:sz w:val="24"/>
          <w:highlight w:val="none"/>
        </w:rPr>
        <w:t>：</w:t>
      </w:r>
      <w:r>
        <w:rPr>
          <w:rFonts w:hint="eastAsia" w:ascii="宋体" w:hAnsi="宋体" w:cs="宋体"/>
          <w:color w:val="auto"/>
          <w:sz w:val="24"/>
          <w:highlight w:val="none"/>
          <w:u w:val="single"/>
        </w:rPr>
        <w:t xml:space="preserve">                    </w:t>
      </w:r>
    </w:p>
    <w:p w14:paraId="46AFD5AF">
      <w:pPr>
        <w:spacing w:line="500" w:lineRule="exact"/>
        <w:rPr>
          <w:rFonts w:hint="default" w:ascii="宋体" w:hAnsi="宋体" w:cs="宋体"/>
          <w:color w:val="auto"/>
          <w:sz w:val="24"/>
          <w:highlight w:val="none"/>
          <w:u w:val="single"/>
          <w:lang w:val="en-US" w:eastAsia="zh-CN"/>
        </w:rPr>
      </w:pPr>
      <w:r>
        <w:rPr>
          <w:rFonts w:hint="eastAsia" w:ascii="宋体" w:hAnsi="宋体" w:cs="宋体"/>
          <w:color w:val="auto"/>
          <w:sz w:val="24"/>
          <w:highlight w:val="none"/>
          <w:lang w:val="en-US" w:eastAsia="zh-CN"/>
        </w:rPr>
        <w:t xml:space="preserve">                     联系方式</w:t>
      </w:r>
      <w:r>
        <w:rPr>
          <w:rFonts w:hint="eastAsia" w:ascii="宋体" w:hAnsi="宋体" w:cs="宋体"/>
          <w:color w:val="auto"/>
          <w:sz w:val="24"/>
          <w:highlight w:val="none"/>
        </w:rPr>
        <w:t>：</w:t>
      </w:r>
      <w:r>
        <w:rPr>
          <w:rFonts w:hint="eastAsia" w:ascii="宋体" w:hAnsi="宋体" w:cs="宋体"/>
          <w:color w:val="auto"/>
          <w:sz w:val="24"/>
          <w:highlight w:val="none"/>
          <w:u w:val="single"/>
        </w:rPr>
        <w:t xml:space="preserve">                    </w:t>
      </w:r>
    </w:p>
    <w:p w14:paraId="0ADEC8C8">
      <w:pPr>
        <w:spacing w:line="500" w:lineRule="exact"/>
        <w:rPr>
          <w:rFonts w:hint="eastAsia" w:ascii="宋体" w:hAnsi="宋体" w:cs="宋体"/>
          <w:color w:val="auto"/>
          <w:sz w:val="24"/>
          <w:highlight w:val="none"/>
        </w:rPr>
      </w:pPr>
      <w:r>
        <w:rPr>
          <w:rFonts w:hint="eastAsia" w:ascii="宋体" w:hAnsi="宋体" w:cs="宋体"/>
          <w:color w:val="auto"/>
          <w:sz w:val="24"/>
          <w:highlight w:val="none"/>
        </w:rPr>
        <w:t xml:space="preserve">                     委托代理人：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（电子签章或签字）</w:t>
      </w:r>
    </w:p>
    <w:p w14:paraId="3E3BABDD">
      <w:pPr>
        <w:spacing w:line="500" w:lineRule="exact"/>
        <w:rPr>
          <w:rFonts w:hint="eastAsia" w:ascii="宋体" w:hAnsi="宋体" w:cs="宋体"/>
          <w:color w:val="auto"/>
          <w:sz w:val="24"/>
          <w:highlight w:val="none"/>
          <w:u w:val="single"/>
        </w:rPr>
      </w:pPr>
      <w:r>
        <w:rPr>
          <w:rFonts w:hint="eastAsia" w:ascii="宋体" w:hAnsi="宋体" w:cs="宋体"/>
          <w:color w:val="auto"/>
          <w:sz w:val="24"/>
          <w:highlight w:val="none"/>
          <w:lang w:val="en-US" w:eastAsia="zh-CN"/>
        </w:rPr>
        <w:t xml:space="preserve">                     身份证号码</w:t>
      </w:r>
      <w:r>
        <w:rPr>
          <w:rFonts w:hint="eastAsia" w:ascii="宋体" w:hAnsi="宋体" w:cs="宋体"/>
          <w:color w:val="auto"/>
          <w:sz w:val="24"/>
          <w:highlight w:val="none"/>
        </w:rPr>
        <w:t>：</w:t>
      </w:r>
      <w:r>
        <w:rPr>
          <w:rFonts w:hint="eastAsia" w:ascii="宋体" w:hAnsi="宋体" w:cs="宋体"/>
          <w:color w:val="auto"/>
          <w:sz w:val="24"/>
          <w:highlight w:val="none"/>
          <w:u w:val="single"/>
        </w:rPr>
        <w:t xml:space="preserve">                    </w:t>
      </w:r>
    </w:p>
    <w:p w14:paraId="5EE3A58F">
      <w:pPr>
        <w:spacing w:line="500" w:lineRule="exact"/>
        <w:rPr>
          <w:rFonts w:hint="default" w:ascii="宋体" w:hAnsi="宋体" w:cs="宋体"/>
          <w:color w:val="auto"/>
          <w:sz w:val="24"/>
          <w:highlight w:val="none"/>
          <w:u w:val="single"/>
          <w:lang w:val="en-US" w:eastAsia="zh-CN"/>
        </w:rPr>
      </w:pPr>
      <w:r>
        <w:rPr>
          <w:rFonts w:hint="eastAsia" w:ascii="宋体" w:hAnsi="宋体" w:cs="宋体"/>
          <w:color w:val="auto"/>
          <w:sz w:val="24"/>
          <w:highlight w:val="none"/>
          <w:lang w:val="en-US" w:eastAsia="zh-CN"/>
        </w:rPr>
        <w:t xml:space="preserve">                     联系方式</w:t>
      </w:r>
      <w:r>
        <w:rPr>
          <w:rFonts w:hint="eastAsia" w:ascii="宋体" w:hAnsi="宋体" w:cs="宋体"/>
          <w:color w:val="auto"/>
          <w:sz w:val="24"/>
          <w:highlight w:val="none"/>
        </w:rPr>
        <w:t>：</w:t>
      </w:r>
      <w:r>
        <w:rPr>
          <w:rFonts w:hint="eastAsia" w:ascii="宋体" w:hAnsi="宋体" w:cs="宋体"/>
          <w:color w:val="auto"/>
          <w:sz w:val="24"/>
          <w:highlight w:val="none"/>
          <w:u w:val="single"/>
        </w:rPr>
        <w:t xml:space="preserve">                    </w:t>
      </w:r>
    </w:p>
    <w:p w14:paraId="0A76A4F9">
      <w:pPr>
        <w:shd w:val="clear" w:color="auto" w:fill="FFFFFF"/>
        <w:tabs>
          <w:tab w:val="right" w:pos="6077"/>
        </w:tabs>
        <w:autoSpaceDE w:val="0"/>
        <w:autoSpaceDN w:val="0"/>
        <w:spacing w:line="560" w:lineRule="exact"/>
        <w:jc w:val="center"/>
        <w:rPr>
          <w:rFonts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04A3A9EB">
      <w:pPr>
        <w:spacing w:line="360" w:lineRule="auto"/>
        <w:ind w:firstLine="3600" w:firstLineChars="1500"/>
        <w:rPr>
          <w:color w:val="auto"/>
          <w:sz w:val="24"/>
          <w:highlight w:val="none"/>
        </w:rPr>
      </w:pPr>
      <w:r>
        <w:rPr>
          <w:rFonts w:hint="eastAsia"/>
          <w:color w:val="auto"/>
          <w:sz w:val="24"/>
          <w:highlight w:val="none"/>
        </w:rPr>
        <w:t>法定代表人身份证扫描件</w:t>
      </w:r>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744"/>
      </w:tblGrid>
      <w:tr w14:paraId="29C690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95" w:hRule="atLeast"/>
          <w:jc w:val="center"/>
        </w:trPr>
        <w:tc>
          <w:tcPr>
            <w:tcW w:w="8744" w:type="dxa"/>
            <w:tcBorders>
              <w:top w:val="single" w:color="000000" w:sz="4" w:space="0"/>
              <w:left w:val="single" w:color="000000" w:sz="4" w:space="0"/>
              <w:bottom w:val="single" w:color="000000" w:sz="4" w:space="0"/>
              <w:right w:val="single" w:color="000000" w:sz="4" w:space="0"/>
            </w:tcBorders>
            <w:vAlign w:val="center"/>
          </w:tcPr>
          <w:p w14:paraId="15BA5E76">
            <w:pPr>
              <w:spacing w:line="360" w:lineRule="auto"/>
              <w:jc w:val="center"/>
              <w:rPr>
                <w:color w:val="auto"/>
                <w:sz w:val="24"/>
                <w:highlight w:val="none"/>
              </w:rPr>
            </w:pPr>
            <w:r>
              <w:rPr>
                <w:rFonts w:hint="eastAsia"/>
                <w:color w:val="auto"/>
                <w:sz w:val="24"/>
                <w:highlight w:val="none"/>
              </w:rPr>
              <w:t>正面、背面</w:t>
            </w:r>
          </w:p>
        </w:tc>
      </w:tr>
    </w:tbl>
    <w:p w14:paraId="419A1BEF">
      <w:pPr>
        <w:spacing w:line="360" w:lineRule="auto"/>
        <w:ind w:firstLine="3600" w:firstLineChars="1500"/>
        <w:rPr>
          <w:color w:val="auto"/>
          <w:sz w:val="24"/>
          <w:highlight w:val="none"/>
        </w:rPr>
      </w:pPr>
      <w:r>
        <w:rPr>
          <w:rFonts w:hint="eastAsia"/>
          <w:color w:val="auto"/>
          <w:sz w:val="24"/>
          <w:highlight w:val="none"/>
        </w:rPr>
        <w:t>委托代理人身份证扫描件</w:t>
      </w:r>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720"/>
      </w:tblGrid>
      <w:tr w14:paraId="1FB3DA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95" w:hRule="atLeast"/>
          <w:jc w:val="center"/>
        </w:trPr>
        <w:tc>
          <w:tcPr>
            <w:tcW w:w="8720" w:type="dxa"/>
            <w:tcBorders>
              <w:top w:val="single" w:color="000000" w:sz="4" w:space="0"/>
              <w:left w:val="single" w:color="000000" w:sz="4" w:space="0"/>
              <w:bottom w:val="single" w:color="000000" w:sz="4" w:space="0"/>
              <w:right w:val="single" w:color="000000" w:sz="4" w:space="0"/>
            </w:tcBorders>
            <w:vAlign w:val="center"/>
          </w:tcPr>
          <w:p w14:paraId="502E6A61">
            <w:pPr>
              <w:jc w:val="center"/>
              <w:rPr>
                <w:color w:val="auto"/>
                <w:highlight w:val="none"/>
              </w:rPr>
            </w:pPr>
            <w:r>
              <w:rPr>
                <w:rFonts w:hint="eastAsia"/>
                <w:color w:val="auto"/>
                <w:sz w:val="24"/>
                <w:highlight w:val="none"/>
              </w:rPr>
              <w:t>正面、背面</w:t>
            </w:r>
          </w:p>
        </w:tc>
      </w:tr>
    </w:tbl>
    <w:p w14:paraId="51DE33A8">
      <w:pPr>
        <w:numPr>
          <w:ilvl w:val="0"/>
          <w:numId w:val="8"/>
        </w:numPr>
        <w:shd w:val="clear" w:color="auto" w:fill="FFFFFF"/>
        <w:tabs>
          <w:tab w:val="right" w:pos="6077"/>
        </w:tabs>
        <w:autoSpaceDE w:val="0"/>
        <w:autoSpaceDN w:val="0"/>
        <w:spacing w:line="560" w:lineRule="exact"/>
        <w:jc w:val="center"/>
        <w:outlineLvl w:val="1"/>
        <w:rPr>
          <w:rFonts w:ascii="宋体" w:hAnsi="宋体" w:cs="宋体"/>
          <w:b/>
          <w:bCs/>
          <w:color w:val="auto"/>
          <w:sz w:val="32"/>
          <w:szCs w:val="32"/>
          <w:highlight w:val="none"/>
        </w:rPr>
      </w:pPr>
      <w:bookmarkStart w:id="361" w:name="_Toc522117924"/>
      <w:bookmarkStart w:id="362" w:name="_Toc16520173"/>
      <w:bookmarkStart w:id="363" w:name="_Toc16520685"/>
      <w:bookmarkStart w:id="364" w:name="_Toc6912"/>
      <w:bookmarkStart w:id="365" w:name="_Toc121405501"/>
      <w:bookmarkStart w:id="366" w:name="_Toc27875"/>
      <w:bookmarkStart w:id="367" w:name="_Toc90623959"/>
      <w:r>
        <w:rPr>
          <w:rFonts w:hint="eastAsia" w:ascii="宋体" w:hAnsi="宋体" w:cs="宋体"/>
          <w:b/>
          <w:bCs/>
          <w:color w:val="auto"/>
          <w:sz w:val="32"/>
          <w:szCs w:val="32"/>
          <w:highlight w:val="none"/>
        </w:rPr>
        <w:br w:type="page"/>
      </w:r>
      <w:r>
        <w:rPr>
          <w:rFonts w:hint="eastAsia" w:ascii="宋体" w:hAnsi="宋体" w:cs="宋体"/>
          <w:b/>
          <w:bCs/>
          <w:color w:val="auto"/>
          <w:sz w:val="32"/>
          <w:szCs w:val="32"/>
          <w:highlight w:val="none"/>
        </w:rPr>
        <w:t>投标承诺函</w:t>
      </w:r>
    </w:p>
    <w:p w14:paraId="5470828E">
      <w:pPr>
        <w:widowControl/>
        <w:snapToGri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u w:val="single"/>
        </w:rPr>
        <w:t xml:space="preserve">   （采购人名称）    </w:t>
      </w:r>
      <w:r>
        <w:rPr>
          <w:rFonts w:hint="eastAsia" w:ascii="宋体" w:hAnsi="宋体" w:cs="宋体"/>
          <w:color w:val="auto"/>
          <w:kern w:val="0"/>
          <w:sz w:val="24"/>
          <w:highlight w:val="none"/>
        </w:rPr>
        <w:t>：</w:t>
      </w:r>
    </w:p>
    <w:p w14:paraId="7B4D6935">
      <w:pPr>
        <w:widowControl/>
        <w:snapToGri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我单位</w:t>
      </w:r>
      <w:r>
        <w:rPr>
          <w:rFonts w:hint="eastAsia" w:ascii="宋体" w:hAnsi="宋体" w:cs="宋体"/>
          <w:color w:val="auto"/>
          <w:kern w:val="0"/>
          <w:sz w:val="24"/>
          <w:highlight w:val="none"/>
          <w:u w:val="single"/>
        </w:rPr>
        <w:t xml:space="preserve">    （供应商名称）     </w:t>
      </w:r>
      <w:r>
        <w:rPr>
          <w:rFonts w:hint="eastAsia" w:ascii="宋体" w:hAnsi="宋体" w:cs="宋体"/>
          <w:color w:val="auto"/>
          <w:kern w:val="0"/>
          <w:sz w:val="24"/>
          <w:highlight w:val="none"/>
        </w:rPr>
        <w:t>在参加</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（项目名称），</w:t>
      </w:r>
      <w:r>
        <w:rPr>
          <w:rFonts w:hint="eastAsia" w:ascii="宋体" w:hAnsi="宋体" w:cs="宋体"/>
          <w:color w:val="auto"/>
          <w:kern w:val="0"/>
          <w:sz w:val="24"/>
          <w:highlight w:val="none"/>
          <w:u w:val="single"/>
        </w:rPr>
        <w:t xml:space="preserve">  （项目编号）  </w:t>
      </w:r>
      <w:r>
        <w:rPr>
          <w:rFonts w:hint="eastAsia" w:ascii="宋体" w:hAnsi="宋体" w:cs="宋体"/>
          <w:color w:val="auto"/>
          <w:kern w:val="0"/>
          <w:sz w:val="24"/>
          <w:highlight w:val="none"/>
        </w:rPr>
        <w:t>，根据《中华人民共和国政府采购法》《河南省财政厅关于优化政府采购营商环境有关问题的通知》（豫财购〔2019〕4号）等相关规定、以及本项目招标（采购）文件的规定，现自愿做出如下承诺：</w:t>
      </w:r>
    </w:p>
    <w:p w14:paraId="63CA1E79">
      <w:pPr>
        <w:widowControl/>
        <w:snapToGri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（1）承诺严格遵守《中华人民共和国政府采购法》等相关法律法规规定；</w:t>
      </w:r>
    </w:p>
    <w:p w14:paraId="5BFFEA7D">
      <w:pPr>
        <w:widowControl/>
        <w:snapToGri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2）承诺在诚信库入库及参与政府采购活动中所提供的全部资料真实有效，如有虚假资料情况，将主动放弃中标权利，并承担由此给采购人造成的法律责任及经济损失。如有违反，采购人有权随时单方面提出解除合同，且不需做任何经济补偿、赔偿；</w:t>
      </w:r>
    </w:p>
    <w:p w14:paraId="03D391C9">
      <w:pPr>
        <w:widowControl/>
        <w:snapToGri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（3）承诺如我方中标，保证严格按照采购文件、响应文件、附件等资料内容履行相关义务，保证质量符合贵单位的采购需求，否则，将承担相应法律责任并无条件接受退货且不需要任何经济补偿、赔偿。</w:t>
      </w:r>
    </w:p>
    <w:p w14:paraId="668C6D5C">
      <w:pPr>
        <w:widowControl/>
        <w:snapToGri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我方有以下违法行为的，采购人有权取消我方中标资格，且我方自愿接受采购人按法律法规及采购文件规定给予的相应处罚：如由财政部门列入不良行为记录名单，禁止参加政府采购活动、承担相应法律责任等，并纳入统一的信用信息平台。</w:t>
      </w:r>
    </w:p>
    <w:p w14:paraId="344C5C1B">
      <w:pPr>
        <w:widowControl/>
        <w:snapToGri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（1）在采购文件规定的采购有效期内未经采购人书面许可撤回响应文件的；</w:t>
      </w:r>
    </w:p>
    <w:p w14:paraId="7076510C">
      <w:pPr>
        <w:widowControl/>
        <w:snapToGri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（2）中标后未在采购文件规定的时间内领取中标通知书或领取中标通知书后无正当理由拒不与采购人签订政府采购合同的；</w:t>
      </w:r>
    </w:p>
    <w:p w14:paraId="06102004">
      <w:pPr>
        <w:widowControl/>
        <w:snapToGri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（3）在诚信库入库、参与投标过程中提供虚假材料、恶意串通、捏造事实或者以非法手段取得证明材料进行质疑、投诉的；</w:t>
      </w:r>
    </w:p>
    <w:p w14:paraId="33A8E73C">
      <w:pPr>
        <w:widowControl/>
        <w:snapToGri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（4）违反法律法规及采购文件规定的其他情形。</w:t>
      </w:r>
    </w:p>
    <w:p w14:paraId="71BBC1F5">
      <w:pPr>
        <w:autoSpaceDE w:val="0"/>
        <w:autoSpaceDN w:val="0"/>
        <w:adjustRightInd w:val="0"/>
        <w:spacing w:line="360" w:lineRule="auto"/>
        <w:ind w:right="315"/>
        <w:textAlignment w:val="baseline"/>
        <w:rPr>
          <w:rFonts w:ascii="宋体" w:hAnsi="宋体" w:cs="宋体"/>
          <w:color w:val="auto"/>
          <w:kern w:val="0"/>
          <w:sz w:val="24"/>
          <w:highlight w:val="none"/>
        </w:rPr>
      </w:pPr>
      <w:r>
        <w:rPr>
          <w:rFonts w:hint="eastAsia" w:ascii="宋体" w:hAnsi="宋体" w:cs="宋体"/>
          <w:color w:val="auto"/>
          <w:kern w:val="0"/>
          <w:sz w:val="24"/>
          <w:highlight w:val="none"/>
        </w:rPr>
        <w:t>供应商：</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（电子签章）</w:t>
      </w:r>
    </w:p>
    <w:p w14:paraId="4B0CDA0D">
      <w:pPr>
        <w:autoSpaceDE w:val="0"/>
        <w:autoSpaceDN w:val="0"/>
        <w:adjustRightInd w:val="0"/>
        <w:spacing w:line="360" w:lineRule="auto"/>
        <w:ind w:right="315"/>
        <w:textAlignment w:val="baseline"/>
        <w:rPr>
          <w:rFonts w:ascii="宋体" w:hAnsi="宋体" w:cs="宋体"/>
          <w:color w:val="auto"/>
          <w:kern w:val="0"/>
          <w:sz w:val="24"/>
          <w:highlight w:val="none"/>
          <w:u w:val="single"/>
        </w:rPr>
      </w:pPr>
      <w:r>
        <w:rPr>
          <w:rFonts w:hint="eastAsia" w:ascii="宋体" w:hAnsi="宋体" w:cs="宋体"/>
          <w:color w:val="auto"/>
          <w:kern w:val="0"/>
          <w:sz w:val="24"/>
          <w:highlight w:val="none"/>
        </w:rPr>
        <w:t>法定代表人或其委托代理人：</w:t>
      </w:r>
      <w:r>
        <w:rPr>
          <w:rFonts w:hint="eastAsia" w:ascii="宋体" w:hAnsi="宋体" w:cs="宋体"/>
          <w:color w:val="auto"/>
          <w:kern w:val="0"/>
          <w:sz w:val="24"/>
          <w:highlight w:val="none"/>
          <w:u w:val="single"/>
        </w:rPr>
        <w:t xml:space="preserve">          （</w:t>
      </w:r>
      <w:r>
        <w:rPr>
          <w:rFonts w:hint="eastAsia" w:ascii="宋体" w:hAnsi="宋体" w:cs="宋体"/>
          <w:color w:val="auto"/>
          <w:sz w:val="24"/>
          <w:highlight w:val="none"/>
        </w:rPr>
        <w:t>电子签章或签字</w:t>
      </w:r>
      <w:r>
        <w:rPr>
          <w:rFonts w:hint="eastAsia" w:ascii="宋体" w:hAnsi="宋体" w:cs="宋体"/>
          <w:color w:val="auto"/>
          <w:kern w:val="0"/>
          <w:sz w:val="24"/>
          <w:highlight w:val="none"/>
        </w:rPr>
        <w:t>）</w:t>
      </w:r>
    </w:p>
    <w:p w14:paraId="4715FCEA">
      <w:pPr>
        <w:autoSpaceDE w:val="0"/>
        <w:autoSpaceDN w:val="0"/>
        <w:adjustRightInd w:val="0"/>
        <w:spacing w:line="360" w:lineRule="auto"/>
        <w:textAlignment w:val="baseline"/>
        <w:rPr>
          <w:rFonts w:ascii="宋体" w:hAnsi="宋体" w:cs="宋体"/>
          <w:color w:val="auto"/>
          <w:kern w:val="0"/>
          <w:sz w:val="24"/>
          <w:highlight w:val="none"/>
        </w:rPr>
      </w:pPr>
      <w:r>
        <w:rPr>
          <w:rFonts w:hint="eastAsia" w:ascii="宋体" w:hAnsi="宋体" w:cs="宋体"/>
          <w:color w:val="auto"/>
          <w:kern w:val="0"/>
          <w:sz w:val="24"/>
          <w:highlight w:val="none"/>
        </w:rPr>
        <w:t>日期：</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年</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月</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日</w:t>
      </w:r>
    </w:p>
    <w:p w14:paraId="31946ED5">
      <w:pPr>
        <w:numPr>
          <w:ilvl w:val="0"/>
          <w:numId w:val="8"/>
        </w:numPr>
        <w:shd w:val="clear" w:color="auto" w:fill="FFFFFF"/>
        <w:tabs>
          <w:tab w:val="right" w:pos="6077"/>
        </w:tabs>
        <w:autoSpaceDE w:val="0"/>
        <w:autoSpaceDN w:val="0"/>
        <w:spacing w:line="560" w:lineRule="exact"/>
        <w:jc w:val="center"/>
        <w:outlineLvl w:val="1"/>
        <w:rPr>
          <w:rFonts w:ascii="宋体" w:hAnsi="宋体" w:cs="宋体"/>
          <w:b/>
          <w:bCs/>
          <w:color w:val="auto"/>
          <w:sz w:val="32"/>
          <w:szCs w:val="32"/>
          <w:highlight w:val="none"/>
        </w:rPr>
      </w:pPr>
      <w:r>
        <w:rPr>
          <w:rFonts w:hint="eastAsia" w:ascii="宋体" w:hAnsi="宋体" w:cs="宋体"/>
          <w:b/>
          <w:bCs/>
          <w:color w:val="auto"/>
          <w:sz w:val="32"/>
          <w:szCs w:val="32"/>
          <w:highlight w:val="none"/>
        </w:rPr>
        <w:br w:type="page"/>
      </w:r>
      <w:bookmarkEnd w:id="361"/>
      <w:bookmarkEnd w:id="362"/>
      <w:bookmarkEnd w:id="363"/>
      <w:r>
        <w:rPr>
          <w:rFonts w:hint="eastAsia" w:ascii="宋体" w:hAnsi="宋体" w:cs="宋体"/>
          <w:b/>
          <w:bCs/>
          <w:color w:val="auto"/>
          <w:sz w:val="32"/>
          <w:szCs w:val="32"/>
          <w:highlight w:val="none"/>
        </w:rPr>
        <w:t>供应商资格审查</w:t>
      </w:r>
      <w:bookmarkEnd w:id="364"/>
      <w:bookmarkEnd w:id="365"/>
      <w:bookmarkEnd w:id="366"/>
      <w:bookmarkEnd w:id="367"/>
    </w:p>
    <w:p w14:paraId="266CA258">
      <w:pPr>
        <w:autoSpaceDE w:val="0"/>
        <w:autoSpaceDN w:val="0"/>
        <w:spacing w:line="360" w:lineRule="exact"/>
        <w:ind w:right="26"/>
        <w:rPr>
          <w:rFonts w:ascii="宋体" w:hAnsi="宋体" w:cs="宋体"/>
          <w:color w:val="auto"/>
          <w:szCs w:val="21"/>
          <w:highlight w:val="none"/>
        </w:rPr>
      </w:pPr>
    </w:p>
    <w:p w14:paraId="309CCFF4">
      <w:pPr>
        <w:spacing w:line="360" w:lineRule="auto"/>
        <w:jc w:val="center"/>
        <w:rPr>
          <w:color w:val="auto"/>
          <w:sz w:val="24"/>
          <w:szCs w:val="18"/>
          <w:highlight w:val="none"/>
        </w:rPr>
      </w:pPr>
      <w:bookmarkStart w:id="368" w:name="_Toc10295_WPSOffice_Level2"/>
      <w:r>
        <w:rPr>
          <w:rFonts w:hint="eastAsia"/>
          <w:color w:val="auto"/>
          <w:sz w:val="24"/>
          <w:szCs w:val="18"/>
          <w:highlight w:val="none"/>
        </w:rPr>
        <w:t>（一）供应商基本情况表</w:t>
      </w:r>
      <w:bookmarkEnd w:id="368"/>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1"/>
        <w:gridCol w:w="973"/>
        <w:gridCol w:w="1551"/>
        <w:gridCol w:w="1119"/>
        <w:gridCol w:w="1132"/>
        <w:gridCol w:w="235"/>
        <w:gridCol w:w="1679"/>
      </w:tblGrid>
      <w:tr w14:paraId="68D56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731" w:type="dxa"/>
            <w:tcBorders>
              <w:top w:val="single" w:color="auto" w:sz="4" w:space="0"/>
              <w:left w:val="single" w:color="auto" w:sz="4" w:space="0"/>
              <w:bottom w:val="single" w:color="auto" w:sz="4" w:space="0"/>
              <w:right w:val="single" w:color="auto" w:sz="4" w:space="0"/>
            </w:tcBorders>
            <w:noWrap/>
            <w:vAlign w:val="center"/>
          </w:tcPr>
          <w:p w14:paraId="0AE29025">
            <w:pPr>
              <w:spacing w:line="360" w:lineRule="auto"/>
              <w:rPr>
                <w:color w:val="auto"/>
                <w:sz w:val="24"/>
                <w:highlight w:val="none"/>
              </w:rPr>
            </w:pPr>
            <w:r>
              <w:rPr>
                <w:rFonts w:hint="eastAsia"/>
                <w:color w:val="auto"/>
                <w:sz w:val="24"/>
                <w:highlight w:val="none"/>
              </w:rPr>
              <w:t>供应商名称</w:t>
            </w:r>
          </w:p>
        </w:tc>
        <w:tc>
          <w:tcPr>
            <w:tcW w:w="6689" w:type="dxa"/>
            <w:gridSpan w:val="6"/>
            <w:tcBorders>
              <w:top w:val="single" w:color="auto" w:sz="4" w:space="0"/>
              <w:left w:val="single" w:color="auto" w:sz="4" w:space="0"/>
              <w:bottom w:val="single" w:color="auto" w:sz="4" w:space="0"/>
              <w:right w:val="single" w:color="auto" w:sz="4" w:space="0"/>
            </w:tcBorders>
            <w:noWrap/>
            <w:vAlign w:val="center"/>
          </w:tcPr>
          <w:p w14:paraId="30C0A060">
            <w:pPr>
              <w:spacing w:line="360" w:lineRule="auto"/>
              <w:rPr>
                <w:color w:val="auto"/>
                <w:sz w:val="24"/>
                <w:highlight w:val="none"/>
              </w:rPr>
            </w:pPr>
          </w:p>
        </w:tc>
      </w:tr>
      <w:tr w14:paraId="6CB9D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731" w:type="dxa"/>
            <w:tcBorders>
              <w:top w:val="single" w:color="auto" w:sz="4" w:space="0"/>
              <w:left w:val="single" w:color="auto" w:sz="4" w:space="0"/>
              <w:bottom w:val="single" w:color="auto" w:sz="4" w:space="0"/>
              <w:right w:val="single" w:color="auto" w:sz="4" w:space="0"/>
            </w:tcBorders>
            <w:noWrap/>
            <w:vAlign w:val="center"/>
          </w:tcPr>
          <w:p w14:paraId="5CF3A2E9">
            <w:pPr>
              <w:spacing w:line="360" w:lineRule="auto"/>
              <w:rPr>
                <w:color w:val="auto"/>
                <w:sz w:val="24"/>
                <w:highlight w:val="none"/>
              </w:rPr>
            </w:pPr>
            <w:r>
              <w:rPr>
                <w:rFonts w:hint="eastAsia"/>
                <w:color w:val="auto"/>
                <w:sz w:val="24"/>
                <w:highlight w:val="none"/>
              </w:rPr>
              <w:t>注册地址</w:t>
            </w:r>
          </w:p>
        </w:tc>
        <w:tc>
          <w:tcPr>
            <w:tcW w:w="3643" w:type="dxa"/>
            <w:gridSpan w:val="3"/>
            <w:tcBorders>
              <w:top w:val="single" w:color="auto" w:sz="4" w:space="0"/>
              <w:left w:val="single" w:color="auto" w:sz="4" w:space="0"/>
              <w:bottom w:val="single" w:color="auto" w:sz="4" w:space="0"/>
              <w:right w:val="single" w:color="auto" w:sz="4" w:space="0"/>
            </w:tcBorders>
            <w:noWrap/>
            <w:vAlign w:val="center"/>
          </w:tcPr>
          <w:p w14:paraId="09BD9D70">
            <w:pPr>
              <w:spacing w:line="360" w:lineRule="auto"/>
              <w:rPr>
                <w:color w:val="auto"/>
                <w:sz w:val="24"/>
                <w:highlight w:val="none"/>
              </w:rPr>
            </w:pPr>
          </w:p>
        </w:tc>
        <w:tc>
          <w:tcPr>
            <w:tcW w:w="1367" w:type="dxa"/>
            <w:gridSpan w:val="2"/>
            <w:tcBorders>
              <w:top w:val="single" w:color="auto" w:sz="4" w:space="0"/>
              <w:left w:val="single" w:color="auto" w:sz="4" w:space="0"/>
              <w:bottom w:val="single" w:color="auto" w:sz="4" w:space="0"/>
              <w:right w:val="single" w:color="auto" w:sz="4" w:space="0"/>
            </w:tcBorders>
            <w:noWrap/>
            <w:vAlign w:val="center"/>
          </w:tcPr>
          <w:p w14:paraId="4A4D8E87">
            <w:pPr>
              <w:spacing w:line="360" w:lineRule="auto"/>
              <w:rPr>
                <w:color w:val="auto"/>
                <w:sz w:val="24"/>
                <w:highlight w:val="none"/>
              </w:rPr>
            </w:pPr>
            <w:r>
              <w:rPr>
                <w:rFonts w:hint="eastAsia"/>
                <w:color w:val="auto"/>
                <w:sz w:val="24"/>
                <w:highlight w:val="none"/>
              </w:rPr>
              <w:t>邮政编码</w:t>
            </w:r>
          </w:p>
        </w:tc>
        <w:tc>
          <w:tcPr>
            <w:tcW w:w="1679" w:type="dxa"/>
            <w:tcBorders>
              <w:top w:val="single" w:color="auto" w:sz="4" w:space="0"/>
              <w:left w:val="single" w:color="auto" w:sz="4" w:space="0"/>
              <w:bottom w:val="single" w:color="auto" w:sz="4" w:space="0"/>
              <w:right w:val="single" w:color="auto" w:sz="4" w:space="0"/>
            </w:tcBorders>
            <w:noWrap/>
            <w:vAlign w:val="center"/>
          </w:tcPr>
          <w:p w14:paraId="1C61BDC4">
            <w:pPr>
              <w:spacing w:line="360" w:lineRule="auto"/>
              <w:rPr>
                <w:color w:val="auto"/>
                <w:sz w:val="24"/>
                <w:highlight w:val="none"/>
              </w:rPr>
            </w:pPr>
          </w:p>
        </w:tc>
      </w:tr>
      <w:tr w14:paraId="5EBDF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1731" w:type="dxa"/>
            <w:vMerge w:val="restart"/>
            <w:tcBorders>
              <w:top w:val="single" w:color="auto" w:sz="4" w:space="0"/>
              <w:left w:val="single" w:color="auto" w:sz="4" w:space="0"/>
              <w:bottom w:val="single" w:color="auto" w:sz="4" w:space="0"/>
              <w:right w:val="single" w:color="auto" w:sz="4" w:space="0"/>
            </w:tcBorders>
            <w:noWrap/>
            <w:vAlign w:val="center"/>
          </w:tcPr>
          <w:p w14:paraId="2F9ACEC5">
            <w:pPr>
              <w:spacing w:line="360" w:lineRule="auto"/>
              <w:rPr>
                <w:color w:val="auto"/>
                <w:sz w:val="24"/>
                <w:highlight w:val="none"/>
              </w:rPr>
            </w:pPr>
            <w:r>
              <w:rPr>
                <w:rFonts w:hint="eastAsia"/>
                <w:color w:val="auto"/>
                <w:sz w:val="24"/>
                <w:highlight w:val="none"/>
              </w:rPr>
              <w:t>联系方式</w:t>
            </w:r>
          </w:p>
        </w:tc>
        <w:tc>
          <w:tcPr>
            <w:tcW w:w="973" w:type="dxa"/>
            <w:tcBorders>
              <w:top w:val="single" w:color="auto" w:sz="4" w:space="0"/>
              <w:left w:val="single" w:color="auto" w:sz="4" w:space="0"/>
              <w:bottom w:val="single" w:color="auto" w:sz="4" w:space="0"/>
              <w:right w:val="single" w:color="auto" w:sz="4" w:space="0"/>
            </w:tcBorders>
            <w:noWrap/>
            <w:vAlign w:val="center"/>
          </w:tcPr>
          <w:p w14:paraId="60FB152F">
            <w:pPr>
              <w:spacing w:line="360" w:lineRule="auto"/>
              <w:rPr>
                <w:color w:val="auto"/>
                <w:sz w:val="24"/>
                <w:highlight w:val="none"/>
              </w:rPr>
            </w:pPr>
            <w:r>
              <w:rPr>
                <w:rFonts w:hint="eastAsia"/>
                <w:color w:val="auto"/>
                <w:sz w:val="24"/>
                <w:highlight w:val="none"/>
              </w:rPr>
              <w:t>联系人</w:t>
            </w:r>
          </w:p>
        </w:tc>
        <w:tc>
          <w:tcPr>
            <w:tcW w:w="2670" w:type="dxa"/>
            <w:gridSpan w:val="2"/>
            <w:tcBorders>
              <w:top w:val="single" w:color="auto" w:sz="4" w:space="0"/>
              <w:left w:val="single" w:color="auto" w:sz="4" w:space="0"/>
              <w:bottom w:val="single" w:color="auto" w:sz="4" w:space="0"/>
              <w:right w:val="single" w:color="auto" w:sz="4" w:space="0"/>
            </w:tcBorders>
            <w:noWrap/>
            <w:vAlign w:val="center"/>
          </w:tcPr>
          <w:p w14:paraId="1B68A011">
            <w:pPr>
              <w:spacing w:line="360" w:lineRule="auto"/>
              <w:rPr>
                <w:color w:val="auto"/>
                <w:sz w:val="24"/>
                <w:highlight w:val="none"/>
              </w:rPr>
            </w:pPr>
          </w:p>
        </w:tc>
        <w:tc>
          <w:tcPr>
            <w:tcW w:w="1367" w:type="dxa"/>
            <w:gridSpan w:val="2"/>
            <w:tcBorders>
              <w:top w:val="single" w:color="auto" w:sz="4" w:space="0"/>
              <w:left w:val="single" w:color="auto" w:sz="4" w:space="0"/>
              <w:bottom w:val="single" w:color="auto" w:sz="4" w:space="0"/>
              <w:right w:val="single" w:color="auto" w:sz="4" w:space="0"/>
            </w:tcBorders>
            <w:noWrap/>
            <w:vAlign w:val="center"/>
          </w:tcPr>
          <w:p w14:paraId="17D1668C">
            <w:pPr>
              <w:spacing w:line="360" w:lineRule="auto"/>
              <w:rPr>
                <w:color w:val="auto"/>
                <w:sz w:val="24"/>
                <w:highlight w:val="none"/>
              </w:rPr>
            </w:pPr>
            <w:r>
              <w:rPr>
                <w:rFonts w:hint="eastAsia"/>
                <w:color w:val="auto"/>
                <w:sz w:val="24"/>
                <w:highlight w:val="none"/>
              </w:rPr>
              <w:t>电话</w:t>
            </w:r>
          </w:p>
        </w:tc>
        <w:tc>
          <w:tcPr>
            <w:tcW w:w="1679" w:type="dxa"/>
            <w:tcBorders>
              <w:top w:val="single" w:color="auto" w:sz="4" w:space="0"/>
              <w:left w:val="single" w:color="auto" w:sz="4" w:space="0"/>
              <w:bottom w:val="single" w:color="auto" w:sz="4" w:space="0"/>
              <w:right w:val="single" w:color="auto" w:sz="4" w:space="0"/>
            </w:tcBorders>
            <w:noWrap/>
            <w:vAlign w:val="center"/>
          </w:tcPr>
          <w:p w14:paraId="5757CF71">
            <w:pPr>
              <w:spacing w:line="360" w:lineRule="auto"/>
              <w:rPr>
                <w:color w:val="auto"/>
                <w:sz w:val="24"/>
                <w:highlight w:val="none"/>
              </w:rPr>
            </w:pPr>
          </w:p>
        </w:tc>
      </w:tr>
      <w:tr w14:paraId="4CDE6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1731" w:type="dxa"/>
            <w:vMerge w:val="continue"/>
            <w:tcBorders>
              <w:top w:val="single" w:color="auto" w:sz="4" w:space="0"/>
              <w:left w:val="single" w:color="auto" w:sz="4" w:space="0"/>
              <w:bottom w:val="single" w:color="auto" w:sz="4" w:space="0"/>
              <w:right w:val="single" w:color="auto" w:sz="4" w:space="0"/>
            </w:tcBorders>
            <w:noWrap/>
            <w:vAlign w:val="center"/>
          </w:tcPr>
          <w:p w14:paraId="3A106484">
            <w:pPr>
              <w:rPr>
                <w:color w:val="auto"/>
                <w:sz w:val="20"/>
                <w:szCs w:val="20"/>
                <w:highlight w:val="none"/>
              </w:rPr>
            </w:pPr>
          </w:p>
        </w:tc>
        <w:tc>
          <w:tcPr>
            <w:tcW w:w="973" w:type="dxa"/>
            <w:tcBorders>
              <w:top w:val="single" w:color="auto" w:sz="4" w:space="0"/>
              <w:left w:val="single" w:color="auto" w:sz="4" w:space="0"/>
              <w:bottom w:val="single" w:color="auto" w:sz="4" w:space="0"/>
              <w:right w:val="single" w:color="auto" w:sz="4" w:space="0"/>
            </w:tcBorders>
            <w:noWrap/>
            <w:vAlign w:val="center"/>
          </w:tcPr>
          <w:p w14:paraId="21ECFCFD">
            <w:pPr>
              <w:spacing w:line="360" w:lineRule="auto"/>
              <w:rPr>
                <w:color w:val="auto"/>
                <w:sz w:val="24"/>
                <w:highlight w:val="none"/>
              </w:rPr>
            </w:pPr>
            <w:r>
              <w:rPr>
                <w:rFonts w:hint="eastAsia"/>
                <w:color w:val="auto"/>
                <w:sz w:val="24"/>
                <w:highlight w:val="none"/>
              </w:rPr>
              <w:t>传真</w:t>
            </w:r>
          </w:p>
        </w:tc>
        <w:tc>
          <w:tcPr>
            <w:tcW w:w="2670" w:type="dxa"/>
            <w:gridSpan w:val="2"/>
            <w:tcBorders>
              <w:top w:val="single" w:color="auto" w:sz="4" w:space="0"/>
              <w:left w:val="single" w:color="auto" w:sz="4" w:space="0"/>
              <w:bottom w:val="single" w:color="auto" w:sz="4" w:space="0"/>
              <w:right w:val="single" w:color="auto" w:sz="4" w:space="0"/>
            </w:tcBorders>
            <w:noWrap/>
            <w:vAlign w:val="center"/>
          </w:tcPr>
          <w:p w14:paraId="1BB23201">
            <w:pPr>
              <w:spacing w:line="360" w:lineRule="auto"/>
              <w:rPr>
                <w:color w:val="auto"/>
                <w:sz w:val="24"/>
                <w:highlight w:val="none"/>
              </w:rPr>
            </w:pPr>
          </w:p>
        </w:tc>
        <w:tc>
          <w:tcPr>
            <w:tcW w:w="1367" w:type="dxa"/>
            <w:gridSpan w:val="2"/>
            <w:tcBorders>
              <w:top w:val="single" w:color="auto" w:sz="4" w:space="0"/>
              <w:left w:val="single" w:color="auto" w:sz="4" w:space="0"/>
              <w:bottom w:val="single" w:color="auto" w:sz="4" w:space="0"/>
              <w:right w:val="single" w:color="auto" w:sz="4" w:space="0"/>
            </w:tcBorders>
            <w:noWrap/>
            <w:vAlign w:val="center"/>
          </w:tcPr>
          <w:p w14:paraId="1E351DC4">
            <w:pPr>
              <w:spacing w:line="360" w:lineRule="auto"/>
              <w:rPr>
                <w:color w:val="auto"/>
                <w:sz w:val="24"/>
                <w:highlight w:val="none"/>
              </w:rPr>
            </w:pPr>
            <w:r>
              <w:rPr>
                <w:rFonts w:hint="eastAsia"/>
                <w:color w:val="auto"/>
                <w:sz w:val="24"/>
                <w:highlight w:val="none"/>
              </w:rPr>
              <w:t>网址</w:t>
            </w:r>
          </w:p>
        </w:tc>
        <w:tc>
          <w:tcPr>
            <w:tcW w:w="1679" w:type="dxa"/>
            <w:tcBorders>
              <w:top w:val="single" w:color="auto" w:sz="4" w:space="0"/>
              <w:left w:val="single" w:color="auto" w:sz="4" w:space="0"/>
              <w:bottom w:val="single" w:color="auto" w:sz="4" w:space="0"/>
              <w:right w:val="single" w:color="auto" w:sz="4" w:space="0"/>
            </w:tcBorders>
            <w:noWrap/>
            <w:vAlign w:val="center"/>
          </w:tcPr>
          <w:p w14:paraId="76C3B407">
            <w:pPr>
              <w:spacing w:line="360" w:lineRule="auto"/>
              <w:rPr>
                <w:color w:val="auto"/>
                <w:sz w:val="24"/>
                <w:highlight w:val="none"/>
              </w:rPr>
            </w:pPr>
          </w:p>
        </w:tc>
      </w:tr>
      <w:tr w14:paraId="3EE13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1731" w:type="dxa"/>
            <w:tcBorders>
              <w:top w:val="single" w:color="auto" w:sz="4" w:space="0"/>
              <w:left w:val="single" w:color="auto" w:sz="4" w:space="0"/>
              <w:bottom w:val="single" w:color="auto" w:sz="4" w:space="0"/>
              <w:right w:val="single" w:color="auto" w:sz="4" w:space="0"/>
            </w:tcBorders>
            <w:noWrap/>
            <w:vAlign w:val="center"/>
          </w:tcPr>
          <w:p w14:paraId="0B8FAD09">
            <w:pPr>
              <w:spacing w:line="360" w:lineRule="auto"/>
              <w:rPr>
                <w:color w:val="auto"/>
                <w:sz w:val="24"/>
                <w:highlight w:val="none"/>
              </w:rPr>
            </w:pPr>
            <w:r>
              <w:rPr>
                <w:rFonts w:hint="eastAsia"/>
                <w:color w:val="auto"/>
                <w:sz w:val="24"/>
                <w:highlight w:val="none"/>
              </w:rPr>
              <w:t>组织结构</w:t>
            </w:r>
          </w:p>
        </w:tc>
        <w:tc>
          <w:tcPr>
            <w:tcW w:w="6689" w:type="dxa"/>
            <w:gridSpan w:val="6"/>
            <w:tcBorders>
              <w:top w:val="single" w:color="auto" w:sz="4" w:space="0"/>
              <w:left w:val="single" w:color="auto" w:sz="4" w:space="0"/>
              <w:bottom w:val="single" w:color="auto" w:sz="4" w:space="0"/>
              <w:right w:val="single" w:color="auto" w:sz="4" w:space="0"/>
            </w:tcBorders>
            <w:noWrap/>
            <w:vAlign w:val="center"/>
          </w:tcPr>
          <w:p w14:paraId="21EDE7C5">
            <w:pPr>
              <w:tabs>
                <w:tab w:val="left" w:pos="4776"/>
              </w:tabs>
              <w:spacing w:line="360" w:lineRule="auto"/>
              <w:rPr>
                <w:color w:val="auto"/>
                <w:sz w:val="24"/>
                <w:highlight w:val="none"/>
              </w:rPr>
            </w:pPr>
          </w:p>
        </w:tc>
      </w:tr>
      <w:tr w14:paraId="6D813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731" w:type="dxa"/>
            <w:tcBorders>
              <w:top w:val="single" w:color="auto" w:sz="4" w:space="0"/>
              <w:left w:val="single" w:color="auto" w:sz="4" w:space="0"/>
              <w:bottom w:val="single" w:color="auto" w:sz="4" w:space="0"/>
              <w:right w:val="single" w:color="auto" w:sz="4" w:space="0"/>
            </w:tcBorders>
            <w:noWrap/>
            <w:vAlign w:val="center"/>
          </w:tcPr>
          <w:p w14:paraId="622A1DE3">
            <w:pPr>
              <w:spacing w:line="360" w:lineRule="auto"/>
              <w:rPr>
                <w:color w:val="auto"/>
                <w:sz w:val="24"/>
                <w:highlight w:val="none"/>
              </w:rPr>
            </w:pPr>
            <w:r>
              <w:rPr>
                <w:rFonts w:hint="eastAsia"/>
                <w:color w:val="auto"/>
                <w:sz w:val="24"/>
                <w:highlight w:val="none"/>
              </w:rPr>
              <w:t>法定代表人</w:t>
            </w:r>
          </w:p>
        </w:tc>
        <w:tc>
          <w:tcPr>
            <w:tcW w:w="973" w:type="dxa"/>
            <w:tcBorders>
              <w:top w:val="single" w:color="auto" w:sz="4" w:space="0"/>
              <w:left w:val="single" w:color="auto" w:sz="4" w:space="0"/>
              <w:bottom w:val="single" w:color="auto" w:sz="4" w:space="0"/>
              <w:right w:val="single" w:color="auto" w:sz="4" w:space="0"/>
            </w:tcBorders>
            <w:noWrap/>
            <w:vAlign w:val="center"/>
          </w:tcPr>
          <w:p w14:paraId="04C965CF">
            <w:pPr>
              <w:spacing w:line="360" w:lineRule="auto"/>
              <w:rPr>
                <w:color w:val="auto"/>
                <w:sz w:val="24"/>
                <w:highlight w:val="none"/>
              </w:rPr>
            </w:pPr>
            <w:r>
              <w:rPr>
                <w:rFonts w:hint="eastAsia"/>
                <w:color w:val="auto"/>
                <w:sz w:val="24"/>
                <w:highlight w:val="none"/>
              </w:rPr>
              <w:t>姓名</w:t>
            </w:r>
          </w:p>
        </w:tc>
        <w:tc>
          <w:tcPr>
            <w:tcW w:w="2670" w:type="dxa"/>
            <w:gridSpan w:val="2"/>
            <w:tcBorders>
              <w:top w:val="single" w:color="auto" w:sz="4" w:space="0"/>
              <w:left w:val="single" w:color="auto" w:sz="4" w:space="0"/>
              <w:bottom w:val="single" w:color="auto" w:sz="4" w:space="0"/>
              <w:right w:val="single" w:color="auto" w:sz="4" w:space="0"/>
            </w:tcBorders>
            <w:noWrap/>
            <w:vAlign w:val="center"/>
          </w:tcPr>
          <w:p w14:paraId="3D536F98">
            <w:pPr>
              <w:spacing w:line="360" w:lineRule="auto"/>
              <w:rPr>
                <w:color w:val="auto"/>
                <w:sz w:val="24"/>
                <w:highlight w:val="none"/>
              </w:rPr>
            </w:pPr>
          </w:p>
        </w:tc>
        <w:tc>
          <w:tcPr>
            <w:tcW w:w="1132" w:type="dxa"/>
            <w:tcBorders>
              <w:top w:val="single" w:color="auto" w:sz="4" w:space="0"/>
              <w:left w:val="single" w:color="auto" w:sz="4" w:space="0"/>
              <w:bottom w:val="single" w:color="auto" w:sz="4" w:space="0"/>
              <w:right w:val="single" w:color="auto" w:sz="4" w:space="0"/>
            </w:tcBorders>
            <w:noWrap/>
            <w:vAlign w:val="center"/>
          </w:tcPr>
          <w:p w14:paraId="44ECF94E">
            <w:pPr>
              <w:spacing w:line="360" w:lineRule="auto"/>
              <w:rPr>
                <w:color w:val="auto"/>
                <w:sz w:val="24"/>
                <w:highlight w:val="none"/>
              </w:rPr>
            </w:pPr>
            <w:r>
              <w:rPr>
                <w:rFonts w:hint="eastAsia"/>
                <w:color w:val="auto"/>
                <w:sz w:val="24"/>
                <w:highlight w:val="none"/>
              </w:rPr>
              <w:t>电话</w:t>
            </w:r>
          </w:p>
        </w:tc>
        <w:tc>
          <w:tcPr>
            <w:tcW w:w="1914" w:type="dxa"/>
            <w:gridSpan w:val="2"/>
            <w:tcBorders>
              <w:top w:val="single" w:color="auto" w:sz="4" w:space="0"/>
              <w:left w:val="single" w:color="auto" w:sz="4" w:space="0"/>
              <w:bottom w:val="single" w:color="auto" w:sz="4" w:space="0"/>
              <w:right w:val="single" w:color="auto" w:sz="4" w:space="0"/>
            </w:tcBorders>
            <w:noWrap/>
            <w:vAlign w:val="center"/>
          </w:tcPr>
          <w:p w14:paraId="5224EC11">
            <w:pPr>
              <w:spacing w:line="360" w:lineRule="auto"/>
              <w:rPr>
                <w:color w:val="auto"/>
                <w:sz w:val="24"/>
                <w:highlight w:val="none"/>
              </w:rPr>
            </w:pPr>
          </w:p>
        </w:tc>
      </w:tr>
      <w:tr w14:paraId="31476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1731" w:type="dxa"/>
            <w:tcBorders>
              <w:top w:val="single" w:color="auto" w:sz="4" w:space="0"/>
              <w:left w:val="single" w:color="auto" w:sz="4" w:space="0"/>
              <w:bottom w:val="single" w:color="auto" w:sz="4" w:space="0"/>
              <w:right w:val="single" w:color="auto" w:sz="4" w:space="0"/>
            </w:tcBorders>
            <w:noWrap/>
            <w:vAlign w:val="center"/>
          </w:tcPr>
          <w:p w14:paraId="10B4A617">
            <w:pPr>
              <w:spacing w:line="360" w:lineRule="auto"/>
              <w:rPr>
                <w:color w:val="auto"/>
                <w:sz w:val="24"/>
                <w:highlight w:val="none"/>
              </w:rPr>
            </w:pPr>
            <w:r>
              <w:rPr>
                <w:rFonts w:hint="eastAsia"/>
                <w:color w:val="auto"/>
                <w:sz w:val="24"/>
                <w:highlight w:val="none"/>
              </w:rPr>
              <w:t>成立时间</w:t>
            </w:r>
          </w:p>
        </w:tc>
        <w:tc>
          <w:tcPr>
            <w:tcW w:w="2524" w:type="dxa"/>
            <w:gridSpan w:val="2"/>
            <w:tcBorders>
              <w:top w:val="single" w:color="auto" w:sz="4" w:space="0"/>
              <w:left w:val="single" w:color="auto" w:sz="4" w:space="0"/>
              <w:bottom w:val="single" w:color="auto" w:sz="4" w:space="0"/>
              <w:right w:val="single" w:color="auto" w:sz="4" w:space="0"/>
            </w:tcBorders>
            <w:noWrap/>
            <w:vAlign w:val="center"/>
          </w:tcPr>
          <w:p w14:paraId="7D547BEC">
            <w:pPr>
              <w:spacing w:line="360" w:lineRule="auto"/>
              <w:rPr>
                <w:color w:val="auto"/>
                <w:sz w:val="24"/>
                <w:highlight w:val="none"/>
              </w:rPr>
            </w:pPr>
          </w:p>
        </w:tc>
        <w:tc>
          <w:tcPr>
            <w:tcW w:w="4165" w:type="dxa"/>
            <w:gridSpan w:val="4"/>
            <w:tcBorders>
              <w:top w:val="single" w:color="auto" w:sz="4" w:space="0"/>
              <w:left w:val="single" w:color="auto" w:sz="4" w:space="0"/>
              <w:bottom w:val="single" w:color="auto" w:sz="4" w:space="0"/>
              <w:right w:val="single" w:color="auto" w:sz="4" w:space="0"/>
            </w:tcBorders>
            <w:noWrap/>
            <w:vAlign w:val="center"/>
          </w:tcPr>
          <w:p w14:paraId="2D22F616">
            <w:pPr>
              <w:spacing w:line="360" w:lineRule="auto"/>
              <w:rPr>
                <w:color w:val="auto"/>
                <w:sz w:val="24"/>
                <w:highlight w:val="none"/>
              </w:rPr>
            </w:pPr>
            <w:r>
              <w:rPr>
                <w:rFonts w:hint="eastAsia"/>
                <w:color w:val="auto"/>
                <w:sz w:val="24"/>
                <w:highlight w:val="none"/>
              </w:rPr>
              <w:t>员工总人数：</w:t>
            </w:r>
          </w:p>
        </w:tc>
      </w:tr>
      <w:tr w14:paraId="4B1E7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1731" w:type="dxa"/>
            <w:tcBorders>
              <w:top w:val="single" w:color="auto" w:sz="4" w:space="0"/>
              <w:left w:val="single" w:color="auto" w:sz="4" w:space="0"/>
              <w:bottom w:val="single" w:color="auto" w:sz="4" w:space="0"/>
              <w:right w:val="single" w:color="auto" w:sz="4" w:space="0"/>
            </w:tcBorders>
            <w:noWrap/>
            <w:vAlign w:val="center"/>
          </w:tcPr>
          <w:p w14:paraId="1C187C67">
            <w:pPr>
              <w:spacing w:line="360" w:lineRule="auto"/>
              <w:rPr>
                <w:color w:val="auto"/>
                <w:sz w:val="24"/>
                <w:highlight w:val="none"/>
              </w:rPr>
            </w:pPr>
            <w:r>
              <w:rPr>
                <w:rFonts w:hint="eastAsia"/>
                <w:color w:val="auto"/>
                <w:sz w:val="24"/>
                <w:highlight w:val="none"/>
              </w:rPr>
              <w:t>营业执照号</w:t>
            </w:r>
          </w:p>
        </w:tc>
        <w:tc>
          <w:tcPr>
            <w:tcW w:w="6689" w:type="dxa"/>
            <w:gridSpan w:val="6"/>
            <w:tcBorders>
              <w:top w:val="single" w:color="auto" w:sz="4" w:space="0"/>
              <w:left w:val="single" w:color="auto" w:sz="4" w:space="0"/>
              <w:bottom w:val="single" w:color="auto" w:sz="4" w:space="0"/>
              <w:right w:val="single" w:color="auto" w:sz="4" w:space="0"/>
            </w:tcBorders>
            <w:noWrap/>
            <w:vAlign w:val="center"/>
          </w:tcPr>
          <w:p w14:paraId="72694239">
            <w:pPr>
              <w:spacing w:line="360" w:lineRule="auto"/>
              <w:rPr>
                <w:color w:val="auto"/>
                <w:sz w:val="24"/>
                <w:highlight w:val="none"/>
              </w:rPr>
            </w:pPr>
          </w:p>
        </w:tc>
      </w:tr>
      <w:tr w14:paraId="0EA50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1731" w:type="dxa"/>
            <w:tcBorders>
              <w:top w:val="single" w:color="auto" w:sz="4" w:space="0"/>
              <w:left w:val="single" w:color="auto" w:sz="4" w:space="0"/>
              <w:bottom w:val="single" w:color="auto" w:sz="4" w:space="0"/>
              <w:right w:val="single" w:color="auto" w:sz="4" w:space="0"/>
            </w:tcBorders>
            <w:noWrap/>
            <w:vAlign w:val="center"/>
          </w:tcPr>
          <w:p w14:paraId="6ADB2777">
            <w:pPr>
              <w:spacing w:line="360" w:lineRule="auto"/>
              <w:rPr>
                <w:color w:val="auto"/>
                <w:sz w:val="24"/>
                <w:highlight w:val="none"/>
              </w:rPr>
            </w:pPr>
            <w:r>
              <w:rPr>
                <w:rFonts w:hint="eastAsia"/>
                <w:color w:val="auto"/>
                <w:sz w:val="24"/>
                <w:highlight w:val="none"/>
              </w:rPr>
              <w:t>注册资金</w:t>
            </w:r>
          </w:p>
        </w:tc>
        <w:tc>
          <w:tcPr>
            <w:tcW w:w="2524" w:type="dxa"/>
            <w:gridSpan w:val="2"/>
            <w:tcBorders>
              <w:top w:val="single" w:color="auto" w:sz="4" w:space="0"/>
              <w:left w:val="single" w:color="auto" w:sz="4" w:space="0"/>
              <w:bottom w:val="single" w:color="auto" w:sz="4" w:space="0"/>
              <w:right w:val="single" w:color="auto" w:sz="4" w:space="0"/>
            </w:tcBorders>
            <w:noWrap/>
            <w:vAlign w:val="center"/>
          </w:tcPr>
          <w:p w14:paraId="7485E262">
            <w:pPr>
              <w:spacing w:line="360" w:lineRule="auto"/>
              <w:rPr>
                <w:color w:val="auto"/>
                <w:sz w:val="24"/>
                <w:highlight w:val="none"/>
              </w:rPr>
            </w:pPr>
          </w:p>
        </w:tc>
        <w:tc>
          <w:tcPr>
            <w:tcW w:w="2251" w:type="dxa"/>
            <w:gridSpan w:val="2"/>
            <w:tcBorders>
              <w:top w:val="single" w:color="auto" w:sz="4" w:space="0"/>
              <w:left w:val="single" w:color="auto" w:sz="4" w:space="0"/>
              <w:bottom w:val="single" w:color="auto" w:sz="4" w:space="0"/>
              <w:right w:val="single" w:color="auto" w:sz="4" w:space="0"/>
            </w:tcBorders>
            <w:noWrap/>
            <w:vAlign w:val="center"/>
          </w:tcPr>
          <w:p w14:paraId="4F4AC801">
            <w:pPr>
              <w:spacing w:line="360" w:lineRule="auto"/>
              <w:rPr>
                <w:color w:val="auto"/>
                <w:sz w:val="24"/>
                <w:highlight w:val="none"/>
              </w:rPr>
            </w:pPr>
            <w:r>
              <w:rPr>
                <w:rFonts w:hint="eastAsia"/>
                <w:color w:val="auto"/>
                <w:sz w:val="24"/>
                <w:highlight w:val="none"/>
              </w:rPr>
              <w:t>开户银行</w:t>
            </w:r>
          </w:p>
        </w:tc>
        <w:tc>
          <w:tcPr>
            <w:tcW w:w="1914" w:type="dxa"/>
            <w:gridSpan w:val="2"/>
            <w:tcBorders>
              <w:top w:val="single" w:color="auto" w:sz="4" w:space="0"/>
              <w:left w:val="single" w:color="auto" w:sz="4" w:space="0"/>
              <w:bottom w:val="single" w:color="auto" w:sz="4" w:space="0"/>
              <w:right w:val="single" w:color="auto" w:sz="4" w:space="0"/>
            </w:tcBorders>
            <w:noWrap/>
            <w:vAlign w:val="center"/>
          </w:tcPr>
          <w:p w14:paraId="02E7B8B1">
            <w:pPr>
              <w:spacing w:line="360" w:lineRule="auto"/>
              <w:rPr>
                <w:color w:val="auto"/>
                <w:sz w:val="24"/>
                <w:highlight w:val="none"/>
              </w:rPr>
            </w:pPr>
          </w:p>
        </w:tc>
      </w:tr>
      <w:tr w14:paraId="6A4D1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1731" w:type="dxa"/>
            <w:tcBorders>
              <w:top w:val="single" w:color="auto" w:sz="4" w:space="0"/>
              <w:left w:val="single" w:color="auto" w:sz="4" w:space="0"/>
              <w:bottom w:val="single" w:color="auto" w:sz="4" w:space="0"/>
              <w:right w:val="single" w:color="auto" w:sz="4" w:space="0"/>
            </w:tcBorders>
            <w:noWrap/>
            <w:vAlign w:val="center"/>
          </w:tcPr>
          <w:p w14:paraId="6C3501A6">
            <w:pPr>
              <w:spacing w:line="360" w:lineRule="auto"/>
              <w:rPr>
                <w:color w:val="auto"/>
                <w:sz w:val="24"/>
                <w:highlight w:val="none"/>
              </w:rPr>
            </w:pPr>
            <w:r>
              <w:rPr>
                <w:rFonts w:hint="eastAsia"/>
                <w:color w:val="auto"/>
                <w:sz w:val="24"/>
                <w:highlight w:val="none"/>
              </w:rPr>
              <w:t>账号</w:t>
            </w:r>
          </w:p>
        </w:tc>
        <w:tc>
          <w:tcPr>
            <w:tcW w:w="6689" w:type="dxa"/>
            <w:gridSpan w:val="6"/>
            <w:tcBorders>
              <w:top w:val="single" w:color="auto" w:sz="4" w:space="0"/>
              <w:left w:val="single" w:color="auto" w:sz="4" w:space="0"/>
              <w:bottom w:val="single" w:color="auto" w:sz="4" w:space="0"/>
              <w:right w:val="single" w:color="auto" w:sz="4" w:space="0"/>
            </w:tcBorders>
            <w:noWrap/>
            <w:vAlign w:val="center"/>
          </w:tcPr>
          <w:p w14:paraId="488D283A">
            <w:pPr>
              <w:spacing w:line="360" w:lineRule="auto"/>
              <w:rPr>
                <w:color w:val="auto"/>
                <w:sz w:val="24"/>
                <w:highlight w:val="none"/>
              </w:rPr>
            </w:pPr>
          </w:p>
        </w:tc>
      </w:tr>
      <w:tr w14:paraId="79803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jc w:val="center"/>
        </w:trPr>
        <w:tc>
          <w:tcPr>
            <w:tcW w:w="1731" w:type="dxa"/>
            <w:tcBorders>
              <w:top w:val="single" w:color="auto" w:sz="4" w:space="0"/>
              <w:left w:val="single" w:color="auto" w:sz="4" w:space="0"/>
              <w:bottom w:val="single" w:color="auto" w:sz="4" w:space="0"/>
              <w:right w:val="single" w:color="auto" w:sz="4" w:space="0"/>
            </w:tcBorders>
            <w:noWrap/>
            <w:vAlign w:val="center"/>
          </w:tcPr>
          <w:p w14:paraId="2B0638DE">
            <w:pPr>
              <w:spacing w:line="360" w:lineRule="auto"/>
              <w:rPr>
                <w:color w:val="auto"/>
                <w:sz w:val="24"/>
                <w:highlight w:val="none"/>
              </w:rPr>
            </w:pPr>
            <w:r>
              <w:rPr>
                <w:rFonts w:hint="eastAsia"/>
                <w:color w:val="auto"/>
                <w:sz w:val="24"/>
                <w:highlight w:val="none"/>
              </w:rPr>
              <w:t>经营范围备注</w:t>
            </w:r>
          </w:p>
        </w:tc>
        <w:tc>
          <w:tcPr>
            <w:tcW w:w="6689" w:type="dxa"/>
            <w:gridSpan w:val="6"/>
            <w:tcBorders>
              <w:top w:val="single" w:color="auto" w:sz="4" w:space="0"/>
              <w:left w:val="single" w:color="auto" w:sz="4" w:space="0"/>
              <w:bottom w:val="single" w:color="auto" w:sz="4" w:space="0"/>
              <w:right w:val="single" w:color="auto" w:sz="4" w:space="0"/>
            </w:tcBorders>
            <w:noWrap/>
            <w:vAlign w:val="center"/>
          </w:tcPr>
          <w:p w14:paraId="28C06F72">
            <w:pPr>
              <w:spacing w:line="360" w:lineRule="auto"/>
              <w:rPr>
                <w:color w:val="auto"/>
                <w:sz w:val="24"/>
                <w:highlight w:val="none"/>
              </w:rPr>
            </w:pPr>
          </w:p>
        </w:tc>
      </w:tr>
    </w:tbl>
    <w:p w14:paraId="46D3FC4C">
      <w:pPr>
        <w:spacing w:line="360" w:lineRule="auto"/>
        <w:ind w:firstLine="480" w:firstLineChars="200"/>
        <w:rPr>
          <w:color w:val="auto"/>
          <w:sz w:val="24"/>
          <w:highlight w:val="none"/>
        </w:rPr>
      </w:pPr>
      <w:bookmarkStart w:id="369" w:name="_Toc15473_WPSOffice_Level3"/>
      <w:r>
        <w:rPr>
          <w:rFonts w:hint="eastAsia"/>
          <w:color w:val="auto"/>
          <w:sz w:val="24"/>
          <w:highlight w:val="none"/>
        </w:rPr>
        <w:t>附：1、营业执照、税务登记证、组织机构代码证（或三证合一）等相关证件的扫描件</w:t>
      </w:r>
      <w:bookmarkEnd w:id="369"/>
    </w:p>
    <w:p w14:paraId="4D82C10E">
      <w:pPr>
        <w:spacing w:line="360" w:lineRule="auto"/>
        <w:rPr>
          <w:color w:val="auto"/>
          <w:sz w:val="24"/>
          <w:highlight w:val="none"/>
        </w:rPr>
      </w:pPr>
    </w:p>
    <w:p w14:paraId="2C3520EF">
      <w:pPr>
        <w:spacing w:line="360" w:lineRule="auto"/>
        <w:jc w:val="center"/>
        <w:rPr>
          <w:color w:val="auto"/>
          <w:sz w:val="28"/>
          <w:szCs w:val="20"/>
          <w:highlight w:val="none"/>
        </w:rPr>
      </w:pPr>
      <w:r>
        <w:rPr>
          <w:rFonts w:hint="eastAsia"/>
          <w:color w:val="auto"/>
          <w:sz w:val="24"/>
          <w:highlight w:val="none"/>
        </w:rPr>
        <w:br w:type="page"/>
      </w:r>
      <w:bookmarkStart w:id="370" w:name="_Toc13068_WPSOffice_Level2"/>
      <w:r>
        <w:rPr>
          <w:rFonts w:hint="eastAsia"/>
          <w:color w:val="auto"/>
          <w:sz w:val="28"/>
          <w:szCs w:val="20"/>
          <w:highlight w:val="none"/>
        </w:rPr>
        <w:t>（二）竞争性磋商文件规定的资格审查资料</w:t>
      </w:r>
      <w:bookmarkEnd w:id="370"/>
    </w:p>
    <w:p w14:paraId="0D3D4B6A">
      <w:pPr>
        <w:spacing w:line="360" w:lineRule="auto"/>
        <w:rPr>
          <w:color w:val="auto"/>
          <w:sz w:val="24"/>
          <w:highlight w:val="none"/>
        </w:rPr>
      </w:pPr>
    </w:p>
    <w:p w14:paraId="0382EC24">
      <w:pPr>
        <w:spacing w:line="400" w:lineRule="exact"/>
        <w:rPr>
          <w:rFonts w:ascii="宋体" w:hAnsi="宋体" w:cs="宋体"/>
          <w:color w:val="auto"/>
          <w:sz w:val="24"/>
          <w:highlight w:val="none"/>
        </w:rPr>
      </w:pPr>
    </w:p>
    <w:p w14:paraId="50A9D142">
      <w:pPr>
        <w:spacing w:before="53" w:line="360" w:lineRule="auto"/>
        <w:jc w:val="center"/>
        <w:outlineLvl w:val="2"/>
        <w:rPr>
          <w:b/>
          <w:bCs/>
          <w:color w:val="auto"/>
          <w:sz w:val="24"/>
          <w:szCs w:val="30"/>
          <w:highlight w:val="none"/>
          <w:lang w:val="zh-CN" w:bidi="zh-CN"/>
        </w:rPr>
      </w:pPr>
      <w:bookmarkStart w:id="371" w:name="_Toc90623962"/>
      <w:bookmarkStart w:id="372" w:name="_Toc89334771"/>
      <w:bookmarkStart w:id="373" w:name="_Toc121405504"/>
      <w:bookmarkStart w:id="374" w:name="_Toc44603941"/>
      <w:bookmarkStart w:id="375" w:name="_Toc13341"/>
      <w:bookmarkStart w:id="376" w:name="_Toc16691"/>
      <w:r>
        <w:rPr>
          <w:rFonts w:hint="eastAsia" w:ascii="宋体" w:hAnsi="宋体" w:cs="宋体"/>
          <w:b/>
          <w:bCs/>
          <w:color w:val="auto"/>
          <w:sz w:val="32"/>
          <w:szCs w:val="32"/>
          <w:highlight w:val="none"/>
        </w:rPr>
        <w:br w:type="page"/>
      </w:r>
      <w:r>
        <w:rPr>
          <w:rFonts w:hint="eastAsia"/>
          <w:b/>
          <w:bCs/>
          <w:color w:val="auto"/>
          <w:sz w:val="24"/>
          <w:szCs w:val="30"/>
          <w:highlight w:val="none"/>
          <w:lang w:val="zh-CN" w:bidi="zh-CN"/>
        </w:rPr>
        <w:t>（三）近年发生的诉讼及仲裁情况</w:t>
      </w:r>
    </w:p>
    <w:p w14:paraId="1DCDA2F3">
      <w:pPr>
        <w:autoSpaceDE w:val="0"/>
        <w:autoSpaceDN w:val="0"/>
        <w:adjustRightInd w:val="0"/>
        <w:jc w:val="left"/>
        <w:rPr>
          <w:color w:val="auto"/>
          <w:kern w:val="0"/>
          <w:sz w:val="24"/>
          <w:highlight w:val="none"/>
        </w:rPr>
      </w:pPr>
    </w:p>
    <w:p w14:paraId="74F1132D">
      <w:pPr>
        <w:autoSpaceDE w:val="0"/>
        <w:autoSpaceDN w:val="0"/>
        <w:adjustRightInd w:val="0"/>
        <w:spacing w:line="450" w:lineRule="exact"/>
        <w:ind w:firstLine="480" w:firstLineChars="200"/>
        <w:jc w:val="left"/>
        <w:rPr>
          <w:color w:val="auto"/>
          <w:sz w:val="24"/>
          <w:highlight w:val="none"/>
        </w:rPr>
      </w:pPr>
      <w:r>
        <w:rPr>
          <w:rFonts w:hint="eastAsia"/>
          <w:color w:val="auto"/>
          <w:sz w:val="24"/>
          <w:highlight w:val="none"/>
        </w:rPr>
        <w:t>注：</w:t>
      </w:r>
      <w:r>
        <w:rPr>
          <w:color w:val="auto"/>
          <w:sz w:val="24"/>
          <w:highlight w:val="none"/>
        </w:rPr>
        <w:t>1</w:t>
      </w:r>
      <w:r>
        <w:rPr>
          <w:rFonts w:hint="eastAsia"/>
          <w:color w:val="auto"/>
          <w:sz w:val="24"/>
          <w:highlight w:val="none"/>
        </w:rPr>
        <w:t>、“近年发生的诉讼及仲裁情况”应说明供应商败诉的设备买卖合同的相关情况，并附法院或仲裁机构作出的判决、裁决等有关法律文书扫描件，具体时间要求详见供应商须知。</w:t>
      </w:r>
      <w:r>
        <w:rPr>
          <w:color w:val="auto"/>
          <w:sz w:val="24"/>
          <w:highlight w:val="none"/>
        </w:rPr>
        <w:t xml:space="preserve"> </w:t>
      </w:r>
    </w:p>
    <w:p w14:paraId="5F798973">
      <w:pPr>
        <w:autoSpaceDE w:val="0"/>
        <w:autoSpaceDN w:val="0"/>
        <w:adjustRightInd w:val="0"/>
        <w:spacing w:line="450" w:lineRule="exact"/>
        <w:ind w:firstLine="960" w:firstLineChars="400"/>
        <w:jc w:val="left"/>
        <w:rPr>
          <w:color w:val="auto"/>
          <w:sz w:val="24"/>
          <w:highlight w:val="none"/>
        </w:rPr>
      </w:pPr>
      <w:r>
        <w:rPr>
          <w:color w:val="auto"/>
          <w:sz w:val="24"/>
          <w:highlight w:val="none"/>
        </w:rPr>
        <w:t>2</w:t>
      </w:r>
      <w:r>
        <w:rPr>
          <w:rFonts w:hint="eastAsia"/>
          <w:color w:val="auto"/>
          <w:sz w:val="24"/>
          <w:highlight w:val="none"/>
        </w:rPr>
        <w:t>、若无诉讼及仲裁情况供应商自行承诺，格式自拟。</w:t>
      </w:r>
    </w:p>
    <w:p w14:paraId="549AF464">
      <w:pPr>
        <w:numPr>
          <w:ilvl w:val="0"/>
          <w:numId w:val="9"/>
        </w:numPr>
        <w:spacing w:before="53" w:line="360" w:lineRule="auto"/>
        <w:jc w:val="center"/>
        <w:outlineLvl w:val="2"/>
        <w:rPr>
          <w:b/>
          <w:bCs/>
          <w:color w:val="auto"/>
          <w:sz w:val="24"/>
          <w:szCs w:val="30"/>
          <w:highlight w:val="none"/>
          <w:lang w:val="zh-CN" w:bidi="zh-CN"/>
        </w:rPr>
      </w:pPr>
      <w:r>
        <w:rPr>
          <w:rFonts w:hint="eastAsia" w:ascii="宋体" w:hAnsi="宋体" w:cs="宋体"/>
          <w:b/>
          <w:bCs/>
          <w:color w:val="auto"/>
          <w:sz w:val="32"/>
          <w:szCs w:val="32"/>
          <w:highlight w:val="none"/>
        </w:rPr>
        <w:br w:type="page"/>
      </w:r>
      <w:bookmarkStart w:id="377" w:name="_Toc176358386"/>
      <w:bookmarkStart w:id="378" w:name="_Toc151210178"/>
      <w:bookmarkStart w:id="379" w:name="_Toc94092131"/>
      <w:bookmarkStart w:id="380" w:name="_Toc96965864"/>
      <w:r>
        <w:rPr>
          <w:rFonts w:hint="eastAsia"/>
          <w:b/>
          <w:bCs/>
          <w:color w:val="auto"/>
          <w:sz w:val="24"/>
          <w:szCs w:val="30"/>
          <w:highlight w:val="none"/>
          <w:lang w:val="zh-CN" w:bidi="zh-CN"/>
        </w:rPr>
        <w:t>近年完成的类似项目情况表</w:t>
      </w:r>
      <w:bookmarkEnd w:id="377"/>
      <w:bookmarkEnd w:id="378"/>
      <w:bookmarkEnd w:id="379"/>
      <w:bookmarkEnd w:id="380"/>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77"/>
        <w:gridCol w:w="6662"/>
      </w:tblGrid>
      <w:tr w14:paraId="7EC4B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9" w:hRule="atLeast"/>
          <w:jc w:val="center"/>
        </w:trPr>
        <w:tc>
          <w:tcPr>
            <w:tcW w:w="2277" w:type="dxa"/>
            <w:vAlign w:val="center"/>
          </w:tcPr>
          <w:p w14:paraId="579E8495">
            <w:pPr>
              <w:spacing w:before="53" w:line="360" w:lineRule="auto"/>
              <w:jc w:val="center"/>
              <w:outlineLvl w:val="2"/>
              <w:rPr>
                <w:b/>
                <w:bCs/>
                <w:color w:val="auto"/>
                <w:sz w:val="24"/>
                <w:szCs w:val="30"/>
                <w:highlight w:val="none"/>
                <w:lang w:val="zh-CN" w:bidi="zh-CN"/>
              </w:rPr>
            </w:pPr>
            <w:r>
              <w:rPr>
                <w:rFonts w:hint="eastAsia"/>
                <w:color w:val="auto"/>
                <w:sz w:val="24"/>
                <w:highlight w:val="none"/>
                <w:shd w:val="clear" w:color="auto" w:fill="FFFFFF"/>
                <w:lang w:bidi="ar"/>
              </w:rPr>
              <w:t>序号</w:t>
            </w:r>
          </w:p>
        </w:tc>
        <w:tc>
          <w:tcPr>
            <w:tcW w:w="6662" w:type="dxa"/>
          </w:tcPr>
          <w:p w14:paraId="77512350">
            <w:pPr>
              <w:spacing w:before="53" w:line="360" w:lineRule="auto"/>
              <w:outlineLvl w:val="2"/>
              <w:rPr>
                <w:b/>
                <w:bCs/>
                <w:color w:val="auto"/>
                <w:sz w:val="24"/>
                <w:szCs w:val="30"/>
                <w:highlight w:val="none"/>
                <w:lang w:val="zh-CN" w:bidi="zh-CN"/>
              </w:rPr>
            </w:pPr>
          </w:p>
        </w:tc>
      </w:tr>
      <w:tr w14:paraId="208DD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9" w:hRule="atLeast"/>
          <w:jc w:val="center"/>
        </w:trPr>
        <w:tc>
          <w:tcPr>
            <w:tcW w:w="2277" w:type="dxa"/>
            <w:vAlign w:val="center"/>
          </w:tcPr>
          <w:p w14:paraId="5B97C2A0">
            <w:pPr>
              <w:spacing w:before="53" w:line="360" w:lineRule="auto"/>
              <w:jc w:val="center"/>
              <w:outlineLvl w:val="2"/>
              <w:rPr>
                <w:b/>
                <w:bCs/>
                <w:color w:val="auto"/>
                <w:sz w:val="24"/>
                <w:szCs w:val="30"/>
                <w:highlight w:val="none"/>
                <w:lang w:val="zh-CN" w:bidi="zh-CN"/>
              </w:rPr>
            </w:pPr>
            <w:r>
              <w:rPr>
                <w:rFonts w:hint="eastAsia"/>
                <w:color w:val="auto"/>
                <w:sz w:val="24"/>
                <w:highlight w:val="none"/>
                <w:shd w:val="clear" w:color="auto" w:fill="FFFFFF"/>
                <w:lang w:bidi="ar"/>
              </w:rPr>
              <w:t>项目名称</w:t>
            </w:r>
          </w:p>
        </w:tc>
        <w:tc>
          <w:tcPr>
            <w:tcW w:w="6662" w:type="dxa"/>
          </w:tcPr>
          <w:p w14:paraId="6812492B">
            <w:pPr>
              <w:spacing w:before="53" w:line="360" w:lineRule="auto"/>
              <w:outlineLvl w:val="2"/>
              <w:rPr>
                <w:b/>
                <w:bCs/>
                <w:color w:val="auto"/>
                <w:sz w:val="24"/>
                <w:szCs w:val="30"/>
                <w:highlight w:val="none"/>
                <w:lang w:val="zh-CN" w:bidi="zh-CN"/>
              </w:rPr>
            </w:pPr>
          </w:p>
        </w:tc>
      </w:tr>
      <w:tr w14:paraId="2ECE7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9" w:hRule="atLeast"/>
          <w:jc w:val="center"/>
        </w:trPr>
        <w:tc>
          <w:tcPr>
            <w:tcW w:w="2277" w:type="dxa"/>
            <w:vAlign w:val="center"/>
          </w:tcPr>
          <w:p w14:paraId="7C71A5CD">
            <w:pPr>
              <w:spacing w:before="53" w:line="360" w:lineRule="auto"/>
              <w:jc w:val="center"/>
              <w:outlineLvl w:val="2"/>
              <w:rPr>
                <w:b/>
                <w:bCs/>
                <w:color w:val="auto"/>
                <w:sz w:val="24"/>
                <w:szCs w:val="30"/>
                <w:highlight w:val="none"/>
                <w:lang w:val="zh-CN" w:bidi="zh-CN"/>
              </w:rPr>
            </w:pPr>
            <w:r>
              <w:rPr>
                <w:rFonts w:hint="eastAsia"/>
                <w:color w:val="auto"/>
                <w:sz w:val="24"/>
                <w:highlight w:val="none"/>
                <w:shd w:val="clear" w:color="auto" w:fill="FFFFFF"/>
                <w:lang w:bidi="ar"/>
              </w:rPr>
              <w:t>合同金额</w:t>
            </w:r>
          </w:p>
        </w:tc>
        <w:tc>
          <w:tcPr>
            <w:tcW w:w="6662" w:type="dxa"/>
          </w:tcPr>
          <w:p w14:paraId="2EF2AC73">
            <w:pPr>
              <w:spacing w:before="53" w:line="360" w:lineRule="auto"/>
              <w:outlineLvl w:val="2"/>
              <w:rPr>
                <w:b/>
                <w:bCs/>
                <w:color w:val="auto"/>
                <w:sz w:val="24"/>
                <w:szCs w:val="30"/>
                <w:highlight w:val="none"/>
                <w:lang w:val="zh-CN" w:bidi="zh-CN"/>
              </w:rPr>
            </w:pPr>
          </w:p>
        </w:tc>
      </w:tr>
      <w:tr w14:paraId="50149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9" w:hRule="atLeast"/>
          <w:jc w:val="center"/>
        </w:trPr>
        <w:tc>
          <w:tcPr>
            <w:tcW w:w="2277" w:type="dxa"/>
            <w:vAlign w:val="center"/>
          </w:tcPr>
          <w:p w14:paraId="42E0CCA9">
            <w:pPr>
              <w:spacing w:before="53" w:line="360" w:lineRule="auto"/>
              <w:jc w:val="center"/>
              <w:outlineLvl w:val="2"/>
              <w:rPr>
                <w:b/>
                <w:bCs/>
                <w:color w:val="auto"/>
                <w:sz w:val="24"/>
                <w:szCs w:val="30"/>
                <w:highlight w:val="none"/>
                <w:lang w:val="zh-CN" w:bidi="zh-CN"/>
              </w:rPr>
            </w:pPr>
            <w:r>
              <w:rPr>
                <w:rFonts w:hint="eastAsia"/>
                <w:color w:val="auto"/>
                <w:sz w:val="24"/>
                <w:highlight w:val="none"/>
                <w:shd w:val="clear" w:color="auto" w:fill="FFFFFF"/>
                <w:lang w:bidi="ar"/>
              </w:rPr>
              <w:t>合同时间</w:t>
            </w:r>
          </w:p>
        </w:tc>
        <w:tc>
          <w:tcPr>
            <w:tcW w:w="6662" w:type="dxa"/>
          </w:tcPr>
          <w:p w14:paraId="45184B7B">
            <w:pPr>
              <w:spacing w:before="53" w:line="360" w:lineRule="auto"/>
              <w:outlineLvl w:val="2"/>
              <w:rPr>
                <w:b/>
                <w:bCs/>
                <w:color w:val="auto"/>
                <w:sz w:val="24"/>
                <w:szCs w:val="30"/>
                <w:highlight w:val="none"/>
                <w:lang w:val="zh-CN" w:bidi="zh-CN"/>
              </w:rPr>
            </w:pPr>
          </w:p>
        </w:tc>
      </w:tr>
      <w:tr w14:paraId="7AF87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9" w:hRule="atLeast"/>
          <w:jc w:val="center"/>
        </w:trPr>
        <w:tc>
          <w:tcPr>
            <w:tcW w:w="2277" w:type="dxa"/>
            <w:vAlign w:val="center"/>
          </w:tcPr>
          <w:p w14:paraId="3FFBC1B4">
            <w:pPr>
              <w:spacing w:before="53" w:line="360" w:lineRule="auto"/>
              <w:jc w:val="center"/>
              <w:outlineLvl w:val="2"/>
              <w:rPr>
                <w:b/>
                <w:bCs/>
                <w:color w:val="auto"/>
                <w:sz w:val="24"/>
                <w:szCs w:val="30"/>
                <w:highlight w:val="none"/>
                <w:lang w:val="zh-CN" w:bidi="zh-CN"/>
              </w:rPr>
            </w:pPr>
            <w:r>
              <w:rPr>
                <w:rFonts w:hint="eastAsia"/>
                <w:color w:val="auto"/>
                <w:sz w:val="24"/>
                <w:highlight w:val="none"/>
                <w:shd w:val="clear" w:color="auto" w:fill="FFFFFF"/>
                <w:lang w:bidi="ar"/>
              </w:rPr>
              <w:t>委托人名称</w:t>
            </w:r>
          </w:p>
        </w:tc>
        <w:tc>
          <w:tcPr>
            <w:tcW w:w="6662" w:type="dxa"/>
          </w:tcPr>
          <w:p w14:paraId="3842EFDB">
            <w:pPr>
              <w:spacing w:before="53" w:line="360" w:lineRule="auto"/>
              <w:outlineLvl w:val="2"/>
              <w:rPr>
                <w:b/>
                <w:bCs/>
                <w:color w:val="auto"/>
                <w:sz w:val="24"/>
                <w:szCs w:val="30"/>
                <w:highlight w:val="none"/>
                <w:lang w:val="zh-CN" w:bidi="zh-CN"/>
              </w:rPr>
            </w:pPr>
          </w:p>
        </w:tc>
      </w:tr>
      <w:tr w14:paraId="095DF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9" w:hRule="atLeast"/>
          <w:jc w:val="center"/>
        </w:trPr>
        <w:tc>
          <w:tcPr>
            <w:tcW w:w="2277" w:type="dxa"/>
            <w:vAlign w:val="center"/>
          </w:tcPr>
          <w:p w14:paraId="2963A8BF">
            <w:pPr>
              <w:spacing w:before="53" w:line="360" w:lineRule="auto"/>
              <w:jc w:val="center"/>
              <w:outlineLvl w:val="2"/>
              <w:rPr>
                <w:b/>
                <w:bCs/>
                <w:color w:val="auto"/>
                <w:sz w:val="24"/>
                <w:szCs w:val="30"/>
                <w:highlight w:val="none"/>
                <w:lang w:val="zh-CN" w:bidi="zh-CN"/>
              </w:rPr>
            </w:pPr>
            <w:r>
              <w:rPr>
                <w:rFonts w:hint="eastAsia"/>
                <w:color w:val="auto"/>
                <w:sz w:val="24"/>
                <w:highlight w:val="none"/>
                <w:shd w:val="clear" w:color="auto" w:fill="FFFFFF"/>
                <w:lang w:bidi="ar"/>
              </w:rPr>
              <w:t>委托人联系方式</w:t>
            </w:r>
          </w:p>
        </w:tc>
        <w:tc>
          <w:tcPr>
            <w:tcW w:w="6662" w:type="dxa"/>
          </w:tcPr>
          <w:p w14:paraId="6F4D73BC">
            <w:pPr>
              <w:spacing w:before="53" w:line="360" w:lineRule="auto"/>
              <w:outlineLvl w:val="2"/>
              <w:rPr>
                <w:b/>
                <w:bCs/>
                <w:color w:val="auto"/>
                <w:sz w:val="24"/>
                <w:szCs w:val="30"/>
                <w:highlight w:val="none"/>
                <w:lang w:val="zh-CN" w:bidi="zh-CN"/>
              </w:rPr>
            </w:pPr>
          </w:p>
        </w:tc>
      </w:tr>
      <w:tr w14:paraId="154E8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9" w:hRule="atLeast"/>
          <w:jc w:val="center"/>
        </w:trPr>
        <w:tc>
          <w:tcPr>
            <w:tcW w:w="2277" w:type="dxa"/>
            <w:vAlign w:val="center"/>
          </w:tcPr>
          <w:p w14:paraId="74DA613E">
            <w:pPr>
              <w:spacing w:before="53" w:line="360" w:lineRule="auto"/>
              <w:jc w:val="center"/>
              <w:outlineLvl w:val="2"/>
              <w:rPr>
                <w:color w:val="auto"/>
                <w:sz w:val="24"/>
                <w:highlight w:val="none"/>
                <w:shd w:val="clear" w:color="auto" w:fill="FFFFFF"/>
                <w:lang w:bidi="ar"/>
              </w:rPr>
            </w:pPr>
            <w:r>
              <w:rPr>
                <w:rFonts w:hint="eastAsia"/>
                <w:color w:val="auto"/>
                <w:sz w:val="24"/>
                <w:highlight w:val="none"/>
                <w:shd w:val="clear" w:color="auto" w:fill="FFFFFF"/>
                <w:lang w:bidi="ar"/>
              </w:rPr>
              <w:t>备注</w:t>
            </w:r>
          </w:p>
        </w:tc>
        <w:tc>
          <w:tcPr>
            <w:tcW w:w="6662" w:type="dxa"/>
          </w:tcPr>
          <w:p w14:paraId="78D16CF9">
            <w:pPr>
              <w:spacing w:before="53" w:line="360" w:lineRule="auto"/>
              <w:outlineLvl w:val="2"/>
              <w:rPr>
                <w:b/>
                <w:bCs/>
                <w:color w:val="auto"/>
                <w:sz w:val="24"/>
                <w:szCs w:val="30"/>
                <w:highlight w:val="none"/>
                <w:lang w:val="zh-CN" w:bidi="zh-CN"/>
              </w:rPr>
            </w:pPr>
          </w:p>
        </w:tc>
      </w:tr>
    </w:tbl>
    <w:p w14:paraId="012684C4">
      <w:pPr>
        <w:spacing w:line="450" w:lineRule="exact"/>
        <w:rPr>
          <w:color w:val="auto"/>
          <w:sz w:val="24"/>
          <w:highlight w:val="none"/>
        </w:rPr>
      </w:pPr>
      <w:r>
        <w:rPr>
          <w:rFonts w:hint="eastAsia"/>
          <w:color w:val="auto"/>
          <w:kern w:val="0"/>
          <w:sz w:val="24"/>
          <w:highlight w:val="none"/>
        </w:rPr>
        <w:t>注：</w:t>
      </w:r>
      <w:r>
        <w:rPr>
          <w:rFonts w:hint="eastAsia"/>
          <w:color w:val="auto"/>
          <w:sz w:val="24"/>
          <w:highlight w:val="none"/>
        </w:rPr>
        <w:t>标明序号，每张表格只填写一个项目，具体年份要求详见供应商须知。后附证明材料</w:t>
      </w:r>
    </w:p>
    <w:p w14:paraId="3DC00D7F">
      <w:pPr>
        <w:autoSpaceDE w:val="0"/>
        <w:autoSpaceDN w:val="0"/>
        <w:adjustRightInd w:val="0"/>
        <w:spacing w:line="360" w:lineRule="auto"/>
        <w:ind w:right="315"/>
        <w:textAlignment w:val="baseline"/>
        <w:rPr>
          <w:rFonts w:ascii="宋体" w:hAnsi="宋体" w:cs="宋体"/>
          <w:color w:val="auto"/>
          <w:kern w:val="0"/>
          <w:sz w:val="24"/>
          <w:highlight w:val="none"/>
        </w:rPr>
      </w:pPr>
      <w:r>
        <w:rPr>
          <w:rFonts w:hint="eastAsia" w:ascii="宋体" w:hAnsi="宋体" w:cs="宋体"/>
          <w:color w:val="auto"/>
          <w:kern w:val="0"/>
          <w:sz w:val="24"/>
          <w:highlight w:val="none"/>
        </w:rPr>
        <w:t>供应商：</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（电子签章）</w:t>
      </w:r>
    </w:p>
    <w:p w14:paraId="0BD2A71E">
      <w:pPr>
        <w:autoSpaceDE w:val="0"/>
        <w:autoSpaceDN w:val="0"/>
        <w:adjustRightInd w:val="0"/>
        <w:spacing w:line="360" w:lineRule="auto"/>
        <w:ind w:right="315"/>
        <w:textAlignment w:val="baseline"/>
        <w:rPr>
          <w:rFonts w:ascii="宋体" w:hAnsi="宋体" w:cs="宋体"/>
          <w:color w:val="auto"/>
          <w:kern w:val="0"/>
          <w:sz w:val="24"/>
          <w:highlight w:val="none"/>
          <w:u w:val="single"/>
        </w:rPr>
      </w:pPr>
      <w:r>
        <w:rPr>
          <w:rFonts w:hint="eastAsia" w:ascii="宋体" w:hAnsi="宋体" w:cs="宋体"/>
          <w:color w:val="auto"/>
          <w:kern w:val="0"/>
          <w:sz w:val="24"/>
          <w:highlight w:val="none"/>
        </w:rPr>
        <w:t>法定代表人或其委托代理人：</w:t>
      </w:r>
      <w:r>
        <w:rPr>
          <w:rFonts w:hint="eastAsia" w:ascii="宋体" w:hAnsi="宋体" w:cs="宋体"/>
          <w:color w:val="auto"/>
          <w:kern w:val="0"/>
          <w:sz w:val="24"/>
          <w:highlight w:val="none"/>
          <w:u w:val="single"/>
        </w:rPr>
        <w:t xml:space="preserve">          （</w:t>
      </w:r>
      <w:r>
        <w:rPr>
          <w:rFonts w:hint="eastAsia" w:ascii="宋体" w:hAnsi="宋体" w:cs="宋体"/>
          <w:color w:val="auto"/>
          <w:sz w:val="24"/>
          <w:highlight w:val="none"/>
        </w:rPr>
        <w:t>电子签章或签字</w:t>
      </w:r>
      <w:r>
        <w:rPr>
          <w:rFonts w:hint="eastAsia" w:ascii="宋体" w:hAnsi="宋体" w:cs="宋体"/>
          <w:color w:val="auto"/>
          <w:kern w:val="0"/>
          <w:sz w:val="24"/>
          <w:highlight w:val="none"/>
        </w:rPr>
        <w:t>）</w:t>
      </w:r>
    </w:p>
    <w:p w14:paraId="2B61F102">
      <w:pPr>
        <w:autoSpaceDE w:val="0"/>
        <w:autoSpaceDN w:val="0"/>
        <w:adjustRightInd w:val="0"/>
        <w:spacing w:line="360" w:lineRule="auto"/>
        <w:textAlignment w:val="baseline"/>
        <w:rPr>
          <w:rFonts w:ascii="宋体" w:hAnsi="宋体" w:cs="宋体"/>
          <w:color w:val="auto"/>
          <w:kern w:val="0"/>
          <w:sz w:val="24"/>
          <w:highlight w:val="none"/>
        </w:rPr>
      </w:pPr>
      <w:r>
        <w:rPr>
          <w:rFonts w:hint="eastAsia" w:ascii="宋体" w:hAnsi="宋体" w:cs="宋体"/>
          <w:color w:val="auto"/>
          <w:kern w:val="0"/>
          <w:sz w:val="24"/>
          <w:highlight w:val="none"/>
        </w:rPr>
        <w:t>日期：</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年</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月</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日</w:t>
      </w:r>
    </w:p>
    <w:p w14:paraId="67679BA9">
      <w:pPr>
        <w:shd w:val="clear" w:color="auto" w:fill="FFFFFF"/>
        <w:tabs>
          <w:tab w:val="right" w:pos="6077"/>
        </w:tabs>
        <w:autoSpaceDE w:val="0"/>
        <w:autoSpaceDN w:val="0"/>
        <w:spacing w:line="560" w:lineRule="exact"/>
        <w:jc w:val="center"/>
        <w:outlineLvl w:val="1"/>
        <w:rPr>
          <w:rFonts w:ascii="宋体" w:hAnsi="宋体" w:cs="宋体"/>
          <w:b/>
          <w:bCs/>
          <w:color w:val="auto"/>
          <w:sz w:val="32"/>
          <w:szCs w:val="32"/>
          <w:highlight w:val="none"/>
        </w:rPr>
      </w:pPr>
      <w:r>
        <w:rPr>
          <w:rFonts w:hint="eastAsia" w:ascii="宋体" w:hAnsi="宋体" w:cs="宋体"/>
          <w:b/>
          <w:bCs/>
          <w:color w:val="auto"/>
          <w:sz w:val="32"/>
          <w:szCs w:val="32"/>
          <w:highlight w:val="none"/>
        </w:rPr>
        <w:br w:type="page"/>
      </w:r>
      <w:r>
        <w:rPr>
          <w:rFonts w:hint="eastAsia" w:ascii="宋体" w:hAnsi="宋体" w:cs="宋体"/>
          <w:b/>
          <w:bCs/>
          <w:color w:val="auto"/>
          <w:sz w:val="32"/>
          <w:szCs w:val="32"/>
          <w:highlight w:val="none"/>
        </w:rPr>
        <w:t>六.</w:t>
      </w:r>
      <w:bookmarkEnd w:id="371"/>
      <w:bookmarkEnd w:id="372"/>
      <w:bookmarkEnd w:id="373"/>
      <w:bookmarkEnd w:id="374"/>
      <w:r>
        <w:rPr>
          <w:rFonts w:hint="eastAsia" w:ascii="宋体" w:hAnsi="宋体" w:cs="宋体"/>
          <w:b/>
          <w:bCs/>
          <w:color w:val="auto"/>
          <w:sz w:val="32"/>
          <w:szCs w:val="32"/>
          <w:highlight w:val="none"/>
        </w:rPr>
        <w:t>技术部分资料</w:t>
      </w:r>
      <w:bookmarkEnd w:id="375"/>
      <w:bookmarkEnd w:id="376"/>
    </w:p>
    <w:p w14:paraId="0CCB9C9B">
      <w:pPr>
        <w:spacing w:line="360" w:lineRule="auto"/>
        <w:jc w:val="center"/>
        <w:rPr>
          <w:color w:val="auto"/>
          <w:sz w:val="24"/>
          <w:highlight w:val="none"/>
          <w:shd w:val="clear" w:color="auto" w:fill="FFFFFF"/>
          <w:lang w:bidi="ar"/>
        </w:rPr>
      </w:pPr>
      <w:r>
        <w:rPr>
          <w:rFonts w:hint="eastAsia"/>
          <w:color w:val="auto"/>
          <w:sz w:val="24"/>
          <w:highlight w:val="none"/>
          <w:shd w:val="clear" w:color="auto" w:fill="FFFFFF"/>
          <w:lang w:bidi="ar"/>
        </w:rPr>
        <w:t>（投标供应商根据招标文件评审细则，自行编拟）</w:t>
      </w:r>
    </w:p>
    <w:p w14:paraId="7A43A399">
      <w:pPr>
        <w:spacing w:line="276" w:lineRule="auto"/>
        <w:ind w:firstLine="436" w:firstLineChars="182"/>
        <w:jc w:val="center"/>
        <w:rPr>
          <w:color w:val="auto"/>
          <w:sz w:val="24"/>
          <w:highlight w:val="none"/>
          <w:lang w:val="zh-CN" w:bidi="zh-CN"/>
        </w:rPr>
      </w:pPr>
      <w:r>
        <w:rPr>
          <w:rFonts w:hint="eastAsia"/>
          <w:color w:val="auto"/>
          <w:sz w:val="24"/>
          <w:highlight w:val="none"/>
          <w:lang w:val="zh-CN" w:bidi="zh-CN"/>
        </w:rPr>
        <w:t>注：</w:t>
      </w:r>
      <w:r>
        <w:rPr>
          <w:color w:val="auto"/>
          <w:sz w:val="24"/>
          <w:highlight w:val="none"/>
          <w:lang w:val="zh-CN" w:bidi="zh-CN"/>
        </w:rPr>
        <w:t>1.</w:t>
      </w:r>
      <w:r>
        <w:rPr>
          <w:rFonts w:hint="eastAsia"/>
          <w:color w:val="auto"/>
          <w:sz w:val="24"/>
          <w:highlight w:val="none"/>
          <w:lang w:val="zh-CN" w:bidi="zh-CN"/>
        </w:rPr>
        <w:t>投标供应商根据项目需求，自行提供技术证明资料。</w:t>
      </w:r>
    </w:p>
    <w:p w14:paraId="0FE814C1">
      <w:pPr>
        <w:spacing w:line="360" w:lineRule="auto"/>
        <w:jc w:val="center"/>
        <w:rPr>
          <w:color w:val="auto"/>
          <w:sz w:val="28"/>
          <w:szCs w:val="20"/>
          <w:highlight w:val="none"/>
        </w:rPr>
      </w:pPr>
    </w:p>
    <w:p w14:paraId="5570E071">
      <w:pPr>
        <w:ind w:firstLine="482" w:firstLineChars="200"/>
        <w:rPr>
          <w:rFonts w:ascii="宋体" w:hAnsi="宋体" w:cs="宋体"/>
          <w:b/>
          <w:color w:val="auto"/>
          <w:sz w:val="24"/>
          <w:highlight w:val="none"/>
        </w:rPr>
      </w:pPr>
    </w:p>
    <w:p w14:paraId="665F2EF5">
      <w:pPr>
        <w:rPr>
          <w:rFonts w:ascii="宋体" w:hAnsi="宋体" w:cs="宋体"/>
          <w:color w:val="auto"/>
          <w:highlight w:val="none"/>
        </w:rPr>
      </w:pPr>
    </w:p>
    <w:p w14:paraId="6C995A06">
      <w:pPr>
        <w:shd w:val="clear" w:color="auto" w:fill="FFFFFF"/>
        <w:tabs>
          <w:tab w:val="right" w:pos="6077"/>
        </w:tabs>
        <w:autoSpaceDE w:val="0"/>
        <w:autoSpaceDN w:val="0"/>
        <w:spacing w:line="560" w:lineRule="exact"/>
        <w:jc w:val="center"/>
        <w:outlineLvl w:val="1"/>
        <w:rPr>
          <w:rFonts w:ascii="宋体" w:hAnsi="宋体" w:cs="宋体"/>
          <w:b/>
          <w:bCs/>
          <w:color w:val="auto"/>
          <w:sz w:val="32"/>
          <w:szCs w:val="32"/>
          <w:highlight w:val="none"/>
        </w:rPr>
      </w:pPr>
      <w:bookmarkStart w:id="381" w:name="_Toc9034"/>
      <w:bookmarkStart w:id="382" w:name="_Toc15425"/>
      <w:r>
        <w:rPr>
          <w:rFonts w:hint="eastAsia" w:ascii="宋体" w:hAnsi="宋体" w:cs="宋体"/>
          <w:b/>
          <w:bCs/>
          <w:color w:val="auto"/>
          <w:sz w:val="32"/>
          <w:szCs w:val="32"/>
          <w:highlight w:val="none"/>
        </w:rPr>
        <w:br w:type="page"/>
      </w:r>
      <w:r>
        <w:rPr>
          <w:rFonts w:hint="eastAsia" w:ascii="宋体" w:hAnsi="宋体" w:cs="宋体"/>
          <w:b/>
          <w:bCs/>
          <w:color w:val="auto"/>
          <w:sz w:val="32"/>
          <w:szCs w:val="32"/>
          <w:highlight w:val="none"/>
        </w:rPr>
        <w:t>七、商务部分资料</w:t>
      </w:r>
      <w:bookmarkEnd w:id="381"/>
      <w:bookmarkEnd w:id="382"/>
    </w:p>
    <w:p w14:paraId="521F7D08">
      <w:pPr>
        <w:rPr>
          <w:rFonts w:ascii="宋体" w:hAnsi="宋体" w:cs="宋体"/>
          <w:color w:val="auto"/>
          <w:highlight w:val="none"/>
        </w:rPr>
      </w:pPr>
    </w:p>
    <w:p w14:paraId="1D0C88A1">
      <w:pPr>
        <w:spacing w:line="360" w:lineRule="auto"/>
        <w:ind w:firstLine="1132" w:firstLineChars="472"/>
        <w:jc w:val="left"/>
        <w:rPr>
          <w:color w:val="auto"/>
          <w:sz w:val="24"/>
          <w:highlight w:val="none"/>
          <w:shd w:val="clear" w:color="auto" w:fill="FFFFFF"/>
          <w:lang w:bidi="ar"/>
        </w:rPr>
      </w:pPr>
    </w:p>
    <w:p w14:paraId="04E25179">
      <w:pPr>
        <w:spacing w:line="360" w:lineRule="auto"/>
        <w:jc w:val="center"/>
        <w:rPr>
          <w:color w:val="auto"/>
          <w:sz w:val="24"/>
          <w:highlight w:val="none"/>
          <w:shd w:val="clear" w:color="auto" w:fill="FFFFFF"/>
          <w:lang w:bidi="ar"/>
        </w:rPr>
      </w:pPr>
      <w:r>
        <w:rPr>
          <w:rFonts w:hint="eastAsia"/>
          <w:color w:val="auto"/>
          <w:sz w:val="24"/>
          <w:highlight w:val="none"/>
          <w:shd w:val="clear" w:color="auto" w:fill="FFFFFF"/>
          <w:lang w:bidi="ar"/>
        </w:rPr>
        <w:t>（投标供应商根据招标文件评审细则，自行编拟）</w:t>
      </w:r>
    </w:p>
    <w:p w14:paraId="795C3F48">
      <w:pPr>
        <w:spacing w:line="276" w:lineRule="auto"/>
        <w:ind w:firstLine="436" w:firstLineChars="182"/>
        <w:jc w:val="center"/>
        <w:rPr>
          <w:color w:val="auto"/>
          <w:sz w:val="24"/>
          <w:highlight w:val="none"/>
          <w:lang w:val="zh-CN" w:bidi="zh-CN"/>
        </w:rPr>
      </w:pPr>
      <w:r>
        <w:rPr>
          <w:rFonts w:hint="eastAsia"/>
          <w:color w:val="auto"/>
          <w:sz w:val="24"/>
          <w:highlight w:val="none"/>
          <w:lang w:val="zh-CN" w:bidi="zh-CN"/>
        </w:rPr>
        <w:t>注：</w:t>
      </w:r>
      <w:r>
        <w:rPr>
          <w:color w:val="auto"/>
          <w:sz w:val="24"/>
          <w:highlight w:val="none"/>
          <w:lang w:val="zh-CN" w:bidi="zh-CN"/>
        </w:rPr>
        <w:t>1.</w:t>
      </w:r>
      <w:r>
        <w:rPr>
          <w:rFonts w:hint="eastAsia"/>
          <w:color w:val="auto"/>
          <w:sz w:val="24"/>
          <w:highlight w:val="none"/>
          <w:lang w:val="zh-CN" w:bidi="zh-CN"/>
        </w:rPr>
        <w:t>投标供应商根据项目需求，自行提供技术证明资料。</w:t>
      </w:r>
    </w:p>
    <w:p w14:paraId="62F4B36D">
      <w:pPr>
        <w:rPr>
          <w:rFonts w:ascii="宋体" w:hAnsi="宋体" w:cs="宋体"/>
          <w:color w:val="auto"/>
          <w:highlight w:val="none"/>
        </w:rPr>
      </w:pPr>
    </w:p>
    <w:p w14:paraId="6094499E">
      <w:pPr>
        <w:rPr>
          <w:rFonts w:ascii="宋体" w:hAnsi="宋体" w:cs="宋体"/>
          <w:color w:val="auto"/>
          <w:highlight w:val="none"/>
        </w:rPr>
      </w:pPr>
    </w:p>
    <w:p w14:paraId="33D91741">
      <w:pPr>
        <w:rPr>
          <w:rFonts w:ascii="宋体" w:hAnsi="宋体" w:cs="宋体"/>
          <w:color w:val="auto"/>
          <w:highlight w:val="none"/>
        </w:rPr>
      </w:pPr>
    </w:p>
    <w:p w14:paraId="2A5DDED3">
      <w:pPr>
        <w:rPr>
          <w:rFonts w:ascii="宋体" w:hAnsi="宋体" w:cs="宋体"/>
          <w:color w:val="auto"/>
          <w:highlight w:val="none"/>
        </w:rPr>
      </w:pPr>
    </w:p>
    <w:p w14:paraId="6E39FFB1">
      <w:pPr>
        <w:rPr>
          <w:rFonts w:ascii="宋体" w:hAnsi="宋体" w:cs="宋体"/>
          <w:color w:val="auto"/>
          <w:highlight w:val="none"/>
        </w:rPr>
      </w:pPr>
    </w:p>
    <w:p w14:paraId="42132E99">
      <w:pPr>
        <w:rPr>
          <w:rFonts w:ascii="宋体" w:hAnsi="宋体" w:cs="宋体"/>
          <w:color w:val="auto"/>
          <w:highlight w:val="none"/>
        </w:rPr>
      </w:pPr>
    </w:p>
    <w:p w14:paraId="74EF82D0">
      <w:pPr>
        <w:rPr>
          <w:rFonts w:ascii="宋体" w:hAnsi="宋体" w:cs="宋体"/>
          <w:color w:val="auto"/>
          <w:highlight w:val="none"/>
        </w:rPr>
      </w:pPr>
    </w:p>
    <w:p w14:paraId="237A6099">
      <w:pPr>
        <w:rPr>
          <w:rFonts w:ascii="宋体" w:hAnsi="宋体" w:cs="宋体"/>
          <w:color w:val="auto"/>
          <w:highlight w:val="none"/>
        </w:rPr>
      </w:pPr>
    </w:p>
    <w:p w14:paraId="28D88AF3">
      <w:pPr>
        <w:autoSpaceDE w:val="0"/>
        <w:autoSpaceDN w:val="0"/>
        <w:adjustRightInd w:val="0"/>
        <w:spacing w:line="360" w:lineRule="auto"/>
        <w:jc w:val="center"/>
        <w:textAlignment w:val="baseline"/>
        <w:rPr>
          <w:rFonts w:ascii="宋体" w:hAnsi="宋体" w:cs="宋体"/>
          <w:color w:val="auto"/>
          <w:kern w:val="0"/>
          <w:sz w:val="24"/>
          <w:highlight w:val="none"/>
        </w:rPr>
      </w:pPr>
      <w:r>
        <w:rPr>
          <w:rFonts w:hint="eastAsia" w:ascii="宋体" w:hAnsi="宋体" w:cs="宋体"/>
          <w:b/>
          <w:bCs/>
          <w:color w:val="auto"/>
          <w:sz w:val="24"/>
          <w:highlight w:val="none"/>
        </w:rPr>
        <w:br w:type="page"/>
      </w:r>
      <w:bookmarkStart w:id="383" w:name="_Toc173946437"/>
      <w:bookmarkEnd w:id="383"/>
      <w:bookmarkStart w:id="384" w:name="_Toc478"/>
      <w:bookmarkEnd w:id="384"/>
      <w:bookmarkStart w:id="385" w:name="_Toc174034470"/>
      <w:bookmarkEnd w:id="385"/>
      <w:bookmarkStart w:id="386" w:name="_Toc174693328"/>
      <w:bookmarkStart w:id="387" w:name="_Toc5377"/>
      <w:bookmarkStart w:id="388" w:name="_Toc90623997"/>
      <w:bookmarkStart w:id="389" w:name="OLE_LINK5"/>
      <w:bookmarkStart w:id="390" w:name="_Toc16835344"/>
      <w:bookmarkStart w:id="391" w:name="_Toc89334775"/>
      <w:bookmarkStart w:id="392" w:name="_Toc524967867"/>
    </w:p>
    <w:p w14:paraId="16575D0E">
      <w:pPr>
        <w:shd w:val="clear" w:color="auto" w:fill="FFFFFF"/>
        <w:tabs>
          <w:tab w:val="right" w:pos="6077"/>
        </w:tabs>
        <w:autoSpaceDE w:val="0"/>
        <w:autoSpaceDN w:val="0"/>
        <w:spacing w:line="560" w:lineRule="exact"/>
        <w:jc w:val="center"/>
        <w:outlineLvl w:val="1"/>
        <w:rPr>
          <w:rFonts w:ascii="宋体" w:hAnsi="宋体" w:cs="宋体"/>
          <w:color w:val="auto"/>
          <w:kern w:val="0"/>
          <w:sz w:val="28"/>
          <w:szCs w:val="28"/>
          <w:highlight w:val="none"/>
        </w:rPr>
      </w:pPr>
      <w:bookmarkStart w:id="393" w:name="_Toc12128"/>
      <w:bookmarkStart w:id="394" w:name="_Toc19729"/>
      <w:r>
        <w:rPr>
          <w:rFonts w:hint="eastAsia" w:ascii="宋体" w:hAnsi="宋体" w:cs="宋体"/>
          <w:b/>
          <w:bCs/>
          <w:color w:val="auto"/>
          <w:sz w:val="32"/>
          <w:szCs w:val="32"/>
          <w:highlight w:val="none"/>
        </w:rPr>
        <w:t>八、拟投入本项目的人员情况</w:t>
      </w:r>
      <w:bookmarkEnd w:id="386"/>
      <w:bookmarkEnd w:id="393"/>
      <w:bookmarkEnd w:id="394"/>
    </w:p>
    <w:p w14:paraId="30998E38">
      <w:pPr>
        <w:adjustRightInd w:val="0"/>
        <w:snapToGrid w:val="0"/>
        <w:spacing w:line="360" w:lineRule="auto"/>
        <w:jc w:val="center"/>
        <w:rPr>
          <w:rFonts w:ascii="宋体" w:hAnsi="宋体" w:cs="宋体"/>
          <w:bCs/>
          <w:color w:val="auto"/>
          <w:kern w:val="0"/>
          <w:sz w:val="28"/>
          <w:szCs w:val="28"/>
          <w:highlight w:val="none"/>
          <w:lang w:val="zh-CN"/>
        </w:rPr>
      </w:pPr>
      <w:r>
        <w:rPr>
          <w:rFonts w:hint="eastAsia" w:ascii="宋体" w:hAnsi="宋体" w:cs="宋体"/>
          <w:b/>
          <w:color w:val="auto"/>
          <w:kern w:val="0"/>
          <w:sz w:val="28"/>
          <w:szCs w:val="28"/>
          <w:highlight w:val="none"/>
          <w:lang w:val="zh-CN"/>
        </w:rPr>
        <w:t>（一）拟投入本项目的主要人员汇总表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8"/>
        <w:gridCol w:w="1661"/>
        <w:gridCol w:w="1189"/>
        <w:gridCol w:w="1381"/>
        <w:gridCol w:w="1600"/>
        <w:gridCol w:w="1331"/>
      </w:tblGrid>
      <w:tr w14:paraId="57B0A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1328" w:type="dxa"/>
            <w:tcBorders>
              <w:top w:val="single" w:color="auto" w:sz="4" w:space="0"/>
              <w:left w:val="single" w:color="auto" w:sz="4" w:space="0"/>
              <w:bottom w:val="single" w:color="auto" w:sz="4" w:space="0"/>
              <w:right w:val="single" w:color="auto" w:sz="4" w:space="0"/>
            </w:tcBorders>
            <w:vAlign w:val="center"/>
          </w:tcPr>
          <w:p w14:paraId="0DF1D3A9">
            <w:pPr>
              <w:adjustRightInd w:val="0"/>
              <w:snapToGrid w:val="0"/>
              <w:spacing w:line="360" w:lineRule="auto"/>
              <w:jc w:val="center"/>
              <w:rPr>
                <w:rFonts w:ascii="宋体"/>
                <w:bCs/>
                <w:color w:val="auto"/>
                <w:sz w:val="24"/>
                <w:highlight w:val="none"/>
              </w:rPr>
            </w:pPr>
            <w:r>
              <w:rPr>
                <w:rFonts w:hint="eastAsia" w:ascii="宋体" w:hAnsi="宋体"/>
                <w:bCs/>
                <w:color w:val="auto"/>
                <w:sz w:val="24"/>
                <w:highlight w:val="none"/>
              </w:rPr>
              <w:t>姓名</w:t>
            </w:r>
          </w:p>
        </w:tc>
        <w:tc>
          <w:tcPr>
            <w:tcW w:w="1661" w:type="dxa"/>
            <w:tcBorders>
              <w:top w:val="single" w:color="auto" w:sz="4" w:space="0"/>
              <w:left w:val="single" w:color="auto" w:sz="4" w:space="0"/>
              <w:bottom w:val="single" w:color="auto" w:sz="4" w:space="0"/>
              <w:right w:val="single" w:color="auto" w:sz="4" w:space="0"/>
            </w:tcBorders>
            <w:vAlign w:val="center"/>
          </w:tcPr>
          <w:p w14:paraId="1151C1A8">
            <w:pPr>
              <w:adjustRightInd w:val="0"/>
              <w:snapToGrid w:val="0"/>
              <w:spacing w:line="360" w:lineRule="auto"/>
              <w:jc w:val="center"/>
              <w:rPr>
                <w:rFonts w:ascii="宋体"/>
                <w:bCs/>
                <w:color w:val="auto"/>
                <w:sz w:val="24"/>
                <w:highlight w:val="none"/>
              </w:rPr>
            </w:pPr>
            <w:r>
              <w:rPr>
                <w:rFonts w:hint="eastAsia" w:ascii="宋体" w:hAnsi="宋体"/>
                <w:bCs/>
                <w:color w:val="auto"/>
                <w:sz w:val="24"/>
                <w:highlight w:val="none"/>
              </w:rPr>
              <w:t>本项目中职务</w:t>
            </w:r>
          </w:p>
        </w:tc>
        <w:tc>
          <w:tcPr>
            <w:tcW w:w="1189" w:type="dxa"/>
            <w:tcBorders>
              <w:top w:val="single" w:color="auto" w:sz="4" w:space="0"/>
              <w:left w:val="single" w:color="auto" w:sz="4" w:space="0"/>
              <w:bottom w:val="single" w:color="auto" w:sz="4" w:space="0"/>
              <w:right w:val="single" w:color="auto" w:sz="4" w:space="0"/>
            </w:tcBorders>
            <w:vAlign w:val="center"/>
          </w:tcPr>
          <w:p w14:paraId="087EF38C">
            <w:pPr>
              <w:adjustRightInd w:val="0"/>
              <w:snapToGrid w:val="0"/>
              <w:spacing w:line="360" w:lineRule="auto"/>
              <w:jc w:val="center"/>
              <w:rPr>
                <w:rFonts w:ascii="宋体"/>
                <w:bCs/>
                <w:color w:val="auto"/>
                <w:sz w:val="24"/>
                <w:highlight w:val="none"/>
              </w:rPr>
            </w:pPr>
            <w:r>
              <w:rPr>
                <w:rFonts w:hint="eastAsia" w:ascii="宋体"/>
                <w:bCs/>
                <w:color w:val="auto"/>
                <w:sz w:val="24"/>
                <w:highlight w:val="none"/>
              </w:rPr>
              <w:t>职称</w:t>
            </w:r>
          </w:p>
        </w:tc>
        <w:tc>
          <w:tcPr>
            <w:tcW w:w="1381" w:type="dxa"/>
            <w:tcBorders>
              <w:top w:val="single" w:color="auto" w:sz="4" w:space="0"/>
              <w:left w:val="single" w:color="auto" w:sz="4" w:space="0"/>
              <w:bottom w:val="single" w:color="auto" w:sz="4" w:space="0"/>
              <w:right w:val="single" w:color="auto" w:sz="4" w:space="0"/>
            </w:tcBorders>
            <w:vAlign w:val="center"/>
          </w:tcPr>
          <w:p w14:paraId="0951E71A">
            <w:pPr>
              <w:adjustRightInd w:val="0"/>
              <w:snapToGrid w:val="0"/>
              <w:spacing w:line="360" w:lineRule="auto"/>
              <w:jc w:val="center"/>
              <w:rPr>
                <w:rFonts w:ascii="宋体"/>
                <w:bCs/>
                <w:color w:val="auto"/>
                <w:sz w:val="24"/>
                <w:highlight w:val="none"/>
              </w:rPr>
            </w:pPr>
            <w:r>
              <w:rPr>
                <w:rFonts w:hint="eastAsia" w:ascii="宋体" w:hAnsi="宋体"/>
                <w:bCs/>
                <w:color w:val="auto"/>
                <w:sz w:val="24"/>
                <w:highlight w:val="none"/>
              </w:rPr>
              <w:t>证件名称</w:t>
            </w:r>
          </w:p>
        </w:tc>
        <w:tc>
          <w:tcPr>
            <w:tcW w:w="1600" w:type="dxa"/>
            <w:tcBorders>
              <w:top w:val="single" w:color="auto" w:sz="4" w:space="0"/>
              <w:left w:val="single" w:color="auto" w:sz="4" w:space="0"/>
              <w:bottom w:val="single" w:color="auto" w:sz="4" w:space="0"/>
              <w:right w:val="single" w:color="auto" w:sz="4" w:space="0"/>
            </w:tcBorders>
            <w:vAlign w:val="center"/>
          </w:tcPr>
          <w:p w14:paraId="261B8E7D">
            <w:pPr>
              <w:adjustRightInd w:val="0"/>
              <w:snapToGrid w:val="0"/>
              <w:spacing w:line="360" w:lineRule="auto"/>
              <w:jc w:val="center"/>
              <w:rPr>
                <w:rFonts w:ascii="宋体"/>
                <w:bCs/>
                <w:color w:val="auto"/>
                <w:sz w:val="24"/>
                <w:highlight w:val="none"/>
              </w:rPr>
            </w:pPr>
            <w:r>
              <w:rPr>
                <w:rFonts w:hint="eastAsia" w:ascii="宋体"/>
                <w:bCs/>
                <w:color w:val="auto"/>
                <w:sz w:val="24"/>
                <w:highlight w:val="none"/>
              </w:rPr>
              <w:t>证件编号</w:t>
            </w:r>
          </w:p>
        </w:tc>
        <w:tc>
          <w:tcPr>
            <w:tcW w:w="1331" w:type="dxa"/>
            <w:tcBorders>
              <w:top w:val="single" w:color="auto" w:sz="4" w:space="0"/>
              <w:left w:val="single" w:color="auto" w:sz="4" w:space="0"/>
              <w:bottom w:val="single" w:color="auto" w:sz="4" w:space="0"/>
              <w:right w:val="single" w:color="auto" w:sz="4" w:space="0"/>
            </w:tcBorders>
            <w:vAlign w:val="center"/>
          </w:tcPr>
          <w:p w14:paraId="0A36142D">
            <w:pPr>
              <w:adjustRightInd w:val="0"/>
              <w:snapToGrid w:val="0"/>
              <w:spacing w:line="360" w:lineRule="auto"/>
              <w:jc w:val="center"/>
              <w:rPr>
                <w:rFonts w:ascii="宋体"/>
                <w:bCs/>
                <w:color w:val="auto"/>
                <w:sz w:val="24"/>
                <w:highlight w:val="none"/>
              </w:rPr>
            </w:pPr>
            <w:r>
              <w:rPr>
                <w:rFonts w:hint="eastAsia" w:ascii="宋体" w:hAnsi="宋体"/>
                <w:bCs/>
                <w:color w:val="auto"/>
                <w:sz w:val="24"/>
                <w:highlight w:val="none"/>
              </w:rPr>
              <w:t>备注</w:t>
            </w:r>
          </w:p>
        </w:tc>
      </w:tr>
      <w:tr w14:paraId="08157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1328" w:type="dxa"/>
            <w:tcBorders>
              <w:top w:val="single" w:color="auto" w:sz="4" w:space="0"/>
              <w:left w:val="single" w:color="auto" w:sz="4" w:space="0"/>
              <w:bottom w:val="single" w:color="auto" w:sz="4" w:space="0"/>
              <w:right w:val="single" w:color="auto" w:sz="4" w:space="0"/>
            </w:tcBorders>
            <w:vAlign w:val="center"/>
          </w:tcPr>
          <w:p w14:paraId="30535BCD">
            <w:pPr>
              <w:adjustRightInd w:val="0"/>
              <w:snapToGrid w:val="0"/>
              <w:spacing w:line="360" w:lineRule="auto"/>
              <w:jc w:val="center"/>
              <w:rPr>
                <w:rFonts w:ascii="宋体"/>
                <w:color w:val="auto"/>
                <w:sz w:val="24"/>
                <w:highlight w:val="none"/>
              </w:rPr>
            </w:pPr>
          </w:p>
        </w:tc>
        <w:tc>
          <w:tcPr>
            <w:tcW w:w="1661" w:type="dxa"/>
            <w:tcBorders>
              <w:top w:val="single" w:color="auto" w:sz="4" w:space="0"/>
              <w:left w:val="single" w:color="auto" w:sz="4" w:space="0"/>
              <w:bottom w:val="single" w:color="auto" w:sz="4" w:space="0"/>
              <w:right w:val="single" w:color="auto" w:sz="4" w:space="0"/>
            </w:tcBorders>
            <w:vAlign w:val="center"/>
          </w:tcPr>
          <w:p w14:paraId="08F59567">
            <w:pPr>
              <w:adjustRightInd w:val="0"/>
              <w:snapToGrid w:val="0"/>
              <w:spacing w:line="360" w:lineRule="auto"/>
              <w:jc w:val="center"/>
              <w:rPr>
                <w:rFonts w:ascii="宋体"/>
                <w:color w:val="auto"/>
                <w:sz w:val="24"/>
                <w:highlight w:val="none"/>
              </w:rPr>
            </w:pPr>
          </w:p>
        </w:tc>
        <w:tc>
          <w:tcPr>
            <w:tcW w:w="1189" w:type="dxa"/>
            <w:tcBorders>
              <w:top w:val="single" w:color="auto" w:sz="4" w:space="0"/>
              <w:left w:val="single" w:color="auto" w:sz="4" w:space="0"/>
              <w:bottom w:val="single" w:color="auto" w:sz="4" w:space="0"/>
              <w:right w:val="single" w:color="auto" w:sz="4" w:space="0"/>
            </w:tcBorders>
            <w:vAlign w:val="center"/>
          </w:tcPr>
          <w:p w14:paraId="5071404C">
            <w:pPr>
              <w:adjustRightInd w:val="0"/>
              <w:snapToGrid w:val="0"/>
              <w:spacing w:line="360" w:lineRule="auto"/>
              <w:jc w:val="center"/>
              <w:rPr>
                <w:rFonts w:ascii="宋体"/>
                <w:color w:val="auto"/>
                <w:sz w:val="24"/>
                <w:highlight w:val="none"/>
              </w:rPr>
            </w:pPr>
          </w:p>
        </w:tc>
        <w:tc>
          <w:tcPr>
            <w:tcW w:w="1381" w:type="dxa"/>
            <w:tcBorders>
              <w:top w:val="single" w:color="auto" w:sz="4" w:space="0"/>
              <w:left w:val="single" w:color="auto" w:sz="4" w:space="0"/>
              <w:bottom w:val="single" w:color="auto" w:sz="4" w:space="0"/>
              <w:right w:val="single" w:color="auto" w:sz="4" w:space="0"/>
            </w:tcBorders>
            <w:vAlign w:val="center"/>
          </w:tcPr>
          <w:p w14:paraId="23BC8013">
            <w:pPr>
              <w:adjustRightInd w:val="0"/>
              <w:snapToGrid w:val="0"/>
              <w:spacing w:line="360" w:lineRule="auto"/>
              <w:jc w:val="center"/>
              <w:rPr>
                <w:rFonts w:ascii="宋体"/>
                <w:color w:val="auto"/>
                <w:sz w:val="24"/>
                <w:highlight w:val="none"/>
              </w:rPr>
            </w:pPr>
          </w:p>
        </w:tc>
        <w:tc>
          <w:tcPr>
            <w:tcW w:w="1600" w:type="dxa"/>
            <w:tcBorders>
              <w:top w:val="single" w:color="auto" w:sz="4" w:space="0"/>
              <w:left w:val="single" w:color="auto" w:sz="4" w:space="0"/>
              <w:bottom w:val="single" w:color="auto" w:sz="4" w:space="0"/>
              <w:right w:val="single" w:color="auto" w:sz="4" w:space="0"/>
            </w:tcBorders>
            <w:vAlign w:val="center"/>
          </w:tcPr>
          <w:p w14:paraId="118A11ED">
            <w:pPr>
              <w:adjustRightInd w:val="0"/>
              <w:snapToGrid w:val="0"/>
              <w:spacing w:line="360" w:lineRule="auto"/>
              <w:jc w:val="center"/>
              <w:rPr>
                <w:rFonts w:ascii="宋体"/>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vAlign w:val="center"/>
          </w:tcPr>
          <w:p w14:paraId="78DE6D56">
            <w:pPr>
              <w:adjustRightInd w:val="0"/>
              <w:snapToGrid w:val="0"/>
              <w:spacing w:line="360" w:lineRule="auto"/>
              <w:jc w:val="center"/>
              <w:rPr>
                <w:rFonts w:ascii="宋体"/>
                <w:color w:val="auto"/>
                <w:sz w:val="24"/>
                <w:highlight w:val="none"/>
              </w:rPr>
            </w:pPr>
          </w:p>
        </w:tc>
      </w:tr>
      <w:tr w14:paraId="7868D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1328" w:type="dxa"/>
            <w:tcBorders>
              <w:top w:val="single" w:color="auto" w:sz="4" w:space="0"/>
              <w:left w:val="single" w:color="auto" w:sz="4" w:space="0"/>
              <w:bottom w:val="single" w:color="auto" w:sz="4" w:space="0"/>
              <w:right w:val="single" w:color="auto" w:sz="4" w:space="0"/>
            </w:tcBorders>
            <w:vAlign w:val="center"/>
          </w:tcPr>
          <w:p w14:paraId="3B8D7093">
            <w:pPr>
              <w:adjustRightInd w:val="0"/>
              <w:snapToGrid w:val="0"/>
              <w:spacing w:line="360" w:lineRule="auto"/>
              <w:jc w:val="center"/>
              <w:rPr>
                <w:rFonts w:ascii="宋体"/>
                <w:color w:val="auto"/>
                <w:sz w:val="24"/>
                <w:highlight w:val="none"/>
              </w:rPr>
            </w:pPr>
          </w:p>
        </w:tc>
        <w:tc>
          <w:tcPr>
            <w:tcW w:w="1661" w:type="dxa"/>
            <w:tcBorders>
              <w:top w:val="single" w:color="auto" w:sz="4" w:space="0"/>
              <w:left w:val="single" w:color="auto" w:sz="4" w:space="0"/>
              <w:bottom w:val="single" w:color="auto" w:sz="4" w:space="0"/>
              <w:right w:val="single" w:color="auto" w:sz="4" w:space="0"/>
            </w:tcBorders>
            <w:vAlign w:val="center"/>
          </w:tcPr>
          <w:p w14:paraId="3C249211">
            <w:pPr>
              <w:adjustRightInd w:val="0"/>
              <w:snapToGrid w:val="0"/>
              <w:spacing w:line="360" w:lineRule="auto"/>
              <w:jc w:val="center"/>
              <w:rPr>
                <w:rFonts w:ascii="宋体"/>
                <w:color w:val="auto"/>
                <w:sz w:val="24"/>
                <w:highlight w:val="none"/>
              </w:rPr>
            </w:pPr>
          </w:p>
        </w:tc>
        <w:tc>
          <w:tcPr>
            <w:tcW w:w="1189" w:type="dxa"/>
            <w:tcBorders>
              <w:top w:val="single" w:color="auto" w:sz="4" w:space="0"/>
              <w:left w:val="single" w:color="auto" w:sz="4" w:space="0"/>
              <w:bottom w:val="single" w:color="auto" w:sz="4" w:space="0"/>
              <w:right w:val="single" w:color="auto" w:sz="4" w:space="0"/>
            </w:tcBorders>
            <w:vAlign w:val="center"/>
          </w:tcPr>
          <w:p w14:paraId="620467C5">
            <w:pPr>
              <w:adjustRightInd w:val="0"/>
              <w:snapToGrid w:val="0"/>
              <w:spacing w:line="360" w:lineRule="auto"/>
              <w:jc w:val="center"/>
              <w:rPr>
                <w:rFonts w:ascii="宋体"/>
                <w:color w:val="auto"/>
                <w:sz w:val="24"/>
                <w:highlight w:val="none"/>
              </w:rPr>
            </w:pPr>
          </w:p>
        </w:tc>
        <w:tc>
          <w:tcPr>
            <w:tcW w:w="1381" w:type="dxa"/>
            <w:tcBorders>
              <w:top w:val="single" w:color="auto" w:sz="4" w:space="0"/>
              <w:left w:val="single" w:color="auto" w:sz="4" w:space="0"/>
              <w:bottom w:val="single" w:color="auto" w:sz="4" w:space="0"/>
              <w:right w:val="single" w:color="auto" w:sz="4" w:space="0"/>
            </w:tcBorders>
            <w:vAlign w:val="center"/>
          </w:tcPr>
          <w:p w14:paraId="5E0DE959">
            <w:pPr>
              <w:adjustRightInd w:val="0"/>
              <w:snapToGrid w:val="0"/>
              <w:spacing w:line="360" w:lineRule="auto"/>
              <w:jc w:val="center"/>
              <w:rPr>
                <w:rFonts w:ascii="宋体"/>
                <w:color w:val="auto"/>
                <w:sz w:val="24"/>
                <w:highlight w:val="none"/>
              </w:rPr>
            </w:pPr>
          </w:p>
        </w:tc>
        <w:tc>
          <w:tcPr>
            <w:tcW w:w="1600" w:type="dxa"/>
            <w:tcBorders>
              <w:top w:val="single" w:color="auto" w:sz="4" w:space="0"/>
              <w:left w:val="single" w:color="auto" w:sz="4" w:space="0"/>
              <w:bottom w:val="single" w:color="auto" w:sz="4" w:space="0"/>
              <w:right w:val="single" w:color="auto" w:sz="4" w:space="0"/>
            </w:tcBorders>
            <w:vAlign w:val="center"/>
          </w:tcPr>
          <w:p w14:paraId="56BDF40A">
            <w:pPr>
              <w:adjustRightInd w:val="0"/>
              <w:snapToGrid w:val="0"/>
              <w:spacing w:line="360" w:lineRule="auto"/>
              <w:jc w:val="center"/>
              <w:rPr>
                <w:rFonts w:ascii="宋体"/>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vAlign w:val="center"/>
          </w:tcPr>
          <w:p w14:paraId="50481560">
            <w:pPr>
              <w:adjustRightInd w:val="0"/>
              <w:snapToGrid w:val="0"/>
              <w:spacing w:line="360" w:lineRule="auto"/>
              <w:jc w:val="center"/>
              <w:rPr>
                <w:rFonts w:ascii="宋体"/>
                <w:color w:val="auto"/>
                <w:sz w:val="24"/>
                <w:highlight w:val="none"/>
              </w:rPr>
            </w:pPr>
          </w:p>
        </w:tc>
      </w:tr>
      <w:tr w14:paraId="4B029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1328" w:type="dxa"/>
            <w:tcBorders>
              <w:top w:val="single" w:color="auto" w:sz="4" w:space="0"/>
              <w:left w:val="single" w:color="auto" w:sz="4" w:space="0"/>
              <w:bottom w:val="single" w:color="auto" w:sz="4" w:space="0"/>
              <w:right w:val="single" w:color="auto" w:sz="4" w:space="0"/>
            </w:tcBorders>
            <w:vAlign w:val="center"/>
          </w:tcPr>
          <w:p w14:paraId="6881D8FF">
            <w:pPr>
              <w:adjustRightInd w:val="0"/>
              <w:snapToGrid w:val="0"/>
              <w:spacing w:line="360" w:lineRule="auto"/>
              <w:jc w:val="center"/>
              <w:rPr>
                <w:rFonts w:ascii="宋体"/>
                <w:color w:val="auto"/>
                <w:sz w:val="24"/>
                <w:highlight w:val="none"/>
              </w:rPr>
            </w:pPr>
          </w:p>
        </w:tc>
        <w:tc>
          <w:tcPr>
            <w:tcW w:w="1661" w:type="dxa"/>
            <w:tcBorders>
              <w:top w:val="single" w:color="auto" w:sz="4" w:space="0"/>
              <w:left w:val="single" w:color="auto" w:sz="4" w:space="0"/>
              <w:bottom w:val="single" w:color="auto" w:sz="4" w:space="0"/>
              <w:right w:val="single" w:color="auto" w:sz="4" w:space="0"/>
            </w:tcBorders>
            <w:vAlign w:val="center"/>
          </w:tcPr>
          <w:p w14:paraId="586EA7A5">
            <w:pPr>
              <w:adjustRightInd w:val="0"/>
              <w:snapToGrid w:val="0"/>
              <w:spacing w:line="360" w:lineRule="auto"/>
              <w:jc w:val="center"/>
              <w:rPr>
                <w:rFonts w:ascii="宋体"/>
                <w:color w:val="auto"/>
                <w:sz w:val="24"/>
                <w:highlight w:val="none"/>
              </w:rPr>
            </w:pPr>
          </w:p>
        </w:tc>
        <w:tc>
          <w:tcPr>
            <w:tcW w:w="1189" w:type="dxa"/>
            <w:tcBorders>
              <w:top w:val="single" w:color="auto" w:sz="4" w:space="0"/>
              <w:left w:val="single" w:color="auto" w:sz="4" w:space="0"/>
              <w:bottom w:val="single" w:color="auto" w:sz="4" w:space="0"/>
              <w:right w:val="single" w:color="auto" w:sz="4" w:space="0"/>
            </w:tcBorders>
            <w:vAlign w:val="center"/>
          </w:tcPr>
          <w:p w14:paraId="28224C32">
            <w:pPr>
              <w:adjustRightInd w:val="0"/>
              <w:snapToGrid w:val="0"/>
              <w:spacing w:line="360" w:lineRule="auto"/>
              <w:jc w:val="center"/>
              <w:rPr>
                <w:rFonts w:ascii="宋体"/>
                <w:color w:val="auto"/>
                <w:sz w:val="24"/>
                <w:highlight w:val="none"/>
              </w:rPr>
            </w:pPr>
          </w:p>
        </w:tc>
        <w:tc>
          <w:tcPr>
            <w:tcW w:w="1381" w:type="dxa"/>
            <w:tcBorders>
              <w:top w:val="single" w:color="auto" w:sz="4" w:space="0"/>
              <w:left w:val="single" w:color="auto" w:sz="4" w:space="0"/>
              <w:bottom w:val="single" w:color="auto" w:sz="4" w:space="0"/>
              <w:right w:val="single" w:color="auto" w:sz="4" w:space="0"/>
            </w:tcBorders>
            <w:vAlign w:val="center"/>
          </w:tcPr>
          <w:p w14:paraId="46D1D92E">
            <w:pPr>
              <w:adjustRightInd w:val="0"/>
              <w:snapToGrid w:val="0"/>
              <w:spacing w:line="360" w:lineRule="auto"/>
              <w:jc w:val="center"/>
              <w:rPr>
                <w:rFonts w:ascii="宋体"/>
                <w:color w:val="auto"/>
                <w:sz w:val="24"/>
                <w:highlight w:val="none"/>
              </w:rPr>
            </w:pPr>
          </w:p>
        </w:tc>
        <w:tc>
          <w:tcPr>
            <w:tcW w:w="1600" w:type="dxa"/>
            <w:tcBorders>
              <w:top w:val="single" w:color="auto" w:sz="4" w:space="0"/>
              <w:left w:val="single" w:color="auto" w:sz="4" w:space="0"/>
              <w:bottom w:val="single" w:color="auto" w:sz="4" w:space="0"/>
              <w:right w:val="single" w:color="auto" w:sz="4" w:space="0"/>
            </w:tcBorders>
            <w:vAlign w:val="center"/>
          </w:tcPr>
          <w:p w14:paraId="7B858A55">
            <w:pPr>
              <w:adjustRightInd w:val="0"/>
              <w:snapToGrid w:val="0"/>
              <w:spacing w:line="360" w:lineRule="auto"/>
              <w:jc w:val="center"/>
              <w:rPr>
                <w:rFonts w:ascii="宋体"/>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vAlign w:val="center"/>
          </w:tcPr>
          <w:p w14:paraId="4D18C9CD">
            <w:pPr>
              <w:adjustRightInd w:val="0"/>
              <w:snapToGrid w:val="0"/>
              <w:spacing w:line="360" w:lineRule="auto"/>
              <w:jc w:val="center"/>
              <w:rPr>
                <w:rFonts w:ascii="宋体"/>
                <w:color w:val="auto"/>
                <w:sz w:val="24"/>
                <w:highlight w:val="none"/>
              </w:rPr>
            </w:pPr>
          </w:p>
        </w:tc>
      </w:tr>
      <w:tr w14:paraId="44368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1328" w:type="dxa"/>
            <w:tcBorders>
              <w:top w:val="single" w:color="auto" w:sz="4" w:space="0"/>
              <w:left w:val="single" w:color="auto" w:sz="4" w:space="0"/>
              <w:bottom w:val="single" w:color="auto" w:sz="4" w:space="0"/>
              <w:right w:val="single" w:color="auto" w:sz="4" w:space="0"/>
            </w:tcBorders>
            <w:vAlign w:val="center"/>
          </w:tcPr>
          <w:p w14:paraId="3E9E9C49">
            <w:pPr>
              <w:adjustRightInd w:val="0"/>
              <w:snapToGrid w:val="0"/>
              <w:spacing w:line="360" w:lineRule="auto"/>
              <w:jc w:val="center"/>
              <w:rPr>
                <w:rFonts w:ascii="宋体"/>
                <w:color w:val="auto"/>
                <w:sz w:val="24"/>
                <w:highlight w:val="none"/>
              </w:rPr>
            </w:pPr>
          </w:p>
        </w:tc>
        <w:tc>
          <w:tcPr>
            <w:tcW w:w="1661" w:type="dxa"/>
            <w:tcBorders>
              <w:top w:val="single" w:color="auto" w:sz="4" w:space="0"/>
              <w:left w:val="single" w:color="auto" w:sz="4" w:space="0"/>
              <w:bottom w:val="single" w:color="auto" w:sz="4" w:space="0"/>
              <w:right w:val="single" w:color="auto" w:sz="4" w:space="0"/>
            </w:tcBorders>
            <w:vAlign w:val="center"/>
          </w:tcPr>
          <w:p w14:paraId="65DE6F50">
            <w:pPr>
              <w:adjustRightInd w:val="0"/>
              <w:snapToGrid w:val="0"/>
              <w:spacing w:line="360" w:lineRule="auto"/>
              <w:jc w:val="center"/>
              <w:rPr>
                <w:rFonts w:ascii="宋体"/>
                <w:color w:val="auto"/>
                <w:sz w:val="24"/>
                <w:highlight w:val="none"/>
              </w:rPr>
            </w:pPr>
          </w:p>
        </w:tc>
        <w:tc>
          <w:tcPr>
            <w:tcW w:w="1189" w:type="dxa"/>
            <w:tcBorders>
              <w:top w:val="single" w:color="auto" w:sz="4" w:space="0"/>
              <w:left w:val="single" w:color="auto" w:sz="4" w:space="0"/>
              <w:bottom w:val="single" w:color="auto" w:sz="4" w:space="0"/>
              <w:right w:val="single" w:color="auto" w:sz="4" w:space="0"/>
            </w:tcBorders>
            <w:vAlign w:val="center"/>
          </w:tcPr>
          <w:p w14:paraId="21614541">
            <w:pPr>
              <w:adjustRightInd w:val="0"/>
              <w:snapToGrid w:val="0"/>
              <w:spacing w:line="360" w:lineRule="auto"/>
              <w:jc w:val="center"/>
              <w:rPr>
                <w:rFonts w:ascii="宋体"/>
                <w:color w:val="auto"/>
                <w:sz w:val="24"/>
                <w:highlight w:val="none"/>
              </w:rPr>
            </w:pPr>
          </w:p>
        </w:tc>
        <w:tc>
          <w:tcPr>
            <w:tcW w:w="1381" w:type="dxa"/>
            <w:tcBorders>
              <w:top w:val="single" w:color="auto" w:sz="4" w:space="0"/>
              <w:left w:val="single" w:color="auto" w:sz="4" w:space="0"/>
              <w:bottom w:val="single" w:color="auto" w:sz="4" w:space="0"/>
              <w:right w:val="single" w:color="auto" w:sz="4" w:space="0"/>
            </w:tcBorders>
            <w:vAlign w:val="center"/>
          </w:tcPr>
          <w:p w14:paraId="2BAA8563">
            <w:pPr>
              <w:adjustRightInd w:val="0"/>
              <w:snapToGrid w:val="0"/>
              <w:spacing w:line="360" w:lineRule="auto"/>
              <w:jc w:val="center"/>
              <w:rPr>
                <w:rFonts w:ascii="宋体"/>
                <w:color w:val="auto"/>
                <w:sz w:val="24"/>
                <w:highlight w:val="none"/>
              </w:rPr>
            </w:pPr>
          </w:p>
        </w:tc>
        <w:tc>
          <w:tcPr>
            <w:tcW w:w="1600" w:type="dxa"/>
            <w:tcBorders>
              <w:top w:val="single" w:color="auto" w:sz="4" w:space="0"/>
              <w:left w:val="single" w:color="auto" w:sz="4" w:space="0"/>
              <w:bottom w:val="single" w:color="auto" w:sz="4" w:space="0"/>
              <w:right w:val="single" w:color="auto" w:sz="4" w:space="0"/>
            </w:tcBorders>
            <w:vAlign w:val="center"/>
          </w:tcPr>
          <w:p w14:paraId="47CBF856">
            <w:pPr>
              <w:adjustRightInd w:val="0"/>
              <w:snapToGrid w:val="0"/>
              <w:spacing w:line="360" w:lineRule="auto"/>
              <w:jc w:val="center"/>
              <w:rPr>
                <w:rFonts w:ascii="宋体"/>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vAlign w:val="center"/>
          </w:tcPr>
          <w:p w14:paraId="7702DF1E">
            <w:pPr>
              <w:adjustRightInd w:val="0"/>
              <w:snapToGrid w:val="0"/>
              <w:spacing w:line="360" w:lineRule="auto"/>
              <w:jc w:val="center"/>
              <w:rPr>
                <w:rFonts w:ascii="宋体"/>
                <w:color w:val="auto"/>
                <w:sz w:val="24"/>
                <w:highlight w:val="none"/>
              </w:rPr>
            </w:pPr>
          </w:p>
        </w:tc>
      </w:tr>
      <w:tr w14:paraId="17CB7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1328" w:type="dxa"/>
            <w:tcBorders>
              <w:top w:val="single" w:color="auto" w:sz="4" w:space="0"/>
              <w:left w:val="single" w:color="auto" w:sz="4" w:space="0"/>
              <w:bottom w:val="single" w:color="auto" w:sz="4" w:space="0"/>
              <w:right w:val="single" w:color="auto" w:sz="4" w:space="0"/>
            </w:tcBorders>
            <w:vAlign w:val="center"/>
          </w:tcPr>
          <w:p w14:paraId="7AE4C8B5">
            <w:pPr>
              <w:adjustRightInd w:val="0"/>
              <w:snapToGrid w:val="0"/>
              <w:spacing w:line="360" w:lineRule="auto"/>
              <w:jc w:val="center"/>
              <w:rPr>
                <w:rFonts w:ascii="宋体"/>
                <w:color w:val="auto"/>
                <w:sz w:val="24"/>
                <w:highlight w:val="none"/>
              </w:rPr>
            </w:pPr>
          </w:p>
        </w:tc>
        <w:tc>
          <w:tcPr>
            <w:tcW w:w="1661" w:type="dxa"/>
            <w:tcBorders>
              <w:top w:val="single" w:color="auto" w:sz="4" w:space="0"/>
              <w:left w:val="single" w:color="auto" w:sz="4" w:space="0"/>
              <w:bottom w:val="single" w:color="auto" w:sz="4" w:space="0"/>
              <w:right w:val="single" w:color="auto" w:sz="4" w:space="0"/>
            </w:tcBorders>
            <w:vAlign w:val="center"/>
          </w:tcPr>
          <w:p w14:paraId="35F4C82F">
            <w:pPr>
              <w:adjustRightInd w:val="0"/>
              <w:snapToGrid w:val="0"/>
              <w:spacing w:line="360" w:lineRule="auto"/>
              <w:jc w:val="center"/>
              <w:rPr>
                <w:rFonts w:ascii="宋体"/>
                <w:color w:val="auto"/>
                <w:sz w:val="24"/>
                <w:highlight w:val="none"/>
              </w:rPr>
            </w:pPr>
          </w:p>
        </w:tc>
        <w:tc>
          <w:tcPr>
            <w:tcW w:w="1189" w:type="dxa"/>
            <w:tcBorders>
              <w:top w:val="single" w:color="auto" w:sz="4" w:space="0"/>
              <w:left w:val="single" w:color="auto" w:sz="4" w:space="0"/>
              <w:bottom w:val="single" w:color="auto" w:sz="4" w:space="0"/>
              <w:right w:val="single" w:color="auto" w:sz="4" w:space="0"/>
            </w:tcBorders>
            <w:vAlign w:val="center"/>
          </w:tcPr>
          <w:p w14:paraId="0AB07371">
            <w:pPr>
              <w:adjustRightInd w:val="0"/>
              <w:snapToGrid w:val="0"/>
              <w:spacing w:line="360" w:lineRule="auto"/>
              <w:jc w:val="center"/>
              <w:rPr>
                <w:rFonts w:ascii="宋体"/>
                <w:color w:val="auto"/>
                <w:sz w:val="24"/>
                <w:highlight w:val="none"/>
              </w:rPr>
            </w:pPr>
          </w:p>
        </w:tc>
        <w:tc>
          <w:tcPr>
            <w:tcW w:w="1381" w:type="dxa"/>
            <w:tcBorders>
              <w:top w:val="single" w:color="auto" w:sz="4" w:space="0"/>
              <w:left w:val="single" w:color="auto" w:sz="4" w:space="0"/>
              <w:bottom w:val="single" w:color="auto" w:sz="4" w:space="0"/>
              <w:right w:val="single" w:color="auto" w:sz="4" w:space="0"/>
            </w:tcBorders>
            <w:vAlign w:val="center"/>
          </w:tcPr>
          <w:p w14:paraId="2E496AA7">
            <w:pPr>
              <w:adjustRightInd w:val="0"/>
              <w:snapToGrid w:val="0"/>
              <w:spacing w:line="360" w:lineRule="auto"/>
              <w:jc w:val="center"/>
              <w:rPr>
                <w:rFonts w:ascii="宋体"/>
                <w:color w:val="auto"/>
                <w:sz w:val="24"/>
                <w:highlight w:val="none"/>
              </w:rPr>
            </w:pPr>
          </w:p>
        </w:tc>
        <w:tc>
          <w:tcPr>
            <w:tcW w:w="1600" w:type="dxa"/>
            <w:tcBorders>
              <w:top w:val="single" w:color="auto" w:sz="4" w:space="0"/>
              <w:left w:val="single" w:color="auto" w:sz="4" w:space="0"/>
              <w:bottom w:val="single" w:color="auto" w:sz="4" w:space="0"/>
              <w:right w:val="single" w:color="auto" w:sz="4" w:space="0"/>
            </w:tcBorders>
            <w:vAlign w:val="center"/>
          </w:tcPr>
          <w:p w14:paraId="518D4FC6">
            <w:pPr>
              <w:adjustRightInd w:val="0"/>
              <w:snapToGrid w:val="0"/>
              <w:spacing w:line="360" w:lineRule="auto"/>
              <w:jc w:val="center"/>
              <w:rPr>
                <w:rFonts w:ascii="宋体"/>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vAlign w:val="center"/>
          </w:tcPr>
          <w:p w14:paraId="353A473B">
            <w:pPr>
              <w:adjustRightInd w:val="0"/>
              <w:snapToGrid w:val="0"/>
              <w:spacing w:line="360" w:lineRule="auto"/>
              <w:jc w:val="center"/>
              <w:rPr>
                <w:rFonts w:ascii="宋体"/>
                <w:color w:val="auto"/>
                <w:sz w:val="24"/>
                <w:highlight w:val="none"/>
              </w:rPr>
            </w:pPr>
          </w:p>
        </w:tc>
      </w:tr>
      <w:tr w14:paraId="03B5C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1328" w:type="dxa"/>
            <w:tcBorders>
              <w:top w:val="single" w:color="auto" w:sz="4" w:space="0"/>
              <w:left w:val="single" w:color="auto" w:sz="4" w:space="0"/>
              <w:bottom w:val="single" w:color="auto" w:sz="4" w:space="0"/>
              <w:right w:val="single" w:color="auto" w:sz="4" w:space="0"/>
            </w:tcBorders>
            <w:vAlign w:val="center"/>
          </w:tcPr>
          <w:p w14:paraId="73856572">
            <w:pPr>
              <w:adjustRightInd w:val="0"/>
              <w:snapToGrid w:val="0"/>
              <w:spacing w:line="360" w:lineRule="auto"/>
              <w:jc w:val="center"/>
              <w:rPr>
                <w:rFonts w:ascii="宋体"/>
                <w:color w:val="auto"/>
                <w:sz w:val="24"/>
                <w:highlight w:val="none"/>
              </w:rPr>
            </w:pPr>
          </w:p>
        </w:tc>
        <w:tc>
          <w:tcPr>
            <w:tcW w:w="1661" w:type="dxa"/>
            <w:tcBorders>
              <w:top w:val="single" w:color="auto" w:sz="4" w:space="0"/>
              <w:left w:val="single" w:color="auto" w:sz="4" w:space="0"/>
              <w:bottom w:val="single" w:color="auto" w:sz="4" w:space="0"/>
              <w:right w:val="single" w:color="auto" w:sz="4" w:space="0"/>
            </w:tcBorders>
            <w:vAlign w:val="center"/>
          </w:tcPr>
          <w:p w14:paraId="5F91B695">
            <w:pPr>
              <w:adjustRightInd w:val="0"/>
              <w:snapToGrid w:val="0"/>
              <w:spacing w:line="360" w:lineRule="auto"/>
              <w:jc w:val="center"/>
              <w:rPr>
                <w:rFonts w:ascii="宋体"/>
                <w:color w:val="auto"/>
                <w:sz w:val="24"/>
                <w:highlight w:val="none"/>
              </w:rPr>
            </w:pPr>
          </w:p>
        </w:tc>
        <w:tc>
          <w:tcPr>
            <w:tcW w:w="1189" w:type="dxa"/>
            <w:tcBorders>
              <w:top w:val="single" w:color="auto" w:sz="4" w:space="0"/>
              <w:left w:val="single" w:color="auto" w:sz="4" w:space="0"/>
              <w:bottom w:val="single" w:color="auto" w:sz="4" w:space="0"/>
              <w:right w:val="single" w:color="auto" w:sz="4" w:space="0"/>
            </w:tcBorders>
            <w:vAlign w:val="center"/>
          </w:tcPr>
          <w:p w14:paraId="741648D1">
            <w:pPr>
              <w:adjustRightInd w:val="0"/>
              <w:snapToGrid w:val="0"/>
              <w:spacing w:line="360" w:lineRule="auto"/>
              <w:jc w:val="center"/>
              <w:rPr>
                <w:rFonts w:ascii="宋体"/>
                <w:color w:val="auto"/>
                <w:sz w:val="24"/>
                <w:highlight w:val="none"/>
              </w:rPr>
            </w:pPr>
          </w:p>
        </w:tc>
        <w:tc>
          <w:tcPr>
            <w:tcW w:w="1381" w:type="dxa"/>
            <w:tcBorders>
              <w:top w:val="single" w:color="auto" w:sz="4" w:space="0"/>
              <w:left w:val="single" w:color="auto" w:sz="4" w:space="0"/>
              <w:bottom w:val="single" w:color="auto" w:sz="4" w:space="0"/>
              <w:right w:val="single" w:color="auto" w:sz="4" w:space="0"/>
            </w:tcBorders>
            <w:vAlign w:val="center"/>
          </w:tcPr>
          <w:p w14:paraId="15F48033">
            <w:pPr>
              <w:adjustRightInd w:val="0"/>
              <w:snapToGrid w:val="0"/>
              <w:spacing w:line="360" w:lineRule="auto"/>
              <w:jc w:val="center"/>
              <w:rPr>
                <w:rFonts w:ascii="宋体"/>
                <w:color w:val="auto"/>
                <w:sz w:val="24"/>
                <w:highlight w:val="none"/>
              </w:rPr>
            </w:pPr>
          </w:p>
        </w:tc>
        <w:tc>
          <w:tcPr>
            <w:tcW w:w="1600" w:type="dxa"/>
            <w:tcBorders>
              <w:top w:val="single" w:color="auto" w:sz="4" w:space="0"/>
              <w:left w:val="single" w:color="auto" w:sz="4" w:space="0"/>
              <w:bottom w:val="single" w:color="auto" w:sz="4" w:space="0"/>
              <w:right w:val="single" w:color="auto" w:sz="4" w:space="0"/>
            </w:tcBorders>
            <w:vAlign w:val="center"/>
          </w:tcPr>
          <w:p w14:paraId="5FE6EB2F">
            <w:pPr>
              <w:adjustRightInd w:val="0"/>
              <w:snapToGrid w:val="0"/>
              <w:spacing w:line="360" w:lineRule="auto"/>
              <w:jc w:val="center"/>
              <w:rPr>
                <w:rFonts w:ascii="宋体"/>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vAlign w:val="center"/>
          </w:tcPr>
          <w:p w14:paraId="38D94EEE">
            <w:pPr>
              <w:adjustRightInd w:val="0"/>
              <w:snapToGrid w:val="0"/>
              <w:spacing w:line="360" w:lineRule="auto"/>
              <w:jc w:val="center"/>
              <w:rPr>
                <w:rFonts w:ascii="宋体"/>
                <w:color w:val="auto"/>
                <w:sz w:val="24"/>
                <w:highlight w:val="none"/>
              </w:rPr>
            </w:pPr>
          </w:p>
        </w:tc>
      </w:tr>
      <w:tr w14:paraId="764EB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1328" w:type="dxa"/>
            <w:tcBorders>
              <w:top w:val="single" w:color="auto" w:sz="4" w:space="0"/>
              <w:left w:val="single" w:color="auto" w:sz="4" w:space="0"/>
              <w:bottom w:val="single" w:color="auto" w:sz="4" w:space="0"/>
              <w:right w:val="single" w:color="auto" w:sz="4" w:space="0"/>
            </w:tcBorders>
            <w:vAlign w:val="center"/>
          </w:tcPr>
          <w:p w14:paraId="6F936F86">
            <w:pPr>
              <w:adjustRightInd w:val="0"/>
              <w:snapToGrid w:val="0"/>
              <w:spacing w:line="360" w:lineRule="auto"/>
              <w:jc w:val="center"/>
              <w:rPr>
                <w:rFonts w:ascii="宋体"/>
                <w:color w:val="auto"/>
                <w:sz w:val="24"/>
                <w:highlight w:val="none"/>
              </w:rPr>
            </w:pPr>
          </w:p>
        </w:tc>
        <w:tc>
          <w:tcPr>
            <w:tcW w:w="1661" w:type="dxa"/>
            <w:tcBorders>
              <w:top w:val="single" w:color="auto" w:sz="4" w:space="0"/>
              <w:left w:val="single" w:color="auto" w:sz="4" w:space="0"/>
              <w:bottom w:val="single" w:color="auto" w:sz="4" w:space="0"/>
              <w:right w:val="single" w:color="auto" w:sz="4" w:space="0"/>
            </w:tcBorders>
            <w:vAlign w:val="center"/>
          </w:tcPr>
          <w:p w14:paraId="062A6CFB">
            <w:pPr>
              <w:adjustRightInd w:val="0"/>
              <w:snapToGrid w:val="0"/>
              <w:spacing w:line="360" w:lineRule="auto"/>
              <w:jc w:val="center"/>
              <w:rPr>
                <w:rFonts w:ascii="宋体"/>
                <w:color w:val="auto"/>
                <w:sz w:val="24"/>
                <w:highlight w:val="none"/>
              </w:rPr>
            </w:pPr>
          </w:p>
        </w:tc>
        <w:tc>
          <w:tcPr>
            <w:tcW w:w="1189" w:type="dxa"/>
            <w:tcBorders>
              <w:top w:val="single" w:color="auto" w:sz="4" w:space="0"/>
              <w:left w:val="single" w:color="auto" w:sz="4" w:space="0"/>
              <w:bottom w:val="single" w:color="auto" w:sz="4" w:space="0"/>
              <w:right w:val="single" w:color="auto" w:sz="4" w:space="0"/>
            </w:tcBorders>
            <w:vAlign w:val="center"/>
          </w:tcPr>
          <w:p w14:paraId="24A3920E">
            <w:pPr>
              <w:adjustRightInd w:val="0"/>
              <w:snapToGrid w:val="0"/>
              <w:spacing w:line="360" w:lineRule="auto"/>
              <w:jc w:val="center"/>
              <w:rPr>
                <w:rFonts w:ascii="宋体"/>
                <w:color w:val="auto"/>
                <w:sz w:val="24"/>
                <w:highlight w:val="none"/>
              </w:rPr>
            </w:pPr>
          </w:p>
        </w:tc>
        <w:tc>
          <w:tcPr>
            <w:tcW w:w="1381" w:type="dxa"/>
            <w:tcBorders>
              <w:top w:val="single" w:color="auto" w:sz="4" w:space="0"/>
              <w:left w:val="single" w:color="auto" w:sz="4" w:space="0"/>
              <w:bottom w:val="single" w:color="auto" w:sz="4" w:space="0"/>
              <w:right w:val="single" w:color="auto" w:sz="4" w:space="0"/>
            </w:tcBorders>
            <w:vAlign w:val="center"/>
          </w:tcPr>
          <w:p w14:paraId="3226F7C2">
            <w:pPr>
              <w:adjustRightInd w:val="0"/>
              <w:snapToGrid w:val="0"/>
              <w:spacing w:line="360" w:lineRule="auto"/>
              <w:jc w:val="center"/>
              <w:rPr>
                <w:rFonts w:ascii="宋体"/>
                <w:color w:val="auto"/>
                <w:sz w:val="24"/>
                <w:highlight w:val="none"/>
              </w:rPr>
            </w:pPr>
          </w:p>
        </w:tc>
        <w:tc>
          <w:tcPr>
            <w:tcW w:w="1600" w:type="dxa"/>
            <w:tcBorders>
              <w:top w:val="single" w:color="auto" w:sz="4" w:space="0"/>
              <w:left w:val="single" w:color="auto" w:sz="4" w:space="0"/>
              <w:bottom w:val="single" w:color="auto" w:sz="4" w:space="0"/>
              <w:right w:val="single" w:color="auto" w:sz="4" w:space="0"/>
            </w:tcBorders>
            <w:vAlign w:val="center"/>
          </w:tcPr>
          <w:p w14:paraId="1BFB8AB2">
            <w:pPr>
              <w:adjustRightInd w:val="0"/>
              <w:snapToGrid w:val="0"/>
              <w:spacing w:line="360" w:lineRule="auto"/>
              <w:jc w:val="center"/>
              <w:rPr>
                <w:rFonts w:ascii="宋体"/>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vAlign w:val="center"/>
          </w:tcPr>
          <w:p w14:paraId="1C049181">
            <w:pPr>
              <w:adjustRightInd w:val="0"/>
              <w:snapToGrid w:val="0"/>
              <w:spacing w:line="360" w:lineRule="auto"/>
              <w:jc w:val="center"/>
              <w:rPr>
                <w:rFonts w:ascii="宋体"/>
                <w:color w:val="auto"/>
                <w:sz w:val="24"/>
                <w:highlight w:val="none"/>
              </w:rPr>
            </w:pPr>
          </w:p>
        </w:tc>
      </w:tr>
    </w:tbl>
    <w:p w14:paraId="44B21ABA">
      <w:pPr>
        <w:widowControl/>
        <w:adjustRightInd w:val="0"/>
        <w:snapToGrid w:val="0"/>
        <w:spacing w:line="360" w:lineRule="auto"/>
        <w:ind w:firstLine="723" w:firstLineChars="300"/>
        <w:jc w:val="left"/>
        <w:rPr>
          <w:rFonts w:ascii="宋体" w:hAnsi="宋体" w:cs="宋体"/>
          <w:b/>
          <w:bCs/>
          <w:color w:val="auto"/>
          <w:sz w:val="24"/>
          <w:highlight w:val="none"/>
        </w:rPr>
      </w:pPr>
      <w:r>
        <w:rPr>
          <w:rFonts w:hint="eastAsia" w:ascii="宋体" w:hAnsi="宋体" w:cs="宋体"/>
          <w:b/>
          <w:bCs/>
          <w:color w:val="auto"/>
          <w:sz w:val="24"/>
          <w:highlight w:val="none"/>
        </w:rPr>
        <w:t>注：后附身份证、职称证等相关证件资料。</w:t>
      </w:r>
    </w:p>
    <w:p w14:paraId="7FB82004">
      <w:pPr>
        <w:adjustRightInd w:val="0"/>
        <w:snapToGrid w:val="0"/>
        <w:spacing w:line="360" w:lineRule="auto"/>
        <w:jc w:val="center"/>
        <w:rPr>
          <w:rFonts w:ascii="宋体" w:hAnsi="宋体" w:cs="宋体"/>
          <w:b/>
          <w:color w:val="auto"/>
          <w:kern w:val="0"/>
          <w:sz w:val="28"/>
          <w:szCs w:val="28"/>
          <w:highlight w:val="none"/>
          <w:lang w:val="zh-CN"/>
        </w:rPr>
      </w:pPr>
      <w:r>
        <w:rPr>
          <w:rFonts w:hint="eastAsia" w:ascii="宋体" w:hAnsi="宋体" w:cs="宋体"/>
          <w:b/>
          <w:color w:val="auto"/>
          <w:kern w:val="0"/>
          <w:sz w:val="28"/>
          <w:szCs w:val="28"/>
          <w:highlight w:val="none"/>
        </w:rPr>
        <w:br w:type="page"/>
      </w:r>
      <w:r>
        <w:rPr>
          <w:rFonts w:hint="eastAsia" w:ascii="宋体" w:hAnsi="宋体" w:cs="宋体"/>
          <w:b/>
          <w:color w:val="auto"/>
          <w:kern w:val="0"/>
          <w:sz w:val="28"/>
          <w:szCs w:val="28"/>
          <w:highlight w:val="none"/>
        </w:rPr>
        <w:t>（二）项目负责人</w:t>
      </w:r>
      <w:r>
        <w:rPr>
          <w:rFonts w:hint="eastAsia" w:ascii="宋体" w:hAnsi="宋体" w:cs="宋体"/>
          <w:b/>
          <w:color w:val="auto"/>
          <w:kern w:val="0"/>
          <w:sz w:val="28"/>
          <w:szCs w:val="28"/>
          <w:highlight w:val="none"/>
          <w:lang w:val="zh-CN"/>
        </w:rPr>
        <w:t>简历表</w:t>
      </w:r>
    </w:p>
    <w:tbl>
      <w:tblPr>
        <w:tblStyle w:val="16"/>
        <w:tblW w:w="0" w:type="auto"/>
        <w:jc w:val="center"/>
        <w:tblLayout w:type="fixed"/>
        <w:tblCellMar>
          <w:top w:w="0" w:type="dxa"/>
          <w:left w:w="0" w:type="dxa"/>
          <w:bottom w:w="0" w:type="dxa"/>
          <w:right w:w="0" w:type="dxa"/>
        </w:tblCellMar>
      </w:tblPr>
      <w:tblGrid>
        <w:gridCol w:w="1438"/>
        <w:gridCol w:w="369"/>
        <w:gridCol w:w="740"/>
        <w:gridCol w:w="950"/>
        <w:gridCol w:w="1094"/>
        <w:gridCol w:w="725"/>
        <w:gridCol w:w="1293"/>
        <w:gridCol w:w="167"/>
        <w:gridCol w:w="2192"/>
      </w:tblGrid>
      <w:tr w14:paraId="1CB5676A">
        <w:tblPrEx>
          <w:tblCellMar>
            <w:top w:w="0" w:type="dxa"/>
            <w:left w:w="0" w:type="dxa"/>
            <w:bottom w:w="0" w:type="dxa"/>
            <w:right w:w="0" w:type="dxa"/>
          </w:tblCellMar>
        </w:tblPrEx>
        <w:trPr>
          <w:trHeight w:val="903" w:hRule="atLeast"/>
          <w:jc w:val="center"/>
        </w:trPr>
        <w:tc>
          <w:tcPr>
            <w:tcW w:w="1438" w:type="dxa"/>
            <w:tcBorders>
              <w:top w:val="single" w:color="000000" w:sz="4" w:space="0"/>
              <w:left w:val="single" w:color="000000" w:sz="4" w:space="0"/>
              <w:bottom w:val="single" w:color="000000" w:sz="4" w:space="0"/>
              <w:right w:val="single" w:color="000000" w:sz="4" w:space="0"/>
            </w:tcBorders>
            <w:vAlign w:val="center"/>
          </w:tcPr>
          <w:p w14:paraId="55B14079">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姓</w:t>
            </w:r>
            <w:r>
              <w:rPr>
                <w:color w:val="auto"/>
                <w:highlight w:val="none"/>
              </w:rPr>
              <w:tab/>
            </w:r>
            <w:r>
              <w:rPr>
                <w:rFonts w:hint="eastAsia" w:ascii="宋体" w:hAnsi="宋体"/>
                <w:color w:val="auto"/>
                <w:spacing w:val="1"/>
                <w:kern w:val="0"/>
                <w:szCs w:val="21"/>
                <w:highlight w:val="none"/>
              </w:rPr>
              <w:t>名</w:t>
            </w:r>
          </w:p>
        </w:tc>
        <w:tc>
          <w:tcPr>
            <w:tcW w:w="1109" w:type="dxa"/>
            <w:gridSpan w:val="2"/>
            <w:tcBorders>
              <w:top w:val="single" w:color="000000" w:sz="4" w:space="0"/>
              <w:left w:val="nil"/>
              <w:bottom w:val="single" w:color="000000" w:sz="4" w:space="0"/>
              <w:right w:val="single" w:color="000000" w:sz="4" w:space="0"/>
            </w:tcBorders>
            <w:vAlign w:val="center"/>
          </w:tcPr>
          <w:p w14:paraId="0C034816">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950" w:type="dxa"/>
            <w:tcBorders>
              <w:top w:val="single" w:color="000000" w:sz="4" w:space="0"/>
              <w:left w:val="nil"/>
              <w:bottom w:val="single" w:color="000000" w:sz="4" w:space="0"/>
              <w:right w:val="single" w:color="000000" w:sz="4" w:space="0"/>
            </w:tcBorders>
            <w:vAlign w:val="center"/>
          </w:tcPr>
          <w:p w14:paraId="74F13D92">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年  龄</w:t>
            </w:r>
          </w:p>
        </w:tc>
        <w:tc>
          <w:tcPr>
            <w:tcW w:w="1094" w:type="dxa"/>
            <w:tcBorders>
              <w:top w:val="single" w:color="000000" w:sz="4" w:space="0"/>
              <w:left w:val="nil"/>
              <w:bottom w:val="single" w:color="000000" w:sz="4" w:space="0"/>
              <w:right w:val="single" w:color="000000" w:sz="4" w:space="0"/>
            </w:tcBorders>
            <w:vAlign w:val="center"/>
          </w:tcPr>
          <w:p w14:paraId="65D3F21D">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2185" w:type="dxa"/>
            <w:gridSpan w:val="3"/>
            <w:tcBorders>
              <w:top w:val="single" w:color="000000" w:sz="4" w:space="0"/>
              <w:left w:val="nil"/>
              <w:bottom w:val="single" w:color="000000" w:sz="4" w:space="0"/>
              <w:right w:val="single" w:color="000000" w:sz="4" w:space="0"/>
            </w:tcBorders>
            <w:vAlign w:val="center"/>
          </w:tcPr>
          <w:p w14:paraId="0EFC27EB">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学历</w:t>
            </w:r>
          </w:p>
        </w:tc>
        <w:tc>
          <w:tcPr>
            <w:tcW w:w="2192" w:type="dxa"/>
            <w:tcBorders>
              <w:top w:val="single" w:color="000000" w:sz="4" w:space="0"/>
              <w:left w:val="nil"/>
              <w:bottom w:val="single" w:color="000000" w:sz="4" w:space="0"/>
              <w:right w:val="single" w:color="000000" w:sz="4" w:space="0"/>
            </w:tcBorders>
            <w:vAlign w:val="center"/>
          </w:tcPr>
          <w:p w14:paraId="7A940CA1">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r>
      <w:tr w14:paraId="2AC09FA8">
        <w:tblPrEx>
          <w:tblCellMar>
            <w:top w:w="0" w:type="dxa"/>
            <w:left w:w="0" w:type="dxa"/>
            <w:bottom w:w="0" w:type="dxa"/>
            <w:right w:w="0" w:type="dxa"/>
          </w:tblCellMar>
        </w:tblPrEx>
        <w:trPr>
          <w:trHeight w:val="903" w:hRule="atLeast"/>
          <w:jc w:val="center"/>
        </w:trPr>
        <w:tc>
          <w:tcPr>
            <w:tcW w:w="1438" w:type="dxa"/>
            <w:tcBorders>
              <w:top w:val="single" w:color="000000" w:sz="4" w:space="0"/>
              <w:left w:val="single" w:color="000000" w:sz="4" w:space="0"/>
              <w:bottom w:val="single" w:color="000000" w:sz="4" w:space="0"/>
              <w:right w:val="single" w:color="000000" w:sz="4" w:space="0"/>
            </w:tcBorders>
            <w:vAlign w:val="center"/>
          </w:tcPr>
          <w:p w14:paraId="764D08C6">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职</w:t>
            </w:r>
            <w:r>
              <w:rPr>
                <w:color w:val="auto"/>
                <w:highlight w:val="none"/>
              </w:rPr>
              <w:tab/>
            </w:r>
            <w:r>
              <w:rPr>
                <w:rFonts w:hint="eastAsia" w:ascii="宋体" w:hAnsi="宋体"/>
                <w:color w:val="auto"/>
                <w:spacing w:val="1"/>
                <w:kern w:val="0"/>
                <w:szCs w:val="21"/>
                <w:highlight w:val="none"/>
              </w:rPr>
              <w:t>称</w:t>
            </w:r>
          </w:p>
        </w:tc>
        <w:tc>
          <w:tcPr>
            <w:tcW w:w="1109" w:type="dxa"/>
            <w:gridSpan w:val="2"/>
            <w:tcBorders>
              <w:top w:val="single" w:color="000000" w:sz="4" w:space="0"/>
              <w:left w:val="nil"/>
              <w:bottom w:val="single" w:color="000000" w:sz="4" w:space="0"/>
              <w:right w:val="single" w:color="000000" w:sz="4" w:space="0"/>
            </w:tcBorders>
            <w:vAlign w:val="center"/>
          </w:tcPr>
          <w:p w14:paraId="045687C6">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950" w:type="dxa"/>
            <w:tcBorders>
              <w:top w:val="single" w:color="000000" w:sz="4" w:space="0"/>
              <w:left w:val="nil"/>
              <w:bottom w:val="single" w:color="000000" w:sz="4" w:space="0"/>
              <w:right w:val="single" w:color="000000" w:sz="4" w:space="0"/>
            </w:tcBorders>
            <w:vAlign w:val="center"/>
          </w:tcPr>
          <w:p w14:paraId="06A36384">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职  务</w:t>
            </w:r>
          </w:p>
        </w:tc>
        <w:tc>
          <w:tcPr>
            <w:tcW w:w="1094" w:type="dxa"/>
            <w:tcBorders>
              <w:top w:val="single" w:color="000000" w:sz="4" w:space="0"/>
              <w:left w:val="nil"/>
              <w:bottom w:val="single" w:color="000000" w:sz="4" w:space="0"/>
              <w:right w:val="single" w:color="000000" w:sz="4" w:space="0"/>
            </w:tcBorders>
            <w:vAlign w:val="center"/>
          </w:tcPr>
          <w:p w14:paraId="452D755A">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2185" w:type="dxa"/>
            <w:gridSpan w:val="3"/>
            <w:tcBorders>
              <w:top w:val="single" w:color="000000" w:sz="4" w:space="0"/>
              <w:left w:val="nil"/>
              <w:bottom w:val="single" w:color="000000" w:sz="4" w:space="0"/>
              <w:right w:val="single" w:color="000000" w:sz="4" w:space="0"/>
            </w:tcBorders>
            <w:vAlign w:val="center"/>
          </w:tcPr>
          <w:p w14:paraId="7BFBD296">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拟在本项目任职</w:t>
            </w:r>
          </w:p>
        </w:tc>
        <w:tc>
          <w:tcPr>
            <w:tcW w:w="2192" w:type="dxa"/>
            <w:tcBorders>
              <w:top w:val="single" w:color="000000" w:sz="4" w:space="0"/>
              <w:left w:val="nil"/>
              <w:bottom w:val="single" w:color="000000" w:sz="4" w:space="0"/>
              <w:right w:val="single" w:color="000000" w:sz="4" w:space="0"/>
            </w:tcBorders>
            <w:vAlign w:val="center"/>
          </w:tcPr>
          <w:p w14:paraId="06CABCFB">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r>
      <w:tr w14:paraId="358BDB03">
        <w:tblPrEx>
          <w:tblCellMar>
            <w:top w:w="0" w:type="dxa"/>
            <w:left w:w="0" w:type="dxa"/>
            <w:bottom w:w="0" w:type="dxa"/>
            <w:right w:w="0" w:type="dxa"/>
          </w:tblCellMar>
        </w:tblPrEx>
        <w:trPr>
          <w:trHeight w:val="903" w:hRule="atLeast"/>
          <w:jc w:val="center"/>
        </w:trPr>
        <w:tc>
          <w:tcPr>
            <w:tcW w:w="1438" w:type="dxa"/>
            <w:tcBorders>
              <w:top w:val="single" w:color="000000" w:sz="4" w:space="0"/>
              <w:left w:val="single" w:color="000000" w:sz="4" w:space="0"/>
              <w:bottom w:val="single" w:color="000000" w:sz="4" w:space="0"/>
              <w:right w:val="single" w:color="000000" w:sz="4" w:space="0"/>
            </w:tcBorders>
            <w:vAlign w:val="center"/>
          </w:tcPr>
          <w:p w14:paraId="3AB9CBE5">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毕业学校</w:t>
            </w:r>
          </w:p>
        </w:tc>
        <w:tc>
          <w:tcPr>
            <w:tcW w:w="7530" w:type="dxa"/>
            <w:gridSpan w:val="8"/>
            <w:tcBorders>
              <w:top w:val="single" w:color="000000" w:sz="4" w:space="0"/>
              <w:left w:val="nil"/>
              <w:bottom w:val="single" w:color="000000" w:sz="4" w:space="0"/>
              <w:right w:val="single" w:color="000000" w:sz="4" w:space="0"/>
            </w:tcBorders>
            <w:vAlign w:val="center"/>
          </w:tcPr>
          <w:p w14:paraId="04CFDE32">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年毕业于</w:t>
            </w:r>
            <w:r>
              <w:rPr>
                <w:color w:val="auto"/>
                <w:highlight w:val="none"/>
              </w:rPr>
              <w:tab/>
            </w:r>
            <w:r>
              <w:rPr>
                <w:rFonts w:hint="eastAsia" w:ascii="宋体" w:hAnsi="宋体"/>
                <w:color w:val="auto"/>
                <w:spacing w:val="1"/>
                <w:kern w:val="0"/>
                <w:szCs w:val="21"/>
                <w:highlight w:val="none"/>
              </w:rPr>
              <w:t>学校</w:t>
            </w:r>
            <w:r>
              <w:rPr>
                <w:color w:val="auto"/>
                <w:highlight w:val="none"/>
              </w:rPr>
              <w:tab/>
            </w:r>
            <w:r>
              <w:rPr>
                <w:rFonts w:hint="eastAsia" w:ascii="宋体" w:hAnsi="宋体"/>
                <w:color w:val="auto"/>
                <w:spacing w:val="1"/>
                <w:kern w:val="0"/>
                <w:szCs w:val="21"/>
                <w:highlight w:val="none"/>
              </w:rPr>
              <w:t>专业</w:t>
            </w:r>
          </w:p>
        </w:tc>
      </w:tr>
      <w:tr w14:paraId="18918DB9">
        <w:tblPrEx>
          <w:tblCellMar>
            <w:top w:w="0" w:type="dxa"/>
            <w:left w:w="0" w:type="dxa"/>
            <w:bottom w:w="0" w:type="dxa"/>
            <w:right w:w="0" w:type="dxa"/>
          </w:tblCellMar>
        </w:tblPrEx>
        <w:trPr>
          <w:trHeight w:val="865" w:hRule="atLeast"/>
          <w:jc w:val="center"/>
        </w:trPr>
        <w:tc>
          <w:tcPr>
            <w:tcW w:w="8968" w:type="dxa"/>
            <w:gridSpan w:val="9"/>
            <w:tcBorders>
              <w:top w:val="single" w:color="000000" w:sz="4" w:space="0"/>
              <w:left w:val="single" w:color="000000" w:sz="4" w:space="0"/>
              <w:bottom w:val="single" w:color="000000" w:sz="4" w:space="0"/>
              <w:right w:val="single" w:color="000000" w:sz="4" w:space="0"/>
            </w:tcBorders>
            <w:vAlign w:val="center"/>
          </w:tcPr>
          <w:p w14:paraId="515DDA6E">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主要工作经历</w:t>
            </w:r>
          </w:p>
        </w:tc>
      </w:tr>
      <w:tr w14:paraId="2DB8BF45">
        <w:tblPrEx>
          <w:tblCellMar>
            <w:top w:w="0" w:type="dxa"/>
            <w:left w:w="0" w:type="dxa"/>
            <w:bottom w:w="0" w:type="dxa"/>
            <w:right w:w="0" w:type="dxa"/>
          </w:tblCellMar>
        </w:tblPrEx>
        <w:trPr>
          <w:trHeight w:val="903" w:hRule="atLeast"/>
          <w:jc w:val="center"/>
        </w:trPr>
        <w:tc>
          <w:tcPr>
            <w:tcW w:w="1807" w:type="dxa"/>
            <w:gridSpan w:val="2"/>
            <w:tcBorders>
              <w:top w:val="single" w:color="000000" w:sz="4" w:space="0"/>
              <w:left w:val="single" w:color="000000" w:sz="4" w:space="0"/>
              <w:bottom w:val="single" w:color="000000" w:sz="4" w:space="0"/>
              <w:right w:val="single" w:color="000000" w:sz="4" w:space="0"/>
            </w:tcBorders>
            <w:vAlign w:val="center"/>
          </w:tcPr>
          <w:p w14:paraId="22F6AAEE">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时</w:t>
            </w:r>
            <w:r>
              <w:rPr>
                <w:color w:val="auto"/>
                <w:highlight w:val="none"/>
              </w:rPr>
              <w:tab/>
            </w:r>
            <w:r>
              <w:rPr>
                <w:rFonts w:hint="eastAsia" w:ascii="宋体" w:hAnsi="宋体"/>
                <w:color w:val="auto"/>
                <w:spacing w:val="1"/>
                <w:kern w:val="0"/>
                <w:szCs w:val="21"/>
                <w:highlight w:val="none"/>
              </w:rPr>
              <w:t>间</w:t>
            </w:r>
          </w:p>
        </w:tc>
        <w:tc>
          <w:tcPr>
            <w:tcW w:w="3509" w:type="dxa"/>
            <w:gridSpan w:val="4"/>
            <w:tcBorders>
              <w:top w:val="single" w:color="000000" w:sz="4" w:space="0"/>
              <w:left w:val="nil"/>
              <w:bottom w:val="single" w:color="000000" w:sz="4" w:space="0"/>
              <w:right w:val="single" w:color="000000" w:sz="4" w:space="0"/>
            </w:tcBorders>
            <w:vAlign w:val="center"/>
          </w:tcPr>
          <w:p w14:paraId="6C083331">
            <w:pPr>
              <w:autoSpaceDE w:val="0"/>
              <w:autoSpaceDN w:val="0"/>
              <w:adjustRightInd w:val="0"/>
              <w:snapToGrid w:val="0"/>
              <w:spacing w:line="360" w:lineRule="auto"/>
              <w:ind w:firstLine="148" w:firstLineChars="70"/>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参加过的类似项目</w:t>
            </w:r>
          </w:p>
        </w:tc>
        <w:tc>
          <w:tcPr>
            <w:tcW w:w="1293" w:type="dxa"/>
            <w:tcBorders>
              <w:top w:val="single" w:color="000000" w:sz="4" w:space="0"/>
              <w:left w:val="nil"/>
              <w:bottom w:val="single" w:color="000000" w:sz="4" w:space="0"/>
              <w:right w:val="single" w:color="000000" w:sz="4" w:space="0"/>
            </w:tcBorders>
            <w:vAlign w:val="center"/>
          </w:tcPr>
          <w:p w14:paraId="11A0CAA0">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担任职务</w:t>
            </w:r>
          </w:p>
        </w:tc>
        <w:tc>
          <w:tcPr>
            <w:tcW w:w="2359" w:type="dxa"/>
            <w:gridSpan w:val="2"/>
            <w:tcBorders>
              <w:top w:val="single" w:color="000000" w:sz="4" w:space="0"/>
              <w:left w:val="nil"/>
              <w:bottom w:val="single" w:color="000000" w:sz="4" w:space="0"/>
              <w:right w:val="single" w:color="000000" w:sz="4" w:space="0"/>
            </w:tcBorders>
            <w:vAlign w:val="center"/>
          </w:tcPr>
          <w:p w14:paraId="608A1E49">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证明人</w:t>
            </w:r>
          </w:p>
        </w:tc>
      </w:tr>
      <w:tr w14:paraId="54E0CC8F">
        <w:tblPrEx>
          <w:tblCellMar>
            <w:top w:w="0" w:type="dxa"/>
            <w:left w:w="0" w:type="dxa"/>
            <w:bottom w:w="0" w:type="dxa"/>
            <w:right w:w="0" w:type="dxa"/>
          </w:tblCellMar>
        </w:tblPrEx>
        <w:trPr>
          <w:trHeight w:val="903" w:hRule="atLeast"/>
          <w:jc w:val="center"/>
        </w:trPr>
        <w:tc>
          <w:tcPr>
            <w:tcW w:w="1807" w:type="dxa"/>
            <w:gridSpan w:val="2"/>
            <w:tcBorders>
              <w:top w:val="single" w:color="000000" w:sz="4" w:space="0"/>
              <w:left w:val="single" w:color="000000" w:sz="4" w:space="0"/>
              <w:bottom w:val="single" w:color="000000" w:sz="4" w:space="0"/>
              <w:right w:val="single" w:color="000000" w:sz="4" w:space="0"/>
            </w:tcBorders>
            <w:vAlign w:val="center"/>
          </w:tcPr>
          <w:p w14:paraId="238E915C">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3509" w:type="dxa"/>
            <w:gridSpan w:val="4"/>
            <w:tcBorders>
              <w:top w:val="single" w:color="000000" w:sz="4" w:space="0"/>
              <w:left w:val="nil"/>
              <w:bottom w:val="single" w:color="000000" w:sz="4" w:space="0"/>
              <w:right w:val="single" w:color="000000" w:sz="4" w:space="0"/>
            </w:tcBorders>
            <w:vAlign w:val="center"/>
          </w:tcPr>
          <w:p w14:paraId="2F6B415A">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1293" w:type="dxa"/>
            <w:tcBorders>
              <w:top w:val="single" w:color="000000" w:sz="4" w:space="0"/>
              <w:left w:val="nil"/>
              <w:bottom w:val="single" w:color="000000" w:sz="4" w:space="0"/>
              <w:right w:val="single" w:color="000000" w:sz="4" w:space="0"/>
            </w:tcBorders>
            <w:vAlign w:val="center"/>
          </w:tcPr>
          <w:p w14:paraId="40B6E5BF">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2359" w:type="dxa"/>
            <w:gridSpan w:val="2"/>
            <w:tcBorders>
              <w:top w:val="single" w:color="000000" w:sz="4" w:space="0"/>
              <w:left w:val="nil"/>
              <w:bottom w:val="single" w:color="000000" w:sz="4" w:space="0"/>
              <w:right w:val="single" w:color="000000" w:sz="4" w:space="0"/>
            </w:tcBorders>
            <w:vAlign w:val="center"/>
          </w:tcPr>
          <w:p w14:paraId="4398B83D">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r>
      <w:tr w14:paraId="605524CB">
        <w:tblPrEx>
          <w:tblCellMar>
            <w:top w:w="0" w:type="dxa"/>
            <w:left w:w="0" w:type="dxa"/>
            <w:bottom w:w="0" w:type="dxa"/>
            <w:right w:w="0" w:type="dxa"/>
          </w:tblCellMar>
        </w:tblPrEx>
        <w:trPr>
          <w:trHeight w:val="903" w:hRule="atLeast"/>
          <w:jc w:val="center"/>
        </w:trPr>
        <w:tc>
          <w:tcPr>
            <w:tcW w:w="1807" w:type="dxa"/>
            <w:gridSpan w:val="2"/>
            <w:tcBorders>
              <w:top w:val="single" w:color="000000" w:sz="4" w:space="0"/>
              <w:left w:val="single" w:color="000000" w:sz="4" w:space="0"/>
              <w:bottom w:val="single" w:color="000000" w:sz="4" w:space="0"/>
              <w:right w:val="single" w:color="000000" w:sz="4" w:space="0"/>
            </w:tcBorders>
            <w:vAlign w:val="center"/>
          </w:tcPr>
          <w:p w14:paraId="4F145FF7">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3509" w:type="dxa"/>
            <w:gridSpan w:val="4"/>
            <w:tcBorders>
              <w:top w:val="single" w:color="000000" w:sz="4" w:space="0"/>
              <w:left w:val="nil"/>
              <w:bottom w:val="single" w:color="000000" w:sz="4" w:space="0"/>
              <w:right w:val="single" w:color="000000" w:sz="4" w:space="0"/>
            </w:tcBorders>
            <w:vAlign w:val="center"/>
          </w:tcPr>
          <w:p w14:paraId="5BB274A6">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1293" w:type="dxa"/>
            <w:tcBorders>
              <w:top w:val="single" w:color="000000" w:sz="4" w:space="0"/>
              <w:left w:val="nil"/>
              <w:bottom w:val="single" w:color="000000" w:sz="4" w:space="0"/>
              <w:right w:val="single" w:color="000000" w:sz="4" w:space="0"/>
            </w:tcBorders>
            <w:vAlign w:val="center"/>
          </w:tcPr>
          <w:p w14:paraId="6831F00D">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2359" w:type="dxa"/>
            <w:gridSpan w:val="2"/>
            <w:tcBorders>
              <w:top w:val="single" w:color="000000" w:sz="4" w:space="0"/>
              <w:left w:val="nil"/>
              <w:bottom w:val="single" w:color="000000" w:sz="4" w:space="0"/>
              <w:right w:val="single" w:color="000000" w:sz="4" w:space="0"/>
            </w:tcBorders>
            <w:vAlign w:val="center"/>
          </w:tcPr>
          <w:p w14:paraId="5ED30434">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r>
      <w:tr w14:paraId="5CB74210">
        <w:tblPrEx>
          <w:tblCellMar>
            <w:top w:w="0" w:type="dxa"/>
            <w:left w:w="0" w:type="dxa"/>
            <w:bottom w:w="0" w:type="dxa"/>
            <w:right w:w="0" w:type="dxa"/>
          </w:tblCellMar>
        </w:tblPrEx>
        <w:trPr>
          <w:trHeight w:val="903" w:hRule="atLeast"/>
          <w:jc w:val="center"/>
        </w:trPr>
        <w:tc>
          <w:tcPr>
            <w:tcW w:w="1807" w:type="dxa"/>
            <w:gridSpan w:val="2"/>
            <w:tcBorders>
              <w:top w:val="single" w:color="000000" w:sz="4" w:space="0"/>
              <w:left w:val="single" w:color="000000" w:sz="4" w:space="0"/>
              <w:bottom w:val="single" w:color="000000" w:sz="4" w:space="0"/>
              <w:right w:val="single" w:color="000000" w:sz="4" w:space="0"/>
            </w:tcBorders>
            <w:vAlign w:val="center"/>
          </w:tcPr>
          <w:p w14:paraId="3D715AC9">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3509" w:type="dxa"/>
            <w:gridSpan w:val="4"/>
            <w:tcBorders>
              <w:top w:val="single" w:color="000000" w:sz="4" w:space="0"/>
              <w:left w:val="nil"/>
              <w:bottom w:val="single" w:color="000000" w:sz="4" w:space="0"/>
              <w:right w:val="single" w:color="000000" w:sz="4" w:space="0"/>
            </w:tcBorders>
            <w:vAlign w:val="center"/>
          </w:tcPr>
          <w:p w14:paraId="40B49F18">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1293" w:type="dxa"/>
            <w:tcBorders>
              <w:top w:val="single" w:color="000000" w:sz="4" w:space="0"/>
              <w:left w:val="nil"/>
              <w:bottom w:val="single" w:color="000000" w:sz="4" w:space="0"/>
              <w:right w:val="single" w:color="000000" w:sz="4" w:space="0"/>
            </w:tcBorders>
            <w:vAlign w:val="center"/>
          </w:tcPr>
          <w:p w14:paraId="6C483FE5">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2359" w:type="dxa"/>
            <w:gridSpan w:val="2"/>
            <w:tcBorders>
              <w:top w:val="single" w:color="000000" w:sz="4" w:space="0"/>
              <w:left w:val="nil"/>
              <w:bottom w:val="single" w:color="000000" w:sz="4" w:space="0"/>
              <w:right w:val="single" w:color="000000" w:sz="4" w:space="0"/>
            </w:tcBorders>
            <w:vAlign w:val="center"/>
          </w:tcPr>
          <w:p w14:paraId="2AC82EC7">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r>
      <w:tr w14:paraId="179D546B">
        <w:tblPrEx>
          <w:tblCellMar>
            <w:top w:w="0" w:type="dxa"/>
            <w:left w:w="0" w:type="dxa"/>
            <w:bottom w:w="0" w:type="dxa"/>
            <w:right w:w="0" w:type="dxa"/>
          </w:tblCellMar>
        </w:tblPrEx>
        <w:trPr>
          <w:trHeight w:val="903" w:hRule="atLeast"/>
          <w:jc w:val="center"/>
        </w:trPr>
        <w:tc>
          <w:tcPr>
            <w:tcW w:w="1807" w:type="dxa"/>
            <w:gridSpan w:val="2"/>
            <w:tcBorders>
              <w:top w:val="single" w:color="000000" w:sz="4" w:space="0"/>
              <w:left w:val="single" w:color="000000" w:sz="4" w:space="0"/>
              <w:bottom w:val="single" w:color="000000" w:sz="4" w:space="0"/>
              <w:right w:val="single" w:color="000000" w:sz="4" w:space="0"/>
            </w:tcBorders>
            <w:vAlign w:val="center"/>
          </w:tcPr>
          <w:p w14:paraId="7D6E3B5F">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3509" w:type="dxa"/>
            <w:gridSpan w:val="4"/>
            <w:tcBorders>
              <w:top w:val="single" w:color="000000" w:sz="4" w:space="0"/>
              <w:left w:val="nil"/>
              <w:bottom w:val="single" w:color="000000" w:sz="4" w:space="0"/>
              <w:right w:val="single" w:color="000000" w:sz="4" w:space="0"/>
            </w:tcBorders>
            <w:vAlign w:val="center"/>
          </w:tcPr>
          <w:p w14:paraId="08E8AA5E">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1293" w:type="dxa"/>
            <w:tcBorders>
              <w:top w:val="single" w:color="000000" w:sz="4" w:space="0"/>
              <w:left w:val="nil"/>
              <w:bottom w:val="single" w:color="000000" w:sz="4" w:space="0"/>
              <w:right w:val="single" w:color="000000" w:sz="4" w:space="0"/>
            </w:tcBorders>
            <w:vAlign w:val="center"/>
          </w:tcPr>
          <w:p w14:paraId="60DC9F8E">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2359" w:type="dxa"/>
            <w:gridSpan w:val="2"/>
            <w:tcBorders>
              <w:top w:val="single" w:color="000000" w:sz="4" w:space="0"/>
              <w:left w:val="nil"/>
              <w:bottom w:val="single" w:color="000000" w:sz="4" w:space="0"/>
              <w:right w:val="single" w:color="000000" w:sz="4" w:space="0"/>
            </w:tcBorders>
            <w:vAlign w:val="center"/>
          </w:tcPr>
          <w:p w14:paraId="0AE1E866">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r>
      <w:tr w14:paraId="4967AF13">
        <w:tblPrEx>
          <w:tblCellMar>
            <w:top w:w="0" w:type="dxa"/>
            <w:left w:w="0" w:type="dxa"/>
            <w:bottom w:w="0" w:type="dxa"/>
            <w:right w:w="0" w:type="dxa"/>
          </w:tblCellMar>
        </w:tblPrEx>
        <w:trPr>
          <w:trHeight w:val="903" w:hRule="atLeast"/>
          <w:jc w:val="center"/>
        </w:trPr>
        <w:tc>
          <w:tcPr>
            <w:tcW w:w="1807" w:type="dxa"/>
            <w:gridSpan w:val="2"/>
            <w:tcBorders>
              <w:top w:val="single" w:color="000000" w:sz="4" w:space="0"/>
              <w:left w:val="single" w:color="000000" w:sz="4" w:space="0"/>
              <w:bottom w:val="single" w:color="000000" w:sz="4" w:space="0"/>
              <w:right w:val="single" w:color="000000" w:sz="4" w:space="0"/>
            </w:tcBorders>
            <w:vAlign w:val="center"/>
          </w:tcPr>
          <w:p w14:paraId="09BC4BAA">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3509" w:type="dxa"/>
            <w:gridSpan w:val="4"/>
            <w:tcBorders>
              <w:top w:val="single" w:color="000000" w:sz="4" w:space="0"/>
              <w:left w:val="nil"/>
              <w:bottom w:val="single" w:color="000000" w:sz="4" w:space="0"/>
              <w:right w:val="single" w:color="000000" w:sz="4" w:space="0"/>
            </w:tcBorders>
            <w:vAlign w:val="center"/>
          </w:tcPr>
          <w:p w14:paraId="17AF747A">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1293" w:type="dxa"/>
            <w:tcBorders>
              <w:top w:val="single" w:color="000000" w:sz="4" w:space="0"/>
              <w:left w:val="nil"/>
              <w:bottom w:val="single" w:color="000000" w:sz="4" w:space="0"/>
              <w:right w:val="single" w:color="000000" w:sz="4" w:space="0"/>
            </w:tcBorders>
            <w:vAlign w:val="center"/>
          </w:tcPr>
          <w:p w14:paraId="41143D3E">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2359" w:type="dxa"/>
            <w:gridSpan w:val="2"/>
            <w:tcBorders>
              <w:top w:val="single" w:color="000000" w:sz="4" w:space="0"/>
              <w:left w:val="nil"/>
              <w:bottom w:val="single" w:color="000000" w:sz="4" w:space="0"/>
              <w:right w:val="single" w:color="000000" w:sz="4" w:space="0"/>
            </w:tcBorders>
            <w:vAlign w:val="center"/>
          </w:tcPr>
          <w:p w14:paraId="407E53F5">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r>
      <w:tr w14:paraId="33773412">
        <w:tblPrEx>
          <w:tblCellMar>
            <w:top w:w="0" w:type="dxa"/>
            <w:left w:w="0" w:type="dxa"/>
            <w:bottom w:w="0" w:type="dxa"/>
            <w:right w:w="0" w:type="dxa"/>
          </w:tblCellMar>
        </w:tblPrEx>
        <w:trPr>
          <w:trHeight w:val="903" w:hRule="atLeast"/>
          <w:jc w:val="center"/>
        </w:trPr>
        <w:tc>
          <w:tcPr>
            <w:tcW w:w="1807" w:type="dxa"/>
            <w:gridSpan w:val="2"/>
            <w:tcBorders>
              <w:top w:val="single" w:color="000000" w:sz="4" w:space="0"/>
              <w:left w:val="single" w:color="000000" w:sz="4" w:space="0"/>
              <w:bottom w:val="single" w:color="000000" w:sz="4" w:space="0"/>
              <w:right w:val="single" w:color="000000" w:sz="4" w:space="0"/>
            </w:tcBorders>
            <w:vAlign w:val="center"/>
          </w:tcPr>
          <w:p w14:paraId="29B45A46">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3509" w:type="dxa"/>
            <w:gridSpan w:val="4"/>
            <w:tcBorders>
              <w:top w:val="single" w:color="000000" w:sz="4" w:space="0"/>
              <w:left w:val="nil"/>
              <w:bottom w:val="single" w:color="000000" w:sz="4" w:space="0"/>
              <w:right w:val="single" w:color="000000" w:sz="4" w:space="0"/>
            </w:tcBorders>
            <w:vAlign w:val="center"/>
          </w:tcPr>
          <w:p w14:paraId="06F7F844">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1293" w:type="dxa"/>
            <w:tcBorders>
              <w:top w:val="single" w:color="000000" w:sz="4" w:space="0"/>
              <w:left w:val="nil"/>
              <w:bottom w:val="single" w:color="000000" w:sz="4" w:space="0"/>
              <w:right w:val="single" w:color="000000" w:sz="4" w:space="0"/>
            </w:tcBorders>
            <w:vAlign w:val="center"/>
          </w:tcPr>
          <w:p w14:paraId="71FBEB18">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2359" w:type="dxa"/>
            <w:gridSpan w:val="2"/>
            <w:tcBorders>
              <w:top w:val="single" w:color="000000" w:sz="4" w:space="0"/>
              <w:left w:val="nil"/>
              <w:bottom w:val="single" w:color="000000" w:sz="4" w:space="0"/>
              <w:right w:val="single" w:color="000000" w:sz="4" w:space="0"/>
            </w:tcBorders>
            <w:vAlign w:val="center"/>
          </w:tcPr>
          <w:p w14:paraId="6876DFDE">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r>
      <w:tr w14:paraId="108DDC4A">
        <w:tblPrEx>
          <w:tblCellMar>
            <w:top w:w="0" w:type="dxa"/>
            <w:left w:w="0" w:type="dxa"/>
            <w:bottom w:w="0" w:type="dxa"/>
            <w:right w:w="0" w:type="dxa"/>
          </w:tblCellMar>
        </w:tblPrEx>
        <w:trPr>
          <w:trHeight w:val="903" w:hRule="atLeast"/>
          <w:jc w:val="center"/>
        </w:trPr>
        <w:tc>
          <w:tcPr>
            <w:tcW w:w="1807" w:type="dxa"/>
            <w:gridSpan w:val="2"/>
            <w:tcBorders>
              <w:top w:val="single" w:color="000000" w:sz="4" w:space="0"/>
              <w:left w:val="single" w:color="000000" w:sz="4" w:space="0"/>
              <w:bottom w:val="single" w:color="000000" w:sz="4" w:space="0"/>
              <w:right w:val="single" w:color="000000" w:sz="4" w:space="0"/>
            </w:tcBorders>
            <w:vAlign w:val="center"/>
          </w:tcPr>
          <w:p w14:paraId="7F156A01">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3509" w:type="dxa"/>
            <w:gridSpan w:val="4"/>
            <w:tcBorders>
              <w:top w:val="single" w:color="000000" w:sz="4" w:space="0"/>
              <w:left w:val="nil"/>
              <w:bottom w:val="single" w:color="000000" w:sz="4" w:space="0"/>
              <w:right w:val="single" w:color="000000" w:sz="4" w:space="0"/>
            </w:tcBorders>
            <w:vAlign w:val="center"/>
          </w:tcPr>
          <w:p w14:paraId="7390B5E6">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1293" w:type="dxa"/>
            <w:tcBorders>
              <w:top w:val="single" w:color="000000" w:sz="4" w:space="0"/>
              <w:left w:val="nil"/>
              <w:bottom w:val="single" w:color="000000" w:sz="4" w:space="0"/>
              <w:right w:val="single" w:color="000000" w:sz="4" w:space="0"/>
            </w:tcBorders>
            <w:vAlign w:val="center"/>
          </w:tcPr>
          <w:p w14:paraId="119F3D68">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2359" w:type="dxa"/>
            <w:gridSpan w:val="2"/>
            <w:tcBorders>
              <w:top w:val="single" w:color="000000" w:sz="4" w:space="0"/>
              <w:left w:val="nil"/>
              <w:bottom w:val="single" w:color="000000" w:sz="4" w:space="0"/>
              <w:right w:val="single" w:color="000000" w:sz="4" w:space="0"/>
            </w:tcBorders>
            <w:vAlign w:val="center"/>
          </w:tcPr>
          <w:p w14:paraId="25037435">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r>
    </w:tbl>
    <w:p w14:paraId="2D48BDDA">
      <w:pPr>
        <w:pStyle w:val="19"/>
        <w:jc w:val="center"/>
        <w:rPr>
          <w:rFonts w:ascii="宋体" w:hAnsi="宋体"/>
          <w:b/>
          <w:bCs/>
          <w:color w:val="auto"/>
          <w:highlight w:val="none"/>
        </w:rPr>
      </w:pPr>
      <w:bookmarkStart w:id="395" w:name="_Toc5849"/>
      <w:bookmarkStart w:id="396" w:name="_Toc8890"/>
      <w:r>
        <w:rPr>
          <w:rFonts w:hint="eastAsia" w:ascii="宋体" w:hAnsi="宋体" w:eastAsia="宋体" w:cs="宋体"/>
          <w:b/>
          <w:bCs/>
          <w:color w:val="auto"/>
          <w:kern w:val="0"/>
          <w:szCs w:val="28"/>
          <w:highlight w:val="none"/>
          <w:lang w:bidi="zh-CN"/>
        </w:rPr>
        <w:br w:type="page"/>
      </w:r>
      <w:r>
        <w:rPr>
          <w:rFonts w:hint="eastAsia" w:ascii="宋体" w:hAnsi="宋体" w:eastAsia="宋体" w:cs="宋体"/>
          <w:b/>
          <w:bCs/>
          <w:color w:val="auto"/>
          <w:kern w:val="0"/>
          <w:szCs w:val="28"/>
          <w:highlight w:val="none"/>
          <w:lang w:bidi="zh-CN"/>
        </w:rPr>
        <w:t>九</w:t>
      </w:r>
      <w:r>
        <w:rPr>
          <w:rFonts w:hint="eastAsia" w:ascii="宋体" w:hAnsi="宋体" w:eastAsia="宋体" w:cs="宋体"/>
          <w:b/>
          <w:bCs/>
          <w:color w:val="auto"/>
          <w:kern w:val="0"/>
          <w:szCs w:val="28"/>
          <w:highlight w:val="none"/>
          <w:lang w:val="zh-CN" w:bidi="zh-CN"/>
        </w:rPr>
        <w:t>、供应商认为需要提供的其他资料</w:t>
      </w:r>
      <w:bookmarkEnd w:id="395"/>
      <w:bookmarkEnd w:id="396"/>
    </w:p>
    <w:p w14:paraId="5AA82C29">
      <w:pPr>
        <w:shd w:val="clear" w:color="auto" w:fill="FFFFFF"/>
        <w:tabs>
          <w:tab w:val="right" w:pos="6077"/>
        </w:tabs>
        <w:autoSpaceDE w:val="0"/>
        <w:autoSpaceDN w:val="0"/>
        <w:spacing w:line="560" w:lineRule="exact"/>
        <w:ind w:firstLine="1606" w:firstLineChars="500"/>
        <w:rPr>
          <w:rFonts w:ascii="宋体" w:hAnsi="宋体" w:cs="宋体"/>
          <w:b/>
          <w:bCs/>
          <w:color w:val="auto"/>
          <w:sz w:val="32"/>
          <w:szCs w:val="32"/>
          <w:highlight w:val="none"/>
        </w:rPr>
      </w:pPr>
    </w:p>
    <w:p w14:paraId="00B3042E">
      <w:pPr>
        <w:shd w:val="clear" w:color="auto" w:fill="FFFFFF"/>
        <w:tabs>
          <w:tab w:val="right" w:pos="6077"/>
        </w:tabs>
        <w:autoSpaceDE w:val="0"/>
        <w:autoSpaceDN w:val="0"/>
        <w:spacing w:line="560" w:lineRule="exact"/>
        <w:ind w:firstLine="1606" w:firstLineChars="500"/>
        <w:rPr>
          <w:rFonts w:ascii="宋体" w:hAnsi="宋体" w:cs="宋体"/>
          <w:b/>
          <w:bCs/>
          <w:color w:val="auto"/>
          <w:sz w:val="32"/>
          <w:szCs w:val="32"/>
          <w:highlight w:val="none"/>
        </w:rPr>
      </w:pPr>
    </w:p>
    <w:p w14:paraId="6EB3FFAC">
      <w:pPr>
        <w:shd w:val="clear" w:color="auto" w:fill="FFFFFF"/>
        <w:tabs>
          <w:tab w:val="right" w:pos="6077"/>
        </w:tabs>
        <w:autoSpaceDE w:val="0"/>
        <w:autoSpaceDN w:val="0"/>
        <w:spacing w:line="560" w:lineRule="exact"/>
        <w:ind w:firstLine="1606" w:firstLineChars="500"/>
        <w:rPr>
          <w:rFonts w:ascii="宋体" w:hAnsi="宋体" w:cs="宋体"/>
          <w:b/>
          <w:bCs/>
          <w:color w:val="auto"/>
          <w:sz w:val="32"/>
          <w:szCs w:val="32"/>
          <w:highlight w:val="none"/>
        </w:rPr>
      </w:pPr>
    </w:p>
    <w:p w14:paraId="0A6454B6">
      <w:pPr>
        <w:shd w:val="clear" w:color="auto" w:fill="FFFFFF"/>
        <w:tabs>
          <w:tab w:val="right" w:pos="6077"/>
        </w:tabs>
        <w:autoSpaceDE w:val="0"/>
        <w:autoSpaceDN w:val="0"/>
        <w:spacing w:line="560" w:lineRule="exact"/>
        <w:ind w:firstLine="1606" w:firstLineChars="500"/>
        <w:rPr>
          <w:rFonts w:ascii="宋体" w:hAnsi="宋体" w:cs="宋体"/>
          <w:b/>
          <w:bCs/>
          <w:color w:val="auto"/>
          <w:sz w:val="32"/>
          <w:szCs w:val="32"/>
          <w:highlight w:val="none"/>
        </w:rPr>
      </w:pPr>
    </w:p>
    <w:bookmarkEnd w:id="387"/>
    <w:bookmarkEnd w:id="388"/>
    <w:bookmarkEnd w:id="389"/>
    <w:bookmarkEnd w:id="390"/>
    <w:bookmarkEnd w:id="391"/>
    <w:bookmarkEnd w:id="392"/>
    <w:p w14:paraId="4612866F">
      <w:pPr>
        <w:widowControl/>
        <w:spacing w:line="360" w:lineRule="auto"/>
        <w:jc w:val="left"/>
        <w:rPr>
          <w:rFonts w:ascii="宋体" w:hAnsi="宋体" w:cs="宋体"/>
          <w:b/>
          <w:bCs/>
          <w:color w:val="auto"/>
          <w:sz w:val="32"/>
          <w:szCs w:val="32"/>
          <w:highlight w:val="none"/>
        </w:rPr>
      </w:pPr>
      <w:r>
        <w:rPr>
          <w:rFonts w:hint="eastAsia" w:ascii="宋体" w:hAnsi="宋体" w:cs="宋体"/>
          <w:color w:val="auto"/>
          <w:highlight w:val="none"/>
        </w:rPr>
        <w:br w:type="page"/>
      </w:r>
      <w:bookmarkStart w:id="397" w:name="_Hlk136874878"/>
      <w:r>
        <w:rPr>
          <w:rFonts w:hint="eastAsia" w:ascii="宋体" w:hAnsi="宋体" w:cs="宋体"/>
          <w:b/>
          <w:bCs/>
          <w:color w:val="auto"/>
          <w:sz w:val="32"/>
          <w:szCs w:val="32"/>
          <w:highlight w:val="none"/>
        </w:rPr>
        <w:t>附件：</w:t>
      </w:r>
    </w:p>
    <w:p w14:paraId="4FBC32A1">
      <w:pPr>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满足《中华人民共和国政府采购法》第二十二条规定的承诺书</w:t>
      </w:r>
    </w:p>
    <w:p w14:paraId="01EF3052">
      <w:pPr>
        <w:spacing w:line="360" w:lineRule="auto"/>
        <w:rPr>
          <w:rFonts w:ascii="宋体" w:hAnsi="宋体" w:cs="宋体"/>
          <w:color w:val="auto"/>
          <w:sz w:val="24"/>
          <w:highlight w:val="none"/>
        </w:rPr>
      </w:pPr>
      <w:r>
        <w:rPr>
          <w:rFonts w:hint="eastAsia" w:ascii="宋体" w:hAnsi="宋体" w:cs="宋体"/>
          <w:color w:val="auto"/>
          <w:sz w:val="24"/>
          <w:highlight w:val="none"/>
        </w:rPr>
        <w:t>致（采购单位）：</w:t>
      </w:r>
    </w:p>
    <w:p w14:paraId="501D677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我单位自愿参加本次采购活动，严格遵守《中华人民共和国政府采购法》及相关法律法规，依法诚信经营，依法遵守本次政府采购活动的各项规定。我单位郑重承诺声明如下：</w:t>
      </w:r>
    </w:p>
    <w:p w14:paraId="1318455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一、我单位全称为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，注册地点为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，统一社会信用代码为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法定代表人（主要负责人）为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联系方式为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2528C8B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二、我单位具有独立承担民事责任的能力(如分公司参加投标的，其民事责任由总公司承担)。</w:t>
      </w:r>
    </w:p>
    <w:p w14:paraId="28A7D69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三、我单位具有良好的商业信誉和健全的财务会计制度。 </w:t>
      </w:r>
    </w:p>
    <w:p w14:paraId="49E1143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四、我单位具有履行合同所必需的设备和专业技术能力。 </w:t>
      </w:r>
    </w:p>
    <w:p w14:paraId="5AD21B6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五、我单位有依法缴纳税收和社会保障资金的良好记录。</w:t>
      </w:r>
    </w:p>
    <w:p w14:paraId="49726E46">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六、我单位参加政府采购活动前三年内，在经营活动中没有重大违法记录。（重大违法记录，是指供应商因违法经营受到刑事处罚或者责令停产停业、吊销许可证或者执照、较大数额罚款等行政处罚。）</w:t>
      </w:r>
    </w:p>
    <w:p w14:paraId="45FD592F">
      <w:pPr>
        <w:spacing w:line="360" w:lineRule="auto"/>
        <w:ind w:firstLine="480" w:firstLineChars="200"/>
        <w:rPr>
          <w:rFonts w:ascii="宋体" w:hAnsi="宋体" w:cs="宋体"/>
          <w:color w:val="auto"/>
          <w:sz w:val="24"/>
          <w:highlight w:val="none"/>
        </w:rPr>
      </w:pPr>
      <w:bookmarkStart w:id="398" w:name="_Toc27798"/>
      <w:bookmarkStart w:id="399" w:name="_Toc4968"/>
      <w:bookmarkStart w:id="400" w:name="_Toc12051"/>
      <w:r>
        <w:rPr>
          <w:rFonts w:hint="eastAsia" w:ascii="宋体" w:hAnsi="宋体" w:cs="宋体"/>
          <w:color w:val="auto"/>
          <w:sz w:val="24"/>
          <w:highlight w:val="none"/>
        </w:rPr>
        <w:t>七、我单位具备法律、行政法规规定的其他条件。</w:t>
      </w:r>
      <w:bookmarkEnd w:id="398"/>
      <w:bookmarkEnd w:id="399"/>
      <w:bookmarkEnd w:id="400"/>
    </w:p>
    <w:p w14:paraId="23532D2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我单位保证上述声明的事项都是真实的，符合《中华人民共和国政府采购法》规定的供应商资格条件。如有弄虚作假，我单位愿意按照“提供虚假材料谋取中标”承担相应的法律责任，同意将违背承诺行为作为失信行为记录到社会信用信息平台，并承担因此所造成的一切损失。</w:t>
      </w:r>
    </w:p>
    <w:p w14:paraId="48F8EDAA">
      <w:pPr>
        <w:autoSpaceDE w:val="0"/>
        <w:autoSpaceDN w:val="0"/>
        <w:adjustRightInd w:val="0"/>
        <w:spacing w:line="360" w:lineRule="auto"/>
        <w:ind w:right="315"/>
        <w:textAlignment w:val="baseline"/>
        <w:rPr>
          <w:rFonts w:ascii="宋体" w:hAnsi="宋体" w:cs="宋体"/>
          <w:color w:val="auto"/>
          <w:kern w:val="0"/>
          <w:sz w:val="24"/>
          <w:highlight w:val="none"/>
        </w:rPr>
      </w:pPr>
      <w:r>
        <w:rPr>
          <w:rFonts w:hint="eastAsia" w:ascii="宋体" w:hAnsi="宋体" w:cs="宋体"/>
          <w:color w:val="auto"/>
          <w:kern w:val="0"/>
          <w:sz w:val="24"/>
          <w:highlight w:val="none"/>
        </w:rPr>
        <w:t>供应商：</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（电子签章）</w:t>
      </w:r>
    </w:p>
    <w:p w14:paraId="10C27631">
      <w:pPr>
        <w:autoSpaceDE w:val="0"/>
        <w:autoSpaceDN w:val="0"/>
        <w:adjustRightInd w:val="0"/>
        <w:spacing w:line="360" w:lineRule="auto"/>
        <w:ind w:right="315"/>
        <w:textAlignment w:val="baseline"/>
        <w:rPr>
          <w:rFonts w:ascii="宋体" w:hAnsi="宋体" w:cs="宋体"/>
          <w:color w:val="auto"/>
          <w:kern w:val="0"/>
          <w:sz w:val="24"/>
          <w:highlight w:val="none"/>
          <w:u w:val="single"/>
        </w:rPr>
      </w:pPr>
      <w:r>
        <w:rPr>
          <w:rFonts w:hint="eastAsia" w:ascii="宋体" w:hAnsi="宋体" w:cs="宋体"/>
          <w:color w:val="auto"/>
          <w:kern w:val="0"/>
          <w:sz w:val="24"/>
          <w:highlight w:val="none"/>
        </w:rPr>
        <w:t>法定代表人或其委托代理人：</w:t>
      </w:r>
      <w:r>
        <w:rPr>
          <w:rFonts w:hint="eastAsia" w:ascii="宋体" w:hAnsi="宋体" w:cs="宋体"/>
          <w:color w:val="auto"/>
          <w:kern w:val="0"/>
          <w:sz w:val="24"/>
          <w:highlight w:val="none"/>
          <w:u w:val="single"/>
        </w:rPr>
        <w:t xml:space="preserve">          （</w:t>
      </w:r>
      <w:r>
        <w:rPr>
          <w:rFonts w:hint="eastAsia" w:ascii="宋体" w:hAnsi="宋体" w:cs="宋体"/>
          <w:color w:val="auto"/>
          <w:sz w:val="24"/>
          <w:highlight w:val="none"/>
        </w:rPr>
        <w:t>电子签章或签字</w:t>
      </w:r>
      <w:r>
        <w:rPr>
          <w:rFonts w:hint="eastAsia" w:ascii="宋体" w:hAnsi="宋体" w:cs="宋体"/>
          <w:color w:val="auto"/>
          <w:kern w:val="0"/>
          <w:sz w:val="24"/>
          <w:highlight w:val="none"/>
        </w:rPr>
        <w:t>）</w:t>
      </w:r>
    </w:p>
    <w:p w14:paraId="0F3CEAB4">
      <w:pPr>
        <w:autoSpaceDE w:val="0"/>
        <w:autoSpaceDN w:val="0"/>
        <w:adjustRightInd w:val="0"/>
        <w:spacing w:line="360" w:lineRule="auto"/>
        <w:textAlignment w:val="baseline"/>
        <w:rPr>
          <w:rFonts w:ascii="宋体" w:hAnsi="宋体" w:cs="宋体"/>
          <w:color w:val="auto"/>
          <w:kern w:val="0"/>
          <w:sz w:val="24"/>
          <w:highlight w:val="none"/>
        </w:rPr>
      </w:pPr>
      <w:r>
        <w:rPr>
          <w:rFonts w:hint="eastAsia" w:ascii="宋体" w:hAnsi="宋体" w:cs="宋体"/>
          <w:color w:val="auto"/>
          <w:kern w:val="0"/>
          <w:sz w:val="24"/>
          <w:highlight w:val="none"/>
        </w:rPr>
        <w:t>日期：</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年</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月</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日</w:t>
      </w:r>
    </w:p>
    <w:p w14:paraId="2F04B802">
      <w:pPr>
        <w:spacing w:line="360" w:lineRule="auto"/>
        <w:rPr>
          <w:rFonts w:ascii="宋体" w:hAnsi="宋体" w:cs="宋体"/>
          <w:color w:val="auto"/>
          <w:sz w:val="24"/>
          <w:highlight w:val="none"/>
        </w:rPr>
      </w:pPr>
      <w:r>
        <w:rPr>
          <w:rFonts w:hint="eastAsia" w:ascii="宋体" w:hAnsi="宋体" w:cs="宋体"/>
          <w:color w:val="auto"/>
          <w:sz w:val="24"/>
          <w:highlight w:val="none"/>
        </w:rPr>
        <w:t>注：1.供应商须在投标文件中按此模板提供承诺函，未提供视为未实质性响应招标文件要求，按无效投标处理。</w:t>
      </w:r>
    </w:p>
    <w:p w14:paraId="6313FC8A">
      <w:pPr>
        <w:numPr>
          <w:ilvl w:val="0"/>
          <w:numId w:val="10"/>
        </w:numPr>
        <w:spacing w:line="360" w:lineRule="auto"/>
        <w:rPr>
          <w:rFonts w:ascii="宋体" w:hAnsi="宋体" w:cs="宋体"/>
          <w:color w:val="auto"/>
          <w:sz w:val="24"/>
          <w:highlight w:val="none"/>
        </w:rPr>
      </w:pPr>
      <w:r>
        <w:rPr>
          <w:rFonts w:hint="eastAsia" w:ascii="宋体" w:hAnsi="宋体" w:cs="宋体"/>
          <w:color w:val="auto"/>
          <w:sz w:val="24"/>
          <w:highlight w:val="none"/>
        </w:rPr>
        <w:t>供应商的法定代表人（主要负责人）或者授权代表的签字或盖章应真实、有效。</w:t>
      </w:r>
      <w:bookmarkEnd w:id="397"/>
    </w:p>
    <w:p w14:paraId="10CC35D8">
      <w:pPr>
        <w:spacing w:line="360" w:lineRule="auto"/>
        <w:jc w:val="center"/>
        <w:rPr>
          <w:rFonts w:ascii="宋体" w:hAnsi="宋体" w:cs="宋体"/>
          <w:bCs/>
          <w:color w:val="auto"/>
          <w:kern w:val="0"/>
          <w:sz w:val="18"/>
          <w:szCs w:val="18"/>
          <w:highlight w:val="none"/>
        </w:rPr>
      </w:pPr>
      <w:r>
        <w:rPr>
          <w:rFonts w:hint="eastAsia" w:ascii="宋体" w:hAnsi="宋体" w:cs="宋体"/>
          <w:b/>
          <w:color w:val="auto"/>
          <w:sz w:val="32"/>
          <w:szCs w:val="32"/>
          <w:highlight w:val="none"/>
        </w:rPr>
        <w:br w:type="page"/>
      </w:r>
      <w:r>
        <w:rPr>
          <w:rFonts w:hint="eastAsia" w:ascii="宋体" w:hAnsi="宋体" w:cs="宋体"/>
          <w:b/>
          <w:color w:val="auto"/>
          <w:kern w:val="0"/>
          <w:sz w:val="24"/>
          <w:szCs w:val="28"/>
          <w:highlight w:val="none"/>
        </w:rPr>
        <w:t>1、中小企业声明函（服务）</w:t>
      </w:r>
    </w:p>
    <w:p w14:paraId="053A4EAD">
      <w:pPr>
        <w:spacing w:line="360" w:lineRule="auto"/>
        <w:ind w:firstLine="638" w:firstLineChars="266"/>
        <w:rPr>
          <w:rFonts w:ascii="宋体" w:hAnsi="宋体" w:cs="宋体"/>
          <w:bCs/>
          <w:color w:val="auto"/>
          <w:kern w:val="0"/>
          <w:sz w:val="24"/>
          <w:highlight w:val="none"/>
        </w:rPr>
      </w:pPr>
      <w:r>
        <w:rPr>
          <w:rFonts w:hint="eastAsia" w:ascii="宋体" w:hAnsi="宋体" w:cs="宋体"/>
          <w:bCs/>
          <w:color w:val="auto"/>
          <w:kern w:val="0"/>
          <w:sz w:val="24"/>
          <w:highlight w:val="none"/>
        </w:rPr>
        <w:t>本公司（联合体）郑重声明，根据《政府采购促进中小企业发展管理办法》（财库﹝2020﹞46 号）的规定，本公司（联合体）参加</w:t>
      </w:r>
      <w:r>
        <w:rPr>
          <w:rFonts w:hint="eastAsia" w:ascii="宋体" w:hAnsi="宋体" w:cs="宋体"/>
          <w:bCs/>
          <w:color w:val="auto"/>
          <w:kern w:val="0"/>
          <w:sz w:val="24"/>
          <w:highlight w:val="none"/>
          <w:u w:val="single"/>
        </w:rPr>
        <w:t>（单位名称）</w:t>
      </w:r>
      <w:r>
        <w:rPr>
          <w:rFonts w:hint="eastAsia" w:ascii="宋体" w:hAnsi="宋体" w:cs="宋体"/>
          <w:bCs/>
          <w:color w:val="auto"/>
          <w:kern w:val="0"/>
          <w:sz w:val="24"/>
          <w:highlight w:val="none"/>
        </w:rPr>
        <w:t>的</w:t>
      </w:r>
      <w:r>
        <w:rPr>
          <w:rFonts w:hint="eastAsia" w:ascii="宋体" w:hAnsi="宋体" w:cs="宋体"/>
          <w:bCs/>
          <w:color w:val="auto"/>
          <w:kern w:val="0"/>
          <w:sz w:val="24"/>
          <w:highlight w:val="none"/>
          <w:u w:val="single"/>
        </w:rPr>
        <w:t>（项目名称）</w:t>
      </w:r>
      <w:r>
        <w:rPr>
          <w:rFonts w:hint="eastAsia" w:ascii="宋体" w:hAnsi="宋体" w:cs="宋体"/>
          <w:bCs/>
          <w:color w:val="auto"/>
          <w:kern w:val="0"/>
          <w:sz w:val="24"/>
          <w:highlight w:val="none"/>
        </w:rPr>
        <w:t>采购活动，服务全部由符合政策要求的中小企业承接。相关企业（含联合体中的中小企业、签订分包意向协议的中小企业）的具体情况如下：</w:t>
      </w:r>
    </w:p>
    <w:p w14:paraId="28E906F6">
      <w:pPr>
        <w:spacing w:line="360" w:lineRule="auto"/>
        <w:ind w:firstLine="638" w:firstLineChars="266"/>
        <w:rPr>
          <w:rFonts w:ascii="宋体" w:hAnsi="宋体" w:cs="宋体"/>
          <w:bCs/>
          <w:color w:val="auto"/>
          <w:kern w:val="0"/>
          <w:sz w:val="24"/>
          <w:highlight w:val="none"/>
        </w:rPr>
      </w:pPr>
      <w:r>
        <w:rPr>
          <w:rFonts w:hint="eastAsia" w:ascii="宋体" w:hAnsi="宋体" w:cs="宋体"/>
          <w:bCs/>
          <w:color w:val="auto"/>
          <w:kern w:val="0"/>
          <w:sz w:val="24"/>
          <w:highlight w:val="none"/>
        </w:rPr>
        <w:t xml:space="preserve">1. </w:t>
      </w:r>
      <w:r>
        <w:rPr>
          <w:rFonts w:hint="eastAsia" w:ascii="宋体" w:hAnsi="宋体" w:cs="宋体"/>
          <w:bCs/>
          <w:color w:val="auto"/>
          <w:kern w:val="0"/>
          <w:sz w:val="24"/>
          <w:highlight w:val="none"/>
          <w:u w:val="single"/>
        </w:rPr>
        <w:t>（标的名称）</w:t>
      </w:r>
      <w:r>
        <w:rPr>
          <w:rFonts w:hint="eastAsia" w:ascii="宋体" w:hAnsi="宋体" w:cs="宋体"/>
          <w:bCs/>
          <w:color w:val="auto"/>
          <w:kern w:val="0"/>
          <w:sz w:val="24"/>
          <w:highlight w:val="none"/>
        </w:rPr>
        <w:t xml:space="preserve"> ，属于</w:t>
      </w:r>
      <w:r>
        <w:rPr>
          <w:rFonts w:hint="eastAsia" w:ascii="宋体" w:hAnsi="宋体" w:cs="宋体"/>
          <w:bCs/>
          <w:color w:val="auto"/>
          <w:kern w:val="0"/>
          <w:sz w:val="24"/>
          <w:highlight w:val="none"/>
          <w:u w:val="single"/>
        </w:rPr>
        <w:t>（采购文件中明确的所属行业）</w:t>
      </w:r>
      <w:r>
        <w:rPr>
          <w:rFonts w:hint="eastAsia" w:ascii="宋体" w:hAnsi="宋体" w:cs="宋体"/>
          <w:bCs/>
          <w:color w:val="auto"/>
          <w:kern w:val="0"/>
          <w:sz w:val="24"/>
          <w:highlight w:val="none"/>
        </w:rPr>
        <w:t>行业；承建（承接）企业为</w:t>
      </w:r>
      <w:r>
        <w:rPr>
          <w:rFonts w:hint="eastAsia" w:ascii="宋体" w:hAnsi="宋体" w:cs="宋体"/>
          <w:bCs/>
          <w:color w:val="auto"/>
          <w:kern w:val="0"/>
          <w:sz w:val="24"/>
          <w:highlight w:val="none"/>
          <w:u w:val="single"/>
        </w:rPr>
        <w:t>（企业名称）</w:t>
      </w:r>
      <w:r>
        <w:rPr>
          <w:rFonts w:hint="eastAsia" w:ascii="宋体" w:hAnsi="宋体" w:cs="宋体"/>
          <w:bCs/>
          <w:color w:val="auto"/>
          <w:kern w:val="0"/>
          <w:sz w:val="24"/>
          <w:highlight w:val="none"/>
        </w:rPr>
        <w:t>，从业人员人，营业收入为万元，资产总额为万元，属于（中型企业、小型企业、微型企业）；</w:t>
      </w:r>
    </w:p>
    <w:p w14:paraId="0EBCC31E">
      <w:pPr>
        <w:spacing w:line="360" w:lineRule="auto"/>
        <w:ind w:firstLine="638" w:firstLineChars="266"/>
        <w:rPr>
          <w:rFonts w:ascii="宋体" w:hAnsi="宋体" w:cs="宋体"/>
          <w:bCs/>
          <w:color w:val="auto"/>
          <w:kern w:val="0"/>
          <w:sz w:val="24"/>
          <w:highlight w:val="none"/>
        </w:rPr>
      </w:pPr>
      <w:r>
        <w:rPr>
          <w:rFonts w:hint="eastAsia" w:ascii="宋体" w:hAnsi="宋体" w:cs="宋体"/>
          <w:bCs/>
          <w:color w:val="auto"/>
          <w:kern w:val="0"/>
          <w:sz w:val="24"/>
          <w:highlight w:val="none"/>
        </w:rPr>
        <w:t xml:space="preserve">2. </w:t>
      </w:r>
      <w:r>
        <w:rPr>
          <w:rFonts w:hint="eastAsia" w:ascii="宋体" w:hAnsi="宋体" w:cs="宋体"/>
          <w:bCs/>
          <w:color w:val="auto"/>
          <w:kern w:val="0"/>
          <w:sz w:val="24"/>
          <w:highlight w:val="none"/>
          <w:u w:val="single"/>
        </w:rPr>
        <w:t>（标的名称）</w:t>
      </w:r>
      <w:r>
        <w:rPr>
          <w:rFonts w:hint="eastAsia" w:ascii="宋体" w:hAnsi="宋体" w:cs="宋体"/>
          <w:bCs/>
          <w:color w:val="auto"/>
          <w:kern w:val="0"/>
          <w:sz w:val="24"/>
          <w:highlight w:val="none"/>
        </w:rPr>
        <w:t xml:space="preserve"> ，属于</w:t>
      </w:r>
      <w:r>
        <w:rPr>
          <w:rFonts w:hint="eastAsia" w:ascii="宋体" w:hAnsi="宋体" w:cs="宋体"/>
          <w:bCs/>
          <w:color w:val="auto"/>
          <w:kern w:val="0"/>
          <w:sz w:val="24"/>
          <w:highlight w:val="none"/>
          <w:u w:val="single"/>
        </w:rPr>
        <w:t>（采购文件中明确的所属行业）</w:t>
      </w:r>
      <w:r>
        <w:rPr>
          <w:rFonts w:hint="eastAsia" w:ascii="宋体" w:hAnsi="宋体" w:cs="宋体"/>
          <w:bCs/>
          <w:color w:val="auto"/>
          <w:kern w:val="0"/>
          <w:sz w:val="24"/>
          <w:highlight w:val="none"/>
        </w:rPr>
        <w:t>行业；承建（承接）企业为</w:t>
      </w:r>
      <w:r>
        <w:rPr>
          <w:rFonts w:hint="eastAsia" w:ascii="宋体" w:hAnsi="宋体" w:cs="宋体"/>
          <w:bCs/>
          <w:color w:val="auto"/>
          <w:kern w:val="0"/>
          <w:sz w:val="24"/>
          <w:highlight w:val="none"/>
          <w:u w:val="single"/>
        </w:rPr>
        <w:t>（企业名称）</w:t>
      </w:r>
      <w:r>
        <w:rPr>
          <w:rFonts w:hint="eastAsia" w:ascii="宋体" w:hAnsi="宋体" w:cs="宋体"/>
          <w:bCs/>
          <w:color w:val="auto"/>
          <w:kern w:val="0"/>
          <w:sz w:val="24"/>
          <w:highlight w:val="none"/>
        </w:rPr>
        <w:t>，从业人员人，营业收入为万元，资产总额为万元，属于（中型企业、小型企业、微型企业）；</w:t>
      </w:r>
    </w:p>
    <w:p w14:paraId="7A960EC4">
      <w:pPr>
        <w:spacing w:line="360" w:lineRule="auto"/>
        <w:ind w:firstLine="638" w:firstLineChars="266"/>
        <w:rPr>
          <w:rFonts w:ascii="宋体" w:hAnsi="宋体" w:cs="宋体"/>
          <w:bCs/>
          <w:color w:val="auto"/>
          <w:kern w:val="0"/>
          <w:sz w:val="24"/>
          <w:highlight w:val="none"/>
        </w:rPr>
      </w:pPr>
      <w:r>
        <w:rPr>
          <w:rFonts w:hint="eastAsia" w:ascii="宋体" w:hAnsi="宋体" w:cs="宋体"/>
          <w:bCs/>
          <w:color w:val="auto"/>
          <w:kern w:val="0"/>
          <w:sz w:val="24"/>
          <w:highlight w:val="none"/>
        </w:rPr>
        <w:t>……</w:t>
      </w:r>
    </w:p>
    <w:p w14:paraId="69C1703C">
      <w:pPr>
        <w:spacing w:line="360" w:lineRule="auto"/>
        <w:ind w:firstLine="638" w:firstLineChars="266"/>
        <w:rPr>
          <w:rFonts w:ascii="宋体" w:hAnsi="宋体" w:cs="宋体"/>
          <w:bCs/>
          <w:color w:val="auto"/>
          <w:kern w:val="0"/>
          <w:sz w:val="24"/>
          <w:highlight w:val="none"/>
        </w:rPr>
      </w:pPr>
      <w:r>
        <w:rPr>
          <w:rFonts w:hint="eastAsia" w:ascii="宋体" w:hAnsi="宋体" w:cs="宋体"/>
          <w:bCs/>
          <w:color w:val="auto"/>
          <w:kern w:val="0"/>
          <w:sz w:val="24"/>
          <w:highlight w:val="none"/>
        </w:rPr>
        <w:t>以上企业，不属于大企业的分支机构，不存在控股股东为大企业的情形，也不存在与大企业的负责人为同一人的情形。</w:t>
      </w:r>
    </w:p>
    <w:p w14:paraId="3CFB9187">
      <w:pPr>
        <w:spacing w:line="360" w:lineRule="auto"/>
        <w:ind w:firstLine="638" w:firstLineChars="266"/>
        <w:rPr>
          <w:rFonts w:ascii="宋体" w:hAnsi="宋体" w:cs="宋体"/>
          <w:bCs/>
          <w:color w:val="auto"/>
          <w:kern w:val="0"/>
          <w:sz w:val="24"/>
          <w:highlight w:val="none"/>
        </w:rPr>
      </w:pPr>
      <w:r>
        <w:rPr>
          <w:rFonts w:hint="eastAsia" w:ascii="宋体" w:hAnsi="宋体" w:cs="宋体"/>
          <w:bCs/>
          <w:color w:val="auto"/>
          <w:kern w:val="0"/>
          <w:sz w:val="24"/>
          <w:highlight w:val="none"/>
        </w:rPr>
        <w:t>本单位对上述声明内容的真实性负责。如有虚假，将依法承担相应责任。</w:t>
      </w:r>
    </w:p>
    <w:p w14:paraId="1A0AB8D1">
      <w:pPr>
        <w:spacing w:line="360" w:lineRule="auto"/>
        <w:rPr>
          <w:rFonts w:ascii="宋体" w:hAnsi="宋体" w:cs="宋体"/>
          <w:color w:val="auto"/>
          <w:sz w:val="24"/>
          <w:highlight w:val="none"/>
        </w:rPr>
      </w:pPr>
    </w:p>
    <w:p w14:paraId="2860FC6C">
      <w:pPr>
        <w:wordWrap w:val="0"/>
        <w:spacing w:line="360" w:lineRule="auto"/>
        <w:ind w:right="210" w:firstLine="360" w:firstLineChars="150"/>
        <w:jc w:val="right"/>
        <w:rPr>
          <w:rFonts w:ascii="宋体" w:hAnsi="宋体" w:cs="宋体"/>
          <w:bCs/>
          <w:color w:val="auto"/>
          <w:kern w:val="0"/>
          <w:sz w:val="24"/>
          <w:highlight w:val="none"/>
        </w:rPr>
      </w:pPr>
      <w:r>
        <w:rPr>
          <w:rFonts w:hint="eastAsia" w:ascii="宋体" w:hAnsi="宋体" w:cs="宋体"/>
          <w:bCs/>
          <w:color w:val="auto"/>
          <w:kern w:val="0"/>
          <w:sz w:val="24"/>
          <w:highlight w:val="none"/>
        </w:rPr>
        <w:t>企业名称（盖章）：</w:t>
      </w:r>
    </w:p>
    <w:p w14:paraId="2BC0948D">
      <w:pPr>
        <w:spacing w:line="360" w:lineRule="auto"/>
        <w:ind w:right="1260" w:firstLine="5760" w:firstLineChars="2400"/>
        <w:rPr>
          <w:rFonts w:ascii="宋体" w:hAnsi="宋体" w:cs="宋体"/>
          <w:bCs/>
          <w:color w:val="auto"/>
          <w:kern w:val="0"/>
          <w:sz w:val="24"/>
          <w:highlight w:val="none"/>
        </w:rPr>
      </w:pPr>
      <w:r>
        <w:rPr>
          <w:rFonts w:hint="eastAsia" w:ascii="宋体" w:hAnsi="宋体" w:cs="宋体"/>
          <w:bCs/>
          <w:color w:val="auto"/>
          <w:kern w:val="0"/>
          <w:sz w:val="24"/>
          <w:highlight w:val="none"/>
        </w:rPr>
        <w:t>日 期：</w:t>
      </w:r>
    </w:p>
    <w:p w14:paraId="160FAC7B">
      <w:pPr>
        <w:spacing w:line="360" w:lineRule="auto"/>
        <w:rPr>
          <w:rFonts w:ascii="宋体" w:hAnsi="宋体" w:cs="宋体"/>
          <w:color w:val="auto"/>
          <w:sz w:val="24"/>
          <w:highlight w:val="none"/>
        </w:rPr>
      </w:pPr>
    </w:p>
    <w:p w14:paraId="7258BA8E">
      <w:pPr>
        <w:spacing w:line="360" w:lineRule="auto"/>
        <w:ind w:firstLine="361" w:firstLineChars="150"/>
        <w:rPr>
          <w:rFonts w:ascii="宋体" w:hAnsi="宋体" w:cs="宋体"/>
          <w:b/>
          <w:bCs/>
          <w:color w:val="auto"/>
          <w:sz w:val="24"/>
          <w:highlight w:val="none"/>
        </w:rPr>
      </w:pPr>
      <w:r>
        <w:rPr>
          <w:rFonts w:hint="eastAsia" w:ascii="宋体" w:hAnsi="宋体" w:cs="宋体"/>
          <w:b/>
          <w:bCs/>
          <w:color w:val="auto"/>
          <w:sz w:val="24"/>
          <w:highlight w:val="none"/>
        </w:rPr>
        <w:t>注：1、从业人员、营业收入、资产总额填报上一年度数据，无上一年度数据的新成立企业可不填报。</w:t>
      </w:r>
    </w:p>
    <w:p w14:paraId="50F9CB8D">
      <w:pPr>
        <w:numPr>
          <w:ilvl w:val="0"/>
          <w:numId w:val="11"/>
        </w:numPr>
        <w:spacing w:line="360" w:lineRule="auto"/>
        <w:ind w:firstLine="361" w:firstLineChars="150"/>
        <w:rPr>
          <w:rFonts w:ascii="宋体" w:hAnsi="宋体" w:cs="宋体"/>
          <w:b/>
          <w:bCs/>
          <w:color w:val="auto"/>
          <w:sz w:val="24"/>
          <w:highlight w:val="none"/>
        </w:rPr>
      </w:pPr>
      <w:r>
        <w:rPr>
          <w:rFonts w:hint="eastAsia" w:ascii="宋体" w:hAnsi="宋体" w:cs="宋体"/>
          <w:b/>
          <w:bCs/>
          <w:color w:val="auto"/>
          <w:sz w:val="24"/>
          <w:highlight w:val="none"/>
        </w:rPr>
        <w:t>中小企业划分标准见工业和信息化部国家统计局国家发展和改革委员财政部《关于印发中小企业划型标准规定的通知》（工信部联企业【2011】300号）。</w:t>
      </w:r>
    </w:p>
    <w:p w14:paraId="1A02C4B4">
      <w:pPr>
        <w:spacing w:line="360" w:lineRule="auto"/>
        <w:jc w:val="center"/>
        <w:rPr>
          <w:rFonts w:ascii="宋体" w:hAnsi="宋体" w:cs="宋体"/>
          <w:b/>
          <w:bCs/>
          <w:color w:val="auto"/>
          <w:sz w:val="24"/>
          <w:highlight w:val="none"/>
        </w:rPr>
      </w:pPr>
      <w:bookmarkStart w:id="401" w:name="_Toc23107"/>
      <w:bookmarkEnd w:id="401"/>
      <w:bookmarkStart w:id="402" w:name="_Toc45"/>
      <w:bookmarkEnd w:id="402"/>
      <w:bookmarkStart w:id="403" w:name="_Toc15612"/>
      <w:bookmarkEnd w:id="403"/>
      <w:bookmarkStart w:id="404" w:name="_Toc14181"/>
      <w:bookmarkEnd w:id="404"/>
      <w:r>
        <w:rPr>
          <w:rFonts w:hint="eastAsia" w:ascii="宋体" w:hAnsi="宋体" w:cs="宋体"/>
          <w:b/>
          <w:bCs/>
          <w:color w:val="auto"/>
          <w:sz w:val="24"/>
          <w:highlight w:val="none"/>
        </w:rPr>
        <w:t>未按上述要求提供、填写的，评审时不予以考虑。（属于中小微企业的填写，不属于的无需填写此项内容）</w:t>
      </w:r>
    </w:p>
    <w:p w14:paraId="7740F71E">
      <w:pPr>
        <w:spacing w:line="360" w:lineRule="auto"/>
        <w:ind w:firstLine="482" w:firstLineChars="200"/>
        <w:rPr>
          <w:rFonts w:ascii="宋体" w:hAnsi="宋体" w:cs="宋体"/>
          <w:color w:val="auto"/>
          <w:sz w:val="24"/>
          <w:highlight w:val="none"/>
        </w:rPr>
      </w:pPr>
      <w:r>
        <w:rPr>
          <w:rFonts w:hint="eastAsia" w:ascii="宋体" w:hAnsi="宋体" w:cs="宋体"/>
          <w:b/>
          <w:bCs/>
          <w:color w:val="auto"/>
          <w:sz w:val="24"/>
          <w:highlight w:val="none"/>
        </w:rPr>
        <w:br w:type="page"/>
      </w:r>
      <w:r>
        <w:rPr>
          <w:rFonts w:hint="eastAsia" w:ascii="宋体" w:hAnsi="宋体" w:cs="宋体"/>
          <w:color w:val="auto"/>
          <w:sz w:val="24"/>
          <w:highlight w:val="none"/>
        </w:rPr>
        <w:drawing>
          <wp:inline distT="0" distB="0" distL="114300" distR="114300">
            <wp:extent cx="6085205" cy="8607425"/>
            <wp:effectExtent l="0" t="0" r="10795" b="3175"/>
            <wp:docPr id="2" name="图片 2" descr="工信部300号文关于印发中小企业划型标准规定的通知 （工信部联企业〔201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工信部300号文关于印发中小企业划型标准规定的通知 （工信部联企业〔2011..._01"/>
                    <pic:cNvPicPr>
                      <a:picLocks noChangeAspect="1"/>
                    </pic:cNvPicPr>
                  </pic:nvPicPr>
                  <pic:blipFill>
                    <a:blip r:embed="rId8"/>
                    <a:stretch>
                      <a:fillRect/>
                    </a:stretch>
                  </pic:blipFill>
                  <pic:spPr>
                    <a:xfrm>
                      <a:off x="0" y="0"/>
                      <a:ext cx="6085205" cy="8607425"/>
                    </a:xfrm>
                    <a:prstGeom prst="rect">
                      <a:avLst/>
                    </a:prstGeom>
                  </pic:spPr>
                </pic:pic>
              </a:graphicData>
            </a:graphic>
          </wp:inline>
        </w:drawing>
      </w:r>
      <w:r>
        <w:rPr>
          <w:rFonts w:hint="eastAsia" w:ascii="宋体" w:hAnsi="宋体" w:cs="宋体"/>
          <w:color w:val="auto"/>
          <w:sz w:val="24"/>
          <w:highlight w:val="none"/>
        </w:rPr>
        <w:drawing>
          <wp:inline distT="0" distB="0" distL="114300" distR="114300">
            <wp:extent cx="6085205" cy="8607425"/>
            <wp:effectExtent l="0" t="0" r="10795" b="3175"/>
            <wp:docPr id="4" name="图片 4" descr="工信部300号文关于印发中小企业划型标准规定的通知 （工信部联企业〔2011...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工信部300号文关于印发中小企业划型标准规定的通知 （工信部联企业〔2011..._02"/>
                    <pic:cNvPicPr>
                      <a:picLocks noChangeAspect="1"/>
                    </pic:cNvPicPr>
                  </pic:nvPicPr>
                  <pic:blipFill>
                    <a:blip r:embed="rId9"/>
                    <a:stretch>
                      <a:fillRect/>
                    </a:stretch>
                  </pic:blipFill>
                  <pic:spPr>
                    <a:xfrm>
                      <a:off x="0" y="0"/>
                      <a:ext cx="6085205" cy="8607425"/>
                    </a:xfrm>
                    <a:prstGeom prst="rect">
                      <a:avLst/>
                    </a:prstGeom>
                  </pic:spPr>
                </pic:pic>
              </a:graphicData>
            </a:graphic>
          </wp:inline>
        </w:drawing>
      </w:r>
      <w:r>
        <w:rPr>
          <w:rFonts w:hint="eastAsia" w:ascii="宋体" w:hAnsi="宋体" w:cs="宋体"/>
          <w:color w:val="auto"/>
          <w:sz w:val="24"/>
          <w:highlight w:val="none"/>
        </w:rPr>
        <w:drawing>
          <wp:inline distT="0" distB="0" distL="114300" distR="114300">
            <wp:extent cx="6085205" cy="8607425"/>
            <wp:effectExtent l="0" t="0" r="10795" b="3175"/>
            <wp:docPr id="5" name="图片 5" descr="工信部300号文关于印发中小企业划型标准规定的通知 （工信部联企业〔2011...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工信部300号文关于印发中小企业划型标准规定的通知 （工信部联企业〔2011..._03"/>
                    <pic:cNvPicPr>
                      <a:picLocks noChangeAspect="1"/>
                    </pic:cNvPicPr>
                  </pic:nvPicPr>
                  <pic:blipFill>
                    <a:blip r:embed="rId10"/>
                    <a:stretch>
                      <a:fillRect/>
                    </a:stretch>
                  </pic:blipFill>
                  <pic:spPr>
                    <a:xfrm>
                      <a:off x="0" y="0"/>
                      <a:ext cx="6085205" cy="8607425"/>
                    </a:xfrm>
                    <a:prstGeom prst="rect">
                      <a:avLst/>
                    </a:prstGeom>
                  </pic:spPr>
                </pic:pic>
              </a:graphicData>
            </a:graphic>
          </wp:inline>
        </w:drawing>
      </w:r>
      <w:r>
        <w:rPr>
          <w:rFonts w:hint="eastAsia" w:ascii="宋体" w:hAnsi="宋体" w:cs="宋体"/>
          <w:color w:val="auto"/>
          <w:sz w:val="24"/>
          <w:highlight w:val="none"/>
        </w:rPr>
        <w:drawing>
          <wp:inline distT="0" distB="0" distL="114300" distR="114300">
            <wp:extent cx="6085205" cy="8607425"/>
            <wp:effectExtent l="0" t="0" r="10795" b="3175"/>
            <wp:docPr id="6" name="图片 6" descr="工信部300号文关于印发中小企业划型标准规定的通知 （工信部联企业〔2011...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工信部300号文关于印发中小企业划型标准规定的通知 （工信部联企业〔2011..._04"/>
                    <pic:cNvPicPr>
                      <a:picLocks noChangeAspect="1"/>
                    </pic:cNvPicPr>
                  </pic:nvPicPr>
                  <pic:blipFill>
                    <a:blip r:embed="rId11"/>
                    <a:stretch>
                      <a:fillRect/>
                    </a:stretch>
                  </pic:blipFill>
                  <pic:spPr>
                    <a:xfrm>
                      <a:off x="0" y="0"/>
                      <a:ext cx="6085205" cy="8607425"/>
                    </a:xfrm>
                    <a:prstGeom prst="rect">
                      <a:avLst/>
                    </a:prstGeom>
                  </pic:spPr>
                </pic:pic>
              </a:graphicData>
            </a:graphic>
          </wp:inline>
        </w:drawing>
      </w:r>
    </w:p>
    <w:p w14:paraId="12552FEA">
      <w:pPr>
        <w:spacing w:line="360" w:lineRule="auto"/>
        <w:jc w:val="center"/>
        <w:rPr>
          <w:rFonts w:ascii="宋体" w:hAnsi="宋体" w:cs="宋体"/>
          <w:b/>
          <w:color w:val="auto"/>
          <w:kern w:val="0"/>
          <w:sz w:val="24"/>
          <w:szCs w:val="28"/>
          <w:highlight w:val="none"/>
        </w:rPr>
      </w:pPr>
      <w:r>
        <w:rPr>
          <w:rFonts w:hint="eastAsia" w:ascii="宋体" w:hAnsi="宋体" w:cs="宋体"/>
          <w:b/>
          <w:color w:val="auto"/>
          <w:kern w:val="0"/>
          <w:sz w:val="24"/>
          <w:szCs w:val="28"/>
          <w:highlight w:val="none"/>
        </w:rPr>
        <w:br w:type="page"/>
      </w:r>
      <w:r>
        <w:rPr>
          <w:rFonts w:hint="eastAsia" w:ascii="宋体" w:hAnsi="宋体" w:cs="宋体"/>
          <w:b/>
          <w:color w:val="auto"/>
          <w:kern w:val="0"/>
          <w:sz w:val="24"/>
          <w:szCs w:val="28"/>
          <w:highlight w:val="none"/>
        </w:rPr>
        <w:t>2、监狱企业证明文件（非监狱企业可不附此表）</w:t>
      </w:r>
    </w:p>
    <w:p w14:paraId="691BDAC7">
      <w:pPr>
        <w:spacing w:line="360" w:lineRule="auto"/>
        <w:jc w:val="center"/>
        <w:rPr>
          <w:rFonts w:ascii="宋体" w:hAnsi="宋体" w:cs="宋体"/>
          <w:color w:val="auto"/>
          <w:sz w:val="28"/>
          <w:szCs w:val="30"/>
          <w:highlight w:val="none"/>
        </w:rPr>
      </w:pPr>
    </w:p>
    <w:p w14:paraId="6CA4FC07">
      <w:pPr>
        <w:spacing w:line="360" w:lineRule="auto"/>
        <w:jc w:val="center"/>
        <w:rPr>
          <w:rFonts w:ascii="宋体" w:hAnsi="宋体" w:cs="宋体"/>
          <w:color w:val="auto"/>
          <w:sz w:val="28"/>
          <w:szCs w:val="30"/>
          <w:highlight w:val="none"/>
        </w:rPr>
      </w:pPr>
      <w:r>
        <w:rPr>
          <w:rFonts w:hint="eastAsia" w:ascii="宋体" w:hAnsi="宋体" w:cs="宋体"/>
          <w:color w:val="auto"/>
          <w:sz w:val="28"/>
          <w:szCs w:val="30"/>
          <w:highlight w:val="none"/>
        </w:rPr>
        <w:t>监狱企业证明文件（参考格式）</w:t>
      </w:r>
    </w:p>
    <w:p w14:paraId="10657C6D">
      <w:pPr>
        <w:spacing w:line="360" w:lineRule="auto"/>
        <w:rPr>
          <w:rFonts w:ascii="宋体" w:hAnsi="宋体" w:cs="宋体"/>
          <w:color w:val="auto"/>
          <w:sz w:val="30"/>
          <w:szCs w:val="30"/>
          <w:highlight w:val="none"/>
        </w:rPr>
      </w:pPr>
    </w:p>
    <w:p w14:paraId="20631A05">
      <w:pPr>
        <w:spacing w:line="360" w:lineRule="auto"/>
        <w:ind w:firstLine="423" w:firstLineChars="168"/>
        <w:rPr>
          <w:rFonts w:ascii="宋体" w:hAnsi="宋体" w:cs="宋体"/>
          <w:color w:val="auto"/>
          <w:spacing w:val="6"/>
          <w:sz w:val="24"/>
          <w:highlight w:val="none"/>
        </w:rPr>
      </w:pPr>
    </w:p>
    <w:p w14:paraId="14EA030B">
      <w:pPr>
        <w:spacing w:line="360" w:lineRule="auto"/>
        <w:ind w:firstLine="423" w:firstLineChars="168"/>
        <w:rPr>
          <w:rFonts w:ascii="宋体" w:hAnsi="宋体" w:cs="宋体"/>
          <w:color w:val="auto"/>
          <w:spacing w:val="6"/>
          <w:sz w:val="24"/>
          <w:highlight w:val="none"/>
        </w:rPr>
      </w:pPr>
      <w:r>
        <w:rPr>
          <w:rFonts w:hint="eastAsia" w:ascii="宋体" w:hAnsi="宋体" w:cs="宋体"/>
          <w:color w:val="auto"/>
          <w:spacing w:val="6"/>
          <w:sz w:val="24"/>
          <w:highlight w:val="none"/>
        </w:rPr>
        <w:t>省级以上监狱管理局、戒毒管理局（含新疆生产建设兵团）出具的属于监狱企业的证明文件。</w:t>
      </w:r>
    </w:p>
    <w:p w14:paraId="70836C93">
      <w:pPr>
        <w:spacing w:line="360" w:lineRule="auto"/>
        <w:ind w:firstLine="720" w:firstLineChars="300"/>
        <w:jc w:val="left"/>
        <w:rPr>
          <w:rFonts w:ascii="宋体" w:hAnsi="宋体" w:cs="宋体"/>
          <w:bCs/>
          <w:color w:val="auto"/>
          <w:sz w:val="24"/>
          <w:highlight w:val="none"/>
        </w:rPr>
      </w:pPr>
      <w:r>
        <w:rPr>
          <w:rFonts w:hint="eastAsia" w:ascii="宋体" w:hAnsi="宋体" w:cs="宋体"/>
          <w:bCs/>
          <w:color w:val="auto"/>
          <w:sz w:val="24"/>
          <w:highlight w:val="none"/>
        </w:rPr>
        <w:t>注：在响应文件中附扫描件。</w:t>
      </w:r>
    </w:p>
    <w:p w14:paraId="7CE92A5A">
      <w:pPr>
        <w:widowControl/>
        <w:spacing w:line="360" w:lineRule="auto"/>
        <w:jc w:val="left"/>
        <w:rPr>
          <w:rFonts w:ascii="宋体" w:hAnsi="宋体" w:cs="宋体"/>
          <w:color w:val="auto"/>
          <w:highlight w:val="none"/>
        </w:rPr>
      </w:pPr>
    </w:p>
    <w:p w14:paraId="180AAEB7">
      <w:pPr>
        <w:widowControl/>
        <w:spacing w:line="360" w:lineRule="auto"/>
        <w:jc w:val="left"/>
        <w:rPr>
          <w:rFonts w:ascii="宋体" w:hAnsi="宋体" w:cs="宋体"/>
          <w:color w:val="auto"/>
          <w:highlight w:val="none"/>
        </w:rPr>
      </w:pPr>
    </w:p>
    <w:p w14:paraId="6CDD6B3C">
      <w:pPr>
        <w:widowControl/>
        <w:spacing w:line="360" w:lineRule="auto"/>
        <w:jc w:val="left"/>
        <w:rPr>
          <w:rFonts w:ascii="宋体" w:hAnsi="宋体" w:cs="宋体"/>
          <w:color w:val="auto"/>
          <w:highlight w:val="none"/>
        </w:rPr>
      </w:pPr>
    </w:p>
    <w:p w14:paraId="0567C4F3">
      <w:pPr>
        <w:widowControl/>
        <w:spacing w:line="360" w:lineRule="auto"/>
        <w:jc w:val="left"/>
        <w:rPr>
          <w:rFonts w:ascii="宋体" w:hAnsi="宋体" w:cs="宋体"/>
          <w:color w:val="auto"/>
          <w:highlight w:val="none"/>
        </w:rPr>
      </w:pPr>
    </w:p>
    <w:p w14:paraId="78FB645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企业名称（盖章）：</w:t>
      </w:r>
    </w:p>
    <w:p w14:paraId="5F450AB6">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日期：</w:t>
      </w:r>
    </w:p>
    <w:p w14:paraId="76B8CF71">
      <w:pPr>
        <w:widowControl/>
        <w:spacing w:line="360" w:lineRule="auto"/>
        <w:jc w:val="center"/>
        <w:rPr>
          <w:rFonts w:ascii="宋体" w:hAnsi="宋体" w:cs="宋体"/>
          <w:b/>
          <w:color w:val="auto"/>
          <w:kern w:val="0"/>
          <w:sz w:val="28"/>
          <w:szCs w:val="28"/>
          <w:highlight w:val="none"/>
        </w:rPr>
      </w:pPr>
      <w:r>
        <w:rPr>
          <w:rFonts w:hint="eastAsia" w:ascii="宋体" w:hAnsi="宋体" w:cs="宋体"/>
          <w:color w:val="auto"/>
          <w:highlight w:val="none"/>
        </w:rPr>
        <w:br w:type="page"/>
      </w:r>
      <w:r>
        <w:rPr>
          <w:rFonts w:hint="eastAsia" w:ascii="宋体" w:hAnsi="宋体" w:cs="宋体"/>
          <w:b/>
          <w:color w:val="auto"/>
          <w:kern w:val="0"/>
          <w:sz w:val="24"/>
          <w:szCs w:val="28"/>
          <w:highlight w:val="none"/>
        </w:rPr>
        <w:t>3、残疾人福利性单位声明函（非残疾人福利性单位可不附此表）</w:t>
      </w:r>
    </w:p>
    <w:p w14:paraId="2AFB0E66">
      <w:pPr>
        <w:spacing w:line="360" w:lineRule="auto"/>
        <w:rPr>
          <w:rFonts w:ascii="宋体" w:hAnsi="宋体" w:cs="宋体"/>
          <w:b/>
          <w:color w:val="auto"/>
          <w:spacing w:val="6"/>
          <w:sz w:val="32"/>
          <w:szCs w:val="32"/>
          <w:highlight w:val="none"/>
        </w:rPr>
      </w:pPr>
    </w:p>
    <w:p w14:paraId="7C642BB4">
      <w:pPr>
        <w:spacing w:line="360" w:lineRule="auto"/>
        <w:jc w:val="center"/>
        <w:rPr>
          <w:rFonts w:ascii="宋体" w:hAnsi="宋体" w:cs="宋体"/>
          <w:b/>
          <w:color w:val="auto"/>
          <w:spacing w:val="6"/>
          <w:sz w:val="28"/>
          <w:szCs w:val="32"/>
          <w:highlight w:val="none"/>
        </w:rPr>
      </w:pPr>
      <w:r>
        <w:rPr>
          <w:rFonts w:hint="eastAsia" w:ascii="宋体" w:hAnsi="宋体" w:cs="宋体"/>
          <w:b/>
          <w:color w:val="auto"/>
          <w:spacing w:val="6"/>
          <w:sz w:val="28"/>
          <w:szCs w:val="32"/>
          <w:highlight w:val="none"/>
        </w:rPr>
        <w:t>残疾人福利性单位声明函</w:t>
      </w:r>
    </w:p>
    <w:p w14:paraId="29ED91A0">
      <w:pPr>
        <w:spacing w:line="360" w:lineRule="auto"/>
        <w:rPr>
          <w:rFonts w:ascii="宋体" w:hAnsi="宋体" w:cs="宋体"/>
          <w:b/>
          <w:color w:val="auto"/>
          <w:spacing w:val="6"/>
          <w:sz w:val="30"/>
          <w:szCs w:val="30"/>
          <w:highlight w:val="none"/>
        </w:rPr>
      </w:pPr>
    </w:p>
    <w:p w14:paraId="19F87D12">
      <w:pPr>
        <w:snapToGrid w:val="0"/>
        <w:spacing w:line="360" w:lineRule="auto"/>
        <w:ind w:left="1177" w:leftChars="-72" w:right="84" w:rightChars="40" w:hanging="1328" w:hangingChars="415"/>
        <w:jc w:val="center"/>
        <w:rPr>
          <w:rFonts w:ascii="宋体" w:hAnsi="宋体" w:cs="宋体"/>
          <w:color w:val="auto"/>
          <w:sz w:val="32"/>
          <w:szCs w:val="32"/>
          <w:highlight w:val="none"/>
        </w:rPr>
      </w:pPr>
    </w:p>
    <w:p w14:paraId="6CE2DC20">
      <w:pPr>
        <w:adjustRightInd w:val="0"/>
        <w:snapToGrid w:val="0"/>
        <w:spacing w:line="360" w:lineRule="auto"/>
        <w:ind w:firstLine="504" w:firstLineChars="200"/>
        <w:rPr>
          <w:rFonts w:ascii="宋体" w:hAnsi="宋体" w:cs="宋体"/>
          <w:color w:val="auto"/>
          <w:spacing w:val="6"/>
          <w:sz w:val="24"/>
          <w:highlight w:val="none"/>
          <w:shd w:val="clear" w:color="auto" w:fill="FFFFFF"/>
        </w:rPr>
      </w:pPr>
      <w:r>
        <w:rPr>
          <w:rFonts w:hint="eastAsia" w:ascii="宋体" w:hAnsi="宋体" w:cs="宋体"/>
          <w:color w:val="auto"/>
          <w:spacing w:val="6"/>
          <w:sz w:val="24"/>
          <w:highlight w:val="none"/>
          <w:shd w:val="clear" w:color="auto" w:fill="FFFFFF"/>
        </w:rPr>
        <w:t>本单位郑重声明，根据《财政部 民政部 中国残疾人联合会关于促进残疾人就业政府采购政策的通知》（财库〔2017〕 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5623A77E">
      <w:pPr>
        <w:spacing w:line="360" w:lineRule="auto"/>
        <w:ind w:firstLine="480" w:firstLineChars="200"/>
        <w:rPr>
          <w:rFonts w:ascii="宋体" w:hAnsi="宋体" w:cs="宋体"/>
          <w:b/>
          <w:bCs/>
          <w:color w:val="auto"/>
          <w:sz w:val="32"/>
          <w:szCs w:val="32"/>
          <w:highlight w:val="none"/>
        </w:rPr>
      </w:pPr>
      <w:r>
        <w:rPr>
          <w:rFonts w:hint="eastAsia" w:ascii="宋体" w:hAnsi="宋体" w:cs="宋体"/>
          <w:color w:val="auto"/>
          <w:sz w:val="24"/>
          <w:highlight w:val="none"/>
        </w:rPr>
        <w:t>本单位对上述声明的真实性负责。如有虚假，将依法承担相应责任。</w:t>
      </w:r>
    </w:p>
    <w:p w14:paraId="30DD6DF5">
      <w:pPr>
        <w:spacing w:line="360" w:lineRule="auto"/>
        <w:jc w:val="center"/>
        <w:rPr>
          <w:rFonts w:ascii="宋体" w:hAnsi="宋体" w:cs="宋体"/>
          <w:b/>
          <w:bCs/>
          <w:color w:val="auto"/>
          <w:sz w:val="32"/>
          <w:szCs w:val="32"/>
          <w:highlight w:val="none"/>
        </w:rPr>
      </w:pPr>
    </w:p>
    <w:p w14:paraId="39D01A0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企业名称（盖章）：</w:t>
      </w:r>
    </w:p>
    <w:p w14:paraId="7F83906D">
      <w:pPr>
        <w:spacing w:line="360" w:lineRule="auto"/>
        <w:ind w:firstLine="480" w:firstLineChars="200"/>
        <w:rPr>
          <w:rFonts w:ascii="宋体" w:hAnsi="宋体" w:cs="宋体"/>
          <w:color w:val="auto"/>
          <w:highlight w:val="none"/>
        </w:rPr>
      </w:pPr>
      <w:r>
        <w:rPr>
          <w:rFonts w:hint="eastAsia" w:ascii="宋体" w:hAnsi="宋体" w:cs="宋体"/>
          <w:color w:val="auto"/>
          <w:sz w:val="24"/>
          <w:highlight w:val="none"/>
        </w:rPr>
        <w:t>日期：</w:t>
      </w:r>
      <w:bookmarkStart w:id="405" w:name="_Toc2193"/>
      <w:bookmarkEnd w:id="405"/>
    </w:p>
    <w:p w14:paraId="75489889">
      <w:pPr>
        <w:rPr>
          <w:color w:val="auto"/>
          <w:highlight w:val="none"/>
        </w:rPr>
      </w:pPr>
    </w:p>
    <w:p w14:paraId="5830EEB4"/>
    <w:sectPr>
      <w:footerReference r:id="rId5" w:type="default"/>
      <w:pgSz w:w="11906" w:h="16838"/>
      <w:pgMar w:top="1361" w:right="1134" w:bottom="1247" w:left="1134" w:header="680" w:footer="624"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宋体">
    <w:altName w:val="宋体"/>
    <w:panose1 w:val="02010600040101010101"/>
    <w:charset w:val="86"/>
    <w:family w:val="auto"/>
    <w:pitch w:val="default"/>
    <w:sig w:usb0="00000000" w:usb1="00000000" w:usb2="00000000" w:usb3="00000000" w:csb0="0004009F" w:csb1="DFD70000"/>
  </w:font>
  <w:font w:name="等线">
    <w:panose1 w:val="02010600030101010101"/>
    <w:charset w:val="86"/>
    <w:family w:val="auto"/>
    <w:pitch w:val="default"/>
    <w:sig w:usb0="A00002BF" w:usb1="38CF7CFA" w:usb2="00000016" w:usb3="00000000" w:csb0="0004000F" w:csb1="00000000"/>
  </w:font>
  <w:font w:name="Arial Unicode MS">
    <w:altName w:val="宋体"/>
    <w:panose1 w:val="020B0604020202020204"/>
    <w:charset w:val="86"/>
    <w:family w:val="swiss"/>
    <w:pitch w:val="default"/>
    <w:sig w:usb0="00000000" w:usb1="00000000" w:usb2="0000003F" w:usb3="00000000" w:csb0="603F01FF" w:csb1="FFFF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138E6">
    <w:pPr>
      <w:pStyle w:val="10"/>
      <w:ind w:right="360"/>
    </w:pPr>
  </w:p>
  <w:p w14:paraId="5C70AA9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ABC6D">
    <w:pPr>
      <w:pStyle w:val="10"/>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3EF0C89">
                          <w:pPr>
                            <w:pStyle w:val="10"/>
                          </w:pPr>
                          <w:r>
                            <w:t xml:space="preserve">第 </w:t>
                          </w:r>
                          <w:r>
                            <w:fldChar w:fldCharType="begin"/>
                          </w:r>
                          <w:r>
                            <w:instrText xml:space="preserve"> PAGE  \* MERGEFORMAT </w:instrText>
                          </w:r>
                          <w:r>
                            <w:fldChar w:fldCharType="separate"/>
                          </w:r>
                          <w:r>
                            <w:t>3</w:t>
                          </w:r>
                          <w:r>
                            <w:fldChar w:fldCharType="end"/>
                          </w:r>
                          <w:r>
                            <w:t xml:space="preserve"> 页</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43EF0C89">
                    <w:pPr>
                      <w:pStyle w:val="10"/>
                    </w:pPr>
                    <w:r>
                      <w:t xml:space="preserve">第 </w:t>
                    </w:r>
                    <w:r>
                      <w:fldChar w:fldCharType="begin"/>
                    </w:r>
                    <w:r>
                      <w:instrText xml:space="preserve"> PAGE  \* MERGEFORMAT </w:instrText>
                    </w:r>
                    <w:r>
                      <w:fldChar w:fldCharType="separate"/>
                    </w:r>
                    <w:r>
                      <w:t>3</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E54D0">
    <w:pPr>
      <w:pStyle w:val="1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F792C9"/>
    <w:multiLevelType w:val="singleLevel"/>
    <w:tmpl w:val="85F792C9"/>
    <w:lvl w:ilvl="0" w:tentative="0">
      <w:start w:val="2"/>
      <w:numFmt w:val="decimal"/>
      <w:suff w:val="nothing"/>
      <w:lvlText w:val="%1、"/>
      <w:lvlJc w:val="left"/>
    </w:lvl>
  </w:abstractNum>
  <w:abstractNum w:abstractNumId="1">
    <w:nsid w:val="A0075264"/>
    <w:multiLevelType w:val="singleLevel"/>
    <w:tmpl w:val="A0075264"/>
    <w:lvl w:ilvl="0" w:tentative="0">
      <w:start w:val="1"/>
      <w:numFmt w:val="decimal"/>
      <w:suff w:val="nothing"/>
      <w:lvlText w:val="%1、"/>
      <w:lvlJc w:val="left"/>
    </w:lvl>
  </w:abstractNum>
  <w:abstractNum w:abstractNumId="2">
    <w:nsid w:val="B671A952"/>
    <w:multiLevelType w:val="singleLevel"/>
    <w:tmpl w:val="B671A952"/>
    <w:lvl w:ilvl="0" w:tentative="0">
      <w:start w:val="1"/>
      <w:numFmt w:val="decimal"/>
      <w:suff w:val="nothing"/>
      <w:lvlText w:val="%1、"/>
      <w:lvlJc w:val="left"/>
    </w:lvl>
  </w:abstractNum>
  <w:abstractNum w:abstractNumId="3">
    <w:nsid w:val="C96AF910"/>
    <w:multiLevelType w:val="singleLevel"/>
    <w:tmpl w:val="C96AF910"/>
    <w:lvl w:ilvl="0" w:tentative="0">
      <w:start w:val="4"/>
      <w:numFmt w:val="chineseCounting"/>
      <w:suff w:val="nothing"/>
      <w:lvlText w:val="%1、"/>
      <w:lvlJc w:val="left"/>
      <w:rPr>
        <w:rFonts w:hint="eastAsia"/>
      </w:rPr>
    </w:lvl>
  </w:abstractNum>
  <w:abstractNum w:abstractNumId="4">
    <w:nsid w:val="F2D15DB4"/>
    <w:multiLevelType w:val="singleLevel"/>
    <w:tmpl w:val="F2D15DB4"/>
    <w:lvl w:ilvl="0" w:tentative="0">
      <w:start w:val="1"/>
      <w:numFmt w:val="decimal"/>
      <w:suff w:val="nothing"/>
      <w:lvlText w:val="%1、"/>
      <w:lvlJc w:val="left"/>
    </w:lvl>
  </w:abstractNum>
  <w:abstractNum w:abstractNumId="5">
    <w:nsid w:val="076C859D"/>
    <w:multiLevelType w:val="singleLevel"/>
    <w:tmpl w:val="076C859D"/>
    <w:lvl w:ilvl="0" w:tentative="0">
      <w:start w:val="4"/>
      <w:numFmt w:val="chineseCounting"/>
      <w:suff w:val="nothing"/>
      <w:lvlText w:val="（%1）"/>
      <w:lvlJc w:val="left"/>
      <w:rPr>
        <w:rFonts w:hint="eastAsia"/>
      </w:rPr>
    </w:lvl>
  </w:abstractNum>
  <w:abstractNum w:abstractNumId="6">
    <w:nsid w:val="1698FBBD"/>
    <w:multiLevelType w:val="singleLevel"/>
    <w:tmpl w:val="1698FBBD"/>
    <w:lvl w:ilvl="0" w:tentative="0">
      <w:start w:val="1"/>
      <w:numFmt w:val="decimal"/>
      <w:suff w:val="nothing"/>
      <w:lvlText w:val="（%1）"/>
      <w:lvlJc w:val="left"/>
    </w:lvl>
  </w:abstractNum>
  <w:abstractNum w:abstractNumId="7">
    <w:nsid w:val="1B0115EE"/>
    <w:multiLevelType w:val="singleLevel"/>
    <w:tmpl w:val="1B0115EE"/>
    <w:lvl w:ilvl="0" w:tentative="0">
      <w:start w:val="1"/>
      <w:numFmt w:val="decimal"/>
      <w:lvlText w:val="%1."/>
      <w:lvlJc w:val="left"/>
      <w:pPr>
        <w:ind w:left="425" w:hanging="425"/>
      </w:pPr>
      <w:rPr>
        <w:rFonts w:hint="default"/>
      </w:rPr>
    </w:lvl>
  </w:abstractNum>
  <w:abstractNum w:abstractNumId="8">
    <w:nsid w:val="33337DC9"/>
    <w:multiLevelType w:val="singleLevel"/>
    <w:tmpl w:val="33337DC9"/>
    <w:lvl w:ilvl="0" w:tentative="0">
      <w:start w:val="2"/>
      <w:numFmt w:val="decimal"/>
      <w:lvlText w:val="%1."/>
      <w:lvlJc w:val="left"/>
      <w:pPr>
        <w:tabs>
          <w:tab w:val="left" w:pos="312"/>
        </w:tabs>
      </w:pPr>
    </w:lvl>
  </w:abstractNum>
  <w:abstractNum w:abstractNumId="9">
    <w:nsid w:val="39A2205B"/>
    <w:multiLevelType w:val="singleLevel"/>
    <w:tmpl w:val="39A2205B"/>
    <w:lvl w:ilvl="0" w:tentative="0">
      <w:start w:val="1"/>
      <w:numFmt w:val="decimal"/>
      <w:suff w:val="nothing"/>
      <w:lvlText w:val="（%1）"/>
      <w:lvlJc w:val="left"/>
    </w:lvl>
  </w:abstractNum>
  <w:abstractNum w:abstractNumId="10">
    <w:nsid w:val="554135D1"/>
    <w:multiLevelType w:val="singleLevel"/>
    <w:tmpl w:val="554135D1"/>
    <w:lvl w:ilvl="0" w:tentative="0">
      <w:start w:val="1"/>
      <w:numFmt w:val="decimal"/>
      <w:suff w:val="nothing"/>
      <w:lvlText w:val="%1、"/>
      <w:lvlJc w:val="left"/>
    </w:lvl>
  </w:abstractNum>
  <w:num w:numId="1">
    <w:abstractNumId w:val="7"/>
  </w:num>
  <w:num w:numId="2">
    <w:abstractNumId w:val="6"/>
  </w:num>
  <w:num w:numId="3">
    <w:abstractNumId w:val="9"/>
  </w:num>
  <w:num w:numId="4">
    <w:abstractNumId w:val="1"/>
  </w:num>
  <w:num w:numId="5">
    <w:abstractNumId w:val="10"/>
  </w:num>
  <w:num w:numId="6">
    <w:abstractNumId w:val="2"/>
  </w:num>
  <w:num w:numId="7">
    <w:abstractNumId w:val="4"/>
  </w:num>
  <w:num w:numId="8">
    <w:abstractNumId w:val="3"/>
  </w:num>
  <w:num w:numId="9">
    <w:abstractNumId w:val="5"/>
  </w:num>
  <w:num w:numId="10">
    <w:abstractNumId w:val="8"/>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992051A"/>
    <w:rsid w:val="24B247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99"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3" w:lineRule="auto"/>
      <w:outlineLvl w:val="1"/>
    </w:pPr>
    <w:rPr>
      <w:rFonts w:ascii="Arial" w:hAnsi="Arial" w:eastAsia="黑体"/>
      <w:b/>
      <w:sz w:val="32"/>
    </w:rPr>
  </w:style>
  <w:style w:type="character" w:default="1" w:styleId="18">
    <w:name w:val="Default Paragraph Font"/>
    <w:semiHidden/>
    <w:uiPriority w:val="0"/>
  </w:style>
  <w:style w:type="table" w:default="1" w:styleId="16">
    <w:name w:val="Normal Table"/>
    <w:semiHidden/>
    <w:uiPriority w:val="0"/>
    <w:tblPr>
      <w:tblCellMar>
        <w:top w:w="0" w:type="dxa"/>
        <w:left w:w="108" w:type="dxa"/>
        <w:bottom w:w="0" w:type="dxa"/>
        <w:right w:w="108" w:type="dxa"/>
      </w:tblCellMar>
    </w:tblPr>
  </w:style>
  <w:style w:type="paragraph" w:styleId="3">
    <w:name w:val="Body Text"/>
    <w:basedOn w:val="1"/>
    <w:next w:val="4"/>
    <w:qFormat/>
    <w:uiPriority w:val="0"/>
    <w:pPr>
      <w:spacing w:after="120"/>
    </w:pPr>
  </w:style>
  <w:style w:type="paragraph" w:customStyle="1" w:styleId="4">
    <w:name w:val="style4"/>
    <w:basedOn w:val="1"/>
    <w:next w:val="5"/>
    <w:qFormat/>
    <w:uiPriority w:val="0"/>
    <w:pPr>
      <w:widowControl/>
      <w:spacing w:before="280" w:after="280"/>
    </w:pPr>
    <w:rPr>
      <w:sz w:val="18"/>
    </w:rPr>
  </w:style>
  <w:style w:type="paragraph" w:customStyle="1" w:styleId="5">
    <w:name w:val="2"/>
    <w:next w:val="1"/>
    <w:qFormat/>
    <w:uiPriority w:val="0"/>
    <w:pPr>
      <w:widowControl w:val="0"/>
      <w:jc w:val="both"/>
    </w:pPr>
    <w:rPr>
      <w:rFonts w:ascii="Times New Roman" w:hAnsi="Times New Roman" w:eastAsia="宋体" w:cs="Times New Roman"/>
      <w:sz w:val="21"/>
      <w:szCs w:val="22"/>
      <w:lang w:val="en-US" w:eastAsia="zh-CN" w:bidi="ar-SA"/>
    </w:rPr>
  </w:style>
  <w:style w:type="paragraph" w:styleId="6">
    <w:name w:val="Body Text Indent"/>
    <w:basedOn w:val="1"/>
    <w:next w:val="7"/>
    <w:unhideWhenUsed/>
    <w:qFormat/>
    <w:uiPriority w:val="99"/>
    <w:pPr>
      <w:spacing w:after="120"/>
      <w:ind w:left="420" w:leftChars="200"/>
    </w:pPr>
  </w:style>
  <w:style w:type="paragraph" w:styleId="7">
    <w:name w:val="envelope return"/>
    <w:basedOn w:val="1"/>
    <w:unhideWhenUsed/>
    <w:qFormat/>
    <w:uiPriority w:val="99"/>
    <w:pPr>
      <w:snapToGrid w:val="0"/>
    </w:pPr>
    <w:rPr>
      <w:rFonts w:ascii="等线 Light" w:hAnsi="等线 Light" w:eastAsia="等线 Light"/>
    </w:rPr>
  </w:style>
  <w:style w:type="paragraph" w:styleId="8">
    <w:name w:val="Plain Text"/>
    <w:basedOn w:val="1"/>
    <w:next w:val="9"/>
    <w:unhideWhenUsed/>
    <w:qFormat/>
    <w:uiPriority w:val="99"/>
    <w:rPr>
      <w:rFonts w:ascii="宋体" w:hAnsi="Courier New" w:eastAsia="华文宋体"/>
      <w:szCs w:val="20"/>
    </w:rPr>
  </w:style>
  <w:style w:type="paragraph" w:styleId="9">
    <w:name w:val="index 9"/>
    <w:basedOn w:val="1"/>
    <w:next w:val="1"/>
    <w:qFormat/>
    <w:uiPriority w:val="99"/>
    <w:pPr>
      <w:ind w:left="3360"/>
    </w:pPr>
    <w:rPr>
      <w:rFonts w:cs="等线"/>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style>
  <w:style w:type="paragraph" w:styleId="13">
    <w:name w:val="Normal (Web)"/>
    <w:basedOn w:val="1"/>
    <w:qFormat/>
    <w:uiPriority w:val="0"/>
    <w:pPr>
      <w:spacing w:beforeAutospacing="1" w:afterAutospacing="1"/>
      <w:jc w:val="left"/>
    </w:pPr>
    <w:rPr>
      <w:kern w:val="0"/>
      <w:sz w:val="24"/>
    </w:rPr>
  </w:style>
  <w:style w:type="paragraph" w:styleId="14">
    <w:name w:val="Body Text First Indent"/>
    <w:basedOn w:val="3"/>
    <w:next w:val="15"/>
    <w:qFormat/>
    <w:uiPriority w:val="0"/>
    <w:pPr>
      <w:spacing w:line="360" w:lineRule="auto"/>
      <w:ind w:firstLine="420"/>
    </w:pPr>
    <w:rPr>
      <w:rFonts w:eastAsia="Arial Unicode MS"/>
      <w:color w:val="000000"/>
      <w:sz w:val="28"/>
      <w:szCs w:val="28"/>
    </w:rPr>
  </w:style>
  <w:style w:type="paragraph" w:styleId="15">
    <w:name w:val="Body Text First Indent 2"/>
    <w:basedOn w:val="6"/>
    <w:next w:val="1"/>
    <w:qFormat/>
    <w:uiPriority w:val="0"/>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样式 标题 2 + Times New Roman 四号 非加粗 段前: 5 磅 段后: 0 磅 行距: 固定值 20..."/>
    <w:basedOn w:val="2"/>
    <w:qFormat/>
    <w:uiPriority w:val="0"/>
    <w:pPr>
      <w:spacing w:before="100" w:line="400" w:lineRule="exact"/>
    </w:pPr>
    <w:rPr>
      <w:rFonts w:ascii="Times New Roman" w:hAnsi="Times New Roman"/>
      <w:b w:val="0"/>
      <w:sz w:val="28"/>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68</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2026-10-09T07:08:13Z</dcterms:created>
  <dc:creator>Administrator</dc:creator>
  <cp:lastModifiedBy>三门峡</cp:lastModifiedBy>
  <dcterms:modified xsi:type="dcterms:W3CDTF">2026-10-09T07:10:11Z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eyJoZGlkIjoiZmU2NzI5MTM3MDljM2VkNGE4MTU2OTUzODY1M2VhYTUiLCJ1c2VySWQiOiIxOTcyOTQ0NSJ9</vt:lpwstr>
  </property>
  <property fmtid="{D5CDD505-2E9C-101B-9397-08002B2CF9AE}" pid="4" name="ICV">
    <vt:lpwstr>D59CC8A4CEFA484C9F15DBAE7CD67022_12</vt:lpwstr>
  </property>
</Properties>
</file>