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F67D2">
      <w:pPr>
        <w:spacing w:before="268"/>
        <w:jc w:val="center"/>
        <w:rPr>
          <w:rFonts w:asciiTheme="minorEastAsia" w:hAnsiTheme="minorEastAsia"/>
          <w:b/>
          <w:sz w:val="76"/>
        </w:rPr>
      </w:pPr>
      <w:r>
        <w:rPr>
          <w:rFonts w:hint="eastAsia" w:cs="新宋体" w:asciiTheme="minorEastAsia" w:hAnsiTheme="minorEastAsia"/>
          <w:b/>
          <w:bCs/>
          <w:sz w:val="44"/>
          <w:szCs w:val="44"/>
          <w:lang w:eastAsia="zh-CN"/>
        </w:rPr>
        <w:t>2026年第二批超长期特别国债资金支持老旧电梯更新改造项目</w:t>
      </w:r>
    </w:p>
    <w:p w14:paraId="5274A4D4">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44"/>
          <w:szCs w:val="44"/>
          <w:highlight w:val="none"/>
        </w:rPr>
      </w:pPr>
    </w:p>
    <w:p w14:paraId="63C704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竞争性磋商文件</w:t>
      </w:r>
    </w:p>
    <w:p w14:paraId="138B8351">
      <w:pPr>
        <w:widowControl/>
        <w:shd w:val="clear" w:color="auto" w:fill="FFFFFF"/>
        <w:spacing w:line="390" w:lineRule="atLeast"/>
        <w:jc w:val="center"/>
        <w:rPr>
          <w:rFonts w:asciiTheme="minorEastAsia" w:hAnsiTheme="minorEastAsia"/>
          <w:b/>
          <w:sz w:val="32"/>
          <w:szCs w:val="32"/>
        </w:rPr>
      </w:pPr>
    </w:p>
    <w:p w14:paraId="5BA4E9A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390" w:lineRule="atLeast"/>
        <w:ind w:right="0"/>
        <w:jc w:val="left"/>
        <w:textAlignment w:val="auto"/>
        <w:rPr>
          <w:rFonts w:hint="default" w:cs="新宋体" w:asciiTheme="minorEastAsia" w:hAnsiTheme="minorEastAsia"/>
          <w:b/>
          <w:bCs/>
          <w:color w:val="000000" w:themeColor="text1"/>
          <w:sz w:val="32"/>
          <w:szCs w:val="32"/>
          <w:highlight w:val="none"/>
          <w:lang w:val="en-US"/>
          <w14:textFill>
            <w14:solidFill>
              <w14:schemeClr w14:val="tx1"/>
            </w14:solidFill>
          </w14:textFill>
        </w:rPr>
      </w:pPr>
      <w:r>
        <w:rPr>
          <w:rFonts w:hint="eastAsia" w:cs="新宋体" w:asciiTheme="minorEastAsia" w:hAnsiTheme="minorEastAsia"/>
          <w:b/>
          <w:bCs/>
          <w:color w:val="000000" w:themeColor="text1"/>
          <w:sz w:val="32"/>
          <w:szCs w:val="32"/>
          <w:highlight w:val="none"/>
          <w14:textFill>
            <w14:solidFill>
              <w14:schemeClr w14:val="tx1"/>
            </w14:solidFill>
          </w14:textFill>
        </w:rPr>
        <w:t>项目编号：</w:t>
      </w:r>
      <w:r>
        <w:rPr>
          <w:rFonts w:hint="eastAsia" w:cs="新宋体" w:asciiTheme="minorEastAsia" w:hAnsiTheme="minorEastAsia"/>
          <w:b/>
          <w:bCs/>
          <w:color w:val="000000" w:themeColor="text1"/>
          <w:sz w:val="32"/>
          <w:szCs w:val="32"/>
          <w:highlight w:val="none"/>
          <w:lang w:eastAsia="zh-CN"/>
          <w14:textFill>
            <w14:solidFill>
              <w14:schemeClr w14:val="tx1"/>
            </w14:solidFill>
          </w14:textFill>
        </w:rPr>
        <w:t>三卢竞磋采购-2026-</w:t>
      </w:r>
      <w:r>
        <w:rPr>
          <w:rFonts w:hint="eastAsia" w:cs="新宋体" w:asciiTheme="minorEastAsia" w:hAnsiTheme="minorEastAsia"/>
          <w:b/>
          <w:bCs/>
          <w:color w:val="000000" w:themeColor="text1"/>
          <w:sz w:val="32"/>
          <w:szCs w:val="32"/>
          <w:highlight w:val="none"/>
          <w:lang w:val="en-US" w:eastAsia="zh-CN"/>
          <w14:textFill>
            <w14:solidFill>
              <w14:schemeClr w14:val="tx1"/>
            </w14:solidFill>
          </w14:textFill>
        </w:rPr>
        <w:t>108</w:t>
      </w:r>
      <w:r>
        <w:rPr>
          <w:rFonts w:hint="eastAsia" w:cs="新宋体" w:asciiTheme="minorEastAsia" w:hAnsiTheme="minorEastAsia"/>
          <w:b/>
          <w:bCs/>
          <w:color w:val="000000" w:themeColor="text1"/>
          <w:sz w:val="32"/>
          <w:szCs w:val="32"/>
          <w:highlight w:val="none"/>
          <w:lang w:eastAsia="zh-CN"/>
          <w14:textFill>
            <w14:solidFill>
              <w14:schemeClr w14:val="tx1"/>
            </w14:solidFill>
          </w14:textFill>
        </w:rPr>
        <w:t>、</w:t>
      </w:r>
      <w:r>
        <w:rPr>
          <w:rFonts w:hint="eastAsia" w:cs="新宋体" w:asciiTheme="minorEastAsia" w:hAnsiTheme="minorEastAsia"/>
          <w:b/>
          <w:bCs/>
          <w:color w:val="000000" w:themeColor="text1"/>
          <w:sz w:val="32"/>
          <w:szCs w:val="32"/>
          <w:highlight w:val="none"/>
          <w:lang w:val="en-US" w:eastAsia="zh-CN"/>
          <w14:textFill>
            <w14:solidFill>
              <w14:schemeClr w14:val="tx1"/>
            </w14:solidFill>
          </w14:textFill>
        </w:rPr>
        <w:t>LSGZ[2026]248-ZC193</w:t>
      </w:r>
    </w:p>
    <w:p w14:paraId="61DE2161">
      <w:pPr>
        <w:widowControl/>
        <w:shd w:val="clear" w:color="auto" w:fill="FFFFFF"/>
        <w:spacing w:line="390" w:lineRule="atLeast"/>
        <w:jc w:val="center"/>
        <w:rPr>
          <w:rFonts w:hint="eastAsia" w:cs="新宋体" w:asciiTheme="minorEastAsia" w:hAnsiTheme="minorEastAsia" w:eastAsiaTheme="minorEastAsia"/>
          <w:sz w:val="32"/>
          <w:szCs w:val="32"/>
          <w:lang w:eastAsia="zh-CN"/>
        </w:rPr>
      </w:pPr>
    </w:p>
    <w:p w14:paraId="3935A4E6">
      <w:pPr>
        <w:widowControl/>
        <w:shd w:val="clear" w:color="auto" w:fill="FFFFFF"/>
        <w:spacing w:line="390" w:lineRule="atLeast"/>
        <w:jc w:val="both"/>
        <w:rPr>
          <w:rFonts w:cs="微软雅黑" w:asciiTheme="minorEastAsia" w:hAnsiTheme="minorEastAsia"/>
          <w:szCs w:val="21"/>
        </w:rPr>
      </w:pPr>
    </w:p>
    <w:p w14:paraId="4203514E">
      <w:pPr>
        <w:ind w:left="440" w:firstLine="420"/>
        <w:jc w:val="center"/>
        <w:rPr>
          <w:rFonts w:asciiTheme="minorEastAsia" w:hAnsiTheme="minorEastAsia"/>
        </w:rPr>
      </w:pPr>
      <w:r>
        <w:drawing>
          <wp:inline distT="0" distB="0" distL="114300" distR="114300">
            <wp:extent cx="3023235" cy="2724150"/>
            <wp:effectExtent l="0" t="0" r="5715"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0"/>
                    <a:srcRect r="-484" b="10710"/>
                    <a:stretch>
                      <a:fillRect/>
                    </a:stretch>
                  </pic:blipFill>
                  <pic:spPr>
                    <a:xfrm>
                      <a:off x="0" y="0"/>
                      <a:ext cx="3023235" cy="2724150"/>
                    </a:xfrm>
                    <a:prstGeom prst="rect">
                      <a:avLst/>
                    </a:prstGeom>
                    <a:noFill/>
                    <a:ln>
                      <a:noFill/>
                    </a:ln>
                  </pic:spPr>
                </pic:pic>
              </a:graphicData>
            </a:graphic>
          </wp:inline>
        </w:drawing>
      </w:r>
    </w:p>
    <w:p w14:paraId="418F917C">
      <w:pPr>
        <w:wordWrap w:val="0"/>
        <w:jc w:val="both"/>
        <w:rPr>
          <w:rFonts w:hint="default" w:ascii="宋体" w:hAnsi="宋体" w:eastAsia="宋体" w:cs="宋体"/>
          <w:b/>
          <w:i/>
          <w:color w:val="FF0000"/>
          <w:sz w:val="28"/>
          <w:szCs w:val="28"/>
          <w:lang w:val="en-US" w:eastAsia="zh-CN"/>
        </w:rPr>
      </w:pPr>
    </w:p>
    <w:p w14:paraId="7621746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1928" w:firstLineChars="600"/>
        <w:jc w:val="both"/>
        <w:textAlignment w:val="auto"/>
        <w:rPr>
          <w:rFonts w:asciiTheme="minorEastAsia" w:hAnsiTheme="minorEastAsia"/>
          <w:b/>
          <w:sz w:val="32"/>
        </w:rPr>
      </w:pPr>
      <w:r>
        <w:rPr>
          <w:rFonts w:asciiTheme="minorEastAsia" w:hAnsiTheme="minorEastAsia"/>
          <w:b/>
          <w:sz w:val="32"/>
        </w:rPr>
        <w:t>采购人：</w:t>
      </w:r>
      <w:r>
        <w:rPr>
          <w:rFonts w:hint="eastAsia" w:asciiTheme="minorEastAsia" w:hAnsiTheme="minorEastAsia"/>
          <w:b/>
          <w:sz w:val="32"/>
          <w:lang w:eastAsia="zh-CN"/>
        </w:rPr>
        <w:t>卢氏县住房和城乡建设局</w:t>
      </w:r>
    </w:p>
    <w:p w14:paraId="6B9148BE">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hint="eastAsia" w:asciiTheme="minorEastAsia" w:hAnsiTheme="minorEastAsia"/>
          <w:b/>
          <w:sz w:val="32"/>
          <w:lang w:eastAsia="zh-CN"/>
        </w:rPr>
      </w:pPr>
      <w:r>
        <w:rPr>
          <w:rFonts w:asciiTheme="minorEastAsia" w:hAnsiTheme="minorEastAsia"/>
          <w:b/>
          <w:sz w:val="32"/>
        </w:rPr>
        <w:t>代理机构：</w:t>
      </w:r>
      <w:r>
        <w:rPr>
          <w:rFonts w:hint="eastAsia" w:asciiTheme="minorEastAsia" w:hAnsiTheme="minorEastAsia"/>
          <w:b/>
          <w:sz w:val="32"/>
          <w:lang w:eastAsia="zh-CN"/>
        </w:rPr>
        <w:t>河南保利招标咨询有限公司</w:t>
      </w:r>
    </w:p>
    <w:p w14:paraId="16276F6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asciiTheme="minorEastAsia" w:hAnsiTheme="minorEastAsia"/>
          <w:b/>
          <w:sz w:val="32"/>
        </w:rPr>
      </w:pPr>
      <w:r>
        <w:rPr>
          <w:rFonts w:hint="eastAsia" w:asciiTheme="minorEastAsia" w:hAnsiTheme="minorEastAsia"/>
          <w:b/>
          <w:sz w:val="32"/>
        </w:rPr>
        <w:t>日</w:t>
      </w:r>
      <w:r>
        <w:rPr>
          <w:rFonts w:asciiTheme="minorEastAsia" w:hAnsiTheme="minorEastAsia"/>
          <w:b/>
          <w:sz w:val="32"/>
        </w:rPr>
        <w:t>期：二</w:t>
      </w:r>
      <w:r>
        <w:rPr>
          <w:rFonts w:hint="eastAsia" w:asciiTheme="minorEastAsia" w:hAnsiTheme="minorEastAsia"/>
          <w:b/>
          <w:sz w:val="32"/>
          <w:lang w:val="en-US" w:eastAsia="zh-CN"/>
        </w:rPr>
        <w:t>零</w:t>
      </w:r>
      <w:r>
        <w:rPr>
          <w:rFonts w:asciiTheme="minorEastAsia" w:hAnsiTheme="minorEastAsia"/>
          <w:b/>
          <w:sz w:val="32"/>
        </w:rPr>
        <w:t>二</w:t>
      </w:r>
      <w:r>
        <w:rPr>
          <w:rFonts w:hint="eastAsia" w:asciiTheme="minorEastAsia" w:hAnsiTheme="minorEastAsia"/>
          <w:b/>
          <w:sz w:val="32"/>
          <w:lang w:val="en-US" w:eastAsia="zh-CN"/>
        </w:rPr>
        <w:t>六</w:t>
      </w:r>
      <w:r>
        <w:rPr>
          <w:rFonts w:asciiTheme="minorEastAsia" w:hAnsiTheme="minorEastAsia"/>
          <w:b/>
          <w:sz w:val="32"/>
        </w:rPr>
        <w:t>年</w:t>
      </w:r>
      <w:r>
        <w:rPr>
          <w:rFonts w:hint="eastAsia" w:asciiTheme="minorEastAsia" w:hAnsiTheme="minorEastAsia"/>
          <w:b/>
          <w:sz w:val="32"/>
          <w:lang w:val="en-US" w:eastAsia="zh-CN"/>
        </w:rPr>
        <w:t>十</w:t>
      </w:r>
      <w:r>
        <w:rPr>
          <w:rFonts w:asciiTheme="minorEastAsia" w:hAnsiTheme="minorEastAsia"/>
          <w:b/>
          <w:sz w:val="32"/>
        </w:rPr>
        <w:t>月</w:t>
      </w:r>
    </w:p>
    <w:p w14:paraId="2099CFBE">
      <w:pPr>
        <w:spacing w:before="0" w:beforeLines="0" w:after="0" w:afterLines="0" w:line="240" w:lineRule="auto"/>
        <w:ind w:left="0" w:leftChars="0" w:right="0" w:rightChars="0" w:firstLine="0" w:firstLineChars="0"/>
        <w:jc w:val="center"/>
        <w:rPr>
          <w:rFonts w:ascii="宋体" w:hAnsi="宋体" w:eastAsia="宋体"/>
          <w:b/>
          <w:bCs/>
          <w:sz w:val="32"/>
          <w:szCs w:val="28"/>
        </w:rPr>
        <w:sectPr>
          <w:pgSz w:w="11906" w:h="16838"/>
          <w:pgMar w:top="1440" w:right="1800" w:bottom="1440" w:left="1800" w:header="851" w:footer="992" w:gutter="0"/>
          <w:pgNumType w:start="1"/>
          <w:cols w:space="425" w:num="1"/>
          <w:docGrid w:type="lines" w:linePitch="312" w:charSpace="0"/>
        </w:sectPr>
      </w:pPr>
    </w:p>
    <w:sdt>
      <w:sdtPr>
        <w:rPr>
          <w:rFonts w:ascii="宋体" w:hAnsi="宋体" w:eastAsia="宋体" w:cstheme="minorBidi"/>
          <w:kern w:val="2"/>
          <w:sz w:val="36"/>
          <w:szCs w:val="40"/>
          <w:lang w:val="en-US" w:eastAsia="zh-CN" w:bidi="ar-SA"/>
        </w:rPr>
        <w:id w:val="147457360"/>
        <w15:color w:val="DBDBDB"/>
        <w:docPartObj>
          <w:docPartGallery w:val="Table of Contents"/>
          <w:docPartUnique/>
        </w:docPartObj>
      </w:sdtPr>
      <w:sdtEndPr>
        <w:rPr>
          <w:rFonts w:ascii="宋体" w:hAnsi="宋体" w:eastAsia="宋体" w:cs="Times New Roman"/>
          <w:kern w:val="2"/>
          <w:sz w:val="36"/>
          <w:szCs w:val="52"/>
          <w:lang w:val="en-US" w:eastAsia="zh-CN" w:bidi="ar-SA"/>
        </w:rPr>
      </w:sdtEndPr>
      <w:sdtContent>
        <w:p w14:paraId="7EFBF66E">
          <w:pPr>
            <w:spacing w:before="0" w:beforeLines="0" w:after="0" w:afterLines="0" w:line="240" w:lineRule="auto"/>
            <w:ind w:left="0" w:leftChars="0" w:right="0" w:rightChars="0" w:firstLine="0" w:firstLineChars="0"/>
            <w:jc w:val="center"/>
            <w:rPr>
              <w:sz w:val="36"/>
              <w:szCs w:val="40"/>
            </w:rPr>
          </w:pPr>
          <w:r>
            <w:rPr>
              <w:rFonts w:ascii="宋体" w:hAnsi="宋体" w:eastAsia="宋体"/>
              <w:sz w:val="36"/>
              <w:szCs w:val="40"/>
            </w:rPr>
            <w:t>目录</w:t>
          </w:r>
        </w:p>
        <w:p w14:paraId="659EDA52">
          <w:pPr>
            <w:pStyle w:val="10"/>
            <w:tabs>
              <w:tab w:val="right" w:leader="dot" w:pos="8306"/>
            </w:tabs>
            <w:rPr>
              <w:sz w:val="36"/>
              <w:szCs w:val="44"/>
            </w:rPr>
          </w:pPr>
          <w:r>
            <w:rPr>
              <w:rFonts w:ascii="宋体" w:hAnsi="宋体" w:eastAsia="宋体" w:cs="Times New Roman"/>
              <w:sz w:val="52"/>
              <w:szCs w:val="52"/>
            </w:rPr>
            <w:fldChar w:fldCharType="begin"/>
          </w:r>
          <w:r>
            <w:rPr>
              <w:rFonts w:ascii="宋体" w:hAnsi="宋体" w:eastAsia="宋体" w:cs="Times New Roman"/>
              <w:sz w:val="52"/>
              <w:szCs w:val="52"/>
            </w:rPr>
            <w:instrText xml:space="preserve">TOC \o "1-1" \h \u </w:instrText>
          </w:r>
          <w:r>
            <w:rPr>
              <w:rFonts w:ascii="宋体" w:hAnsi="宋体" w:eastAsia="宋体" w:cs="Times New Roman"/>
              <w:sz w:val="52"/>
              <w:szCs w:val="52"/>
            </w:rPr>
            <w:fldChar w:fldCharType="separate"/>
          </w:r>
          <w:r>
            <w:rPr>
              <w:rFonts w:ascii="宋体" w:hAnsi="宋体" w:eastAsia="宋体" w:cs="Times New Roman"/>
              <w:sz w:val="36"/>
              <w:szCs w:val="52"/>
            </w:rPr>
            <w:fldChar w:fldCharType="begin"/>
          </w:r>
          <w:r>
            <w:rPr>
              <w:rFonts w:ascii="宋体" w:hAnsi="宋体" w:eastAsia="宋体" w:cs="Times New Roman"/>
              <w:sz w:val="36"/>
              <w:szCs w:val="52"/>
            </w:rPr>
            <w:instrText xml:space="preserve"> HYPERLINK \l _Toc65 </w:instrText>
          </w:r>
          <w:r>
            <w:rPr>
              <w:rFonts w:ascii="宋体" w:hAnsi="宋体" w:eastAsia="宋体" w:cs="Times New Roman"/>
              <w:sz w:val="36"/>
              <w:szCs w:val="52"/>
            </w:rPr>
            <w:fldChar w:fldCharType="separate"/>
          </w:r>
          <w:r>
            <w:rPr>
              <w:rFonts w:hint="eastAsia" w:ascii="宋体" w:hAnsi="宋体" w:eastAsia="宋体" w:cs="Times New Roman"/>
              <w:bCs/>
              <w:sz w:val="36"/>
              <w:szCs w:val="52"/>
            </w:rPr>
            <w:t>第一章  竞争性磋商公告</w:t>
          </w:r>
          <w:r>
            <w:rPr>
              <w:sz w:val="36"/>
              <w:szCs w:val="44"/>
            </w:rPr>
            <w:tab/>
          </w:r>
          <w:r>
            <w:rPr>
              <w:sz w:val="36"/>
              <w:szCs w:val="44"/>
            </w:rPr>
            <w:fldChar w:fldCharType="begin"/>
          </w:r>
          <w:r>
            <w:rPr>
              <w:sz w:val="36"/>
              <w:szCs w:val="44"/>
            </w:rPr>
            <w:instrText xml:space="preserve"> PAGEREF _Toc65 \h </w:instrText>
          </w:r>
          <w:r>
            <w:rPr>
              <w:sz w:val="36"/>
              <w:szCs w:val="44"/>
            </w:rPr>
            <w:fldChar w:fldCharType="separate"/>
          </w:r>
          <w:r>
            <w:rPr>
              <w:sz w:val="36"/>
              <w:szCs w:val="44"/>
            </w:rPr>
            <w:t>2</w:t>
          </w:r>
          <w:r>
            <w:rPr>
              <w:sz w:val="36"/>
              <w:szCs w:val="44"/>
            </w:rPr>
            <w:fldChar w:fldCharType="end"/>
          </w:r>
          <w:r>
            <w:rPr>
              <w:rFonts w:ascii="宋体" w:hAnsi="宋体" w:eastAsia="宋体" w:cs="Times New Roman"/>
              <w:sz w:val="36"/>
              <w:szCs w:val="52"/>
            </w:rPr>
            <w:fldChar w:fldCharType="end"/>
          </w:r>
        </w:p>
        <w:p w14:paraId="32BB8DD6">
          <w:pPr>
            <w:pStyle w:val="10"/>
            <w:tabs>
              <w:tab w:val="right" w:leader="dot" w:pos="8306"/>
            </w:tabs>
            <w:rPr>
              <w:sz w:val="36"/>
              <w:szCs w:val="44"/>
            </w:rPr>
          </w:pPr>
          <w:r>
            <w:rPr>
              <w:rFonts w:ascii="宋体" w:hAnsi="宋体" w:eastAsia="宋体" w:cs="Times New Roman"/>
              <w:sz w:val="36"/>
              <w:szCs w:val="52"/>
            </w:rPr>
            <w:fldChar w:fldCharType="begin"/>
          </w:r>
          <w:r>
            <w:rPr>
              <w:rFonts w:ascii="宋体" w:hAnsi="宋体" w:eastAsia="宋体" w:cs="Times New Roman"/>
              <w:sz w:val="36"/>
              <w:szCs w:val="52"/>
            </w:rPr>
            <w:instrText xml:space="preserve"> HYPERLINK \l _Toc17308 </w:instrText>
          </w:r>
          <w:r>
            <w:rPr>
              <w:rFonts w:ascii="宋体" w:hAnsi="宋体" w:eastAsia="宋体" w:cs="Times New Roman"/>
              <w:sz w:val="36"/>
              <w:szCs w:val="52"/>
            </w:rPr>
            <w:fldChar w:fldCharType="separate"/>
          </w:r>
          <w:r>
            <w:rPr>
              <w:rFonts w:hint="eastAsia" w:ascii="宋体" w:hAnsi="宋体" w:eastAsia="宋体" w:cs="Times New Roman"/>
              <w:bCs/>
              <w:sz w:val="36"/>
              <w:szCs w:val="52"/>
            </w:rPr>
            <w:t>第二章  供应商须知表</w:t>
          </w:r>
          <w:r>
            <w:rPr>
              <w:sz w:val="36"/>
              <w:szCs w:val="44"/>
            </w:rPr>
            <w:tab/>
          </w:r>
          <w:r>
            <w:rPr>
              <w:sz w:val="36"/>
              <w:szCs w:val="44"/>
            </w:rPr>
            <w:fldChar w:fldCharType="begin"/>
          </w:r>
          <w:r>
            <w:rPr>
              <w:sz w:val="36"/>
              <w:szCs w:val="44"/>
            </w:rPr>
            <w:instrText xml:space="preserve"> PAGEREF _Toc17308 \h </w:instrText>
          </w:r>
          <w:r>
            <w:rPr>
              <w:sz w:val="36"/>
              <w:szCs w:val="44"/>
            </w:rPr>
            <w:fldChar w:fldCharType="separate"/>
          </w:r>
          <w:r>
            <w:rPr>
              <w:sz w:val="36"/>
              <w:szCs w:val="44"/>
            </w:rPr>
            <w:t>8</w:t>
          </w:r>
          <w:r>
            <w:rPr>
              <w:sz w:val="36"/>
              <w:szCs w:val="44"/>
            </w:rPr>
            <w:fldChar w:fldCharType="end"/>
          </w:r>
          <w:r>
            <w:rPr>
              <w:rFonts w:ascii="宋体" w:hAnsi="宋体" w:eastAsia="宋体" w:cs="Times New Roman"/>
              <w:sz w:val="36"/>
              <w:szCs w:val="52"/>
            </w:rPr>
            <w:fldChar w:fldCharType="end"/>
          </w:r>
        </w:p>
        <w:p w14:paraId="6B7F1999">
          <w:pPr>
            <w:pStyle w:val="10"/>
            <w:tabs>
              <w:tab w:val="right" w:leader="dot" w:pos="8306"/>
            </w:tabs>
            <w:rPr>
              <w:sz w:val="36"/>
              <w:szCs w:val="44"/>
            </w:rPr>
          </w:pPr>
          <w:r>
            <w:rPr>
              <w:rFonts w:ascii="宋体" w:hAnsi="宋体" w:eastAsia="宋体" w:cs="Times New Roman"/>
              <w:sz w:val="36"/>
              <w:szCs w:val="52"/>
            </w:rPr>
            <w:fldChar w:fldCharType="begin"/>
          </w:r>
          <w:r>
            <w:rPr>
              <w:rFonts w:ascii="宋体" w:hAnsi="宋体" w:eastAsia="宋体" w:cs="Times New Roman"/>
              <w:sz w:val="36"/>
              <w:szCs w:val="52"/>
            </w:rPr>
            <w:instrText xml:space="preserve"> HYPERLINK \l _Toc3981 </w:instrText>
          </w:r>
          <w:r>
            <w:rPr>
              <w:rFonts w:ascii="宋体" w:hAnsi="宋体" w:eastAsia="宋体" w:cs="Times New Roman"/>
              <w:sz w:val="36"/>
              <w:szCs w:val="52"/>
            </w:rPr>
            <w:fldChar w:fldCharType="separate"/>
          </w:r>
          <w:r>
            <w:rPr>
              <w:rFonts w:hint="eastAsia" w:ascii="黑体" w:cs="宋体" w:hAnsiTheme="minorHAnsi" w:eastAsiaTheme="minorEastAsia"/>
              <w:kern w:val="2"/>
              <w:sz w:val="36"/>
              <w:szCs w:val="48"/>
              <w:highlight w:val="none"/>
              <w:lang w:val="en-US" w:eastAsia="zh-CN" w:bidi="ar-SA"/>
            </w:rPr>
            <w:t>第三章</w:t>
          </w:r>
          <w:r>
            <w:rPr>
              <w:rFonts w:hint="eastAsia" w:ascii="Times New Roman" w:hAnsi="Times New Roman" w:eastAsia="宋体" w:cs="Times New Roman"/>
              <w:sz w:val="36"/>
              <w:szCs w:val="60"/>
              <w:highlight w:val="none"/>
            </w:rPr>
            <w:t xml:space="preserve">  </w:t>
          </w:r>
          <w:r>
            <w:rPr>
              <w:rFonts w:hint="eastAsia" w:ascii="黑体" w:eastAsia="宋体" w:cs="宋体"/>
              <w:kern w:val="2"/>
              <w:sz w:val="36"/>
              <w:szCs w:val="48"/>
              <w:highlight w:val="none"/>
              <w:lang w:eastAsia="zh-CN"/>
            </w:rPr>
            <w:t>采购需求</w:t>
          </w:r>
          <w:r>
            <w:rPr>
              <w:sz w:val="36"/>
              <w:szCs w:val="44"/>
            </w:rPr>
            <w:tab/>
          </w:r>
          <w:r>
            <w:rPr>
              <w:sz w:val="36"/>
              <w:szCs w:val="44"/>
            </w:rPr>
            <w:fldChar w:fldCharType="begin"/>
          </w:r>
          <w:r>
            <w:rPr>
              <w:sz w:val="36"/>
              <w:szCs w:val="44"/>
            </w:rPr>
            <w:instrText xml:space="preserve"> PAGEREF _Toc3981 \h </w:instrText>
          </w:r>
          <w:r>
            <w:rPr>
              <w:sz w:val="36"/>
              <w:szCs w:val="44"/>
            </w:rPr>
            <w:fldChar w:fldCharType="separate"/>
          </w:r>
          <w:r>
            <w:rPr>
              <w:sz w:val="36"/>
              <w:szCs w:val="44"/>
            </w:rPr>
            <w:t>38</w:t>
          </w:r>
          <w:r>
            <w:rPr>
              <w:sz w:val="36"/>
              <w:szCs w:val="44"/>
            </w:rPr>
            <w:fldChar w:fldCharType="end"/>
          </w:r>
          <w:r>
            <w:rPr>
              <w:rFonts w:ascii="宋体" w:hAnsi="宋体" w:eastAsia="宋体" w:cs="Times New Roman"/>
              <w:sz w:val="36"/>
              <w:szCs w:val="52"/>
            </w:rPr>
            <w:fldChar w:fldCharType="end"/>
          </w:r>
        </w:p>
        <w:p w14:paraId="6EAC7058">
          <w:pPr>
            <w:pStyle w:val="10"/>
            <w:tabs>
              <w:tab w:val="right" w:leader="dot" w:pos="8306"/>
            </w:tabs>
            <w:rPr>
              <w:sz w:val="36"/>
              <w:szCs w:val="44"/>
            </w:rPr>
          </w:pPr>
          <w:r>
            <w:rPr>
              <w:rFonts w:ascii="宋体" w:hAnsi="宋体" w:eastAsia="宋体" w:cs="Times New Roman"/>
              <w:sz w:val="36"/>
              <w:szCs w:val="52"/>
            </w:rPr>
            <w:fldChar w:fldCharType="begin"/>
          </w:r>
          <w:r>
            <w:rPr>
              <w:rFonts w:ascii="宋体" w:hAnsi="宋体" w:eastAsia="宋体" w:cs="Times New Roman"/>
              <w:sz w:val="36"/>
              <w:szCs w:val="52"/>
            </w:rPr>
            <w:instrText xml:space="preserve"> HYPERLINK \l _Toc23046 </w:instrText>
          </w:r>
          <w:r>
            <w:rPr>
              <w:rFonts w:ascii="宋体" w:hAnsi="宋体" w:eastAsia="宋体" w:cs="Times New Roman"/>
              <w:sz w:val="36"/>
              <w:szCs w:val="52"/>
            </w:rPr>
            <w:fldChar w:fldCharType="separate"/>
          </w:r>
          <w:r>
            <w:rPr>
              <w:rFonts w:hint="eastAsia" w:ascii="黑体" w:cs="宋体" w:hAnsiTheme="minorHAnsi" w:eastAsiaTheme="minorEastAsia"/>
              <w:kern w:val="2"/>
              <w:sz w:val="36"/>
              <w:szCs w:val="44"/>
              <w:lang w:val="en-US" w:eastAsia="zh-CN" w:bidi="ar-SA"/>
            </w:rPr>
            <w:t>第四章</w:t>
          </w:r>
          <w:r>
            <w:rPr>
              <w:rFonts w:hint="eastAsia" w:ascii="黑体" w:cs="宋体"/>
              <w:kern w:val="2"/>
              <w:sz w:val="36"/>
              <w:szCs w:val="44"/>
              <w:lang w:val="en-US" w:eastAsia="zh-CN" w:bidi="ar-SA"/>
            </w:rPr>
            <w:t xml:space="preserve">  </w:t>
          </w:r>
          <w:r>
            <w:rPr>
              <w:rFonts w:hint="eastAsia" w:ascii="黑体" w:cs="宋体"/>
              <w:kern w:val="2"/>
              <w:sz w:val="36"/>
              <w:szCs w:val="44"/>
            </w:rPr>
            <w:t>合同条款及格式</w:t>
          </w:r>
          <w:r>
            <w:rPr>
              <w:sz w:val="36"/>
              <w:szCs w:val="44"/>
            </w:rPr>
            <w:tab/>
          </w:r>
          <w:r>
            <w:rPr>
              <w:sz w:val="36"/>
              <w:szCs w:val="44"/>
            </w:rPr>
            <w:fldChar w:fldCharType="begin"/>
          </w:r>
          <w:r>
            <w:rPr>
              <w:sz w:val="36"/>
              <w:szCs w:val="44"/>
            </w:rPr>
            <w:instrText xml:space="preserve"> PAGEREF _Toc23046 \h </w:instrText>
          </w:r>
          <w:r>
            <w:rPr>
              <w:sz w:val="36"/>
              <w:szCs w:val="44"/>
            </w:rPr>
            <w:fldChar w:fldCharType="separate"/>
          </w:r>
          <w:r>
            <w:rPr>
              <w:sz w:val="36"/>
              <w:szCs w:val="44"/>
            </w:rPr>
            <w:t>50</w:t>
          </w:r>
          <w:r>
            <w:rPr>
              <w:sz w:val="36"/>
              <w:szCs w:val="44"/>
            </w:rPr>
            <w:fldChar w:fldCharType="end"/>
          </w:r>
          <w:r>
            <w:rPr>
              <w:rFonts w:ascii="宋体" w:hAnsi="宋体" w:eastAsia="宋体" w:cs="Times New Roman"/>
              <w:sz w:val="36"/>
              <w:szCs w:val="52"/>
            </w:rPr>
            <w:fldChar w:fldCharType="end"/>
          </w:r>
        </w:p>
        <w:p w14:paraId="266A999E">
          <w:pPr>
            <w:pStyle w:val="10"/>
            <w:tabs>
              <w:tab w:val="right" w:leader="dot" w:pos="8306"/>
            </w:tabs>
            <w:rPr>
              <w:sz w:val="36"/>
              <w:szCs w:val="44"/>
            </w:rPr>
          </w:pPr>
          <w:r>
            <w:rPr>
              <w:rFonts w:ascii="宋体" w:hAnsi="宋体" w:eastAsia="宋体" w:cs="Times New Roman"/>
              <w:sz w:val="36"/>
              <w:szCs w:val="52"/>
            </w:rPr>
            <w:fldChar w:fldCharType="begin"/>
          </w:r>
          <w:r>
            <w:rPr>
              <w:rFonts w:ascii="宋体" w:hAnsi="宋体" w:eastAsia="宋体" w:cs="Times New Roman"/>
              <w:sz w:val="36"/>
              <w:szCs w:val="52"/>
            </w:rPr>
            <w:instrText xml:space="preserve"> HYPERLINK \l _Toc3999 </w:instrText>
          </w:r>
          <w:r>
            <w:rPr>
              <w:rFonts w:ascii="宋体" w:hAnsi="宋体" w:eastAsia="宋体" w:cs="Times New Roman"/>
              <w:sz w:val="36"/>
              <w:szCs w:val="52"/>
            </w:rPr>
            <w:fldChar w:fldCharType="separate"/>
          </w:r>
          <w:r>
            <w:rPr>
              <w:rFonts w:hint="eastAsia" w:ascii="黑体" w:cs="宋体"/>
              <w:kern w:val="2"/>
              <w:sz w:val="36"/>
              <w:szCs w:val="44"/>
            </w:rPr>
            <w:t xml:space="preserve">第五章 </w:t>
          </w:r>
          <w:r>
            <w:rPr>
              <w:rFonts w:hint="eastAsia" w:ascii="黑体" w:cs="宋体"/>
              <w:kern w:val="2"/>
              <w:sz w:val="36"/>
              <w:szCs w:val="44"/>
              <w:lang w:val="en-US" w:eastAsia="zh-CN"/>
            </w:rPr>
            <w:t xml:space="preserve"> 评标办法</w:t>
          </w:r>
          <w:r>
            <w:rPr>
              <w:sz w:val="36"/>
              <w:szCs w:val="44"/>
            </w:rPr>
            <w:tab/>
          </w:r>
          <w:r>
            <w:rPr>
              <w:sz w:val="36"/>
              <w:szCs w:val="44"/>
            </w:rPr>
            <w:fldChar w:fldCharType="begin"/>
          </w:r>
          <w:r>
            <w:rPr>
              <w:sz w:val="36"/>
              <w:szCs w:val="44"/>
            </w:rPr>
            <w:instrText xml:space="preserve"> PAGEREF _Toc3999 \h </w:instrText>
          </w:r>
          <w:r>
            <w:rPr>
              <w:sz w:val="36"/>
              <w:szCs w:val="44"/>
            </w:rPr>
            <w:fldChar w:fldCharType="separate"/>
          </w:r>
          <w:r>
            <w:rPr>
              <w:sz w:val="36"/>
              <w:szCs w:val="44"/>
            </w:rPr>
            <w:t>53</w:t>
          </w:r>
          <w:r>
            <w:rPr>
              <w:sz w:val="36"/>
              <w:szCs w:val="44"/>
            </w:rPr>
            <w:fldChar w:fldCharType="end"/>
          </w:r>
          <w:r>
            <w:rPr>
              <w:rFonts w:ascii="宋体" w:hAnsi="宋体" w:eastAsia="宋体" w:cs="Times New Roman"/>
              <w:sz w:val="36"/>
              <w:szCs w:val="52"/>
            </w:rPr>
            <w:fldChar w:fldCharType="end"/>
          </w:r>
        </w:p>
        <w:p w14:paraId="05DDE1A7">
          <w:pPr>
            <w:pStyle w:val="10"/>
            <w:tabs>
              <w:tab w:val="right" w:leader="dot" w:pos="8306"/>
            </w:tabs>
            <w:rPr>
              <w:sz w:val="36"/>
              <w:szCs w:val="44"/>
            </w:rPr>
          </w:pPr>
          <w:r>
            <w:rPr>
              <w:rFonts w:ascii="宋体" w:hAnsi="宋体" w:eastAsia="宋体" w:cs="Times New Roman"/>
              <w:sz w:val="36"/>
              <w:szCs w:val="52"/>
            </w:rPr>
            <w:fldChar w:fldCharType="begin"/>
          </w:r>
          <w:r>
            <w:rPr>
              <w:rFonts w:ascii="宋体" w:hAnsi="宋体" w:eastAsia="宋体" w:cs="Times New Roman"/>
              <w:sz w:val="36"/>
              <w:szCs w:val="52"/>
            </w:rPr>
            <w:instrText xml:space="preserve"> HYPERLINK \l _Toc22229 </w:instrText>
          </w:r>
          <w:r>
            <w:rPr>
              <w:rFonts w:ascii="宋体" w:hAnsi="宋体" w:eastAsia="宋体" w:cs="Times New Roman"/>
              <w:sz w:val="36"/>
              <w:szCs w:val="52"/>
            </w:rPr>
            <w:fldChar w:fldCharType="separate"/>
          </w:r>
          <w:r>
            <w:rPr>
              <w:rFonts w:hint="eastAsia" w:ascii="宋体" w:hAnsi="宋体" w:cs="宋体"/>
              <w:kern w:val="2"/>
              <w:sz w:val="36"/>
              <w:szCs w:val="44"/>
            </w:rPr>
            <w:t xml:space="preserve">第六章  </w:t>
          </w:r>
          <w:r>
            <w:rPr>
              <w:rFonts w:hint="eastAsia" w:ascii="宋体" w:hAnsi="宋体" w:cs="宋体"/>
              <w:kern w:val="2"/>
              <w:sz w:val="36"/>
              <w:szCs w:val="44"/>
              <w:lang w:eastAsia="zh-CN"/>
            </w:rPr>
            <w:t>响应</w:t>
          </w:r>
          <w:r>
            <w:rPr>
              <w:rFonts w:hint="eastAsia" w:ascii="宋体" w:hAnsi="宋体" w:cs="宋体"/>
              <w:kern w:val="2"/>
              <w:sz w:val="36"/>
              <w:szCs w:val="44"/>
            </w:rPr>
            <w:t>文件</w:t>
          </w:r>
          <w:r>
            <w:rPr>
              <w:rFonts w:hint="eastAsia" w:ascii="宋体" w:hAnsi="宋体" w:cs="宋体"/>
              <w:kern w:val="2"/>
              <w:sz w:val="36"/>
              <w:szCs w:val="44"/>
              <w:lang w:eastAsia="zh-CN"/>
            </w:rPr>
            <w:t>内容及</w:t>
          </w:r>
          <w:r>
            <w:rPr>
              <w:rFonts w:hint="eastAsia" w:ascii="宋体" w:hAnsi="宋体" w:cs="宋体"/>
              <w:kern w:val="2"/>
              <w:sz w:val="36"/>
              <w:szCs w:val="44"/>
            </w:rPr>
            <w:t>格式</w:t>
          </w:r>
          <w:r>
            <w:rPr>
              <w:sz w:val="36"/>
              <w:szCs w:val="44"/>
            </w:rPr>
            <w:tab/>
          </w:r>
          <w:r>
            <w:rPr>
              <w:sz w:val="36"/>
              <w:szCs w:val="44"/>
            </w:rPr>
            <w:fldChar w:fldCharType="begin"/>
          </w:r>
          <w:r>
            <w:rPr>
              <w:sz w:val="36"/>
              <w:szCs w:val="44"/>
            </w:rPr>
            <w:instrText xml:space="preserve"> PAGEREF _Toc22229 \h </w:instrText>
          </w:r>
          <w:r>
            <w:rPr>
              <w:sz w:val="36"/>
              <w:szCs w:val="44"/>
            </w:rPr>
            <w:fldChar w:fldCharType="separate"/>
          </w:r>
          <w:r>
            <w:rPr>
              <w:sz w:val="36"/>
              <w:szCs w:val="44"/>
            </w:rPr>
            <w:t>65</w:t>
          </w:r>
          <w:r>
            <w:rPr>
              <w:sz w:val="36"/>
              <w:szCs w:val="44"/>
            </w:rPr>
            <w:fldChar w:fldCharType="end"/>
          </w:r>
          <w:r>
            <w:rPr>
              <w:rFonts w:ascii="宋体" w:hAnsi="宋体" w:eastAsia="宋体" w:cs="Times New Roman"/>
              <w:sz w:val="36"/>
              <w:szCs w:val="52"/>
            </w:rPr>
            <w:fldChar w:fldCharType="end"/>
          </w:r>
        </w:p>
        <w:p w14:paraId="28672D62">
          <w:pPr>
            <w:rPr>
              <w:rFonts w:ascii="宋体" w:hAnsi="宋体" w:eastAsia="宋体" w:cs="Times New Roman"/>
              <w:kern w:val="2"/>
              <w:sz w:val="21"/>
              <w:szCs w:val="32"/>
              <w:lang w:val="en-US" w:eastAsia="zh-CN" w:bidi="ar-SA"/>
            </w:rPr>
          </w:pPr>
          <w:r>
            <w:rPr>
              <w:rFonts w:ascii="宋体" w:hAnsi="宋体" w:eastAsia="宋体" w:cs="Times New Roman"/>
              <w:sz w:val="36"/>
              <w:szCs w:val="52"/>
            </w:rPr>
            <w:fldChar w:fldCharType="end"/>
          </w:r>
        </w:p>
      </w:sdtContent>
    </w:sdt>
    <w:p w14:paraId="59A5FE7A">
      <w:pPr>
        <w:rPr>
          <w:rFonts w:ascii="宋体" w:hAnsi="宋体" w:eastAsia="宋体" w:cs="Times New Roman"/>
          <w:kern w:val="2"/>
          <w:sz w:val="21"/>
          <w:szCs w:val="32"/>
          <w:lang w:val="en-US" w:eastAsia="zh-CN" w:bidi="ar-SA"/>
        </w:rPr>
      </w:pPr>
    </w:p>
    <w:p w14:paraId="213AA02A">
      <w:pPr>
        <w:rPr>
          <w:rFonts w:ascii="宋体" w:hAnsi="宋体" w:eastAsia="宋体" w:cs="Times New Roman"/>
          <w:sz w:val="32"/>
          <w:szCs w:val="32"/>
        </w:rPr>
      </w:pPr>
    </w:p>
    <w:p w14:paraId="2B2F8803">
      <w:pPr>
        <w:rPr>
          <w:rFonts w:ascii="宋体" w:hAnsi="宋体" w:eastAsia="宋体" w:cs="Times New Roman"/>
          <w:sz w:val="32"/>
          <w:szCs w:val="32"/>
        </w:rPr>
      </w:pPr>
    </w:p>
    <w:p w14:paraId="7082A455">
      <w:pPr>
        <w:tabs>
          <w:tab w:val="left" w:pos="4785"/>
        </w:tabs>
        <w:rPr>
          <w:rFonts w:ascii="宋体" w:hAnsi="宋体" w:eastAsia="宋体" w:cs="Times New Roman"/>
          <w:sz w:val="32"/>
          <w:szCs w:val="32"/>
        </w:rPr>
      </w:pPr>
      <w:r>
        <w:rPr>
          <w:rFonts w:ascii="宋体" w:hAnsi="宋体" w:eastAsia="宋体" w:cs="Times New Roman"/>
          <w:sz w:val="32"/>
          <w:szCs w:val="32"/>
        </w:rPr>
        <w:tab/>
      </w:r>
    </w:p>
    <w:p w14:paraId="74873D19">
      <w:pPr>
        <w:rPr>
          <w:rFonts w:ascii="宋体" w:hAnsi="宋体" w:eastAsia="宋体" w:cs="Times New Roman"/>
          <w:sz w:val="32"/>
          <w:szCs w:val="32"/>
        </w:rPr>
      </w:pPr>
    </w:p>
    <w:p w14:paraId="60C6B7DE">
      <w:pPr>
        <w:rPr>
          <w:rFonts w:ascii="宋体" w:hAnsi="宋体" w:eastAsia="宋体" w:cs="Times New Roman"/>
          <w:sz w:val="32"/>
          <w:szCs w:val="32"/>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084B6260">
      <w:pPr>
        <w:jc w:val="center"/>
        <w:outlineLvl w:val="0"/>
        <w:rPr>
          <w:rFonts w:ascii="宋体" w:hAnsi="宋体" w:eastAsia="宋体" w:cs="宋体"/>
          <w:b/>
          <w:sz w:val="32"/>
          <w:szCs w:val="32"/>
        </w:rPr>
      </w:pPr>
      <w:bookmarkStart w:id="0" w:name="_Toc65"/>
      <w:bookmarkStart w:id="1" w:name="_Toc23380"/>
      <w:bookmarkStart w:id="2" w:name="_Toc23625"/>
      <w:r>
        <w:rPr>
          <w:rFonts w:hint="eastAsia" w:ascii="宋体" w:hAnsi="宋体" w:eastAsia="宋体" w:cs="Times New Roman"/>
          <w:b/>
          <w:bCs/>
          <w:sz w:val="32"/>
          <w:szCs w:val="32"/>
        </w:rPr>
        <w:t>第一章  竞争性磋商公告</w:t>
      </w:r>
      <w:bookmarkEnd w:id="0"/>
      <w:bookmarkEnd w:id="1"/>
      <w:bookmarkEnd w:id="2"/>
      <w:bookmarkStart w:id="3" w:name="_Toc2820184451"/>
      <w:bookmarkEnd w:id="3"/>
      <w:bookmarkStart w:id="4" w:name="_Toc2820163531"/>
      <w:bookmarkEnd w:id="4"/>
      <w:bookmarkStart w:id="5" w:name="_Toc30773"/>
      <w:bookmarkStart w:id="6" w:name="_Toc488052440"/>
    </w:p>
    <w:bookmarkEnd w:id="5"/>
    <w:bookmarkEnd w:id="6"/>
    <w:p w14:paraId="3B2A62F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bookmarkStart w:id="7" w:name="OLE_LINK2"/>
      <w:bookmarkStart w:id="8" w:name="OLE_LINK1"/>
      <w:bookmarkStart w:id="9" w:name="OLE_LINK3"/>
      <w:r>
        <w:rPr>
          <w:rFonts w:hint="eastAsia" w:cs="新宋体" w:asciiTheme="minorEastAsia" w:hAnsiTheme="minorEastAsia"/>
          <w:sz w:val="28"/>
          <w:szCs w:val="28"/>
          <w:lang w:eastAsia="zh-CN"/>
        </w:rPr>
        <w:t>河南保利招标咨询有限公司</w:t>
      </w:r>
      <w:r>
        <w:rPr>
          <w:rFonts w:hint="eastAsia" w:cs="新宋体" w:asciiTheme="minorEastAsia" w:hAnsiTheme="minorEastAsia"/>
          <w:sz w:val="28"/>
          <w:szCs w:val="28"/>
        </w:rPr>
        <w:t>受</w:t>
      </w:r>
      <w:r>
        <w:rPr>
          <w:rFonts w:hint="eastAsia" w:cs="新宋体" w:asciiTheme="minorEastAsia" w:hAnsiTheme="minorEastAsia"/>
          <w:sz w:val="28"/>
          <w:szCs w:val="28"/>
          <w:lang w:eastAsia="zh-CN"/>
        </w:rPr>
        <w:t>卢氏县住房和城乡建设局</w:t>
      </w:r>
      <w:r>
        <w:rPr>
          <w:rFonts w:hint="eastAsia" w:cs="新宋体" w:asciiTheme="minorEastAsia" w:hAnsiTheme="minorEastAsia"/>
          <w:sz w:val="28"/>
          <w:szCs w:val="28"/>
        </w:rPr>
        <w:t>的委托，就</w:t>
      </w:r>
      <w:r>
        <w:rPr>
          <w:rFonts w:hint="eastAsia" w:cs="新宋体" w:asciiTheme="minorEastAsia" w:hAnsiTheme="minorEastAsia"/>
          <w:sz w:val="28"/>
          <w:szCs w:val="28"/>
          <w:lang w:eastAsia="zh-CN"/>
        </w:rPr>
        <w:t>2026年第二批超长期特别国债资金支持老旧电梯更新改造项目</w:t>
      </w:r>
      <w:r>
        <w:rPr>
          <w:rFonts w:hint="eastAsia" w:cs="新宋体" w:asciiTheme="minorEastAsia" w:hAnsiTheme="minorEastAsia"/>
          <w:sz w:val="28"/>
          <w:szCs w:val="28"/>
        </w:rPr>
        <w:t>进行竞争性磋商，欢迎符合资格条件的供应商参加。</w:t>
      </w:r>
    </w:p>
    <w:p w14:paraId="3418819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一、项目概况</w:t>
      </w:r>
    </w:p>
    <w:p w14:paraId="0B3FD8D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1、采购人：</w:t>
      </w:r>
      <w:r>
        <w:rPr>
          <w:rFonts w:hint="eastAsia" w:cs="新宋体" w:asciiTheme="minorEastAsia" w:hAnsiTheme="minorEastAsia"/>
          <w:sz w:val="28"/>
          <w:szCs w:val="28"/>
          <w:lang w:eastAsia="zh-CN"/>
        </w:rPr>
        <w:t>卢氏县住房和城乡建设局</w:t>
      </w:r>
    </w:p>
    <w:p w14:paraId="24ABC97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2、项目名称：</w:t>
      </w:r>
      <w:r>
        <w:rPr>
          <w:rFonts w:hint="eastAsia" w:cs="新宋体" w:asciiTheme="minorEastAsia" w:hAnsiTheme="minorEastAsia"/>
          <w:sz w:val="28"/>
          <w:szCs w:val="28"/>
          <w:lang w:eastAsia="zh-CN"/>
        </w:rPr>
        <w:t>2026年第二批超长期特别国债资金支持老旧电梯更新改造项目</w:t>
      </w:r>
    </w:p>
    <w:p w14:paraId="35E372F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rPr>
        <w:t>3、项目编号</w:t>
      </w:r>
      <w:r>
        <w:rPr>
          <w:rFonts w:hint="eastAsia" w:cs="新宋体" w:asciiTheme="minorEastAsia" w:hAnsiTheme="minorEastAsia"/>
          <w:sz w:val="28"/>
          <w:szCs w:val="28"/>
          <w:highlight w:val="none"/>
          <w:lang w:eastAsia="zh-CN"/>
        </w:rPr>
        <w:t>：三卢竞磋采购-2026-108、LSGZ[2026]248-ZC193</w:t>
      </w:r>
    </w:p>
    <w:p w14:paraId="06EF3C9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rPr>
      </w:pPr>
      <w:r>
        <w:rPr>
          <w:rFonts w:hint="eastAsia" w:cs="新宋体" w:asciiTheme="minorEastAsia" w:hAnsiTheme="minorEastAsia"/>
          <w:sz w:val="28"/>
          <w:szCs w:val="28"/>
          <w:highlight w:val="none"/>
          <w:lang w:val="en-US" w:eastAsia="zh-CN"/>
        </w:rPr>
        <w:t>4</w:t>
      </w:r>
      <w:r>
        <w:rPr>
          <w:rFonts w:hint="eastAsia" w:cs="新宋体" w:asciiTheme="minorEastAsia" w:hAnsiTheme="minorEastAsia"/>
          <w:sz w:val="28"/>
          <w:szCs w:val="28"/>
          <w:highlight w:val="none"/>
        </w:rPr>
        <w:t>、采购内容：</w:t>
      </w:r>
      <w:r>
        <w:rPr>
          <w:rFonts w:hint="eastAsia" w:cs="新宋体" w:asciiTheme="minorEastAsia" w:hAnsiTheme="minorEastAsia"/>
          <w:sz w:val="28"/>
          <w:szCs w:val="28"/>
          <w:highlight w:val="none"/>
          <w:lang w:eastAsia="zh-CN"/>
        </w:rPr>
        <w:t>2026年第二批超长期特别国债资金支持老旧电梯更新改造项目，主要采购内容为：聚贤花园老旧电梯更新改造任务4台</w:t>
      </w:r>
      <w:r>
        <w:rPr>
          <w:rFonts w:hint="eastAsia" w:cs="新宋体" w:asciiTheme="minorEastAsia" w:hAnsiTheme="minorEastAsia"/>
          <w:sz w:val="28"/>
          <w:szCs w:val="28"/>
          <w:lang w:val="en-US" w:eastAsia="zh-CN"/>
        </w:rPr>
        <w:t>（</w:t>
      </w:r>
      <w:r>
        <w:rPr>
          <w:rFonts w:hint="eastAsia" w:cs="新宋体" w:asciiTheme="minorEastAsia" w:hAnsiTheme="minorEastAsia"/>
          <w:sz w:val="28"/>
          <w:szCs w:val="28"/>
          <w:lang w:eastAsia="zh-CN"/>
        </w:rPr>
        <w:t>具体详见磋商文件第三章采购需求</w:t>
      </w:r>
      <w:r>
        <w:rPr>
          <w:rFonts w:hint="eastAsia" w:cs="新宋体" w:asciiTheme="minorEastAsia" w:hAnsiTheme="minorEastAsia"/>
          <w:sz w:val="28"/>
          <w:szCs w:val="28"/>
          <w:lang w:val="en-US" w:eastAsia="zh-CN"/>
        </w:rPr>
        <w:t>）</w:t>
      </w:r>
    </w:p>
    <w:p w14:paraId="047F5B0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5</w:t>
      </w:r>
      <w:r>
        <w:rPr>
          <w:rFonts w:hint="eastAsia" w:cs="新宋体" w:asciiTheme="minorEastAsia" w:hAnsiTheme="minorEastAsia"/>
          <w:sz w:val="28"/>
          <w:szCs w:val="28"/>
        </w:rPr>
        <w:t>、标段划分：</w:t>
      </w:r>
      <w:r>
        <w:rPr>
          <w:rFonts w:hint="eastAsia" w:cs="新宋体" w:asciiTheme="minorEastAsia" w:hAnsiTheme="minorEastAsia"/>
          <w:sz w:val="28"/>
          <w:szCs w:val="28"/>
          <w:lang w:eastAsia="zh-CN"/>
        </w:rPr>
        <w:t>本项目共一个标段</w:t>
      </w:r>
    </w:p>
    <w:p w14:paraId="0815114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6</w:t>
      </w:r>
      <w:r>
        <w:rPr>
          <w:rFonts w:hint="eastAsia" w:cs="新宋体" w:asciiTheme="minorEastAsia" w:hAnsiTheme="minorEastAsia"/>
          <w:sz w:val="28"/>
          <w:szCs w:val="28"/>
          <w:highlight w:val="none"/>
        </w:rPr>
        <w:t>、预算金额：¥</w:t>
      </w:r>
      <w:r>
        <w:rPr>
          <w:rFonts w:hint="eastAsia" w:cs="新宋体" w:asciiTheme="minorEastAsia" w:hAnsiTheme="minorEastAsia"/>
          <w:sz w:val="28"/>
          <w:szCs w:val="28"/>
          <w:highlight w:val="none"/>
          <w:lang w:val="en-US" w:eastAsia="zh-CN"/>
        </w:rPr>
        <w:t>600000.00元</w:t>
      </w:r>
    </w:p>
    <w:p w14:paraId="024CDB6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7</w:t>
      </w:r>
      <w:r>
        <w:rPr>
          <w:rFonts w:hint="eastAsia" w:cs="新宋体" w:asciiTheme="minorEastAsia" w:hAnsiTheme="minorEastAsia"/>
          <w:sz w:val="28"/>
          <w:szCs w:val="28"/>
        </w:rPr>
        <w:t>、资金来源：</w:t>
      </w:r>
      <w:r>
        <w:rPr>
          <w:rFonts w:hint="eastAsia" w:cs="新宋体" w:asciiTheme="minorEastAsia" w:hAnsiTheme="minorEastAsia"/>
          <w:color w:val="000000" w:themeColor="text1"/>
          <w:sz w:val="28"/>
          <w:szCs w:val="28"/>
          <w14:textFill>
            <w14:solidFill>
              <w14:schemeClr w14:val="tx1"/>
            </w14:solidFill>
          </w14:textFill>
        </w:rPr>
        <w:t>财政资金，已落实</w:t>
      </w:r>
    </w:p>
    <w:p w14:paraId="1ED4301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交货地点</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卢氏县</w:t>
      </w:r>
      <w:r>
        <w:rPr>
          <w:rFonts w:hint="eastAsia" w:cs="新宋体" w:asciiTheme="minorEastAsia" w:hAnsiTheme="minorEastAsia"/>
          <w:sz w:val="28"/>
          <w:szCs w:val="28"/>
          <w:highlight w:val="none"/>
          <w:lang w:eastAsia="zh-CN"/>
        </w:rPr>
        <w:t>聚贤花园</w:t>
      </w:r>
    </w:p>
    <w:p w14:paraId="73C152E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交货期限</w:t>
      </w:r>
      <w:r>
        <w:rPr>
          <w:rFonts w:hint="eastAsia" w:cs="新宋体" w:asciiTheme="minorEastAsia" w:hAnsiTheme="minorEastAsia"/>
          <w:sz w:val="28"/>
          <w:szCs w:val="28"/>
          <w:highlight w:val="none"/>
          <w:lang w:eastAsia="zh-CN"/>
        </w:rPr>
        <w:t>：合同签订后</w:t>
      </w:r>
      <w:r>
        <w:rPr>
          <w:rFonts w:hint="eastAsia" w:cs="新宋体" w:asciiTheme="minorEastAsia" w:hAnsiTheme="minorEastAsia"/>
          <w:sz w:val="28"/>
          <w:szCs w:val="28"/>
          <w:highlight w:val="none"/>
          <w:lang w:val="en-US" w:eastAsia="zh-CN"/>
        </w:rPr>
        <w:t>30</w:t>
      </w:r>
      <w:r>
        <w:rPr>
          <w:rFonts w:hint="eastAsia" w:cs="新宋体" w:asciiTheme="minorEastAsia" w:hAnsiTheme="minorEastAsia"/>
          <w:sz w:val="28"/>
          <w:szCs w:val="28"/>
          <w:highlight w:val="none"/>
          <w:lang w:eastAsia="zh-CN"/>
        </w:rPr>
        <w:t>日历天完成供货、安装及调试</w:t>
      </w:r>
    </w:p>
    <w:p w14:paraId="0667B9D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val="en-US" w:eastAsia="zh-CN"/>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、质量要求：</w:t>
      </w:r>
      <w:r>
        <w:rPr>
          <w:rFonts w:hint="eastAsia" w:cs="新宋体" w:asciiTheme="minorEastAsia" w:hAnsiTheme="minorEastAsia"/>
          <w:sz w:val="28"/>
          <w:szCs w:val="28"/>
          <w:lang w:eastAsia="zh-CN"/>
        </w:rPr>
        <w:t>符合国家及行业标准，并满足采购人要求</w:t>
      </w:r>
    </w:p>
    <w:p w14:paraId="73AC49F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highlight w:val="none"/>
          <w:lang w:val="en-US" w:eastAsia="zh-CN"/>
        </w:rPr>
        <w:t>11</w:t>
      </w:r>
      <w:r>
        <w:rPr>
          <w:rFonts w:hint="eastAsia" w:cs="新宋体" w:asciiTheme="minorEastAsia" w:hAnsiTheme="minorEastAsia"/>
          <w:sz w:val="28"/>
          <w:szCs w:val="28"/>
          <w:lang w:val="en-US" w:eastAsia="zh-CN"/>
        </w:rPr>
        <w:t>、质保期：</w:t>
      </w:r>
      <w:r>
        <w:rPr>
          <w:rFonts w:hint="eastAsia" w:cs="新宋体" w:asciiTheme="minorEastAsia" w:hAnsiTheme="minorEastAsia"/>
          <w:sz w:val="28"/>
          <w:szCs w:val="28"/>
          <w:lang w:eastAsia="zh-CN"/>
        </w:rPr>
        <w:t>整机两年，核心部件五年，满足国债更换电梯要求；</w:t>
      </w:r>
    </w:p>
    <w:p w14:paraId="4DBA656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val="en-US" w:eastAsia="zh-CN"/>
        </w:rPr>
        <w:t>12、</w:t>
      </w:r>
      <w:r>
        <w:rPr>
          <w:rFonts w:hint="eastAsia" w:cs="新宋体" w:asciiTheme="minorEastAsia" w:hAnsiTheme="minorEastAsia"/>
          <w:sz w:val="28"/>
          <w:szCs w:val="28"/>
          <w:lang w:eastAsia="zh-CN"/>
        </w:rPr>
        <w:t>是否接受进口产品：否</w:t>
      </w:r>
    </w:p>
    <w:p w14:paraId="3EFDCA8C">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1</w:t>
      </w:r>
      <w:r>
        <w:rPr>
          <w:rFonts w:hint="eastAsia" w:cs="新宋体" w:asciiTheme="minorEastAsia" w:hAnsiTheme="minorEastAsia"/>
          <w:sz w:val="28"/>
          <w:szCs w:val="28"/>
          <w:lang w:val="en-US" w:eastAsia="zh-CN"/>
        </w:rPr>
        <w:t>3</w:t>
      </w:r>
      <w:r>
        <w:rPr>
          <w:rFonts w:hint="eastAsia" w:cs="新宋体" w:asciiTheme="minorEastAsia" w:hAnsiTheme="minorEastAsia"/>
          <w:sz w:val="28"/>
          <w:szCs w:val="28"/>
        </w:rPr>
        <w:t>、是否专门面向中小企业：</w:t>
      </w:r>
      <w:r>
        <w:rPr>
          <w:rFonts w:hint="eastAsia" w:cs="新宋体" w:asciiTheme="minorEastAsia" w:hAnsiTheme="minorEastAsia"/>
          <w:sz w:val="28"/>
          <w:szCs w:val="28"/>
          <w:lang w:val="en-US" w:eastAsia="zh-CN"/>
        </w:rPr>
        <w:t>否</w:t>
      </w:r>
    </w:p>
    <w:p w14:paraId="5DF342E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14、</w:t>
      </w:r>
      <w:r>
        <w:rPr>
          <w:rFonts w:hint="eastAsia" w:cs="新宋体" w:asciiTheme="minorEastAsia" w:hAnsiTheme="minorEastAsia"/>
          <w:sz w:val="28"/>
          <w:szCs w:val="28"/>
        </w:rPr>
        <w:t>落实政府采购政策满足的资格要求：</w:t>
      </w:r>
      <w:r>
        <w:rPr>
          <w:rFonts w:hint="eastAsia" w:cs="新宋体" w:asciiTheme="minorEastAsia" w:hAnsiTheme="minorEastAsia"/>
          <w:sz w:val="28"/>
          <w:szCs w:val="28"/>
          <w:lang w:val="en-US" w:eastAsia="zh-CN"/>
        </w:rPr>
        <w:t>本项目执行促进中小型企业发展政策（残疾人福利性企业、监狱企业视同小微企业）、优先采购节能环保产品等政府采购政策。</w:t>
      </w:r>
    </w:p>
    <w:p w14:paraId="3A0B158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二、供应商资格要求</w:t>
      </w:r>
    </w:p>
    <w:p w14:paraId="436A258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满足《中华人民共和国政府采购法》第二十二条规定</w:t>
      </w:r>
      <w:r>
        <w:rPr>
          <w:rFonts w:hint="eastAsia" w:cs="新宋体" w:asciiTheme="minorEastAsia" w:hAnsiTheme="minorEastAsia"/>
          <w:sz w:val="28"/>
          <w:szCs w:val="28"/>
          <w:lang w:val="en-US" w:eastAsia="zh-CN"/>
        </w:rPr>
        <w:t>并同时具备下列条件</w:t>
      </w:r>
      <w:r>
        <w:rPr>
          <w:rFonts w:hint="eastAsia" w:cs="新宋体" w:asciiTheme="minorEastAsia" w:hAnsiTheme="minorEastAsia"/>
          <w:sz w:val="28"/>
          <w:szCs w:val="28"/>
          <w:lang w:eastAsia="zh-CN"/>
        </w:rPr>
        <w:t>：</w:t>
      </w:r>
    </w:p>
    <w:p w14:paraId="2BAA5BF7">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eastAsiaTheme="minorEastAsia"/>
          <w:kern w:val="2"/>
          <w:sz w:val="28"/>
          <w:szCs w:val="28"/>
          <w:lang w:val="en-US" w:eastAsia="zh-CN" w:bidi="ar-SA"/>
        </w:rPr>
        <w:t>1、</w:t>
      </w:r>
      <w:r>
        <w:rPr>
          <w:rFonts w:hint="eastAsia" w:cs="新宋体" w:asciiTheme="minorEastAsia" w:hAnsiTheme="minorEastAsia"/>
          <w:sz w:val="28"/>
          <w:szCs w:val="28"/>
        </w:rPr>
        <w:t>供应商须具有独立承担民事责任的能力，须提供有效的营业执照或其他证明材料；</w:t>
      </w:r>
    </w:p>
    <w:p w14:paraId="46B4F762">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eastAsiaTheme="minorEastAsia"/>
          <w:kern w:val="2"/>
          <w:sz w:val="28"/>
          <w:szCs w:val="28"/>
          <w:lang w:val="en-US" w:eastAsia="zh-CN" w:bidi="ar-SA"/>
        </w:rPr>
        <w:t>2、</w:t>
      </w:r>
      <w:r>
        <w:rPr>
          <w:rFonts w:hint="eastAsia" w:cs="新宋体" w:asciiTheme="minorEastAsia" w:hAnsiTheme="minorEastAsia"/>
          <w:sz w:val="28"/>
          <w:szCs w:val="28"/>
          <w:lang w:val="en-US" w:eastAsia="zh-CN"/>
        </w:rPr>
        <w:t>供应商</w:t>
      </w:r>
      <w:r>
        <w:rPr>
          <w:rFonts w:hint="eastAsia" w:cs="新宋体" w:asciiTheme="minorEastAsia" w:hAnsiTheme="minorEastAsia"/>
          <w:sz w:val="28"/>
          <w:szCs w:val="28"/>
        </w:rPr>
        <w:t>具有履行本项目所必需的设备和专业技术服务能力；(提供证明材料或承诺书)</w:t>
      </w:r>
    </w:p>
    <w:p w14:paraId="60EED23D">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3、供应商若为制造商，须具有《中华人民共和国特种设备生产许可证》，许可项目：电梯制造（含安装、修理、改造），许可子项目：曳引驱动乘客电梯(含消防员电梯)；</w:t>
      </w:r>
    </w:p>
    <w:p w14:paraId="3C817EA0">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4、供应商若为经销商或代理商，须具有《中华人民共和国特种设备生产许可证》，许可项目：电梯安装（含修理），许可子项目：曳引驱动乘客电梯(含消防员电梯)；</w:t>
      </w:r>
    </w:p>
    <w:p w14:paraId="684534B7">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5、拟派项目负责人须具有《中华人民共和国特种设备安全管理和作业人员证》或机电工程专业二级及以上注册建造师证书，项目负责人须为本单位员工，需提供劳动合同及本单位为其缴纳的投标截止日前任意一个月社保缴纳证明；</w:t>
      </w:r>
    </w:p>
    <w:p w14:paraId="5467AD32">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highlight w:val="none"/>
          <w:lang w:val="en-US" w:eastAsia="zh-CN"/>
        </w:rPr>
        <w:t>6</w:t>
      </w:r>
      <w:r>
        <w:rPr>
          <w:rFonts w:hint="eastAsia" w:cs="新宋体" w:asciiTheme="minorEastAsia" w:hAnsiTheme="minorEastAsia"/>
          <w:sz w:val="28"/>
          <w:szCs w:val="28"/>
          <w:highlight w:val="none"/>
        </w:rPr>
        <w:t>、具有良好的商业信誉和健全的财务会计制度，提供近三年&lt;2023-2025年&gt;任意一年经会计师事务所或审计机构出具的年度财务审</w:t>
      </w:r>
      <w:r>
        <w:rPr>
          <w:rFonts w:hint="eastAsia" w:cs="新宋体" w:asciiTheme="minorEastAsia" w:hAnsiTheme="minorEastAsia"/>
          <w:sz w:val="28"/>
          <w:szCs w:val="28"/>
          <w:lang w:val="en-US" w:eastAsia="zh-CN"/>
        </w:rPr>
        <w:t>计报告或财务报表（利润表、负债表、现金流量表）；公司成立不足一年无审计报告应附最新的财务报表说明；</w:t>
      </w:r>
    </w:p>
    <w:p w14:paraId="0952688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7、具有依法缴纳税收和社会保障资金的良好记录，提供投标截止日前任意一个月依法缴纳税收和社会保障资金的证明材料或自行承诺；</w:t>
      </w:r>
    </w:p>
    <w:p w14:paraId="5060BAD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8、参加政府采购活动前3年内无行贿犯罪记录，供应商出具的无行贿犯罪记录在《中国裁判文书网》自行查询或自行承诺（查询/承诺对象：“企业、法定代表人、</w:t>
      </w:r>
      <w:r>
        <w:rPr>
          <w:rFonts w:hint="eastAsia" w:cs="新宋体" w:asciiTheme="minorEastAsia" w:hAnsiTheme="minorEastAsia"/>
          <w:sz w:val="28"/>
          <w:szCs w:val="28"/>
        </w:rPr>
        <w:t>项目负责人”）；</w:t>
      </w:r>
    </w:p>
    <w:p w14:paraId="70F6CCB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9、参加政府采购活动前3年内无商业贿赂、不正当竞争行为、骗取中标、严重违约及重大工程质量等问题（提供承诺书，格式自拟）；</w:t>
      </w:r>
    </w:p>
    <w:p w14:paraId="13AA951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10、根据《关于在政府采购活动中查询及使用信用记录有关问题的通知》(财库[2016]125号) 和豫财购【2016】15号的规定，企业没有被列入“信用中国”网站的“失信被执行人”、“重大税收违法失信主体”、“政府采购严重违法失信行为记录名单”及“中国政府采购网”网站的“政府采购严重违法失信行为信息记录”的投标人；（查询渠道：“信用中国”网站（www.creditchina.gov.cn）、中国政府采购网（www.ccgp.gov.cn）(注：査询时间必须是公告发布之后开标之前，查询结果清晰可见)</w:t>
      </w:r>
    </w:p>
    <w:p w14:paraId="0E52822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val="en-US" w:eastAsia="zh-CN"/>
        </w:rPr>
        <w:t>11</w:t>
      </w:r>
      <w:r>
        <w:rPr>
          <w:rFonts w:hint="eastAsia" w:cs="新宋体" w:asciiTheme="minorEastAsia" w:hAnsiTheme="minorEastAsia"/>
          <w:sz w:val="28"/>
          <w:szCs w:val="28"/>
        </w:rPr>
        <w:t>、单位负责人为同一人或者存在控股、管理关系的不同单位，不得参加同一合同项下的采购活动（提供“国家企业信用信息公示系统”中公示的公司基础信息、股东或投资人信息，査询时间须是本项目</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公告发布之后至开标截止时间之前，查询结果清晰可见）</w:t>
      </w:r>
      <w:r>
        <w:rPr>
          <w:rFonts w:hint="eastAsia" w:cs="新宋体" w:asciiTheme="minorEastAsia" w:hAnsiTheme="minorEastAsia"/>
          <w:sz w:val="28"/>
          <w:szCs w:val="28"/>
          <w:lang w:eastAsia="zh-CN"/>
        </w:rPr>
        <w:t>；</w:t>
      </w:r>
    </w:p>
    <w:p w14:paraId="02264EF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12、</w:t>
      </w:r>
      <w:r>
        <w:rPr>
          <w:rFonts w:hint="eastAsia" w:cs="新宋体" w:asciiTheme="minorEastAsia" w:hAnsiTheme="minorEastAsia"/>
          <w:sz w:val="28"/>
          <w:szCs w:val="28"/>
        </w:rPr>
        <w:t>本项目不接受联合体</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w:t>
      </w:r>
    </w:p>
    <w:p w14:paraId="69AEF15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13</w:t>
      </w:r>
      <w:r>
        <w:rPr>
          <w:rFonts w:hint="eastAsia" w:cs="新宋体" w:asciiTheme="minorEastAsia" w:hAnsiTheme="minorEastAsia"/>
          <w:sz w:val="28"/>
          <w:szCs w:val="28"/>
        </w:rPr>
        <w:t>、本</w:t>
      </w:r>
      <w:r>
        <w:rPr>
          <w:rFonts w:hint="eastAsia" w:cs="新宋体" w:asciiTheme="minorEastAsia" w:hAnsiTheme="minorEastAsia"/>
          <w:sz w:val="28"/>
          <w:szCs w:val="28"/>
          <w:lang w:val="en-US" w:eastAsia="zh-CN"/>
        </w:rPr>
        <w:t>项目</w:t>
      </w:r>
      <w:r>
        <w:rPr>
          <w:rFonts w:hint="eastAsia" w:cs="新宋体" w:asciiTheme="minorEastAsia" w:hAnsiTheme="minorEastAsia"/>
          <w:sz w:val="28"/>
          <w:szCs w:val="28"/>
        </w:rPr>
        <w:t>实行资格后审</w:t>
      </w:r>
      <w:r>
        <w:rPr>
          <w:rFonts w:hint="eastAsia" w:cs="新宋体" w:asciiTheme="minorEastAsia" w:hAnsiTheme="minorEastAsia"/>
          <w:sz w:val="28"/>
          <w:szCs w:val="28"/>
          <w:lang w:eastAsia="zh-CN"/>
        </w:rPr>
        <w:t>。</w:t>
      </w:r>
    </w:p>
    <w:p w14:paraId="662F299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注：被列入失信被执行人、重大税收违法失信主体、政府采购严重违法失信行为记录名单的供应商做无效标处理。采购人或采购代理机构有权对供应商信用记录进行甄别和复查</w:t>
      </w:r>
      <w:r>
        <w:rPr>
          <w:rFonts w:hint="eastAsia" w:cs="新宋体" w:asciiTheme="minorEastAsia" w:hAnsiTheme="minorEastAsia"/>
          <w:sz w:val="28"/>
          <w:szCs w:val="28"/>
          <w:lang w:eastAsia="zh-CN"/>
        </w:rPr>
        <w:t>。</w:t>
      </w:r>
    </w:p>
    <w:p w14:paraId="553EEFE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三、竞争性磋商文件的获取</w:t>
      </w:r>
    </w:p>
    <w:p w14:paraId="28DC013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1、本项目没有报名环节，供应商凭CA数字证书通过三门峡市公共资源交易中心网（网址：http://gzjy.smx.gov.cn/），点击交易平台选择“交易主体登录”，在所参与项目右侧点击参与投标，即可直接下载本项目磋商文件；</w:t>
      </w:r>
    </w:p>
    <w:p w14:paraId="6F7E356E">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办理CA证书：http://gzjy.smx.gov.cn/bzzx/008001/20211105/57b16af9-ab87-4395-a723-7758c628a3f8.html</w:t>
      </w:r>
    </w:p>
    <w:p w14:paraId="66A3B3BA">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2、</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文件下载时间：202</w:t>
      </w:r>
      <w:r>
        <w:rPr>
          <w:rFonts w:hint="eastAsia" w:cs="新宋体" w:asciiTheme="minorEastAsia" w:hAnsiTheme="minorEastAsia"/>
          <w:sz w:val="28"/>
          <w:szCs w:val="28"/>
          <w:lang w:val="en-US" w:eastAsia="zh-CN"/>
        </w:rPr>
        <w:t>6</w:t>
      </w:r>
      <w:r>
        <w:rPr>
          <w:rFonts w:hint="eastAsia" w:cs="新宋体" w:asciiTheme="minorEastAsia" w:hAnsiTheme="minorEastAsia"/>
          <w:sz w:val="28"/>
          <w:szCs w:val="28"/>
        </w:rPr>
        <w:t>年</w:t>
      </w: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月</w:t>
      </w:r>
      <w:r>
        <w:rPr>
          <w:rFonts w:hint="eastAsia" w:cs="新宋体" w:asciiTheme="minorEastAsia" w:hAnsiTheme="minorEastAsia"/>
          <w:sz w:val="28"/>
          <w:szCs w:val="28"/>
          <w:lang w:val="en-US" w:eastAsia="zh-CN"/>
        </w:rPr>
        <w:t>11</w:t>
      </w:r>
      <w:r>
        <w:rPr>
          <w:rFonts w:hint="eastAsia" w:cs="新宋体" w:asciiTheme="minorEastAsia" w:hAnsiTheme="minorEastAsia"/>
          <w:sz w:val="28"/>
          <w:szCs w:val="28"/>
        </w:rPr>
        <w:t>日08时00分至</w:t>
      </w:r>
      <w:r>
        <w:rPr>
          <w:rFonts w:hint="eastAsia" w:cs="新宋体" w:asciiTheme="minorEastAsia" w:hAnsiTheme="minorEastAsia"/>
          <w:sz w:val="28"/>
          <w:szCs w:val="28"/>
          <w:lang w:eastAsia="zh-CN"/>
        </w:rPr>
        <w:t>2026年10月</w:t>
      </w:r>
      <w:r>
        <w:rPr>
          <w:rFonts w:hint="eastAsia" w:cs="新宋体" w:asciiTheme="minorEastAsia" w:hAnsiTheme="minorEastAsia"/>
          <w:sz w:val="28"/>
          <w:szCs w:val="28"/>
          <w:lang w:val="en-US" w:eastAsia="zh-CN"/>
        </w:rPr>
        <w:t>22</w:t>
      </w:r>
      <w:r>
        <w:rPr>
          <w:rFonts w:hint="eastAsia" w:cs="新宋体" w:asciiTheme="minorEastAsia" w:hAnsiTheme="minorEastAsia"/>
          <w:sz w:val="28"/>
          <w:szCs w:val="28"/>
          <w:lang w:eastAsia="zh-CN"/>
        </w:rPr>
        <w:t>日0</w:t>
      </w: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lang w:eastAsia="zh-CN"/>
        </w:rPr>
        <w:t>时</w:t>
      </w:r>
      <w:r>
        <w:rPr>
          <w:rFonts w:hint="eastAsia" w:cs="新宋体" w:asciiTheme="minorEastAsia" w:hAnsiTheme="minorEastAsia"/>
          <w:sz w:val="28"/>
          <w:szCs w:val="28"/>
          <w:lang w:val="en-US" w:eastAsia="zh-CN"/>
        </w:rPr>
        <w:t>1</w:t>
      </w:r>
      <w:r>
        <w:rPr>
          <w:rFonts w:hint="eastAsia" w:cs="新宋体" w:asciiTheme="minorEastAsia" w:hAnsiTheme="minorEastAsia"/>
          <w:sz w:val="28"/>
          <w:szCs w:val="28"/>
          <w:lang w:eastAsia="zh-CN"/>
        </w:rPr>
        <w:t>0分</w:t>
      </w:r>
      <w:r>
        <w:rPr>
          <w:rFonts w:hint="eastAsia" w:cs="新宋体" w:asciiTheme="minorEastAsia" w:hAnsiTheme="minorEastAsia"/>
          <w:sz w:val="28"/>
          <w:szCs w:val="28"/>
        </w:rPr>
        <w:t>；</w:t>
      </w:r>
    </w:p>
    <w:p w14:paraId="76B024D2">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3、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3645E96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4、本项目为全电子招标，不再收取磋商文件费用。</w:t>
      </w:r>
    </w:p>
    <w:p w14:paraId="348F2DA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bookmarkStart w:id="10" w:name="_Toc12451"/>
      <w:r>
        <w:rPr>
          <w:rFonts w:hint="eastAsia" w:cs="新宋体" w:asciiTheme="minorEastAsia" w:hAnsiTheme="minorEastAsia"/>
          <w:sz w:val="28"/>
          <w:szCs w:val="28"/>
        </w:rPr>
        <w:t>四、磋商保证金</w:t>
      </w:r>
      <w:bookmarkEnd w:id="10"/>
    </w:p>
    <w:p w14:paraId="76C5C49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按照《河南省财政厅关于优化政府采购营商环境有关问题的通知》（豫财购[2019]4号文）的要求</w:t>
      </w:r>
      <w:r>
        <w:rPr>
          <w:rFonts w:hint="eastAsia" w:cs="新宋体" w:asciiTheme="minorEastAsia" w:hAnsiTheme="minorEastAsia"/>
          <w:sz w:val="28"/>
          <w:szCs w:val="28"/>
          <w:lang w:eastAsia="zh-CN"/>
        </w:rPr>
        <w:t>，</w:t>
      </w:r>
      <w:r>
        <w:rPr>
          <w:rFonts w:hint="eastAsia" w:cs="新宋体" w:asciiTheme="minorEastAsia" w:hAnsiTheme="minorEastAsia"/>
          <w:sz w:val="28"/>
          <w:szCs w:val="28"/>
        </w:rPr>
        <w:t>本项目不再收取磋商保证金。</w:t>
      </w:r>
    </w:p>
    <w:p w14:paraId="4D369CB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bookmarkStart w:id="11" w:name="_Toc13329"/>
      <w:r>
        <w:rPr>
          <w:rFonts w:hint="eastAsia" w:cs="新宋体" w:asciiTheme="minorEastAsia" w:hAnsiTheme="minorEastAsia"/>
          <w:sz w:val="28"/>
          <w:szCs w:val="28"/>
        </w:rPr>
        <w:t>五、供应商资料的提交</w:t>
      </w:r>
      <w:bookmarkEnd w:id="11"/>
    </w:p>
    <w:p w14:paraId="6290A892">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项目实行资格后审，审查内容以开标截止时间前在三门峡市公共资源交易系统上传的响应文件的信息为准。其上传资料真实性由供应商自行承担，同时，供应商需要完善主体库信息。否则，由此造成应得分而未得分或资格审查不合格等情况的，由供应商自行承担责任。</w:t>
      </w:r>
    </w:p>
    <w:p w14:paraId="67A1DCD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六、响应文件的递交截止时间及开评标地点</w:t>
      </w:r>
    </w:p>
    <w:p w14:paraId="00A5D4D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1、</w:t>
      </w:r>
      <w:r>
        <w:rPr>
          <w:rFonts w:hint="eastAsia" w:ascii="宋体" w:hAnsi="宋体" w:eastAsia="宋体" w:cs="宋体"/>
          <w:color w:val="auto"/>
          <w:kern w:val="0"/>
          <w:sz w:val="28"/>
          <w:szCs w:val="28"/>
          <w:lang w:val="en-US" w:eastAsia="zh-CN"/>
        </w:rPr>
        <w:t>响应</w:t>
      </w:r>
      <w:r>
        <w:rPr>
          <w:rFonts w:hint="eastAsia" w:ascii="宋体" w:hAnsi="宋体" w:eastAsia="宋体" w:cs="宋体"/>
          <w:color w:val="auto"/>
          <w:kern w:val="0"/>
          <w:sz w:val="28"/>
          <w:szCs w:val="28"/>
        </w:rPr>
        <w:t>文件递交的截止时间（开标时间）</w:t>
      </w:r>
      <w:r>
        <w:rPr>
          <w:rFonts w:hint="eastAsia" w:ascii="宋体" w:hAnsi="宋体" w:eastAsia="宋体" w:cs="宋体"/>
          <w:color w:val="auto"/>
          <w:kern w:val="0"/>
          <w:sz w:val="28"/>
          <w:szCs w:val="28"/>
          <w:lang w:val="en-US" w:eastAsia="zh-CN"/>
        </w:rPr>
        <w:t>为</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eastAsia="zh-CN"/>
        </w:rPr>
        <w:t>2026年10月</w:t>
      </w:r>
      <w:r>
        <w:rPr>
          <w:rFonts w:hint="eastAsia" w:ascii="宋体" w:hAnsi="宋体" w:eastAsia="宋体" w:cs="宋体"/>
          <w:color w:val="auto"/>
          <w:kern w:val="0"/>
          <w:sz w:val="28"/>
          <w:szCs w:val="28"/>
          <w:lang w:val="en-US" w:eastAsia="zh-CN"/>
        </w:rPr>
        <w:t>22</w:t>
      </w:r>
      <w:r>
        <w:rPr>
          <w:rFonts w:hint="eastAsia" w:ascii="宋体" w:hAnsi="宋体" w:eastAsia="宋体" w:cs="宋体"/>
          <w:color w:val="auto"/>
          <w:kern w:val="0"/>
          <w:sz w:val="28"/>
          <w:szCs w:val="28"/>
          <w:lang w:eastAsia="zh-CN"/>
        </w:rPr>
        <w:t>日0</w:t>
      </w:r>
      <w:r>
        <w:rPr>
          <w:rFonts w:hint="eastAsia" w:ascii="宋体" w:hAnsi="宋体" w:eastAsia="宋体" w:cs="宋体"/>
          <w:color w:val="auto"/>
          <w:kern w:val="0"/>
          <w:sz w:val="28"/>
          <w:szCs w:val="28"/>
          <w:lang w:val="en-US" w:eastAsia="zh-CN"/>
        </w:rPr>
        <w:t>9</w:t>
      </w:r>
      <w:r>
        <w:rPr>
          <w:rFonts w:hint="eastAsia" w:ascii="宋体" w:hAnsi="宋体" w:eastAsia="宋体" w:cs="宋体"/>
          <w:color w:val="auto"/>
          <w:kern w:val="0"/>
          <w:sz w:val="28"/>
          <w:szCs w:val="28"/>
          <w:lang w:eastAsia="zh-CN"/>
        </w:rPr>
        <w:t>时</w:t>
      </w:r>
      <w:r>
        <w:rPr>
          <w:rFonts w:hint="eastAsia" w:ascii="宋体" w:hAnsi="宋体" w:eastAsia="宋体" w:cs="宋体"/>
          <w:color w:val="auto"/>
          <w:kern w:val="0"/>
          <w:sz w:val="28"/>
          <w:szCs w:val="28"/>
          <w:lang w:val="en-US" w:eastAsia="zh-CN"/>
        </w:rPr>
        <w:t>1</w:t>
      </w:r>
      <w:r>
        <w:rPr>
          <w:rFonts w:hint="eastAsia" w:ascii="宋体" w:hAnsi="宋体" w:eastAsia="宋体" w:cs="宋体"/>
          <w:color w:val="auto"/>
          <w:kern w:val="0"/>
          <w:sz w:val="28"/>
          <w:szCs w:val="28"/>
          <w:lang w:eastAsia="zh-CN"/>
        </w:rPr>
        <w:t>0分</w:t>
      </w:r>
      <w:r>
        <w:rPr>
          <w:rFonts w:hint="eastAsia" w:ascii="宋体" w:hAnsi="宋体" w:eastAsia="宋体" w:cs="宋体"/>
          <w:color w:val="auto"/>
          <w:kern w:val="0"/>
          <w:sz w:val="28"/>
          <w:szCs w:val="28"/>
        </w:rPr>
        <w:t>；</w:t>
      </w:r>
    </w:p>
    <w:p w14:paraId="339AE421">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2、开标地点：卢氏县公共资源交易中心四楼第</w:t>
      </w:r>
      <w:r>
        <w:rPr>
          <w:rFonts w:hint="eastAsia" w:ascii="宋体" w:hAnsi="宋体" w:eastAsia="宋体" w:cs="宋体"/>
          <w:color w:val="auto"/>
          <w:kern w:val="0"/>
          <w:sz w:val="28"/>
          <w:szCs w:val="28"/>
          <w:lang w:val="en-US" w:eastAsia="zh-CN"/>
        </w:rPr>
        <w:t>二</w:t>
      </w:r>
      <w:r>
        <w:rPr>
          <w:rFonts w:hint="eastAsia" w:ascii="宋体" w:hAnsi="宋体" w:eastAsia="宋体" w:cs="宋体"/>
          <w:color w:val="auto"/>
          <w:kern w:val="0"/>
          <w:sz w:val="28"/>
          <w:szCs w:val="28"/>
        </w:rPr>
        <w:t>开标室；</w:t>
      </w:r>
    </w:p>
    <w:p w14:paraId="5D94B83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cs="新宋体" w:asciiTheme="minorEastAsia" w:hAnsiTheme="minorEastAsia" w:eastAsiaTheme="minorEastAsia"/>
          <w:color w:val="0000FF"/>
          <w:sz w:val="28"/>
          <w:szCs w:val="28"/>
          <w:highlight w:val="none"/>
          <w:lang w:eastAsia="zh-CN"/>
        </w:rPr>
      </w:pPr>
      <w:r>
        <w:rPr>
          <w:rFonts w:hint="eastAsia" w:ascii="宋体" w:hAnsi="宋体" w:eastAsia="宋体" w:cs="宋体"/>
          <w:color w:val="auto"/>
          <w:kern w:val="0"/>
          <w:sz w:val="28"/>
          <w:szCs w:val="28"/>
        </w:rPr>
        <w:t>3、评标地点：卢氏县公共资源交易中心二楼第</w:t>
      </w:r>
      <w:r>
        <w:rPr>
          <w:rFonts w:hint="eastAsia" w:ascii="宋体" w:hAnsi="宋体" w:eastAsia="宋体" w:cs="宋体"/>
          <w:color w:val="auto"/>
          <w:kern w:val="0"/>
          <w:sz w:val="28"/>
          <w:szCs w:val="28"/>
          <w:lang w:val="en-US" w:eastAsia="zh-CN"/>
        </w:rPr>
        <w:t>三</w:t>
      </w:r>
      <w:r>
        <w:rPr>
          <w:rFonts w:hint="eastAsia" w:ascii="宋体" w:hAnsi="宋体" w:eastAsia="宋体" w:cs="宋体"/>
          <w:color w:val="auto"/>
          <w:kern w:val="0"/>
          <w:sz w:val="28"/>
          <w:szCs w:val="28"/>
        </w:rPr>
        <w:t>评标室</w:t>
      </w:r>
      <w:r>
        <w:rPr>
          <w:rFonts w:hint="eastAsia" w:ascii="宋体" w:hAnsi="宋体" w:eastAsia="宋体" w:cs="宋体"/>
          <w:color w:val="auto"/>
          <w:kern w:val="0"/>
          <w:sz w:val="28"/>
          <w:szCs w:val="28"/>
          <w:lang w:eastAsia="zh-CN"/>
        </w:rPr>
        <w:t>。</w:t>
      </w:r>
    </w:p>
    <w:p w14:paraId="5D7B89F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七、其他事项</w:t>
      </w:r>
    </w:p>
    <w:p w14:paraId="15E87853">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cs="宋体"/>
          <w:kern w:val="2"/>
          <w:sz w:val="28"/>
          <w:szCs w:val="28"/>
        </w:rPr>
      </w:pPr>
      <w:bookmarkStart w:id="12" w:name="_Toc175"/>
      <w:bookmarkStart w:id="13" w:name="_Toc24557"/>
      <w:bookmarkStart w:id="14" w:name="_Toc30380"/>
      <w:bookmarkStart w:id="15" w:name="_Toc11450"/>
      <w:r>
        <w:rPr>
          <w:rFonts w:hint="eastAsia" w:ascii="宋体" w:hAnsi="宋体" w:cs="宋体"/>
          <w:kern w:val="2"/>
          <w:sz w:val="28"/>
          <w:szCs w:val="28"/>
        </w:rPr>
        <w:t>1、</w:t>
      </w:r>
      <w:r>
        <w:rPr>
          <w:rFonts w:hint="eastAsia" w:ascii="宋体" w:hAnsi="宋体" w:eastAsia="宋体" w:cs="宋体"/>
          <w:color w:val="auto"/>
          <w:kern w:val="0"/>
          <w:sz w:val="28"/>
          <w:szCs w:val="28"/>
        </w:rPr>
        <w:t>供应商应仔细阅读操作手册，在本公告中要求的截止时间前完成磋商文件下载等工作。并充分考虑人为操作和时间等因素，因供应商操作不当等问题造成的无法下载磋商文件、无法</w:t>
      </w:r>
      <w:r>
        <w:rPr>
          <w:rFonts w:hint="eastAsia" w:ascii="宋体" w:hAnsi="宋体" w:cs="宋体"/>
          <w:color w:val="auto"/>
          <w:kern w:val="0"/>
          <w:sz w:val="28"/>
          <w:szCs w:val="28"/>
          <w:lang w:val="en-US" w:eastAsia="zh-CN"/>
        </w:rPr>
        <w:t>投</w:t>
      </w:r>
      <w:r>
        <w:rPr>
          <w:rFonts w:hint="eastAsia" w:ascii="宋体" w:hAnsi="宋体" w:eastAsia="宋体" w:cs="宋体"/>
          <w:color w:val="auto"/>
          <w:kern w:val="0"/>
          <w:sz w:val="28"/>
          <w:szCs w:val="28"/>
        </w:rPr>
        <w:t>标等一切后果，由供应商自行承担</w:t>
      </w:r>
      <w:r>
        <w:rPr>
          <w:rFonts w:hint="eastAsia" w:ascii="宋体" w:hAnsi="宋体" w:cs="宋体"/>
          <w:kern w:val="2"/>
          <w:sz w:val="28"/>
          <w:szCs w:val="28"/>
        </w:rPr>
        <w:t>；</w:t>
      </w:r>
      <w:bookmarkEnd w:id="12"/>
      <w:bookmarkEnd w:id="13"/>
      <w:bookmarkEnd w:id="14"/>
      <w:bookmarkEnd w:id="15"/>
    </w:p>
    <w:p w14:paraId="1AF6921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cs="宋体"/>
          <w:kern w:val="2"/>
          <w:sz w:val="28"/>
          <w:szCs w:val="28"/>
          <w:lang w:val="en-US" w:eastAsia="zh-CN"/>
        </w:rPr>
      </w:pPr>
      <w:bookmarkStart w:id="16" w:name="_Toc6753"/>
      <w:bookmarkStart w:id="17" w:name="_Toc29822"/>
      <w:bookmarkStart w:id="18" w:name="_Toc25425"/>
      <w:bookmarkStart w:id="19" w:name="_Toc11723"/>
      <w:r>
        <w:rPr>
          <w:rFonts w:hint="eastAsia" w:ascii="宋体" w:hAnsi="宋体" w:cs="宋体"/>
          <w:kern w:val="2"/>
          <w:sz w:val="28"/>
          <w:szCs w:val="28"/>
        </w:rPr>
        <w:t>2、</w:t>
      </w:r>
      <w:bookmarkEnd w:id="16"/>
      <w:bookmarkEnd w:id="17"/>
      <w:bookmarkStart w:id="20" w:name="_Toc5715"/>
      <w:bookmarkStart w:id="21" w:name="_Toc21668"/>
      <w:r>
        <w:rPr>
          <w:rFonts w:hint="eastAsia" w:ascii="宋体" w:hAnsi="宋体" w:cs="宋体"/>
          <w:kern w:val="2"/>
          <w:sz w:val="28"/>
          <w:szCs w:val="28"/>
          <w:lang w:eastAsia="zh-CN"/>
        </w:rPr>
        <w:t>投</w:t>
      </w:r>
      <w:r>
        <w:rPr>
          <w:rFonts w:hint="eastAsia" w:ascii="宋体" w:hAnsi="宋体" w:cs="宋体"/>
          <w:kern w:val="2"/>
          <w:sz w:val="28"/>
          <w:szCs w:val="28"/>
        </w:rPr>
        <w:t>标所发生的一切费用由各供应商自行承担，并承担相应的风险和责任</w:t>
      </w:r>
      <w:r>
        <w:rPr>
          <w:rFonts w:hint="eastAsia" w:ascii="宋体" w:hAnsi="宋体" w:cs="宋体"/>
          <w:kern w:val="2"/>
          <w:sz w:val="28"/>
          <w:szCs w:val="28"/>
          <w:lang w:val="en-US" w:eastAsia="zh-CN"/>
        </w:rPr>
        <w:t>；</w:t>
      </w:r>
      <w:bookmarkEnd w:id="18"/>
      <w:bookmarkEnd w:id="19"/>
      <w:bookmarkEnd w:id="20"/>
      <w:bookmarkEnd w:id="21"/>
      <w:r>
        <w:rPr>
          <w:rFonts w:hint="eastAsia" w:ascii="宋体" w:hAnsi="宋体" w:cs="宋体"/>
          <w:kern w:val="2"/>
          <w:sz w:val="28"/>
          <w:szCs w:val="28"/>
          <w:lang w:val="en-US" w:eastAsia="zh-CN"/>
        </w:rPr>
        <w:t xml:space="preserve"> </w:t>
      </w:r>
    </w:p>
    <w:p w14:paraId="1700676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bookmarkStart w:id="22" w:name="_Toc7955"/>
      <w:bookmarkStart w:id="23" w:name="_Toc7545"/>
      <w:r>
        <w:rPr>
          <w:rFonts w:hint="eastAsia" w:ascii="宋体" w:hAnsi="宋体" w:cs="宋体"/>
          <w:kern w:val="2"/>
          <w:sz w:val="28"/>
          <w:szCs w:val="28"/>
        </w:rPr>
        <w:t>3、供应商递交的响应文件不论中标与否均不予退还</w:t>
      </w:r>
      <w:bookmarkEnd w:id="22"/>
      <w:bookmarkEnd w:id="23"/>
      <w:r>
        <w:rPr>
          <w:rFonts w:hint="eastAsia" w:cs="新宋体" w:asciiTheme="minorEastAsia" w:hAnsiTheme="minorEastAsia"/>
          <w:sz w:val="28"/>
          <w:szCs w:val="28"/>
          <w:lang w:eastAsia="zh-CN"/>
        </w:rPr>
        <w:t>。</w:t>
      </w:r>
    </w:p>
    <w:p w14:paraId="22FA7A7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温馨提示：本项目为电子化、无纸化交易项目，开标时不再接受任何纸质资料，为保证您能开标成功，请需仔细阅读磋商文件和三门峡市公共资源交易中心官网业务办理指南。</w:t>
      </w:r>
    </w:p>
    <w:p w14:paraId="6D39860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八、发布公告的媒介</w:t>
      </w:r>
    </w:p>
    <w:p w14:paraId="57F7C88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本次磋商公告同时在《河南省政府采购网》、《三门峡市公共资源交易中心网》</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《河南招标采购综合网》</w:t>
      </w:r>
      <w:r>
        <w:rPr>
          <w:rFonts w:hint="eastAsia" w:cs="新宋体" w:asciiTheme="minorEastAsia" w:hAnsiTheme="minorEastAsia"/>
          <w:sz w:val="28"/>
          <w:szCs w:val="28"/>
        </w:rPr>
        <w:t>发布。</w:t>
      </w:r>
    </w:p>
    <w:p w14:paraId="48265BB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九、联系方式</w:t>
      </w:r>
    </w:p>
    <w:p w14:paraId="7BEFF58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监督单位：卢氏县政府采购办公室</w:t>
      </w:r>
    </w:p>
    <w:p w14:paraId="45B9216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联系人：郭亚楠</w:t>
      </w:r>
    </w:p>
    <w:p w14:paraId="3626C0A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 xml:space="preserve">电话：0398-7863556 </w:t>
      </w:r>
    </w:p>
    <w:p w14:paraId="7B49BB4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地址：卢氏县城关镇解放路中段</w:t>
      </w:r>
    </w:p>
    <w:p w14:paraId="00E26F3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监督单位：卢氏县住房和城乡建设局纪检监察室</w:t>
      </w:r>
    </w:p>
    <w:p w14:paraId="1529F61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联系人：范清泉</w:t>
      </w:r>
    </w:p>
    <w:p w14:paraId="24AA1D0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电话：15516226665、0398-2250639</w:t>
      </w:r>
    </w:p>
    <w:p w14:paraId="4BF078A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地址：卢氏县翰林路中段</w:t>
      </w:r>
    </w:p>
    <w:p w14:paraId="798C2D5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eastAsia="zh-CN"/>
        </w:rPr>
        <w:t>采购人：卢氏县住房和城乡建设局</w:t>
      </w:r>
    </w:p>
    <w:p w14:paraId="7849BA3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eastAsia="zh-CN"/>
        </w:rPr>
        <w:t>联系人：</w:t>
      </w:r>
      <w:r>
        <w:rPr>
          <w:rFonts w:hint="eastAsia" w:cs="新宋体" w:asciiTheme="minorEastAsia" w:hAnsiTheme="minorEastAsia"/>
          <w:sz w:val="28"/>
          <w:szCs w:val="28"/>
          <w:lang w:val="en-US" w:eastAsia="zh-CN"/>
        </w:rPr>
        <w:t>杨静</w:t>
      </w:r>
    </w:p>
    <w:p w14:paraId="06B4A8C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联系方式：</w:t>
      </w:r>
      <w:r>
        <w:rPr>
          <w:rFonts w:hint="eastAsia" w:cs="新宋体" w:asciiTheme="minorEastAsia" w:hAnsiTheme="minorEastAsia"/>
          <w:sz w:val="28"/>
          <w:szCs w:val="28"/>
          <w:highlight w:val="none"/>
          <w:lang w:val="en-US" w:eastAsia="zh-CN"/>
        </w:rPr>
        <w:t>13633983789、</w:t>
      </w:r>
      <w:bookmarkStart w:id="231" w:name="_GoBack"/>
      <w:r>
        <w:rPr>
          <w:rFonts w:hint="eastAsia" w:cs="新宋体" w:asciiTheme="minorEastAsia" w:hAnsiTheme="minorEastAsia"/>
          <w:sz w:val="28"/>
          <w:szCs w:val="28"/>
          <w:highlight w:val="none"/>
          <w:lang w:val="en-US" w:eastAsia="zh-CN"/>
        </w:rPr>
        <w:t>0398-2250116</w:t>
      </w:r>
      <w:bookmarkEnd w:id="231"/>
      <w:r>
        <w:rPr>
          <w:rFonts w:hint="eastAsia" w:cs="新宋体" w:asciiTheme="minorEastAsia" w:hAnsiTheme="minorEastAsia"/>
          <w:sz w:val="28"/>
          <w:szCs w:val="28"/>
          <w:highlight w:val="none"/>
          <w:lang w:val="en-US" w:eastAsia="zh-CN"/>
        </w:rPr>
        <w:t xml:space="preserve"> </w:t>
      </w:r>
    </w:p>
    <w:p w14:paraId="3191FC0C">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地址：</w:t>
      </w:r>
      <w:r>
        <w:rPr>
          <w:rFonts w:hint="eastAsia" w:cs="新宋体" w:asciiTheme="minorEastAsia" w:hAnsiTheme="minorEastAsia"/>
          <w:sz w:val="28"/>
          <w:szCs w:val="28"/>
          <w:highlight w:val="none"/>
          <w:lang w:eastAsia="zh-CN"/>
        </w:rPr>
        <w:t>卢氏县翰林路中段</w:t>
      </w:r>
    </w:p>
    <w:bookmarkEnd w:id="7"/>
    <w:bookmarkEnd w:id="8"/>
    <w:bookmarkEnd w:id="9"/>
    <w:p w14:paraId="246C8EB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bookmarkStart w:id="24" w:name="_Toc8203"/>
      <w:r>
        <w:rPr>
          <w:rFonts w:hint="eastAsia" w:cs="新宋体" w:asciiTheme="minorEastAsia" w:hAnsiTheme="minorEastAsia"/>
          <w:sz w:val="28"/>
          <w:szCs w:val="28"/>
          <w:highlight w:val="none"/>
          <w:lang w:val="en-US" w:eastAsia="zh-CN"/>
        </w:rPr>
        <w:t>代理机构：河南保利招标咨询有限公司</w:t>
      </w:r>
    </w:p>
    <w:p w14:paraId="7F15533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联系人：贾芳</w:t>
      </w:r>
    </w:p>
    <w:p w14:paraId="030481B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电话：19037696097</w:t>
      </w:r>
    </w:p>
    <w:p w14:paraId="5B34413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val="en-US" w:eastAsia="zh-CN"/>
        </w:rPr>
        <w:t>地址：郑州市高新区迎春街总部企业基地二期72号楼10楼</w:t>
      </w:r>
    </w:p>
    <w:p w14:paraId="61F133F7">
      <w:pPr>
        <w:rPr>
          <w:rFonts w:hint="eastAsia" w:ascii="宋体" w:hAnsi="宋体" w:eastAsia="宋体" w:cs="Times New Roman"/>
          <w:b/>
          <w:bCs/>
          <w:sz w:val="32"/>
          <w:szCs w:val="32"/>
        </w:rPr>
      </w:pPr>
      <w:r>
        <w:rPr>
          <w:rFonts w:hint="eastAsia" w:ascii="宋体" w:hAnsi="宋体" w:eastAsia="宋体" w:cs="Times New Roman"/>
          <w:b/>
          <w:bCs/>
          <w:sz w:val="32"/>
          <w:szCs w:val="32"/>
        </w:rPr>
        <w:br w:type="page"/>
      </w:r>
    </w:p>
    <w:p w14:paraId="5904142D">
      <w:pPr>
        <w:jc w:val="center"/>
        <w:outlineLvl w:val="0"/>
        <w:rPr>
          <w:rFonts w:ascii="宋体" w:hAnsi="宋体" w:eastAsia="宋体" w:cs="Times New Roman"/>
          <w:b/>
          <w:bCs/>
          <w:sz w:val="32"/>
          <w:szCs w:val="32"/>
        </w:rPr>
      </w:pPr>
      <w:bookmarkStart w:id="25" w:name="_Toc15356"/>
      <w:bookmarkStart w:id="26" w:name="_Toc17308"/>
      <w:r>
        <w:rPr>
          <w:rFonts w:hint="eastAsia" w:ascii="宋体" w:hAnsi="宋体" w:eastAsia="宋体" w:cs="Times New Roman"/>
          <w:b/>
          <w:bCs/>
          <w:sz w:val="32"/>
          <w:szCs w:val="32"/>
        </w:rPr>
        <w:t>第二章   供应商须知表</w:t>
      </w:r>
      <w:bookmarkEnd w:id="24"/>
      <w:bookmarkEnd w:id="25"/>
      <w:bookmarkEnd w:id="26"/>
    </w:p>
    <w:p w14:paraId="3BB6B7CE">
      <w:pPr>
        <w:spacing w:line="480" w:lineRule="auto"/>
        <w:jc w:val="center"/>
        <w:rPr>
          <w:rFonts w:ascii="宋体" w:hAnsi="宋体" w:eastAsia="宋体" w:cs="宋体"/>
          <w:b/>
          <w:bCs/>
          <w:sz w:val="30"/>
          <w:szCs w:val="30"/>
        </w:rPr>
      </w:pPr>
      <w:r>
        <w:rPr>
          <w:rFonts w:hint="eastAsia" w:ascii="宋体" w:hAnsi="宋体" w:eastAsia="宋体" w:cs="宋体"/>
          <w:b/>
          <w:bCs/>
          <w:sz w:val="30"/>
          <w:szCs w:val="30"/>
        </w:rPr>
        <w:t>供应商须知前附表</w:t>
      </w:r>
    </w:p>
    <w:tbl>
      <w:tblPr>
        <w:tblStyle w:val="15"/>
        <w:tblW w:w="9101" w:type="dxa"/>
        <w:jc w:val="center"/>
        <w:tblLayout w:type="fixed"/>
        <w:tblCellMar>
          <w:top w:w="0" w:type="dxa"/>
          <w:left w:w="108" w:type="dxa"/>
          <w:bottom w:w="0" w:type="dxa"/>
          <w:right w:w="108" w:type="dxa"/>
        </w:tblCellMar>
      </w:tblPr>
      <w:tblGrid>
        <w:gridCol w:w="728"/>
        <w:gridCol w:w="2076"/>
        <w:gridCol w:w="6297"/>
      </w:tblGrid>
      <w:tr w14:paraId="1367B825">
        <w:tblPrEx>
          <w:tblCellMar>
            <w:top w:w="0" w:type="dxa"/>
            <w:left w:w="108" w:type="dxa"/>
            <w:bottom w:w="0" w:type="dxa"/>
            <w:right w:w="108" w:type="dxa"/>
          </w:tblCellMar>
        </w:tblPrEx>
        <w:trPr>
          <w:cantSplit/>
          <w:trHeight w:val="697" w:hRule="atLeast"/>
          <w:jc w:val="center"/>
        </w:trPr>
        <w:tc>
          <w:tcPr>
            <w:tcW w:w="728" w:type="dxa"/>
            <w:tcBorders>
              <w:top w:val="single" w:color="auto" w:sz="12" w:space="0"/>
              <w:left w:val="single" w:color="auto" w:sz="12" w:space="0"/>
              <w:bottom w:val="single" w:color="auto" w:sz="6" w:space="0"/>
              <w:right w:val="single" w:color="auto" w:sz="6" w:space="0"/>
            </w:tcBorders>
            <w:noWrap w:val="0"/>
            <w:vAlign w:val="center"/>
          </w:tcPr>
          <w:p w14:paraId="750901D1">
            <w:pPr>
              <w:adjustRightInd w:val="0"/>
              <w:spacing w:line="400" w:lineRule="exact"/>
              <w:ind w:left="3" w:hanging="2" w:hangingChars="1"/>
              <w:jc w:val="center"/>
              <w:rPr>
                <w:rFonts w:ascii="宋体" w:hAnsi="宋体" w:cs="宋体"/>
                <w:spacing w:val="6"/>
                <w:sz w:val="24"/>
                <w:szCs w:val="24"/>
              </w:rPr>
            </w:pPr>
            <w:bookmarkStart w:id="27" w:name="_Toc23306"/>
            <w:bookmarkEnd w:id="27"/>
            <w:bookmarkStart w:id="28" w:name="_Toc27425"/>
            <w:bookmarkEnd w:id="28"/>
            <w:r>
              <w:rPr>
                <w:rFonts w:ascii="宋体" w:hAnsi="宋体" w:cs="宋体"/>
                <w:spacing w:val="6"/>
                <w:sz w:val="24"/>
                <w:szCs w:val="24"/>
              </w:rPr>
              <w:t>条款</w:t>
            </w:r>
          </w:p>
        </w:tc>
        <w:tc>
          <w:tcPr>
            <w:tcW w:w="2076" w:type="dxa"/>
            <w:tcBorders>
              <w:top w:val="single" w:color="auto" w:sz="12" w:space="0"/>
              <w:left w:val="single" w:color="auto" w:sz="6" w:space="0"/>
              <w:bottom w:val="single" w:color="auto" w:sz="6" w:space="0"/>
              <w:right w:val="single" w:color="auto" w:sz="6" w:space="0"/>
            </w:tcBorders>
            <w:noWrap w:val="0"/>
            <w:vAlign w:val="center"/>
          </w:tcPr>
          <w:p w14:paraId="55587ACC">
            <w:pPr>
              <w:adjustRightInd w:val="0"/>
              <w:spacing w:line="400" w:lineRule="exact"/>
              <w:ind w:left="3" w:hanging="2" w:hangingChars="1"/>
              <w:jc w:val="center"/>
              <w:rPr>
                <w:rFonts w:ascii="宋体" w:hAnsi="宋体" w:cs="宋体"/>
                <w:spacing w:val="6"/>
                <w:sz w:val="24"/>
                <w:szCs w:val="24"/>
              </w:rPr>
            </w:pPr>
            <w:r>
              <w:rPr>
                <w:rFonts w:ascii="宋体" w:hAnsi="宋体" w:cs="宋体"/>
                <w:spacing w:val="6"/>
                <w:sz w:val="24"/>
                <w:szCs w:val="24"/>
              </w:rPr>
              <w:t>条款号</w:t>
            </w:r>
          </w:p>
        </w:tc>
        <w:tc>
          <w:tcPr>
            <w:tcW w:w="6297" w:type="dxa"/>
            <w:tcBorders>
              <w:top w:val="single" w:color="auto" w:sz="12" w:space="0"/>
              <w:left w:val="single" w:color="auto" w:sz="6" w:space="0"/>
              <w:bottom w:val="single" w:color="auto" w:sz="6" w:space="0"/>
              <w:right w:val="single" w:color="auto" w:sz="12" w:space="0"/>
            </w:tcBorders>
            <w:noWrap w:val="0"/>
            <w:vAlign w:val="center"/>
          </w:tcPr>
          <w:p w14:paraId="5DE04BD3">
            <w:pPr>
              <w:adjustRightInd w:val="0"/>
              <w:spacing w:line="400" w:lineRule="exact"/>
              <w:ind w:left="3" w:hanging="2" w:hangingChars="1"/>
              <w:jc w:val="center"/>
              <w:rPr>
                <w:rFonts w:ascii="宋体" w:hAnsi="宋体" w:cs="宋体"/>
                <w:spacing w:val="6"/>
                <w:sz w:val="24"/>
                <w:szCs w:val="24"/>
              </w:rPr>
            </w:pPr>
            <w:r>
              <w:rPr>
                <w:rFonts w:ascii="宋体" w:hAnsi="宋体" w:cs="宋体"/>
                <w:spacing w:val="6"/>
                <w:sz w:val="24"/>
                <w:szCs w:val="24"/>
              </w:rPr>
              <w:t>编列内容</w:t>
            </w:r>
          </w:p>
        </w:tc>
      </w:tr>
      <w:tr w14:paraId="2F5FF82D">
        <w:tblPrEx>
          <w:tblCellMar>
            <w:top w:w="0" w:type="dxa"/>
            <w:left w:w="108" w:type="dxa"/>
            <w:bottom w:w="0" w:type="dxa"/>
            <w:right w:w="108" w:type="dxa"/>
          </w:tblCellMar>
        </w:tblPrEx>
        <w:trPr>
          <w:cantSplit/>
          <w:trHeight w:val="176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314C448">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DD4677A">
            <w:pPr>
              <w:adjustRightInd w:val="0"/>
              <w:spacing w:line="400" w:lineRule="exact"/>
              <w:ind w:left="3" w:hanging="2" w:hangingChars="1"/>
              <w:jc w:val="center"/>
              <w:rPr>
                <w:rFonts w:hint="eastAsia" w:ascii="宋体" w:hAnsi="宋体" w:cs="宋体"/>
                <w:spacing w:val="6"/>
                <w:sz w:val="24"/>
                <w:szCs w:val="24"/>
              </w:rPr>
            </w:pPr>
            <w:r>
              <w:rPr>
                <w:rFonts w:hint="eastAsia" w:ascii="宋体" w:hAnsi="宋体" w:cs="宋体"/>
                <w:spacing w:val="6"/>
                <w:sz w:val="24"/>
                <w:szCs w:val="24"/>
              </w:rPr>
              <w:t>监督单位及</w:t>
            </w:r>
          </w:p>
          <w:p w14:paraId="6B82B3C5">
            <w:pPr>
              <w:adjustRightInd w:val="0"/>
              <w:spacing w:line="400" w:lineRule="exact"/>
              <w:ind w:left="3" w:hanging="2" w:hangingChars="1"/>
              <w:jc w:val="center"/>
              <w:rPr>
                <w:rFonts w:ascii="宋体" w:hAnsi="宋体" w:cs="宋体"/>
                <w:spacing w:val="6"/>
                <w:sz w:val="24"/>
                <w:szCs w:val="24"/>
              </w:rPr>
            </w:pPr>
            <w:r>
              <w:rPr>
                <w:rFonts w:hint="eastAsia" w:ascii="宋体" w:hAnsi="宋体" w:cs="宋体"/>
                <w:spacing w:val="6"/>
                <w:sz w:val="24"/>
                <w:szCs w:val="24"/>
              </w:rPr>
              <w:t>采购人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A206EA">
            <w:pPr>
              <w:spacing w:line="400" w:lineRule="exact"/>
              <w:rPr>
                <w:rFonts w:hint="eastAsia" w:ascii="宋体" w:hAnsi="宋体" w:cs="宋体"/>
                <w:spacing w:val="6"/>
                <w:sz w:val="24"/>
                <w:szCs w:val="24"/>
              </w:rPr>
            </w:pPr>
            <w:r>
              <w:rPr>
                <w:rFonts w:hint="eastAsia" w:ascii="宋体" w:hAnsi="宋体" w:cs="宋体"/>
                <w:spacing w:val="6"/>
                <w:sz w:val="24"/>
                <w:szCs w:val="24"/>
              </w:rPr>
              <w:t>监督单位：卢氏县政府采购办公室</w:t>
            </w:r>
          </w:p>
          <w:p w14:paraId="4BA04565">
            <w:pPr>
              <w:spacing w:line="400" w:lineRule="exact"/>
              <w:rPr>
                <w:rFonts w:hint="eastAsia" w:ascii="宋体" w:hAnsi="宋体" w:cs="宋体"/>
                <w:spacing w:val="6"/>
                <w:sz w:val="24"/>
                <w:szCs w:val="24"/>
              </w:rPr>
            </w:pPr>
            <w:r>
              <w:rPr>
                <w:rFonts w:hint="eastAsia" w:ascii="宋体" w:hAnsi="宋体" w:cs="宋体"/>
                <w:spacing w:val="6"/>
                <w:sz w:val="24"/>
                <w:szCs w:val="24"/>
              </w:rPr>
              <w:t>联系人：郭亚楠</w:t>
            </w:r>
          </w:p>
          <w:p w14:paraId="24723344">
            <w:pPr>
              <w:spacing w:line="400" w:lineRule="exact"/>
              <w:rPr>
                <w:rFonts w:hint="eastAsia" w:ascii="宋体" w:hAnsi="宋体" w:cs="宋体"/>
                <w:spacing w:val="6"/>
                <w:sz w:val="24"/>
                <w:szCs w:val="24"/>
              </w:rPr>
            </w:pPr>
            <w:r>
              <w:rPr>
                <w:rFonts w:hint="eastAsia" w:ascii="宋体" w:hAnsi="宋体" w:cs="宋体"/>
                <w:spacing w:val="6"/>
                <w:sz w:val="24"/>
                <w:szCs w:val="24"/>
              </w:rPr>
              <w:t xml:space="preserve">电话：0398-7863556 </w:t>
            </w:r>
          </w:p>
          <w:p w14:paraId="1AC15D1D">
            <w:pPr>
              <w:spacing w:line="400" w:lineRule="exact"/>
              <w:rPr>
                <w:rFonts w:hint="eastAsia" w:ascii="宋体" w:hAnsi="宋体" w:cs="宋体"/>
                <w:spacing w:val="6"/>
                <w:sz w:val="24"/>
                <w:szCs w:val="24"/>
              </w:rPr>
            </w:pPr>
            <w:r>
              <w:rPr>
                <w:rFonts w:hint="eastAsia" w:ascii="宋体" w:hAnsi="宋体" w:cs="宋体"/>
                <w:spacing w:val="6"/>
                <w:sz w:val="24"/>
                <w:szCs w:val="24"/>
              </w:rPr>
              <w:t>地址：卢氏县城关镇解放路中段</w:t>
            </w:r>
          </w:p>
          <w:p w14:paraId="00D9F492">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监督单位：卢氏县住房和城乡建设局纪检监察室</w:t>
            </w:r>
          </w:p>
          <w:p w14:paraId="6FE5B5E9">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联系人：范清泉</w:t>
            </w:r>
          </w:p>
          <w:p w14:paraId="4F4173A8">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电话：15516226665、0398-2250639</w:t>
            </w:r>
          </w:p>
          <w:p w14:paraId="04CEF61F">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地址：卢氏县翰林路中段</w:t>
            </w:r>
          </w:p>
          <w:p w14:paraId="50CD440B">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采购人：卢氏县住房和城乡建设局</w:t>
            </w:r>
          </w:p>
          <w:p w14:paraId="16E095CD">
            <w:pPr>
              <w:spacing w:line="400" w:lineRule="exact"/>
              <w:rPr>
                <w:rFonts w:hint="default" w:ascii="宋体" w:hAnsi="宋体" w:cs="宋体"/>
                <w:spacing w:val="6"/>
                <w:sz w:val="24"/>
                <w:szCs w:val="24"/>
                <w:lang w:val="en-US" w:eastAsia="zh-CN"/>
              </w:rPr>
            </w:pPr>
            <w:r>
              <w:rPr>
                <w:rFonts w:hint="eastAsia" w:ascii="宋体" w:hAnsi="宋体" w:cs="宋体"/>
                <w:spacing w:val="6"/>
                <w:sz w:val="24"/>
                <w:szCs w:val="24"/>
                <w:lang w:eastAsia="zh-CN"/>
              </w:rPr>
              <w:t>联系人：</w:t>
            </w:r>
            <w:r>
              <w:rPr>
                <w:rFonts w:hint="eastAsia" w:ascii="宋体" w:hAnsi="宋体" w:cs="宋体"/>
                <w:spacing w:val="6"/>
                <w:sz w:val="24"/>
                <w:szCs w:val="24"/>
                <w:lang w:val="en-US" w:eastAsia="zh-CN"/>
              </w:rPr>
              <w:t>杨静</w:t>
            </w:r>
          </w:p>
          <w:p w14:paraId="73FA4B9D">
            <w:pPr>
              <w:spacing w:line="400" w:lineRule="exact"/>
              <w:rPr>
                <w:rFonts w:hint="eastAsia" w:ascii="宋体" w:hAnsi="宋体" w:cs="宋体"/>
                <w:spacing w:val="6"/>
                <w:sz w:val="24"/>
                <w:szCs w:val="24"/>
                <w:lang w:val="en-US" w:eastAsia="zh-CN"/>
              </w:rPr>
            </w:pPr>
            <w:r>
              <w:rPr>
                <w:rFonts w:hint="eastAsia" w:ascii="宋体" w:hAnsi="宋体" w:cs="宋体"/>
                <w:spacing w:val="6"/>
                <w:sz w:val="24"/>
                <w:szCs w:val="24"/>
                <w:lang w:eastAsia="zh-CN"/>
              </w:rPr>
              <w:t>联系方式：</w:t>
            </w:r>
            <w:r>
              <w:rPr>
                <w:rFonts w:hint="eastAsia" w:ascii="宋体" w:hAnsi="宋体" w:cs="宋体"/>
                <w:spacing w:val="6"/>
                <w:sz w:val="24"/>
                <w:szCs w:val="24"/>
                <w:lang w:val="en-US" w:eastAsia="zh-CN"/>
              </w:rPr>
              <w:t>13633983789、0398-2250116</w:t>
            </w:r>
          </w:p>
          <w:p w14:paraId="2CA22E59">
            <w:pPr>
              <w:spacing w:line="400" w:lineRule="exact"/>
              <w:rPr>
                <w:rFonts w:ascii="宋体" w:hAnsi="宋体" w:cs="宋体"/>
                <w:spacing w:val="6"/>
                <w:sz w:val="24"/>
                <w:szCs w:val="24"/>
              </w:rPr>
            </w:pPr>
            <w:r>
              <w:rPr>
                <w:rFonts w:hint="eastAsia" w:ascii="宋体" w:hAnsi="宋体" w:cs="宋体"/>
                <w:spacing w:val="6"/>
                <w:sz w:val="24"/>
                <w:szCs w:val="24"/>
                <w:lang w:val="en-US" w:eastAsia="zh-CN"/>
              </w:rPr>
              <w:t>地址：</w:t>
            </w:r>
            <w:r>
              <w:rPr>
                <w:rFonts w:hint="eastAsia" w:ascii="宋体" w:hAnsi="宋体" w:cs="宋体"/>
                <w:spacing w:val="6"/>
                <w:sz w:val="24"/>
                <w:szCs w:val="24"/>
                <w:lang w:eastAsia="zh-CN"/>
              </w:rPr>
              <w:t>卢氏县翰林路中段</w:t>
            </w:r>
          </w:p>
        </w:tc>
      </w:tr>
      <w:tr w14:paraId="56F66652">
        <w:tblPrEx>
          <w:tblCellMar>
            <w:top w:w="0" w:type="dxa"/>
            <w:left w:w="108" w:type="dxa"/>
            <w:bottom w:w="0" w:type="dxa"/>
            <w:right w:w="108" w:type="dxa"/>
          </w:tblCellMar>
        </w:tblPrEx>
        <w:trPr>
          <w:cantSplit/>
          <w:trHeight w:val="56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A297ED9">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C22A9AB">
            <w:pPr>
              <w:adjustRightInd w:val="0"/>
              <w:spacing w:line="400" w:lineRule="exact"/>
              <w:ind w:left="3" w:hanging="2" w:hangingChars="1"/>
              <w:jc w:val="center"/>
              <w:rPr>
                <w:rFonts w:ascii="宋体" w:hAnsi="宋体" w:cs="宋体"/>
                <w:spacing w:val="6"/>
                <w:sz w:val="24"/>
                <w:szCs w:val="24"/>
              </w:rPr>
            </w:pPr>
            <w:r>
              <w:rPr>
                <w:rFonts w:hint="eastAsia" w:ascii="宋体" w:hAnsi="宋体" w:cs="宋体"/>
                <w:spacing w:val="6"/>
                <w:sz w:val="24"/>
                <w:szCs w:val="24"/>
              </w:rPr>
              <w:t>代理机构</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AABFE6D">
            <w:pPr>
              <w:spacing w:line="400" w:lineRule="exact"/>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代理机构：河南保利招标咨询有限公司</w:t>
            </w:r>
          </w:p>
          <w:p w14:paraId="543C0ECD">
            <w:pPr>
              <w:spacing w:line="400" w:lineRule="exact"/>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联系人：贾芳</w:t>
            </w:r>
          </w:p>
          <w:p w14:paraId="288F3BA1">
            <w:pPr>
              <w:spacing w:line="400" w:lineRule="exact"/>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电话：19037696097</w:t>
            </w:r>
          </w:p>
          <w:p w14:paraId="57ACB02D">
            <w:pPr>
              <w:spacing w:line="400" w:lineRule="exact"/>
              <w:rPr>
                <w:rFonts w:hint="eastAsia" w:ascii="宋体" w:hAnsi="宋体" w:eastAsia="宋体" w:cs="宋体"/>
                <w:spacing w:val="6"/>
                <w:sz w:val="24"/>
                <w:szCs w:val="24"/>
                <w:lang w:eastAsia="zh-CN"/>
              </w:rPr>
            </w:pPr>
            <w:r>
              <w:rPr>
                <w:rFonts w:hint="eastAsia" w:ascii="宋体" w:hAnsi="宋体" w:cs="宋体"/>
                <w:spacing w:val="6"/>
                <w:sz w:val="24"/>
                <w:szCs w:val="24"/>
                <w:lang w:val="en-US" w:eastAsia="zh-CN"/>
              </w:rPr>
              <w:t>地址：郑州市高新区迎春街总部企业基地二期72号楼10楼</w:t>
            </w:r>
          </w:p>
        </w:tc>
      </w:tr>
      <w:tr w14:paraId="6D57B7C4">
        <w:tblPrEx>
          <w:tblCellMar>
            <w:top w:w="0" w:type="dxa"/>
            <w:left w:w="108" w:type="dxa"/>
            <w:bottom w:w="0" w:type="dxa"/>
            <w:right w:w="108" w:type="dxa"/>
          </w:tblCellMar>
        </w:tblPrEx>
        <w:trPr>
          <w:cantSplit/>
          <w:trHeight w:val="58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8FA292B">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F836C4A">
            <w:pPr>
              <w:spacing w:line="400" w:lineRule="exact"/>
              <w:ind w:left="3" w:hanging="2" w:hangingChars="1"/>
              <w:jc w:val="center"/>
              <w:rPr>
                <w:rFonts w:hint="eastAsia" w:ascii="宋体" w:hAnsi="宋体" w:cs="宋体"/>
                <w:spacing w:val="6"/>
                <w:sz w:val="24"/>
                <w:szCs w:val="24"/>
              </w:rPr>
            </w:pPr>
            <w:r>
              <w:rPr>
                <w:rFonts w:hint="eastAsia" w:ascii="宋体" w:hAnsi="宋体" w:cs="宋体"/>
                <w:spacing w:val="6"/>
                <w:sz w:val="24"/>
                <w:szCs w:val="24"/>
              </w:rPr>
              <w:t>项目名称</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2E4373E">
            <w:pPr>
              <w:spacing w:line="400" w:lineRule="exact"/>
              <w:ind w:left="3" w:hanging="2" w:hangingChars="1"/>
              <w:rPr>
                <w:rFonts w:hint="eastAsia" w:ascii="宋体" w:hAnsi="宋体" w:eastAsia="宋体" w:cs="宋体"/>
                <w:spacing w:val="6"/>
                <w:sz w:val="24"/>
                <w:szCs w:val="24"/>
                <w:lang w:eastAsia="zh-CN"/>
              </w:rPr>
            </w:pPr>
            <w:r>
              <w:rPr>
                <w:rFonts w:hint="eastAsia" w:ascii="宋体" w:hAnsi="宋体" w:cs="宋体"/>
                <w:spacing w:val="6"/>
                <w:sz w:val="24"/>
                <w:szCs w:val="24"/>
                <w:lang w:eastAsia="zh-CN"/>
              </w:rPr>
              <w:t>2026年第二批超长期特别国债资金支持老旧电梯更新改造项目</w:t>
            </w:r>
          </w:p>
        </w:tc>
      </w:tr>
      <w:tr w14:paraId="41E90A19">
        <w:tblPrEx>
          <w:tblCellMar>
            <w:top w:w="0" w:type="dxa"/>
            <w:left w:w="108" w:type="dxa"/>
            <w:bottom w:w="0" w:type="dxa"/>
            <w:right w:w="108" w:type="dxa"/>
          </w:tblCellMar>
        </w:tblPrEx>
        <w:trPr>
          <w:cantSplit/>
          <w:trHeight w:val="498"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747EC154">
            <w:pPr>
              <w:adjustRightInd w:val="0"/>
              <w:spacing w:line="400" w:lineRule="exact"/>
              <w:ind w:left="3" w:hanging="2" w:hangingChars="1"/>
              <w:jc w:val="center"/>
              <w:rPr>
                <w:rFonts w:ascii="宋体" w:hAnsi="宋体" w:cs="宋体"/>
                <w:spacing w:val="6"/>
                <w:sz w:val="24"/>
                <w:szCs w:val="24"/>
                <w:highlight w:val="none"/>
              </w:rPr>
            </w:pPr>
            <w:r>
              <w:rPr>
                <w:rFonts w:hint="eastAsia" w:ascii="宋体" w:hAnsi="宋体" w:cs="宋体"/>
                <w:spacing w:val="6"/>
                <w:sz w:val="24"/>
                <w:szCs w:val="24"/>
                <w:highlight w:val="none"/>
              </w:rPr>
              <w:t>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2D0E331E">
            <w:pPr>
              <w:adjustRightInd w:val="0"/>
              <w:spacing w:line="400" w:lineRule="exact"/>
              <w:ind w:left="2" w:hanging="2" w:hangingChars="1"/>
              <w:jc w:val="center"/>
              <w:rPr>
                <w:rFonts w:ascii="宋体" w:hAnsi="宋体" w:cs="宋体"/>
                <w:color w:val="auto"/>
                <w:sz w:val="24"/>
                <w:szCs w:val="24"/>
                <w:highlight w:val="none"/>
              </w:rPr>
            </w:pPr>
            <w:r>
              <w:rPr>
                <w:rFonts w:ascii="宋体" w:hAnsi="宋体" w:cs="宋体"/>
                <w:color w:val="auto"/>
                <w:sz w:val="24"/>
                <w:szCs w:val="24"/>
                <w:highlight w:val="none"/>
              </w:rPr>
              <w:t>项目编号</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5942F94">
            <w:pPr>
              <w:widowControl w:val="0"/>
              <w:adjustRightInd w:val="0"/>
              <w:spacing w:line="400" w:lineRule="exact"/>
              <w:jc w:val="both"/>
              <w:rPr>
                <w:rFonts w:hint="eastAsia" w:ascii="宋体" w:hAnsi="宋体" w:eastAsia="宋体" w:cs="宋体"/>
                <w:color w:val="auto"/>
                <w:spacing w:val="6"/>
                <w:sz w:val="24"/>
                <w:szCs w:val="24"/>
                <w:highlight w:val="none"/>
                <w:lang w:eastAsia="zh-CN"/>
              </w:rPr>
            </w:pPr>
            <w:r>
              <w:rPr>
                <w:rFonts w:hint="eastAsia" w:ascii="宋体" w:hAnsi="宋体" w:cs="宋体"/>
                <w:spacing w:val="6"/>
                <w:sz w:val="24"/>
                <w:szCs w:val="24"/>
                <w:lang w:eastAsia="zh-CN"/>
              </w:rPr>
              <w:t>三卢竞磋采购-2026-108、LSGZ[2026]248-ZC193</w:t>
            </w:r>
          </w:p>
        </w:tc>
      </w:tr>
      <w:tr w14:paraId="455C6A78">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E3C5687">
            <w:pPr>
              <w:widowControl w:val="0"/>
              <w:adjustRightInd w:val="0"/>
              <w:spacing w:line="400" w:lineRule="exact"/>
              <w:jc w:val="center"/>
              <w:rPr>
                <w:rFonts w:hint="eastAsia" w:ascii="宋体" w:hAnsi="宋体" w:cs="宋体" w:eastAsiaTheme="minorEastAsia"/>
                <w:spacing w:val="6"/>
                <w:sz w:val="24"/>
                <w:szCs w:val="24"/>
                <w:lang w:eastAsia="zh-CN"/>
              </w:rPr>
            </w:pPr>
            <w:r>
              <w:rPr>
                <w:rFonts w:hint="eastAsia" w:ascii="宋体" w:hAnsi="宋体" w:cs="宋体"/>
                <w:spacing w:val="6"/>
                <w:sz w:val="24"/>
                <w:szCs w:val="24"/>
                <w:lang w:val="en-US" w:eastAsia="zh-CN"/>
              </w:rPr>
              <w:t>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044D2EE">
            <w:pPr>
              <w:widowControl w:val="0"/>
              <w:adjustRightInd w:val="0"/>
              <w:spacing w:line="400" w:lineRule="exact"/>
              <w:jc w:val="center"/>
              <w:rPr>
                <w:rFonts w:ascii="宋体" w:hAnsi="宋体" w:cs="宋体"/>
                <w:spacing w:val="6"/>
                <w:sz w:val="24"/>
                <w:szCs w:val="24"/>
              </w:rPr>
            </w:pPr>
            <w:r>
              <w:rPr>
                <w:rFonts w:hint="eastAsia" w:ascii="宋体" w:hAnsi="宋体" w:cs="宋体"/>
                <w:sz w:val="24"/>
                <w:szCs w:val="24"/>
                <w:lang w:val="en-US" w:eastAsia="zh-CN"/>
              </w:rPr>
              <w:t>采购</w:t>
            </w:r>
            <w:r>
              <w:rPr>
                <w:rFonts w:hint="eastAsia" w:ascii="宋体" w:hAnsi="宋体" w:cs="宋体"/>
                <w:sz w:val="24"/>
                <w:szCs w:val="24"/>
              </w:rPr>
              <w:t>内容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98117AF">
            <w:pPr>
              <w:shd w:val="clear" w:color="auto" w:fill="FFFFFF"/>
              <w:spacing w:line="400" w:lineRule="exact"/>
              <w:rPr>
                <w:rFonts w:ascii="宋体" w:hAnsi="宋体" w:cs="宋体"/>
                <w:spacing w:val="6"/>
                <w:sz w:val="24"/>
                <w:szCs w:val="24"/>
              </w:rPr>
            </w:pPr>
            <w:r>
              <w:rPr>
                <w:rFonts w:hint="eastAsia" w:ascii="宋体" w:hAnsi="宋体" w:cs="宋体"/>
                <w:spacing w:val="6"/>
                <w:sz w:val="24"/>
                <w:szCs w:val="24"/>
                <w:lang w:eastAsia="zh-CN"/>
              </w:rPr>
              <w:t>2026年第二批超长期特别国债资金支持老旧电梯更新改造项目，主要采购内容为：聚贤花园老旧电梯更新改造任务4台</w:t>
            </w:r>
            <w:r>
              <w:rPr>
                <w:rFonts w:hint="eastAsia" w:ascii="宋体" w:hAnsi="宋体" w:cs="宋体"/>
                <w:spacing w:val="6"/>
                <w:sz w:val="24"/>
                <w:szCs w:val="24"/>
                <w:lang w:val="en-US" w:eastAsia="zh-CN"/>
              </w:rPr>
              <w:t>（</w:t>
            </w:r>
            <w:r>
              <w:rPr>
                <w:rFonts w:hint="eastAsia" w:ascii="宋体" w:hAnsi="宋体" w:cs="宋体"/>
                <w:spacing w:val="6"/>
                <w:sz w:val="24"/>
                <w:szCs w:val="24"/>
                <w:lang w:eastAsia="zh-CN"/>
              </w:rPr>
              <w:t>具体详见磋商文件第三章采购需求</w:t>
            </w:r>
            <w:r>
              <w:rPr>
                <w:rFonts w:hint="eastAsia" w:ascii="宋体" w:hAnsi="宋体" w:cs="宋体"/>
                <w:spacing w:val="6"/>
                <w:sz w:val="24"/>
                <w:szCs w:val="24"/>
                <w:lang w:val="en-US" w:eastAsia="zh-CN"/>
              </w:rPr>
              <w:t>）</w:t>
            </w:r>
          </w:p>
        </w:tc>
      </w:tr>
      <w:tr w14:paraId="4EB327D9">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4614927">
            <w:pPr>
              <w:widowControl w:val="0"/>
              <w:adjustRightInd w:val="0"/>
              <w:spacing w:line="400" w:lineRule="exact"/>
              <w:jc w:val="center"/>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3AE07A3">
            <w:pPr>
              <w:widowControl w:val="0"/>
              <w:adjustRightInd w:val="0"/>
              <w:spacing w:line="400" w:lineRule="exact"/>
              <w:jc w:val="center"/>
              <w:rPr>
                <w:rFonts w:hint="eastAsia" w:ascii="宋体" w:hAnsi="宋体" w:cs="宋体"/>
                <w:sz w:val="24"/>
                <w:szCs w:val="24"/>
                <w:lang w:val="en-US" w:eastAsia="zh-CN"/>
              </w:rPr>
            </w:pPr>
            <w:r>
              <w:rPr>
                <w:rFonts w:hint="eastAsia" w:ascii="宋体" w:hAnsi="宋体" w:cs="宋体"/>
                <w:spacing w:val="6"/>
                <w:sz w:val="24"/>
                <w:szCs w:val="24"/>
                <w:lang w:eastAsia="zh-CN"/>
              </w:rPr>
              <w:t>标段划分</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FC44AB">
            <w:pPr>
              <w:shd w:val="clear" w:color="auto" w:fill="FFFFFF"/>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本项目共一个标段</w:t>
            </w:r>
          </w:p>
        </w:tc>
      </w:tr>
      <w:tr w14:paraId="374C915A">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E0BBF60">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13327B7">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采购方式</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8980259">
            <w:pPr>
              <w:widowControl w:val="0"/>
              <w:adjustRightInd w:val="0"/>
              <w:spacing w:line="400" w:lineRule="exact"/>
              <w:jc w:val="both"/>
              <w:rPr>
                <w:rFonts w:ascii="宋体" w:hAnsi="宋体" w:cs="宋体"/>
                <w:spacing w:val="6"/>
                <w:sz w:val="24"/>
                <w:szCs w:val="24"/>
              </w:rPr>
            </w:pPr>
            <w:r>
              <w:rPr>
                <w:rFonts w:ascii="宋体" w:hAnsi="宋体" w:cs="宋体"/>
                <w:spacing w:val="6"/>
                <w:sz w:val="24"/>
                <w:szCs w:val="24"/>
              </w:rPr>
              <w:t>竞争性磋商</w:t>
            </w:r>
          </w:p>
        </w:tc>
      </w:tr>
      <w:tr w14:paraId="29F0040B">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B341917">
            <w:pPr>
              <w:widowControl w:val="0"/>
              <w:adjustRightInd w:val="0"/>
              <w:spacing w:line="400" w:lineRule="exact"/>
              <w:jc w:val="center"/>
              <w:rPr>
                <w:rFonts w:hint="default"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A7B4C04">
            <w:pPr>
              <w:widowControl w:val="0"/>
              <w:adjustRightInd w:val="0"/>
              <w:spacing w:line="400" w:lineRule="exact"/>
              <w:jc w:val="center"/>
              <w:rPr>
                <w:rFonts w:ascii="宋体" w:hAnsi="宋体" w:cs="宋体"/>
                <w:spacing w:val="6"/>
                <w:sz w:val="24"/>
                <w:szCs w:val="24"/>
              </w:rPr>
            </w:pPr>
            <w:r>
              <w:rPr>
                <w:rFonts w:hint="eastAsia" w:ascii="宋体" w:hAnsi="宋体" w:eastAsia="宋体" w:cs="宋体"/>
                <w:sz w:val="24"/>
                <w:szCs w:val="24"/>
                <w:lang w:eastAsia="zh-CN"/>
              </w:rPr>
              <w:t>交货地点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0F985A9">
            <w:pPr>
              <w:shd w:val="clear" w:color="auto" w:fill="FFFFFF"/>
              <w:spacing w:line="400" w:lineRule="exact"/>
              <w:rPr>
                <w:rFonts w:hint="eastAsia" w:ascii="宋体" w:hAnsi="宋体" w:eastAsia="宋体" w:cs="宋体"/>
                <w:spacing w:val="6"/>
                <w:sz w:val="24"/>
                <w:szCs w:val="24"/>
                <w:lang w:eastAsia="zh-CN"/>
              </w:rPr>
            </w:pPr>
            <w:r>
              <w:rPr>
                <w:rFonts w:hint="eastAsia" w:ascii="宋体" w:hAnsi="宋体" w:eastAsia="宋体" w:cs="宋体"/>
                <w:sz w:val="24"/>
                <w:szCs w:val="24"/>
                <w:lang w:val="en-US" w:eastAsia="zh-CN" w:bidi="ar-SA"/>
              </w:rPr>
              <w:t>卢氏县</w:t>
            </w:r>
            <w:r>
              <w:rPr>
                <w:rFonts w:hint="eastAsia" w:ascii="宋体" w:hAnsi="宋体" w:cs="宋体"/>
                <w:spacing w:val="6"/>
                <w:sz w:val="24"/>
                <w:szCs w:val="24"/>
                <w:lang w:eastAsia="zh-CN"/>
              </w:rPr>
              <w:t>聚贤花园</w:t>
            </w:r>
          </w:p>
        </w:tc>
      </w:tr>
      <w:tr w14:paraId="01831A18">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AEE9AC0">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C66F542">
            <w:pPr>
              <w:widowControl w:val="0"/>
              <w:adjustRightInd w:val="0"/>
              <w:spacing w:line="400" w:lineRule="exact"/>
              <w:jc w:val="center"/>
              <w:rPr>
                <w:rFonts w:ascii="宋体" w:hAnsi="宋体" w:cs="宋体"/>
                <w:spacing w:val="6"/>
                <w:sz w:val="24"/>
                <w:szCs w:val="24"/>
              </w:rPr>
            </w:pPr>
            <w:r>
              <w:rPr>
                <w:rFonts w:hint="eastAsia" w:ascii="宋体" w:hAnsi="宋体" w:cs="宋体"/>
                <w:sz w:val="24"/>
                <w:szCs w:val="24"/>
                <w:lang w:val="en-US" w:eastAsia="zh-CN"/>
              </w:rPr>
              <w:t>交货期限</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BAB83FA">
            <w:pPr>
              <w:widowControl w:val="0"/>
              <w:spacing w:line="400" w:lineRule="exact"/>
              <w:rPr>
                <w:rFonts w:hint="eastAsia" w:ascii="宋体" w:hAnsi="宋体" w:eastAsia="宋体" w:cs="宋体"/>
                <w:spacing w:val="6"/>
                <w:sz w:val="24"/>
                <w:szCs w:val="24"/>
                <w:lang w:eastAsia="zh-CN"/>
              </w:rPr>
            </w:pPr>
            <w:r>
              <w:rPr>
                <w:rFonts w:hint="eastAsia" w:ascii="宋体" w:hAnsi="宋体" w:eastAsia="宋体" w:cs="宋体"/>
                <w:sz w:val="24"/>
                <w:szCs w:val="24"/>
                <w:lang w:val="en-US" w:eastAsia="zh-CN" w:bidi="ar-SA"/>
              </w:rPr>
              <w:t>合同签订后30日历天完成供货、安装及调试</w:t>
            </w:r>
          </w:p>
        </w:tc>
      </w:tr>
      <w:tr w14:paraId="276121F6">
        <w:tblPrEx>
          <w:tblCellMar>
            <w:top w:w="0" w:type="dxa"/>
            <w:left w:w="108" w:type="dxa"/>
            <w:bottom w:w="0" w:type="dxa"/>
            <w:right w:w="108" w:type="dxa"/>
          </w:tblCellMar>
        </w:tblPrEx>
        <w:trPr>
          <w:trHeight w:val="48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E280AB7">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10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C7F53BB">
            <w:pPr>
              <w:widowControl w:val="0"/>
              <w:adjustRightInd w:val="0"/>
              <w:spacing w:line="400" w:lineRule="exact"/>
              <w:jc w:val="center"/>
              <w:rPr>
                <w:rFonts w:hint="eastAsia" w:ascii="宋体" w:hAnsi="宋体" w:cs="宋体"/>
                <w:sz w:val="24"/>
                <w:szCs w:val="24"/>
              </w:rPr>
            </w:pPr>
            <w:r>
              <w:rPr>
                <w:rFonts w:ascii="宋体" w:hAnsi="宋体" w:cs="宋体"/>
                <w:spacing w:val="6"/>
                <w:sz w:val="24"/>
                <w:szCs w:val="24"/>
              </w:rPr>
              <w:t>质量要求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4C7C7EB">
            <w:pPr>
              <w:widowControl w:val="0"/>
              <w:adjustRightInd w:val="0"/>
              <w:spacing w:line="400" w:lineRule="exact"/>
              <w:jc w:val="both"/>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符合国家及行业标准，并满足采购人要求</w:t>
            </w:r>
          </w:p>
        </w:tc>
      </w:tr>
      <w:tr w14:paraId="0322B6DE">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7F88928">
            <w:pPr>
              <w:widowControl w:val="0"/>
              <w:adjustRightInd w:val="0"/>
              <w:spacing w:line="400" w:lineRule="exact"/>
              <w:jc w:val="center"/>
              <w:rPr>
                <w:rFonts w:hint="eastAsia" w:ascii="宋体" w:hAnsi="宋体" w:eastAsia="宋体" w:cs="宋体"/>
                <w:spacing w:val="6"/>
                <w:kern w:val="2"/>
                <w:sz w:val="24"/>
                <w:szCs w:val="24"/>
                <w:highlight w:val="none"/>
                <w:lang w:val="en-US" w:eastAsia="zh-CN" w:bidi="ar-SA"/>
              </w:rPr>
            </w:pPr>
            <w:r>
              <w:rPr>
                <w:rFonts w:hint="eastAsia" w:ascii="宋体" w:hAnsi="宋体" w:cs="宋体"/>
                <w:spacing w:val="6"/>
                <w:sz w:val="24"/>
                <w:szCs w:val="24"/>
                <w:highlight w:val="none"/>
              </w:rPr>
              <w:t>11</w:t>
            </w:r>
          </w:p>
        </w:tc>
        <w:tc>
          <w:tcPr>
            <w:tcW w:w="2076"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A8436CC">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kern w:val="2"/>
                <w:sz w:val="24"/>
                <w:szCs w:val="24"/>
                <w:highlight w:val="none"/>
                <w:lang w:val="en-US" w:eastAsia="zh-CN" w:bidi="ar-SA"/>
              </w:rPr>
              <w:t>质保期</w:t>
            </w:r>
          </w:p>
        </w:tc>
        <w:tc>
          <w:tcPr>
            <w:tcW w:w="6297"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1A0142B0">
            <w:pPr>
              <w:widowControl w:val="0"/>
              <w:adjustRightInd w:val="0"/>
              <w:spacing w:line="400" w:lineRule="exact"/>
              <w:jc w:val="both"/>
              <w:rPr>
                <w:rFonts w:hint="default" w:ascii="宋体" w:hAnsi="宋体" w:eastAsia="宋体" w:cs="宋体"/>
                <w:spacing w:val="6"/>
                <w:kern w:val="2"/>
                <w:sz w:val="24"/>
                <w:szCs w:val="24"/>
                <w:highlight w:val="none"/>
                <w:lang w:val="en-US" w:eastAsia="zh-CN" w:bidi="ar-SA"/>
              </w:rPr>
            </w:pPr>
            <w:r>
              <w:rPr>
                <w:rFonts w:hint="eastAsia" w:ascii="宋体" w:hAnsi="宋体" w:eastAsia="宋体" w:cs="宋体"/>
                <w:spacing w:val="6"/>
                <w:kern w:val="2"/>
                <w:sz w:val="24"/>
                <w:szCs w:val="24"/>
                <w:highlight w:val="none"/>
                <w:lang w:val="en-US" w:eastAsia="zh-CN" w:bidi="ar-SA"/>
              </w:rPr>
              <w:t>整机两年，核心部件五年，满足国债更换电梯要求；</w:t>
            </w:r>
          </w:p>
        </w:tc>
      </w:tr>
      <w:tr w14:paraId="2D2C4EF6">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1C6A2A1">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12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98F7821">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预算资金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A65912F">
            <w:pPr>
              <w:widowControl w:val="0"/>
              <w:adjustRightInd w:val="0"/>
              <w:spacing w:line="400" w:lineRule="exact"/>
              <w:jc w:val="both"/>
              <w:rPr>
                <w:rFonts w:hint="eastAsia" w:ascii="宋体" w:hAnsi="宋体" w:cs="宋体"/>
                <w:spacing w:val="6"/>
                <w:sz w:val="24"/>
                <w:szCs w:val="24"/>
              </w:rPr>
            </w:pPr>
            <w:r>
              <w:rPr>
                <w:rFonts w:hint="eastAsia" w:ascii="宋体" w:hAnsi="宋体" w:cs="宋体"/>
                <w:spacing w:val="6"/>
                <w:sz w:val="24"/>
                <w:szCs w:val="24"/>
                <w:highlight w:val="none"/>
              </w:rPr>
              <w:t>￥</w:t>
            </w:r>
            <w:r>
              <w:rPr>
                <w:rFonts w:hint="eastAsia" w:ascii="宋体" w:hAnsi="宋体" w:cs="宋体"/>
                <w:spacing w:val="6"/>
                <w:sz w:val="24"/>
                <w:szCs w:val="24"/>
                <w:highlight w:val="none"/>
                <w:lang w:val="en-US" w:eastAsia="zh-CN"/>
              </w:rPr>
              <w:t>600000.00元</w:t>
            </w:r>
            <w:r>
              <w:rPr>
                <w:rFonts w:hint="eastAsia" w:ascii="宋体" w:hAnsi="宋体" w:cs="宋体"/>
                <w:spacing w:val="6"/>
                <w:sz w:val="24"/>
                <w:szCs w:val="24"/>
                <w:highlight w:val="none"/>
              </w:rPr>
              <w:t>（</w:t>
            </w:r>
            <w:r>
              <w:rPr>
                <w:rFonts w:hint="eastAsia" w:ascii="宋体" w:hAnsi="宋体" w:cs="宋体"/>
                <w:spacing w:val="6"/>
                <w:sz w:val="24"/>
                <w:szCs w:val="24"/>
              </w:rPr>
              <w:t>各供应商报价不能高于预算金额，否则视为无效报价）</w:t>
            </w:r>
          </w:p>
        </w:tc>
      </w:tr>
      <w:tr w14:paraId="5B21B426">
        <w:tblPrEx>
          <w:tblCellMar>
            <w:top w:w="0" w:type="dxa"/>
            <w:left w:w="108" w:type="dxa"/>
            <w:bottom w:w="0" w:type="dxa"/>
            <w:right w:w="108" w:type="dxa"/>
          </w:tblCellMar>
        </w:tblPrEx>
        <w:trPr>
          <w:trHeight w:val="607"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6830EB0">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1160A15">
            <w:pPr>
              <w:widowControl w:val="0"/>
              <w:adjustRightInd w:val="0"/>
              <w:spacing w:line="400" w:lineRule="exact"/>
              <w:jc w:val="center"/>
              <w:rPr>
                <w:rFonts w:ascii="宋体" w:hAnsi="宋体" w:cs="宋体"/>
                <w:sz w:val="24"/>
                <w:szCs w:val="24"/>
              </w:rPr>
            </w:pPr>
            <w:r>
              <w:rPr>
                <w:rFonts w:ascii="宋体" w:hAnsi="宋体" w:cs="宋体"/>
                <w:sz w:val="24"/>
                <w:szCs w:val="24"/>
              </w:rPr>
              <w:t>资金来源</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95796FF">
            <w:pPr>
              <w:widowControl w:val="0"/>
              <w:adjustRightInd w:val="0"/>
              <w:spacing w:line="400" w:lineRule="exact"/>
              <w:jc w:val="both"/>
              <w:rPr>
                <w:rFonts w:ascii="宋体" w:hAnsi="宋体" w:cs="宋体"/>
                <w:spacing w:val="6"/>
                <w:sz w:val="24"/>
                <w:szCs w:val="24"/>
              </w:rPr>
            </w:pPr>
            <w:r>
              <w:rPr>
                <w:rFonts w:hint="eastAsia" w:ascii="宋体" w:hAnsi="宋体" w:cs="宋体"/>
                <w:sz w:val="24"/>
                <w:szCs w:val="24"/>
              </w:rPr>
              <w:t>财政资金，已落实</w:t>
            </w:r>
          </w:p>
        </w:tc>
      </w:tr>
      <w:tr w14:paraId="0141E4B3">
        <w:tblPrEx>
          <w:tblCellMar>
            <w:top w:w="0" w:type="dxa"/>
            <w:left w:w="108" w:type="dxa"/>
            <w:bottom w:w="0" w:type="dxa"/>
            <w:right w:w="108" w:type="dxa"/>
          </w:tblCellMar>
        </w:tblPrEx>
        <w:trPr>
          <w:trHeight w:val="53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F57C04C">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ascii="宋体" w:hAnsi="宋体" w:cs="宋体"/>
                <w:spacing w:val="6"/>
                <w:sz w:val="24"/>
                <w:szCs w:val="24"/>
              </w:rPr>
              <w:t>1</w:t>
            </w:r>
            <w:r>
              <w:rPr>
                <w:rFonts w:hint="eastAsia" w:ascii="宋体" w:hAnsi="宋体" w:cs="宋体"/>
                <w:spacing w:val="6"/>
                <w:sz w:val="24"/>
                <w:szCs w:val="24"/>
              </w:rPr>
              <w:t>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DA52535">
            <w:pPr>
              <w:widowControl w:val="0"/>
              <w:adjustRightInd w:val="0"/>
              <w:spacing w:line="400" w:lineRule="exact"/>
              <w:jc w:val="center"/>
              <w:rPr>
                <w:rFonts w:ascii="宋体" w:hAnsi="宋体" w:cs="宋体"/>
                <w:spacing w:val="-40"/>
                <w:sz w:val="24"/>
                <w:szCs w:val="24"/>
                <w:highlight w:val="yellow"/>
              </w:rPr>
            </w:pPr>
            <w:r>
              <w:rPr>
                <w:rFonts w:ascii="宋体" w:hAnsi="宋体" w:cs="宋体"/>
                <w:sz w:val="24"/>
                <w:szCs w:val="24"/>
              </w:rPr>
              <w:t>供应商资</w:t>
            </w:r>
            <w:r>
              <w:rPr>
                <w:rFonts w:hint="eastAsia" w:ascii="宋体" w:hAnsi="宋体" w:cs="宋体"/>
                <w:sz w:val="24"/>
                <w:szCs w:val="24"/>
                <w:lang w:eastAsia="zh-CN"/>
              </w:rPr>
              <w:t>格</w:t>
            </w:r>
            <w:r>
              <w:rPr>
                <w:rFonts w:ascii="宋体" w:hAnsi="宋体" w:cs="宋体"/>
                <w:sz w:val="24"/>
                <w:szCs w:val="24"/>
              </w:rPr>
              <w:t>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BBDCFB4">
            <w:pPr>
              <w:shd w:val="clear" w:color="auto" w:fill="FFFFFF"/>
              <w:spacing w:line="400" w:lineRule="exact"/>
              <w:rPr>
                <w:rFonts w:ascii="宋体" w:hAnsi="宋体" w:cs="宋体"/>
                <w:sz w:val="24"/>
                <w:szCs w:val="24"/>
              </w:rPr>
            </w:pPr>
            <w:r>
              <w:rPr>
                <w:rFonts w:hint="eastAsia" w:ascii="宋体" w:hAnsi="宋体" w:cs="宋体"/>
                <w:sz w:val="24"/>
                <w:szCs w:val="24"/>
              </w:rPr>
              <w:t>具体详见公告部分</w:t>
            </w:r>
          </w:p>
        </w:tc>
      </w:tr>
      <w:tr w14:paraId="26D1FFBF">
        <w:tblPrEx>
          <w:tblCellMar>
            <w:top w:w="0" w:type="dxa"/>
            <w:left w:w="108" w:type="dxa"/>
            <w:bottom w:w="0" w:type="dxa"/>
            <w:right w:w="108" w:type="dxa"/>
          </w:tblCellMar>
        </w:tblPrEx>
        <w:trPr>
          <w:trHeight w:val="552"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BDA0D0D">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ascii="宋体" w:hAnsi="宋体" w:cs="宋体"/>
                <w:spacing w:val="6"/>
                <w:sz w:val="24"/>
                <w:szCs w:val="24"/>
              </w:rPr>
              <w:t>1</w:t>
            </w:r>
            <w:r>
              <w:rPr>
                <w:rFonts w:hint="eastAsia" w:ascii="宋体" w:hAnsi="宋体" w:cs="宋体"/>
                <w:spacing w:val="6"/>
                <w:sz w:val="24"/>
                <w:szCs w:val="24"/>
              </w:rPr>
              <w:t>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792B640">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竞争性磋商</w:t>
            </w:r>
          </w:p>
          <w:p w14:paraId="6460344D">
            <w:pPr>
              <w:widowControl w:val="0"/>
              <w:adjustRightInd w:val="0"/>
              <w:spacing w:line="400" w:lineRule="exact"/>
              <w:jc w:val="center"/>
              <w:rPr>
                <w:rFonts w:ascii="宋体" w:hAnsi="宋体" w:cs="宋体"/>
                <w:sz w:val="24"/>
                <w:szCs w:val="24"/>
              </w:rPr>
            </w:pPr>
            <w:r>
              <w:rPr>
                <w:rFonts w:ascii="宋体" w:hAnsi="宋体" w:cs="宋体"/>
                <w:spacing w:val="6"/>
                <w:sz w:val="24"/>
                <w:szCs w:val="24"/>
              </w:rPr>
              <w:t>有效</w:t>
            </w:r>
            <w:r>
              <w:rPr>
                <w:rFonts w:ascii="宋体" w:hAnsi="宋体" w:cs="宋体"/>
                <w:sz w:val="24"/>
                <w:szCs w:val="24"/>
              </w:rPr>
              <w:t>期</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4A3536D">
            <w:pPr>
              <w:widowControl w:val="0"/>
              <w:adjustRightInd w:val="0"/>
              <w:spacing w:line="400" w:lineRule="exact"/>
              <w:jc w:val="both"/>
              <w:rPr>
                <w:rFonts w:ascii="宋体" w:hAnsi="宋体" w:cs="宋体"/>
                <w:spacing w:val="6"/>
                <w:sz w:val="24"/>
                <w:szCs w:val="24"/>
              </w:rPr>
            </w:pPr>
            <w:r>
              <w:rPr>
                <w:rFonts w:ascii="宋体" w:hAnsi="宋体" w:cs="宋体"/>
                <w:spacing w:val="6"/>
                <w:sz w:val="24"/>
                <w:szCs w:val="24"/>
                <w:u w:val="single"/>
              </w:rPr>
              <w:t>60</w:t>
            </w:r>
            <w:r>
              <w:rPr>
                <w:rFonts w:ascii="宋体" w:hAnsi="宋体" w:cs="宋体"/>
                <w:spacing w:val="6"/>
                <w:sz w:val="24"/>
                <w:szCs w:val="24"/>
              </w:rPr>
              <w:t>日历天(</w:t>
            </w:r>
            <w:r>
              <w:rPr>
                <w:rFonts w:hint="eastAsia" w:ascii="宋体" w:hAnsi="宋体" w:cs="宋体"/>
                <w:spacing w:val="-3"/>
                <w:sz w:val="24"/>
                <w:szCs w:val="24"/>
              </w:rPr>
              <w:t>指本次采购项目递交响应文件截止之日起</w:t>
            </w:r>
            <w:r>
              <w:rPr>
                <w:rFonts w:ascii="宋体" w:hAnsi="宋体" w:cs="宋体"/>
                <w:spacing w:val="6"/>
                <w:sz w:val="24"/>
                <w:szCs w:val="24"/>
              </w:rPr>
              <w:t>)</w:t>
            </w:r>
          </w:p>
        </w:tc>
      </w:tr>
      <w:tr w14:paraId="540248F2">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3D685B8">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EFF446F">
            <w:pPr>
              <w:widowControl w:val="0"/>
              <w:adjustRightInd w:val="0"/>
              <w:spacing w:line="400" w:lineRule="exact"/>
              <w:jc w:val="center"/>
              <w:rPr>
                <w:rFonts w:ascii="宋体" w:hAnsi="宋体" w:cs="宋体"/>
                <w:sz w:val="24"/>
                <w:szCs w:val="24"/>
              </w:rPr>
            </w:pPr>
            <w:r>
              <w:rPr>
                <w:rFonts w:ascii="宋体" w:hAnsi="宋体" w:cs="宋体"/>
                <w:sz w:val="24"/>
                <w:szCs w:val="24"/>
              </w:rPr>
              <w:t>竞争性磋商保证金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36A321E">
            <w:pPr>
              <w:spacing w:line="400" w:lineRule="exact"/>
              <w:rPr>
                <w:rFonts w:ascii="宋体" w:hAnsi="宋体" w:cs="宋体"/>
                <w:spacing w:val="6"/>
                <w:sz w:val="24"/>
                <w:szCs w:val="24"/>
              </w:rPr>
            </w:pPr>
            <w:r>
              <w:rPr>
                <w:rFonts w:hint="eastAsia" w:ascii="宋体" w:hAnsi="宋体" w:cs="宋体"/>
                <w:spacing w:val="6"/>
                <w:sz w:val="24"/>
                <w:szCs w:val="24"/>
              </w:rPr>
              <w:t>按照《河南省财政厅关于优化政府采购营商环境有关问题的通知》（豫财购[2019]4号文）的要求本项目不再收取磋商保证金</w:t>
            </w:r>
          </w:p>
        </w:tc>
      </w:tr>
      <w:tr w14:paraId="52344711">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DB1751C">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4440CA9">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是否接受联合体投标</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63F8987">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不接受</w:t>
            </w:r>
          </w:p>
        </w:tc>
      </w:tr>
      <w:tr w14:paraId="2BEB5CF0">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03DEAC3">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2986D876">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踏勘现场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EFB4B0F">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不组织</w:t>
            </w:r>
          </w:p>
        </w:tc>
      </w:tr>
      <w:tr w14:paraId="6C25BAFC">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F121D05">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19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9FE686B">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投标预备会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1D9811">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不召开</w:t>
            </w:r>
          </w:p>
        </w:tc>
      </w:tr>
      <w:tr w14:paraId="4FF2479D">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9387097">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AF23AD6">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分包</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3EFE74F">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不允许</w:t>
            </w:r>
          </w:p>
        </w:tc>
      </w:tr>
      <w:tr w14:paraId="5F9110D6">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691ED51">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3426EC4">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偏离</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A0D3053">
            <w:pPr>
              <w:widowControl w:val="0"/>
              <w:adjustRightInd w:val="0"/>
              <w:spacing w:line="400" w:lineRule="exact"/>
              <w:rPr>
                <w:rFonts w:hint="eastAsia" w:ascii="宋体" w:hAnsi="宋体" w:eastAsia="宋体" w:cs="宋体"/>
                <w:spacing w:val="6"/>
                <w:sz w:val="24"/>
                <w:szCs w:val="24"/>
                <w:lang w:val="en-US" w:eastAsia="zh-CN"/>
              </w:rPr>
            </w:pPr>
            <w:r>
              <w:rPr>
                <w:rFonts w:hint="eastAsia" w:ascii="宋体" w:hAnsi="宋体" w:cs="宋体"/>
                <w:spacing w:val="6"/>
                <w:sz w:val="24"/>
                <w:szCs w:val="24"/>
              </w:rPr>
              <w:t>不允许</w:t>
            </w:r>
            <w:r>
              <w:rPr>
                <w:rFonts w:hint="eastAsia" w:ascii="宋体" w:hAnsi="宋体" w:cs="宋体"/>
                <w:spacing w:val="6"/>
                <w:sz w:val="24"/>
                <w:szCs w:val="24"/>
                <w:lang w:val="en-US" w:eastAsia="zh-CN"/>
              </w:rPr>
              <w:t>负偏离</w:t>
            </w:r>
          </w:p>
        </w:tc>
      </w:tr>
      <w:tr w14:paraId="67DA956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22FC79C">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09AA795">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是否接受进口</w:t>
            </w:r>
          </w:p>
          <w:p w14:paraId="7AE9FB40">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产品</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6E9871B">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否</w:t>
            </w:r>
          </w:p>
        </w:tc>
      </w:tr>
      <w:tr w14:paraId="6FD44AE9">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04420EC">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23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52FF868">
            <w:pPr>
              <w:adjustRightInd w:val="0"/>
              <w:snapToGrid w:val="0"/>
              <w:spacing w:line="400" w:lineRule="exact"/>
              <w:jc w:val="center"/>
              <w:rPr>
                <w:rFonts w:hint="eastAsia" w:ascii="宋体" w:hAnsi="宋体" w:cs="宋体"/>
                <w:sz w:val="24"/>
              </w:rPr>
            </w:pPr>
            <w:r>
              <w:rPr>
                <w:rFonts w:hint="eastAsia" w:ascii="宋体" w:hAnsi="宋体" w:cs="宋体"/>
                <w:sz w:val="24"/>
              </w:rPr>
              <w:t>是否专门面向中小企业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386A55">
            <w:pPr>
              <w:adjustRightInd w:val="0"/>
              <w:snapToGrid w:val="0"/>
              <w:spacing w:line="400" w:lineRule="exact"/>
              <w:rPr>
                <w:rFonts w:hint="eastAsia" w:ascii="宋体" w:hAnsi="宋体" w:cs="宋体"/>
                <w:sz w:val="24"/>
              </w:rPr>
            </w:pPr>
            <w:r>
              <w:rPr>
                <w:rFonts w:hint="eastAsia" w:ascii="宋体" w:hAnsi="宋体" w:cs="宋体"/>
                <w:spacing w:val="6"/>
                <w:sz w:val="24"/>
                <w:szCs w:val="24"/>
              </w:rPr>
              <w:t>否</w:t>
            </w:r>
          </w:p>
        </w:tc>
      </w:tr>
      <w:tr w14:paraId="7A7730F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8B94413">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B9C3A6E">
            <w:pPr>
              <w:adjustRightInd w:val="0"/>
              <w:snapToGrid w:val="0"/>
              <w:spacing w:line="400" w:lineRule="exact"/>
              <w:jc w:val="center"/>
              <w:rPr>
                <w:rFonts w:hint="eastAsia" w:ascii="宋体" w:hAnsi="宋体" w:cs="宋体"/>
                <w:spacing w:val="-10"/>
                <w:sz w:val="24"/>
                <w:szCs w:val="24"/>
              </w:rPr>
            </w:pPr>
            <w:r>
              <w:rPr>
                <w:rFonts w:hint="eastAsia" w:ascii="宋体" w:hAnsi="宋体" w:cs="宋体"/>
                <w:sz w:val="24"/>
              </w:rPr>
              <w:t>构成磋商文件的其他材料</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DF433DC">
            <w:pPr>
              <w:adjustRightInd w:val="0"/>
              <w:snapToGrid w:val="0"/>
              <w:spacing w:line="400" w:lineRule="exact"/>
              <w:rPr>
                <w:rFonts w:hint="eastAsia" w:ascii="宋体" w:hAnsi="宋体" w:cs="宋体"/>
                <w:spacing w:val="-10"/>
                <w:sz w:val="24"/>
                <w:szCs w:val="24"/>
              </w:rPr>
            </w:pPr>
            <w:r>
              <w:rPr>
                <w:rFonts w:hint="eastAsia" w:ascii="宋体" w:hAnsi="宋体" w:cs="宋体"/>
                <w:sz w:val="24"/>
              </w:rPr>
              <w:t>对磋商文件所作的澄清（含答疑）、修改，补充构成磋商文件的组成部分</w:t>
            </w:r>
          </w:p>
        </w:tc>
      </w:tr>
      <w:tr w14:paraId="1D226D3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7F9783E">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F010EDC">
            <w:pPr>
              <w:spacing w:line="400" w:lineRule="exact"/>
              <w:jc w:val="center"/>
              <w:rPr>
                <w:rFonts w:hint="eastAsia" w:ascii="宋体" w:hAnsi="宋体" w:cs="宋体"/>
                <w:spacing w:val="-10"/>
                <w:sz w:val="24"/>
                <w:szCs w:val="24"/>
              </w:rPr>
            </w:pPr>
            <w:r>
              <w:rPr>
                <w:rFonts w:hint="eastAsia" w:ascii="宋体" w:hAnsi="宋体" w:cs="宋体"/>
                <w:sz w:val="24"/>
                <w:szCs w:val="24"/>
              </w:rPr>
              <w:t>响应人要求澄清竞争性磋商文件的截止时间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2BBC32">
            <w:pPr>
              <w:spacing w:line="400" w:lineRule="exact"/>
              <w:rPr>
                <w:rFonts w:hint="eastAsia" w:ascii="宋体" w:hAnsi="宋体" w:cs="宋体"/>
                <w:spacing w:val="-10"/>
                <w:sz w:val="24"/>
                <w:szCs w:val="24"/>
              </w:rPr>
            </w:pPr>
            <w:r>
              <w:rPr>
                <w:rFonts w:hint="eastAsia" w:ascii="宋体" w:hAnsi="宋体" w:cs="宋体"/>
                <w:sz w:val="24"/>
                <w:szCs w:val="24"/>
              </w:rPr>
              <w:t>响应文件递交截止时间5日前</w:t>
            </w:r>
          </w:p>
        </w:tc>
      </w:tr>
      <w:tr w14:paraId="145CC02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D30567C">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26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934ABFB">
            <w:pPr>
              <w:spacing w:line="400" w:lineRule="exact"/>
              <w:ind w:left="240" w:hanging="240" w:hangingChars="100"/>
              <w:jc w:val="center"/>
              <w:rPr>
                <w:rFonts w:hint="eastAsia" w:ascii="宋体" w:hAnsi="宋体" w:cs="宋体"/>
                <w:sz w:val="24"/>
                <w:szCs w:val="24"/>
              </w:rPr>
            </w:pPr>
            <w:r>
              <w:rPr>
                <w:rFonts w:hint="eastAsia" w:ascii="宋体" w:hAnsi="宋体" w:cs="宋体"/>
                <w:sz w:val="24"/>
                <w:szCs w:val="24"/>
              </w:rPr>
              <w:t>响应文件递交</w:t>
            </w:r>
          </w:p>
          <w:p w14:paraId="4E927902">
            <w:pPr>
              <w:spacing w:line="400" w:lineRule="exact"/>
              <w:ind w:left="240" w:hanging="240" w:hangingChars="100"/>
              <w:jc w:val="center"/>
              <w:rPr>
                <w:rFonts w:hint="eastAsia" w:ascii="宋体" w:hAnsi="宋体" w:cs="宋体"/>
                <w:spacing w:val="-10"/>
                <w:sz w:val="24"/>
                <w:szCs w:val="24"/>
              </w:rPr>
            </w:pPr>
            <w:r>
              <w:rPr>
                <w:rFonts w:hint="eastAsia" w:ascii="宋体" w:hAnsi="宋体" w:cs="宋体"/>
                <w:sz w:val="24"/>
                <w:szCs w:val="24"/>
              </w:rPr>
              <w:t>截止时间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70CD9A6">
            <w:pPr>
              <w:spacing w:line="400" w:lineRule="exact"/>
              <w:rPr>
                <w:rFonts w:hint="eastAsia" w:ascii="宋体" w:hAnsi="宋体" w:cs="宋体"/>
                <w:spacing w:val="-10"/>
                <w:sz w:val="24"/>
                <w:szCs w:val="24"/>
              </w:rPr>
            </w:pPr>
            <w:r>
              <w:rPr>
                <w:rFonts w:hint="eastAsia" w:ascii="宋体" w:hAnsi="宋体" w:cs="宋体"/>
                <w:spacing w:val="6"/>
                <w:sz w:val="24"/>
                <w:szCs w:val="24"/>
              </w:rPr>
              <w:t>具体详见公告部分</w:t>
            </w:r>
          </w:p>
        </w:tc>
      </w:tr>
      <w:tr w14:paraId="511D35B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057A124">
            <w:pPr>
              <w:widowControl w:val="0"/>
              <w:adjustRightInd w:val="0"/>
              <w:spacing w:line="400" w:lineRule="exact"/>
              <w:jc w:val="center"/>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27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C3C6C3B">
            <w:pPr>
              <w:spacing w:line="400" w:lineRule="exact"/>
              <w:jc w:val="center"/>
              <w:rPr>
                <w:rFonts w:hint="eastAsia" w:ascii="宋体" w:hAnsi="宋体" w:cs="宋体"/>
                <w:spacing w:val="-10"/>
                <w:sz w:val="24"/>
                <w:szCs w:val="24"/>
              </w:rPr>
            </w:pPr>
            <w:r>
              <w:rPr>
                <w:rFonts w:hint="eastAsia" w:ascii="宋体" w:hAnsi="宋体" w:cs="宋体"/>
                <w:sz w:val="24"/>
                <w:szCs w:val="24"/>
              </w:rPr>
              <w:t>响应人确认收到竞争性磋商文件澄清的时间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E9C679F">
            <w:pPr>
              <w:spacing w:line="400" w:lineRule="exact"/>
              <w:rPr>
                <w:rFonts w:hint="eastAsia" w:ascii="宋体" w:hAnsi="宋体" w:cs="宋体"/>
                <w:spacing w:val="-10"/>
                <w:sz w:val="24"/>
                <w:szCs w:val="24"/>
              </w:rPr>
            </w:pPr>
            <w:r>
              <w:rPr>
                <w:rFonts w:hint="eastAsia" w:ascii="宋体" w:hAnsi="宋体" w:cs="宋体"/>
                <w:sz w:val="24"/>
                <w:szCs w:val="24"/>
              </w:rPr>
              <w:t>收到相应澄清文件后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3DAE70B5">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2C42DB1">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6A33CC4">
            <w:pPr>
              <w:spacing w:line="400" w:lineRule="exact"/>
              <w:jc w:val="center"/>
              <w:rPr>
                <w:rFonts w:hint="eastAsia" w:ascii="宋体" w:hAnsi="宋体" w:cs="宋体"/>
                <w:spacing w:val="-10"/>
                <w:sz w:val="24"/>
                <w:szCs w:val="24"/>
              </w:rPr>
            </w:pPr>
            <w:r>
              <w:rPr>
                <w:rFonts w:hint="eastAsia" w:ascii="宋体" w:hAnsi="宋体" w:cs="宋体"/>
                <w:sz w:val="24"/>
                <w:szCs w:val="24"/>
              </w:rPr>
              <w:t>响应人确认收到竞争性磋商文件修改的时间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6171CB2">
            <w:pPr>
              <w:spacing w:line="400" w:lineRule="exact"/>
              <w:rPr>
                <w:rFonts w:hint="eastAsia" w:ascii="宋体" w:hAnsi="宋体" w:cs="宋体"/>
                <w:spacing w:val="-10"/>
                <w:sz w:val="24"/>
                <w:szCs w:val="24"/>
              </w:rPr>
            </w:pPr>
            <w:r>
              <w:rPr>
                <w:rFonts w:hint="eastAsia" w:ascii="宋体" w:hAnsi="宋体" w:cs="宋体"/>
                <w:sz w:val="24"/>
                <w:szCs w:val="24"/>
              </w:rPr>
              <w:t>收到相应修改文件后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09AAAC8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F706592">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600F204">
            <w:pPr>
              <w:widowControl w:val="0"/>
              <w:adjustRightInd w:val="0"/>
              <w:spacing w:line="400" w:lineRule="exact"/>
              <w:jc w:val="center"/>
              <w:rPr>
                <w:rFonts w:hint="eastAsia" w:ascii="宋体" w:hAnsi="宋体" w:cs="宋体"/>
                <w:spacing w:val="-10"/>
                <w:sz w:val="24"/>
                <w:szCs w:val="24"/>
              </w:rPr>
            </w:pPr>
            <w:r>
              <w:rPr>
                <w:rFonts w:hint="eastAsia" w:ascii="宋体" w:hAnsi="宋体" w:cs="宋体"/>
                <w:spacing w:val="-10"/>
                <w:sz w:val="24"/>
                <w:szCs w:val="24"/>
              </w:rPr>
              <w:t>响应文件是否退还</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396DC83">
            <w:pPr>
              <w:widowControl w:val="0"/>
              <w:adjustRightInd w:val="0"/>
              <w:spacing w:line="400" w:lineRule="exact"/>
              <w:jc w:val="both"/>
              <w:rPr>
                <w:rFonts w:hint="eastAsia" w:ascii="宋体" w:hAnsi="宋体" w:cs="宋体"/>
                <w:spacing w:val="-10"/>
                <w:sz w:val="24"/>
                <w:szCs w:val="24"/>
              </w:rPr>
            </w:pPr>
            <w:r>
              <w:rPr>
                <w:rFonts w:hint="eastAsia" w:ascii="宋体" w:hAnsi="宋体" w:cs="宋体"/>
                <w:spacing w:val="-10"/>
                <w:sz w:val="24"/>
                <w:szCs w:val="24"/>
              </w:rPr>
              <w:t>否</w:t>
            </w:r>
          </w:p>
        </w:tc>
      </w:tr>
      <w:tr w14:paraId="73C75BD4">
        <w:tblPrEx>
          <w:tblCellMar>
            <w:top w:w="0" w:type="dxa"/>
            <w:left w:w="108" w:type="dxa"/>
            <w:bottom w:w="0" w:type="dxa"/>
            <w:right w:w="108" w:type="dxa"/>
          </w:tblCellMar>
        </w:tblPrEx>
        <w:trPr>
          <w:trHeight w:val="87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35168B2">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30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17A386F">
            <w:pPr>
              <w:widowControl w:val="0"/>
              <w:spacing w:line="400" w:lineRule="exact"/>
              <w:jc w:val="center"/>
              <w:rPr>
                <w:rFonts w:ascii="宋体" w:hAnsi="宋体" w:cs="宋体"/>
                <w:spacing w:val="6"/>
                <w:sz w:val="24"/>
                <w:szCs w:val="24"/>
              </w:rPr>
            </w:pPr>
            <w:r>
              <w:rPr>
                <w:rFonts w:hint="eastAsia" w:ascii="宋体" w:hAnsi="宋体" w:cs="宋体"/>
                <w:spacing w:val="6"/>
                <w:sz w:val="24"/>
                <w:szCs w:val="24"/>
              </w:rPr>
              <w:t>是否允许递交备选磋商方案</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FEA976B">
            <w:pPr>
              <w:spacing w:line="400" w:lineRule="exact"/>
              <w:jc w:val="both"/>
              <w:rPr>
                <w:rFonts w:ascii="宋体" w:hAnsi="宋体" w:cs="宋体"/>
                <w:spacing w:val="6"/>
                <w:sz w:val="24"/>
                <w:szCs w:val="24"/>
              </w:rPr>
            </w:pPr>
            <w:r>
              <w:rPr>
                <w:rFonts w:hint="eastAsia" w:ascii="宋体" w:hAnsi="宋体" w:cs="宋体"/>
                <w:spacing w:val="6"/>
                <w:sz w:val="24"/>
                <w:szCs w:val="24"/>
              </w:rPr>
              <w:t>不允许</w:t>
            </w:r>
          </w:p>
        </w:tc>
      </w:tr>
      <w:tr w14:paraId="3702864E">
        <w:tblPrEx>
          <w:tblCellMar>
            <w:top w:w="0" w:type="dxa"/>
            <w:left w:w="108" w:type="dxa"/>
            <w:bottom w:w="0" w:type="dxa"/>
            <w:right w:w="108" w:type="dxa"/>
          </w:tblCellMar>
        </w:tblPrEx>
        <w:trPr>
          <w:trHeight w:val="102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BDC71E1">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C356498">
            <w:pPr>
              <w:spacing w:line="400" w:lineRule="exact"/>
              <w:jc w:val="center"/>
              <w:rPr>
                <w:rFonts w:hint="eastAsia" w:ascii="宋体" w:hAnsi="宋体" w:cs="宋体"/>
                <w:sz w:val="24"/>
                <w:szCs w:val="24"/>
              </w:rPr>
            </w:pPr>
            <w:r>
              <w:rPr>
                <w:rFonts w:hint="eastAsia" w:ascii="宋体" w:hAnsi="宋体" w:cs="宋体"/>
                <w:sz w:val="24"/>
                <w:szCs w:val="24"/>
              </w:rPr>
              <w:t>签字和（或）盖章要求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F6ACD14">
            <w:pPr>
              <w:spacing w:line="400" w:lineRule="exact"/>
              <w:rPr>
                <w:rFonts w:ascii="宋体" w:hAnsi="宋体" w:cs="宋体"/>
                <w:sz w:val="24"/>
                <w:szCs w:val="24"/>
              </w:rPr>
            </w:pPr>
            <w:r>
              <w:rPr>
                <w:rFonts w:hint="eastAsia" w:ascii="宋体" w:hAnsi="宋体" w:cs="宋体"/>
                <w:sz w:val="24"/>
                <w:szCs w:val="24"/>
              </w:rPr>
              <w:t>电子化响应文件的签章：</w:t>
            </w:r>
          </w:p>
          <w:p w14:paraId="03A3B3D8">
            <w:pPr>
              <w:spacing w:line="400" w:lineRule="exact"/>
              <w:rPr>
                <w:rFonts w:ascii="宋体" w:hAnsi="宋体" w:cs="宋体"/>
                <w:sz w:val="24"/>
                <w:szCs w:val="24"/>
              </w:rPr>
            </w:pPr>
            <w:r>
              <w:rPr>
                <w:rFonts w:hint="eastAsia" w:ascii="宋体" w:hAnsi="宋体" w:cs="宋体"/>
                <w:sz w:val="24"/>
                <w:szCs w:val="24"/>
              </w:rPr>
              <w:t>1、响应人在生成电子化响应文件后，应对电子化响应文件进行签章，未对电子化响应文件进行签章的视为无效文件。</w:t>
            </w:r>
          </w:p>
          <w:p w14:paraId="12DBEAEC">
            <w:pPr>
              <w:spacing w:line="400" w:lineRule="exact"/>
              <w:rPr>
                <w:rFonts w:ascii="宋体" w:hAnsi="宋体" w:cs="宋体"/>
                <w:sz w:val="24"/>
                <w:szCs w:val="24"/>
              </w:rPr>
            </w:pPr>
            <w:r>
              <w:rPr>
                <w:rFonts w:hint="eastAsia" w:ascii="宋体" w:hAnsi="宋体" w:cs="宋体"/>
                <w:sz w:val="24"/>
                <w:szCs w:val="24"/>
              </w:rPr>
              <w:t>2、竞争性磋商文件中要求法定代表人或</w:t>
            </w:r>
            <w:r>
              <w:rPr>
                <w:rFonts w:hint="eastAsia" w:ascii="宋体" w:hAnsi="宋体" w:cs="宋体"/>
                <w:sz w:val="24"/>
                <w:szCs w:val="24"/>
                <w:lang w:val="en-US" w:eastAsia="zh-CN"/>
              </w:rPr>
              <w:t>其委托代理人签字或签</w:t>
            </w:r>
            <w:r>
              <w:rPr>
                <w:rFonts w:hint="eastAsia" w:ascii="宋体" w:hAnsi="宋体" w:cs="宋体"/>
                <w:sz w:val="24"/>
                <w:szCs w:val="24"/>
              </w:rPr>
              <w:t>章的，响应人在进行电子化响应文件签章时，以签盖法定代表人签章为准。</w:t>
            </w:r>
          </w:p>
          <w:p w14:paraId="6FC85523">
            <w:pPr>
              <w:wordWrap w:val="0"/>
              <w:spacing w:line="400" w:lineRule="exact"/>
              <w:rPr>
                <w:rFonts w:hint="eastAsia" w:ascii="宋体" w:hAnsi="宋体" w:cs="宋体"/>
                <w:sz w:val="24"/>
              </w:rPr>
            </w:pPr>
            <w:r>
              <w:rPr>
                <w:rFonts w:hint="eastAsia" w:ascii="宋体" w:hAnsi="宋体" w:cs="宋体"/>
                <w:sz w:val="24"/>
                <w:szCs w:val="24"/>
              </w:rPr>
              <w:t>3、电子化响应文件工具请点击</w:t>
            </w:r>
            <w:r>
              <w:rPr>
                <w:rFonts w:ascii="宋体" w:hAnsi="宋体" w:cs="宋体"/>
                <w:sz w:val="24"/>
                <w:szCs w:val="24"/>
              </w:rPr>
              <w:t>https://download.bqpoint.com/download/downloadlist.html?SoftTypeCode=06</w:t>
            </w:r>
            <w:r>
              <w:rPr>
                <w:rFonts w:hint="eastAsia" w:ascii="宋体" w:hAnsi="宋体" w:cs="宋体"/>
                <w:sz w:val="24"/>
                <w:szCs w:val="24"/>
              </w:rPr>
              <w:t>进行下载。</w:t>
            </w:r>
          </w:p>
        </w:tc>
      </w:tr>
      <w:tr w14:paraId="5B8C30FE">
        <w:tblPrEx>
          <w:tblCellMar>
            <w:top w:w="0" w:type="dxa"/>
            <w:left w:w="108" w:type="dxa"/>
            <w:bottom w:w="0" w:type="dxa"/>
            <w:right w:w="108" w:type="dxa"/>
          </w:tblCellMar>
        </w:tblPrEx>
        <w:trPr>
          <w:trHeight w:val="83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6AA7A40">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9E5C37B">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近年完成的类似项目的业绩年份要求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ABCD57">
            <w:pPr>
              <w:widowControl w:val="0"/>
              <w:adjustRightInd w:val="0"/>
              <w:spacing w:line="400" w:lineRule="exact"/>
              <w:jc w:val="left"/>
              <w:rPr>
                <w:rFonts w:hint="eastAsia" w:ascii="宋体" w:hAnsi="宋体" w:cs="宋体"/>
                <w:spacing w:val="6"/>
                <w:sz w:val="24"/>
                <w:szCs w:val="24"/>
              </w:rPr>
            </w:pPr>
            <w:r>
              <w:rPr>
                <w:rFonts w:hint="eastAsia" w:ascii="宋体" w:hAnsi="宋体" w:cs="宋体"/>
                <w:spacing w:val="6"/>
                <w:sz w:val="24"/>
                <w:szCs w:val="24"/>
                <w:lang w:eastAsia="zh-CN"/>
              </w:rPr>
              <w:t>近</w:t>
            </w:r>
            <w:r>
              <w:rPr>
                <w:rFonts w:hint="eastAsia" w:ascii="宋体" w:hAnsi="宋体" w:cs="宋体"/>
                <w:spacing w:val="6"/>
                <w:sz w:val="24"/>
                <w:szCs w:val="24"/>
                <w:lang w:val="en-US" w:eastAsia="zh-CN"/>
              </w:rPr>
              <w:t>三</w:t>
            </w:r>
            <w:r>
              <w:rPr>
                <w:rFonts w:hint="eastAsia" w:ascii="宋体" w:hAnsi="宋体" w:cs="宋体"/>
                <w:spacing w:val="6"/>
                <w:sz w:val="24"/>
                <w:szCs w:val="24"/>
                <w:lang w:eastAsia="zh-CN"/>
              </w:rPr>
              <w:t>年（指</w:t>
            </w:r>
            <w:r>
              <w:rPr>
                <w:rFonts w:hint="eastAsia" w:ascii="宋体" w:hAnsi="宋体" w:cs="宋体"/>
                <w:spacing w:val="6"/>
                <w:sz w:val="24"/>
                <w:szCs w:val="24"/>
              </w:rPr>
              <w:t>20</w:t>
            </w:r>
            <w:r>
              <w:rPr>
                <w:rFonts w:hint="eastAsia" w:ascii="宋体" w:hAnsi="宋体" w:cs="宋体"/>
                <w:spacing w:val="6"/>
                <w:sz w:val="24"/>
                <w:szCs w:val="24"/>
                <w:lang w:val="en-US" w:eastAsia="zh-CN"/>
              </w:rPr>
              <w:t>23</w:t>
            </w:r>
            <w:r>
              <w:rPr>
                <w:rFonts w:hint="eastAsia" w:ascii="宋体" w:hAnsi="宋体" w:cs="宋体"/>
                <w:spacing w:val="6"/>
                <w:sz w:val="24"/>
                <w:szCs w:val="24"/>
              </w:rPr>
              <w:t>年01月01日以来完成类似项目</w:t>
            </w:r>
            <w:r>
              <w:rPr>
                <w:rFonts w:hint="eastAsia" w:ascii="宋体" w:hAnsi="宋体" w:cs="宋体"/>
                <w:spacing w:val="6"/>
                <w:sz w:val="24"/>
                <w:szCs w:val="24"/>
                <w:lang w:eastAsia="zh-CN"/>
              </w:rPr>
              <w:t>）</w:t>
            </w:r>
          </w:p>
        </w:tc>
      </w:tr>
      <w:tr w14:paraId="3ABD82AA">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5650751">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9243CA9">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竞争性磋商响应文件上传</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F1DC6AA">
            <w:pPr>
              <w:widowControl w:val="0"/>
              <w:spacing w:line="400" w:lineRule="exact"/>
              <w:jc w:val="both"/>
              <w:rPr>
                <w:rFonts w:ascii="宋体" w:hAnsi="宋体" w:cs="宋体"/>
                <w:spacing w:val="6"/>
                <w:sz w:val="24"/>
                <w:szCs w:val="24"/>
              </w:rPr>
            </w:pPr>
            <w:r>
              <w:rPr>
                <w:rFonts w:hint="eastAsia" w:ascii="宋体" w:hAnsi="宋体" w:cs="宋体"/>
                <w:spacing w:val="6"/>
                <w:sz w:val="24"/>
                <w:szCs w:val="24"/>
              </w:rPr>
              <w:t>用CA在电子平台上传电子响应文件</w:t>
            </w:r>
          </w:p>
        </w:tc>
      </w:tr>
      <w:tr w14:paraId="5B9413DE">
        <w:tblPrEx>
          <w:tblCellMar>
            <w:top w:w="0" w:type="dxa"/>
            <w:left w:w="108" w:type="dxa"/>
            <w:bottom w:w="0" w:type="dxa"/>
            <w:right w:w="108" w:type="dxa"/>
          </w:tblCellMar>
        </w:tblPrEx>
        <w:trPr>
          <w:trHeight w:val="84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C9F15C7">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5A718D7">
            <w:pPr>
              <w:widowControl w:val="0"/>
              <w:spacing w:line="400" w:lineRule="exact"/>
              <w:jc w:val="center"/>
              <w:rPr>
                <w:rFonts w:ascii="宋体" w:hAnsi="宋体" w:cs="宋体"/>
                <w:spacing w:val="6"/>
                <w:sz w:val="24"/>
                <w:szCs w:val="24"/>
              </w:rPr>
            </w:pPr>
            <w:r>
              <w:rPr>
                <w:rFonts w:ascii="宋体" w:hAnsi="宋体" w:cs="宋体"/>
                <w:spacing w:val="6"/>
                <w:sz w:val="24"/>
                <w:szCs w:val="24"/>
              </w:rPr>
              <w:t>磋商小组的组建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E6F9006">
            <w:pPr>
              <w:spacing w:line="400" w:lineRule="exact"/>
              <w:jc w:val="both"/>
              <w:rPr>
                <w:rFonts w:ascii="宋体" w:hAnsi="宋体" w:cs="宋体"/>
                <w:spacing w:val="6"/>
                <w:sz w:val="24"/>
                <w:szCs w:val="24"/>
              </w:rPr>
            </w:pPr>
            <w:r>
              <w:rPr>
                <w:rFonts w:ascii="宋体" w:hAnsi="宋体" w:cs="宋体"/>
                <w:spacing w:val="6"/>
                <w:sz w:val="24"/>
                <w:szCs w:val="24"/>
              </w:rPr>
              <w:t>磋商小组成员为3人，</w:t>
            </w:r>
            <w:r>
              <w:rPr>
                <w:rFonts w:hint="eastAsia" w:ascii="宋体" w:hAnsi="宋体" w:cs="宋体"/>
                <w:spacing w:val="6"/>
                <w:sz w:val="24"/>
                <w:szCs w:val="24"/>
              </w:rPr>
              <w:t>由</w:t>
            </w:r>
            <w:r>
              <w:rPr>
                <w:rFonts w:ascii="宋体" w:hAnsi="宋体" w:cs="宋体"/>
                <w:spacing w:val="6"/>
                <w:sz w:val="24"/>
                <w:szCs w:val="24"/>
              </w:rPr>
              <w:t>采购人代表1人，其余</w:t>
            </w:r>
            <w:r>
              <w:rPr>
                <w:rFonts w:hint="eastAsia" w:ascii="宋体" w:hAnsi="宋体" w:cs="宋体"/>
                <w:spacing w:val="6"/>
                <w:sz w:val="24"/>
                <w:szCs w:val="24"/>
              </w:rPr>
              <w:t>技术、经济类</w:t>
            </w:r>
            <w:r>
              <w:rPr>
                <w:rFonts w:ascii="宋体" w:hAnsi="宋体" w:cs="宋体"/>
                <w:spacing w:val="6"/>
                <w:sz w:val="24"/>
                <w:szCs w:val="24"/>
              </w:rPr>
              <w:t>专家2人</w:t>
            </w:r>
            <w:r>
              <w:rPr>
                <w:rFonts w:hint="eastAsia" w:ascii="宋体" w:hAnsi="宋体" w:cs="宋体"/>
                <w:spacing w:val="6"/>
                <w:sz w:val="24"/>
                <w:szCs w:val="24"/>
              </w:rPr>
              <w:t>组成；开标后从相关专家库中随机抽取。</w:t>
            </w:r>
          </w:p>
        </w:tc>
      </w:tr>
      <w:tr w14:paraId="24D37C6D">
        <w:tblPrEx>
          <w:tblCellMar>
            <w:top w:w="0" w:type="dxa"/>
            <w:left w:w="108" w:type="dxa"/>
            <w:bottom w:w="0" w:type="dxa"/>
            <w:right w:w="108" w:type="dxa"/>
          </w:tblCellMar>
        </w:tblPrEx>
        <w:trPr>
          <w:trHeight w:val="199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404B430">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9CFDE91">
            <w:pPr>
              <w:spacing w:line="400" w:lineRule="exact"/>
              <w:jc w:val="center"/>
              <w:rPr>
                <w:rFonts w:ascii="宋体" w:hAnsi="宋体" w:cs="宋体"/>
                <w:spacing w:val="6"/>
                <w:sz w:val="24"/>
                <w:szCs w:val="24"/>
              </w:rPr>
            </w:pPr>
            <w:r>
              <w:rPr>
                <w:rFonts w:hint="eastAsia" w:ascii="宋体" w:hAnsi="宋体" w:cs="宋体"/>
                <w:spacing w:val="6"/>
                <w:sz w:val="24"/>
                <w:szCs w:val="24"/>
              </w:rPr>
              <w:t>评标标准</w:t>
            </w:r>
            <w:r>
              <w:rPr>
                <w:rFonts w:ascii="宋体" w:hAnsi="宋体" w:cs="宋体"/>
                <w:spacing w:val="6"/>
                <w:sz w:val="24"/>
                <w:szCs w:val="24"/>
              </w:rPr>
              <w:t>及方法</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55330CF">
            <w:pPr>
              <w:spacing w:line="400" w:lineRule="exact"/>
              <w:jc w:val="both"/>
              <w:rPr>
                <w:rFonts w:ascii="宋体" w:hAnsi="宋体" w:cs="宋体"/>
                <w:spacing w:val="6"/>
                <w:sz w:val="24"/>
                <w:szCs w:val="24"/>
              </w:rPr>
            </w:pPr>
            <w:r>
              <w:rPr>
                <w:rFonts w:ascii="宋体" w:hAnsi="宋体" w:cs="宋体"/>
                <w:spacing w:val="6"/>
                <w:sz w:val="24"/>
                <w:szCs w:val="24"/>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r>
              <w:rPr>
                <w:rFonts w:hint="eastAsia" w:ascii="宋体" w:hAnsi="宋体" w:cs="宋体"/>
                <w:spacing w:val="6"/>
                <w:sz w:val="24"/>
                <w:szCs w:val="24"/>
              </w:rPr>
              <w:t>（且推荐</w:t>
            </w:r>
            <w:r>
              <w:rPr>
                <w:rFonts w:hint="eastAsia" w:ascii="宋体" w:hAnsi="宋体" w:cs="宋体"/>
                <w:spacing w:val="6"/>
                <w:sz w:val="24"/>
                <w:szCs w:val="24"/>
                <w:lang w:eastAsia="zh-CN"/>
              </w:rPr>
              <w:t>成交</w:t>
            </w:r>
            <w:r>
              <w:rPr>
                <w:rFonts w:hint="eastAsia" w:ascii="宋体" w:hAnsi="宋体" w:cs="宋体"/>
                <w:spacing w:val="6"/>
                <w:sz w:val="24"/>
                <w:szCs w:val="24"/>
              </w:rPr>
              <w:t>候选人为三名）</w:t>
            </w:r>
          </w:p>
        </w:tc>
      </w:tr>
      <w:tr w14:paraId="4DCABAEB">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D71A9D7">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highlight w:val="none"/>
                <w:lang w:val="en-US" w:eastAsia="zh-CN"/>
              </w:rPr>
              <w:t>36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47B676F">
            <w:pPr>
              <w:spacing w:line="400" w:lineRule="exact"/>
              <w:jc w:val="center"/>
              <w:rPr>
                <w:rFonts w:ascii="宋体" w:hAnsi="宋体" w:cs="宋体"/>
                <w:spacing w:val="6"/>
                <w:sz w:val="24"/>
                <w:szCs w:val="24"/>
              </w:rPr>
            </w:pPr>
            <w:r>
              <w:rPr>
                <w:rFonts w:hint="eastAsia" w:ascii="宋体" w:hAnsi="宋体" w:cs="宋体"/>
                <w:spacing w:val="6"/>
                <w:sz w:val="24"/>
                <w:szCs w:val="24"/>
              </w:rPr>
              <w:t>是否授权磋商小组确定</w:t>
            </w:r>
            <w:r>
              <w:rPr>
                <w:rFonts w:hint="eastAsia" w:ascii="宋体" w:hAnsi="宋体" w:cs="宋体"/>
                <w:spacing w:val="6"/>
                <w:sz w:val="24"/>
                <w:szCs w:val="24"/>
                <w:lang w:eastAsia="zh-CN"/>
              </w:rPr>
              <w:t>成交</w:t>
            </w:r>
            <w:r>
              <w:rPr>
                <w:rFonts w:hint="eastAsia" w:ascii="宋体" w:hAnsi="宋体" w:cs="宋体"/>
                <w:spacing w:val="6"/>
                <w:sz w:val="24"/>
                <w:szCs w:val="24"/>
              </w:rPr>
              <w:t>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2416CE4">
            <w:pPr>
              <w:spacing w:line="400" w:lineRule="exact"/>
              <w:jc w:val="both"/>
              <w:rPr>
                <w:rFonts w:ascii="宋体" w:hAnsi="宋体" w:cs="宋体"/>
                <w:spacing w:val="6"/>
                <w:sz w:val="24"/>
                <w:szCs w:val="24"/>
              </w:rPr>
            </w:pPr>
            <w:r>
              <w:rPr>
                <w:rFonts w:hint="eastAsia" w:ascii="宋体" w:hAnsi="宋体" w:cs="宋体"/>
                <w:spacing w:val="6"/>
                <w:sz w:val="24"/>
                <w:szCs w:val="24"/>
              </w:rPr>
              <w:t>否，磋商小组推选三名</w:t>
            </w:r>
            <w:r>
              <w:rPr>
                <w:rFonts w:hint="eastAsia" w:ascii="宋体" w:hAnsi="宋体" w:cs="宋体"/>
                <w:spacing w:val="6"/>
                <w:sz w:val="24"/>
                <w:szCs w:val="24"/>
                <w:lang w:eastAsia="zh-CN"/>
              </w:rPr>
              <w:t>成交</w:t>
            </w:r>
            <w:r>
              <w:rPr>
                <w:rFonts w:hint="eastAsia" w:ascii="宋体" w:hAnsi="宋体" w:cs="宋体"/>
                <w:spacing w:val="6"/>
                <w:sz w:val="24"/>
                <w:szCs w:val="24"/>
              </w:rPr>
              <w:t>候选人</w:t>
            </w:r>
          </w:p>
        </w:tc>
      </w:tr>
      <w:tr w14:paraId="5585C9EA">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F983D6C">
            <w:pPr>
              <w:widowControl w:val="0"/>
              <w:adjustRightInd w:val="0"/>
              <w:spacing w:line="400" w:lineRule="exact"/>
              <w:jc w:val="center"/>
              <w:rPr>
                <w:rFonts w:hint="eastAsia" w:ascii="宋体" w:hAnsi="宋体" w:eastAsia="宋体" w:cs="宋体"/>
                <w:spacing w:val="6"/>
                <w:kern w:val="2"/>
                <w:sz w:val="24"/>
                <w:szCs w:val="24"/>
                <w:highlight w:val="none"/>
                <w:lang w:val="en-US" w:eastAsia="zh-CN" w:bidi="ar-SA"/>
              </w:rPr>
            </w:pPr>
            <w:r>
              <w:rPr>
                <w:rFonts w:hint="eastAsia" w:ascii="宋体" w:hAnsi="宋体" w:eastAsia="宋体" w:cs="宋体"/>
                <w:spacing w:val="6"/>
                <w:sz w:val="24"/>
                <w:szCs w:val="24"/>
                <w:highlight w:val="none"/>
                <w:lang w:val="en-US" w:eastAsia="zh-CN"/>
              </w:rPr>
              <w:t>37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E86C264">
            <w:pPr>
              <w:spacing w:line="400" w:lineRule="exact"/>
              <w:jc w:val="center"/>
              <w:rPr>
                <w:rFonts w:hint="eastAsia" w:ascii="宋体" w:hAnsi="宋体" w:eastAsia="宋体" w:cs="宋体"/>
                <w:spacing w:val="6"/>
                <w:sz w:val="24"/>
                <w:szCs w:val="24"/>
                <w:lang w:val="en-US" w:eastAsia="zh-CN" w:bidi="ar-SA"/>
              </w:rPr>
            </w:pPr>
            <w:r>
              <w:rPr>
                <w:rFonts w:hint="eastAsia" w:ascii="宋体" w:hAnsi="宋体" w:cs="宋体"/>
                <w:spacing w:val="6"/>
                <w:sz w:val="24"/>
                <w:szCs w:val="24"/>
              </w:rPr>
              <w:t>履约保证金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CC23EE5">
            <w:pPr>
              <w:widowControl w:val="0"/>
              <w:spacing w:line="400" w:lineRule="exact"/>
              <w:jc w:val="both"/>
              <w:rPr>
                <w:rFonts w:hint="eastAsia" w:ascii="宋体" w:hAnsi="宋体" w:eastAsia="宋体" w:cs="宋体"/>
                <w:sz w:val="24"/>
                <w:szCs w:val="24"/>
                <w:lang w:val="en-US" w:eastAsia="zh-CN" w:bidi="ar-SA"/>
              </w:rPr>
            </w:pPr>
            <w:r>
              <w:rPr>
                <w:rFonts w:hint="eastAsia" w:ascii="宋体" w:hAnsi="宋体" w:cs="宋体"/>
                <w:sz w:val="24"/>
                <w:szCs w:val="24"/>
              </w:rPr>
              <w:t>不收取</w:t>
            </w:r>
          </w:p>
        </w:tc>
      </w:tr>
      <w:tr w14:paraId="65A35B2D">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7B79330">
            <w:pPr>
              <w:widowControl w:val="0"/>
              <w:adjustRightInd w:val="0"/>
              <w:spacing w:line="400" w:lineRule="exact"/>
              <w:jc w:val="center"/>
              <w:rPr>
                <w:rFonts w:hint="default" w:ascii="宋体" w:hAnsi="宋体" w:eastAsia="宋体" w:cs="宋体"/>
                <w:spacing w:val="6"/>
                <w:sz w:val="24"/>
                <w:szCs w:val="24"/>
                <w:highlight w:val="none"/>
                <w:lang w:val="en-US" w:eastAsia="zh-CN"/>
              </w:rPr>
            </w:pPr>
            <w:r>
              <w:rPr>
                <w:rFonts w:hint="eastAsia" w:ascii="宋体" w:hAnsi="宋体" w:eastAsia="宋体" w:cs="宋体"/>
                <w:spacing w:val="6"/>
                <w:sz w:val="24"/>
                <w:szCs w:val="24"/>
                <w:lang w:val="en-US" w:eastAsia="zh-CN"/>
              </w:rPr>
              <w:t>38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FDFD1C3">
            <w:pPr>
              <w:widowControl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付款方式</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C744DFA">
            <w:pPr>
              <w:widowControl w:val="0"/>
              <w:spacing w:line="400" w:lineRule="exact"/>
              <w:jc w:val="both"/>
              <w:rPr>
                <w:rFonts w:hint="eastAsia" w:ascii="宋体" w:hAnsi="宋体" w:eastAsia="宋体" w:cs="宋体"/>
                <w:color w:val="000000"/>
                <w:sz w:val="24"/>
                <w:szCs w:val="24"/>
                <w:highlight w:val="none"/>
                <w:lang w:val="en-US" w:eastAsia="zh-CN" w:bidi="ar-SA"/>
              </w:rPr>
            </w:pPr>
            <w:r>
              <w:rPr>
                <w:rFonts w:hint="eastAsia" w:ascii="宋体" w:hAnsi="宋体" w:cs="宋体"/>
                <w:sz w:val="24"/>
              </w:rPr>
              <w:t>项目竣工验收合格后，依据超长期特别国债资金下达及国库拨付进度，按财政结算程序支</w:t>
            </w:r>
            <w:r>
              <w:rPr>
                <w:rFonts w:hint="eastAsia" w:ascii="宋体" w:hAnsi="宋体" w:cs="宋体"/>
                <w:sz w:val="24"/>
                <w:szCs w:val="24"/>
              </w:rPr>
              <w:t>付。</w:t>
            </w:r>
            <w:r>
              <w:rPr>
                <w:rFonts w:hint="eastAsia" w:ascii="宋体" w:hAnsi="宋体" w:cs="宋体"/>
                <w:sz w:val="24"/>
                <w:szCs w:val="24"/>
                <w:lang w:val="en-US" w:eastAsia="zh-CN"/>
              </w:rPr>
              <w:t>（最终以实际签订合同为准）</w:t>
            </w:r>
          </w:p>
        </w:tc>
      </w:tr>
      <w:tr w14:paraId="76754675">
        <w:tblPrEx>
          <w:tblCellMar>
            <w:top w:w="0" w:type="dxa"/>
            <w:left w:w="108" w:type="dxa"/>
            <w:bottom w:w="0" w:type="dxa"/>
            <w:right w:w="108" w:type="dxa"/>
          </w:tblCellMar>
        </w:tblPrEx>
        <w:trPr>
          <w:trHeight w:val="2124"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1CC066F">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3</w:t>
            </w:r>
            <w:r>
              <w:rPr>
                <w:rFonts w:hint="eastAsia" w:ascii="宋体" w:hAnsi="宋体" w:cs="宋体"/>
                <w:spacing w:val="6"/>
                <w:sz w:val="24"/>
                <w:szCs w:val="24"/>
                <w:lang w:val="en-US" w:eastAsia="zh-CN"/>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5DC2FE0">
            <w:pPr>
              <w:spacing w:line="400" w:lineRule="exact"/>
              <w:jc w:val="center"/>
              <w:rPr>
                <w:rFonts w:ascii="宋体" w:hAnsi="宋体" w:cs="宋体"/>
                <w:spacing w:val="6"/>
                <w:sz w:val="24"/>
                <w:szCs w:val="24"/>
              </w:rPr>
            </w:pPr>
            <w:r>
              <w:rPr>
                <w:rFonts w:hint="eastAsia" w:ascii="宋体" w:hAnsi="宋体" w:cs="宋体"/>
                <w:spacing w:val="6"/>
                <w:sz w:val="24"/>
                <w:szCs w:val="24"/>
              </w:rPr>
              <w:t>其他事项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BB323D3">
            <w:pPr>
              <w:widowControl w:val="0"/>
              <w:spacing w:line="400" w:lineRule="exact"/>
              <w:jc w:val="both"/>
              <w:rPr>
                <w:rFonts w:hint="eastAsia" w:ascii="宋体" w:hAnsi="宋体" w:eastAsia="宋体" w:cs="宋体"/>
                <w:sz w:val="24"/>
                <w:szCs w:val="24"/>
                <w:lang w:eastAsia="zh-CN"/>
              </w:rPr>
            </w:pPr>
            <w:r>
              <w:rPr>
                <w:rFonts w:hint="eastAsia" w:ascii="宋体" w:hAnsi="宋体" w:cs="宋体"/>
                <w:sz w:val="24"/>
                <w:szCs w:val="24"/>
              </w:rPr>
              <w:t>1.电子化投标文件应在投标截止时间前成功上传至三门峡市公共资源电子化交易系统。至投标截止时间止，仍未上传成功的电子化</w:t>
            </w:r>
            <w:r>
              <w:rPr>
                <w:rFonts w:hint="eastAsia" w:ascii="宋体" w:hAnsi="宋体" w:cs="宋体"/>
                <w:sz w:val="24"/>
                <w:szCs w:val="24"/>
                <w:lang w:val="en-US" w:eastAsia="zh-CN"/>
              </w:rPr>
              <w:t>响应</w:t>
            </w:r>
            <w:r>
              <w:rPr>
                <w:rFonts w:hint="eastAsia" w:ascii="宋体" w:hAnsi="宋体" w:cs="宋体"/>
                <w:sz w:val="24"/>
                <w:szCs w:val="24"/>
              </w:rPr>
              <w:t>文件，将不予接受</w:t>
            </w:r>
            <w:r>
              <w:rPr>
                <w:rFonts w:hint="eastAsia" w:ascii="宋体" w:hAnsi="宋体" w:cs="宋体"/>
                <w:sz w:val="24"/>
                <w:szCs w:val="24"/>
                <w:lang w:eastAsia="zh-CN"/>
              </w:rPr>
              <w:t>；</w:t>
            </w:r>
          </w:p>
          <w:p w14:paraId="1B3AACBF">
            <w:pPr>
              <w:widowControl w:val="0"/>
              <w:spacing w:line="400" w:lineRule="exact"/>
              <w:jc w:val="both"/>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成交</w:t>
            </w:r>
            <w:r>
              <w:rPr>
                <w:rFonts w:hint="eastAsia" w:ascii="宋体" w:hAnsi="宋体" w:cs="宋体"/>
                <w:sz w:val="24"/>
                <w:szCs w:val="24"/>
              </w:rPr>
              <w:t>方领取</w:t>
            </w:r>
            <w:r>
              <w:rPr>
                <w:rFonts w:hint="eastAsia" w:ascii="宋体" w:hAnsi="宋体" w:cs="宋体"/>
                <w:sz w:val="24"/>
                <w:szCs w:val="24"/>
                <w:lang w:val="en-US" w:eastAsia="zh-CN"/>
              </w:rPr>
              <w:t>成交</w:t>
            </w:r>
            <w:r>
              <w:rPr>
                <w:rFonts w:hint="eastAsia" w:ascii="宋体" w:hAnsi="宋体" w:cs="宋体"/>
                <w:sz w:val="24"/>
                <w:szCs w:val="24"/>
              </w:rPr>
              <w:t>通知书时，须提供与上传电子版内容一致的纸质版</w:t>
            </w:r>
            <w:r>
              <w:rPr>
                <w:rFonts w:hint="eastAsia" w:ascii="宋体" w:hAnsi="宋体" w:cs="宋体"/>
                <w:sz w:val="24"/>
                <w:szCs w:val="24"/>
                <w:lang w:val="en-US" w:eastAsia="zh-CN"/>
              </w:rPr>
              <w:t>标书</w:t>
            </w:r>
            <w:r>
              <w:rPr>
                <w:rFonts w:hint="eastAsia" w:ascii="宋体" w:hAnsi="宋体" w:cs="宋体"/>
                <w:sz w:val="24"/>
                <w:szCs w:val="24"/>
              </w:rPr>
              <w:t>一份，不得采用活页夹形式</w:t>
            </w:r>
            <w:r>
              <w:rPr>
                <w:rFonts w:hint="eastAsia" w:ascii="宋体" w:hAnsi="宋体" w:cs="宋体"/>
                <w:sz w:val="24"/>
                <w:szCs w:val="24"/>
                <w:lang w:eastAsia="zh-CN"/>
              </w:rPr>
              <w:t>，</w:t>
            </w:r>
            <w:r>
              <w:rPr>
                <w:rFonts w:hint="eastAsia" w:ascii="宋体" w:hAnsi="宋体" w:cs="宋体"/>
                <w:sz w:val="24"/>
                <w:szCs w:val="24"/>
                <w:lang w:val="en-US" w:eastAsia="zh-CN"/>
              </w:rPr>
              <w:t>应有目录，并逐页标注连续页码，需加盖单位公章。</w:t>
            </w:r>
          </w:p>
        </w:tc>
      </w:tr>
      <w:tr w14:paraId="16D8C9EE">
        <w:tblPrEx>
          <w:tblCellMar>
            <w:top w:w="0" w:type="dxa"/>
            <w:left w:w="108" w:type="dxa"/>
            <w:bottom w:w="0" w:type="dxa"/>
            <w:right w:w="108" w:type="dxa"/>
          </w:tblCellMar>
        </w:tblPrEx>
        <w:trPr>
          <w:trHeight w:val="40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4A4ED43">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cs="宋体"/>
                <w:spacing w:val="6"/>
                <w:sz w:val="24"/>
                <w:szCs w:val="24"/>
                <w:lang w:val="en-US" w:eastAsia="zh-CN"/>
              </w:rPr>
              <w:t>40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6B22B23">
            <w:pPr>
              <w:spacing w:line="400" w:lineRule="exact"/>
              <w:jc w:val="center"/>
              <w:rPr>
                <w:rFonts w:hint="eastAsia" w:ascii="宋体" w:hAnsi="宋体" w:eastAsia="宋体" w:cs="宋体"/>
                <w:spacing w:val="6"/>
                <w:sz w:val="24"/>
                <w:szCs w:val="24"/>
                <w:lang w:val="en-US" w:eastAsia="zh-CN" w:bidi="ar-SA"/>
              </w:rPr>
            </w:pPr>
            <w:r>
              <w:rPr>
                <w:rFonts w:hint="eastAsia" w:ascii="宋体" w:hAnsi="宋体" w:cs="宋体"/>
                <w:spacing w:val="6"/>
                <w:sz w:val="24"/>
                <w:szCs w:val="24"/>
                <w:lang w:eastAsia="zh-CN"/>
              </w:rPr>
              <w:t>发布公告媒介</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0A97858">
            <w:pPr>
              <w:spacing w:line="400" w:lineRule="exact"/>
              <w:rPr>
                <w:rFonts w:hint="eastAsia" w:ascii="宋体" w:hAnsi="宋体" w:eastAsia="宋体" w:cs="宋体"/>
                <w:spacing w:val="6"/>
                <w:sz w:val="24"/>
                <w:szCs w:val="24"/>
                <w:lang w:val="en-US" w:eastAsia="zh-CN" w:bidi="ar-SA"/>
              </w:rPr>
            </w:pPr>
            <w:r>
              <w:rPr>
                <w:rFonts w:hint="eastAsia" w:ascii="宋体" w:hAnsi="宋体" w:cs="宋体"/>
                <w:sz w:val="24"/>
                <w:szCs w:val="24"/>
              </w:rPr>
              <w:t>在</w:t>
            </w:r>
            <w:r>
              <w:rPr>
                <w:rFonts w:hint="eastAsia" w:ascii="宋体" w:hAnsi="宋体" w:eastAsia="宋体" w:cs="宋体"/>
                <w:spacing w:val="6"/>
                <w:sz w:val="24"/>
                <w:szCs w:val="24"/>
              </w:rPr>
              <w:t>《河南省政府采购网》、《三门峡市公共资源交易中心网》</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lang w:val="en-US" w:eastAsia="zh-CN"/>
              </w:rPr>
              <w:t>《河南招标采购综合网》</w:t>
            </w:r>
            <w:r>
              <w:rPr>
                <w:rFonts w:hint="eastAsia" w:ascii="宋体" w:hAnsi="宋体" w:eastAsia="宋体" w:cs="宋体"/>
                <w:spacing w:val="6"/>
                <w:sz w:val="24"/>
                <w:szCs w:val="24"/>
                <w:lang w:eastAsia="zh-CN"/>
              </w:rPr>
              <w:t>发布</w:t>
            </w:r>
            <w:r>
              <w:rPr>
                <w:rFonts w:hint="eastAsia" w:ascii="宋体" w:hAnsi="宋体" w:eastAsia="宋体" w:cs="宋体"/>
                <w:spacing w:val="6"/>
                <w:sz w:val="24"/>
                <w:szCs w:val="24"/>
              </w:rPr>
              <w:t>公告</w:t>
            </w:r>
          </w:p>
        </w:tc>
      </w:tr>
      <w:tr w14:paraId="0110078A">
        <w:tblPrEx>
          <w:tblCellMar>
            <w:top w:w="0" w:type="dxa"/>
            <w:left w:w="108" w:type="dxa"/>
            <w:bottom w:w="0" w:type="dxa"/>
            <w:right w:w="108" w:type="dxa"/>
          </w:tblCellMar>
        </w:tblPrEx>
        <w:trPr>
          <w:trHeight w:val="370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9E14158">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41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354ADE6">
            <w:pPr>
              <w:spacing w:line="400" w:lineRule="exact"/>
              <w:jc w:val="center"/>
              <w:rPr>
                <w:rFonts w:ascii="宋体" w:hAnsi="宋体" w:cs="宋体"/>
                <w:spacing w:val="6"/>
                <w:sz w:val="24"/>
                <w:szCs w:val="24"/>
              </w:rPr>
            </w:pPr>
            <w:r>
              <w:rPr>
                <w:rFonts w:ascii="宋体" w:hAnsi="宋体" w:cs="宋体"/>
                <w:spacing w:val="6"/>
                <w:sz w:val="24"/>
                <w:szCs w:val="24"/>
              </w:rPr>
              <w:t>代理服务费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34D379">
            <w:pPr>
              <w:spacing w:line="400" w:lineRule="exact"/>
              <w:jc w:val="both"/>
              <w:rPr>
                <w:rFonts w:hint="eastAsia" w:ascii="宋体" w:hAnsi="宋体" w:eastAsia="宋体" w:cs="宋体"/>
                <w:spacing w:val="6"/>
                <w:sz w:val="24"/>
                <w:szCs w:val="24"/>
              </w:rPr>
            </w:pPr>
            <w:r>
              <w:rPr>
                <w:rFonts w:hint="eastAsia" w:ascii="宋体" w:hAnsi="宋体" w:eastAsia="宋体" w:cs="宋体"/>
                <w:spacing w:val="6"/>
                <w:sz w:val="24"/>
                <w:szCs w:val="24"/>
              </w:rPr>
              <w:t>本</w:t>
            </w:r>
            <w:r>
              <w:rPr>
                <w:rFonts w:hint="eastAsia" w:ascii="宋体" w:hAnsi="宋体" w:eastAsia="宋体" w:cs="宋体"/>
                <w:spacing w:val="6"/>
                <w:sz w:val="24"/>
                <w:szCs w:val="24"/>
                <w:lang w:eastAsia="zh-CN"/>
              </w:rPr>
              <w:t>项目</w:t>
            </w:r>
            <w:r>
              <w:rPr>
                <w:rFonts w:hint="eastAsia" w:ascii="宋体" w:hAnsi="宋体" w:eastAsia="宋体" w:cs="宋体"/>
                <w:spacing w:val="6"/>
                <w:sz w:val="24"/>
                <w:szCs w:val="24"/>
              </w:rPr>
              <w:t>代理服务费参照豫招协[2023]002号河南省招标投标协会关于印发《河南省招标代理服务收费指导意见》规定的收费标准</w:t>
            </w:r>
            <w:r>
              <w:rPr>
                <w:rFonts w:hint="eastAsia" w:ascii="宋体" w:hAnsi="宋体" w:eastAsia="宋体" w:cs="宋体"/>
                <w:spacing w:val="6"/>
                <w:sz w:val="24"/>
                <w:szCs w:val="24"/>
                <w:lang w:eastAsia="zh-CN"/>
              </w:rPr>
              <w:t>收取：</w:t>
            </w:r>
            <w:r>
              <w:rPr>
                <w:rFonts w:hint="eastAsia" w:ascii="宋体" w:hAnsi="宋体" w:eastAsia="宋体" w:cs="宋体"/>
                <w:spacing w:val="6"/>
                <w:sz w:val="24"/>
                <w:szCs w:val="24"/>
                <w:lang w:val="en-US" w:eastAsia="zh-CN"/>
              </w:rPr>
              <w:t>货物类项目100万元以下（含100万元）按中标价的1.7%进行计取。该</w:t>
            </w:r>
            <w:r>
              <w:rPr>
                <w:rFonts w:hint="eastAsia" w:ascii="宋体" w:hAnsi="宋体" w:eastAsia="宋体" w:cs="宋体"/>
                <w:spacing w:val="6"/>
                <w:sz w:val="24"/>
                <w:szCs w:val="24"/>
                <w:lang w:eastAsia="zh-CN"/>
              </w:rPr>
              <w:t>代理服务费由成交人领取成交通知书时向代理机构缴纳</w:t>
            </w:r>
            <w:r>
              <w:rPr>
                <w:rFonts w:hint="eastAsia" w:ascii="宋体" w:hAnsi="宋体" w:eastAsia="宋体" w:cs="宋体"/>
                <w:spacing w:val="6"/>
                <w:sz w:val="24"/>
                <w:szCs w:val="24"/>
              </w:rPr>
              <w:t>。</w:t>
            </w:r>
          </w:p>
          <w:p w14:paraId="12B7B5A8">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收取方式：现金或转账</w:t>
            </w:r>
          </w:p>
          <w:p w14:paraId="3A682715">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 xml:space="preserve">账户名称：河南保利招标咨询有限公司 </w:t>
            </w:r>
          </w:p>
          <w:p w14:paraId="478D3BC2">
            <w:pPr>
              <w:spacing w:line="360" w:lineRule="auto"/>
              <w:jc w:val="both"/>
              <w:rPr>
                <w:rFonts w:hint="eastAsia" w:ascii="宋体" w:hAnsi="宋体" w:eastAsia="宋体" w:cs="宋体"/>
                <w:color w:val="000000"/>
                <w:spacing w:val="6"/>
                <w:kern w:val="2"/>
                <w:sz w:val="24"/>
                <w:szCs w:val="24"/>
                <w:highlight w:val="none"/>
                <w:lang w:val="en-US" w:eastAsia="zh-CN"/>
              </w:rPr>
            </w:pPr>
            <w:r>
              <w:rPr>
                <w:rFonts w:hint="eastAsia" w:ascii="宋体" w:hAnsi="宋体" w:eastAsia="宋体" w:cs="宋体"/>
                <w:color w:val="000000"/>
                <w:spacing w:val="6"/>
                <w:kern w:val="2"/>
                <w:sz w:val="24"/>
                <w:szCs w:val="24"/>
                <w:highlight w:val="none"/>
                <w:lang w:val="en-US" w:eastAsia="zh-CN"/>
              </w:rPr>
              <w:t>开户银行：郑州银行股份有限公司金水东路支行</w:t>
            </w:r>
          </w:p>
          <w:p w14:paraId="30C317E3">
            <w:pPr>
              <w:spacing w:line="360" w:lineRule="auto"/>
              <w:jc w:val="both"/>
            </w:pPr>
            <w:r>
              <w:rPr>
                <w:rFonts w:hint="eastAsia" w:ascii="宋体" w:hAnsi="宋体" w:eastAsia="宋体" w:cs="宋体"/>
                <w:color w:val="000000"/>
                <w:spacing w:val="6"/>
                <w:kern w:val="2"/>
                <w:sz w:val="24"/>
                <w:szCs w:val="24"/>
                <w:highlight w:val="none"/>
                <w:lang w:val="en-US" w:eastAsia="zh-CN"/>
              </w:rPr>
              <w:t>银行账户：9383 00020102 0409 73</w:t>
            </w:r>
          </w:p>
        </w:tc>
      </w:tr>
      <w:tr w14:paraId="3045B083">
        <w:tblPrEx>
          <w:tblCellMar>
            <w:top w:w="0" w:type="dxa"/>
            <w:left w:w="108" w:type="dxa"/>
            <w:bottom w:w="0" w:type="dxa"/>
            <w:right w:w="108" w:type="dxa"/>
          </w:tblCellMar>
        </w:tblPrEx>
        <w:trPr>
          <w:trHeight w:val="82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A11EAA3">
            <w:pPr>
              <w:widowControl w:val="0"/>
              <w:adjustRightInd w:val="0"/>
              <w:spacing w:line="400" w:lineRule="exact"/>
              <w:jc w:val="center"/>
              <w:rPr>
                <w:rFonts w:hint="default"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42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719CB93">
            <w:pPr>
              <w:spacing w:line="360" w:lineRule="exact"/>
              <w:jc w:val="center"/>
              <w:rPr>
                <w:rFonts w:hint="eastAsia" w:ascii="宋体" w:hAnsi="宋体" w:eastAsia="宋体" w:cs="宋体"/>
                <w:color w:val="000000"/>
                <w:sz w:val="24"/>
                <w:szCs w:val="24"/>
                <w:lang w:val="zh-CN" w:eastAsia="zh-CN" w:bidi="zh-CN"/>
              </w:rPr>
            </w:pPr>
            <w:r>
              <w:rPr>
                <w:rFonts w:hint="eastAsia" w:ascii="宋体" w:hAnsi="宋体" w:eastAsia="宋体" w:cs="宋体"/>
                <w:color w:val="000000"/>
                <w:sz w:val="24"/>
                <w:szCs w:val="24"/>
              </w:rPr>
              <w:t>合同签订</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055ADAC">
            <w:pPr>
              <w:spacing w:line="360" w:lineRule="exact"/>
              <w:jc w:val="both"/>
              <w:rPr>
                <w:rFonts w:hint="eastAsia" w:ascii="宋体" w:hAnsi="宋体" w:eastAsia="宋体" w:cs="宋体"/>
                <w:color w:val="000000"/>
                <w:sz w:val="24"/>
                <w:szCs w:val="24"/>
                <w:lang w:val="en-US" w:eastAsia="en-US" w:bidi="zh-CN"/>
              </w:rPr>
            </w:pPr>
            <w:r>
              <w:rPr>
                <w:rFonts w:hint="eastAsia" w:ascii="宋体" w:hAnsi="宋体" w:eastAsia="宋体" w:cs="宋体"/>
                <w:color w:val="auto"/>
                <w:sz w:val="24"/>
                <w:szCs w:val="24"/>
                <w:highlight w:val="none"/>
              </w:rPr>
              <w:t>评标结束当天发出成交通知书；</w:t>
            </w:r>
            <w:r>
              <w:rPr>
                <w:rFonts w:hint="eastAsia" w:ascii="宋体" w:hAnsi="宋体" w:eastAsia="宋体" w:cs="宋体"/>
                <w:sz w:val="24"/>
                <w:szCs w:val="24"/>
                <w:lang w:val="en-US" w:eastAsia="zh-CN"/>
              </w:rPr>
              <w:t>成交</w:t>
            </w:r>
            <w:r>
              <w:rPr>
                <w:rFonts w:hint="eastAsia" w:ascii="宋体" w:hAnsi="宋体" w:eastAsia="宋体" w:cs="宋体"/>
                <w:sz w:val="24"/>
                <w:szCs w:val="24"/>
                <w:lang w:val="en-US" w:eastAsia="en-US"/>
              </w:rPr>
              <w:t>供应商</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w:t>
            </w:r>
            <w:r>
              <w:rPr>
                <w:rFonts w:hint="eastAsia" w:ascii="宋体" w:hAnsi="宋体" w:eastAsia="宋体" w:cs="宋体"/>
                <w:sz w:val="24"/>
                <w:szCs w:val="24"/>
                <w:lang w:val="en-US" w:eastAsia="en-US"/>
              </w:rPr>
              <w:t>应自成交通知书发出之日起</w:t>
            </w: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 xml:space="preserve">个工作日内按照成交通知书和供应商响应文件内容及要求签订合同 </w:t>
            </w:r>
            <w:r>
              <w:rPr>
                <w:rFonts w:hint="eastAsia" w:ascii="宋体" w:hAnsi="宋体" w:eastAsia="宋体" w:cs="宋体"/>
                <w:sz w:val="24"/>
                <w:szCs w:val="24"/>
              </w:rPr>
              <w:t xml:space="preserve">          </w:t>
            </w:r>
            <w:r>
              <w:rPr>
                <w:rFonts w:hint="eastAsia" w:ascii="宋体" w:hAnsi="宋体" w:eastAsia="宋体" w:cs="宋体"/>
                <w:color w:val="000000"/>
                <w:sz w:val="24"/>
                <w:szCs w:val="24"/>
              </w:rPr>
              <w:t xml:space="preserve">                                                                                                                                                                                                                                                                                                                                                                                                                                                                                                                                                               </w:t>
            </w:r>
          </w:p>
        </w:tc>
      </w:tr>
      <w:tr w14:paraId="037728A4">
        <w:tblPrEx>
          <w:tblCellMar>
            <w:top w:w="0" w:type="dxa"/>
            <w:left w:w="108" w:type="dxa"/>
            <w:bottom w:w="0" w:type="dxa"/>
            <w:right w:w="108" w:type="dxa"/>
          </w:tblCellMar>
        </w:tblPrEx>
        <w:trPr>
          <w:trHeight w:val="78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48DE792">
            <w:pPr>
              <w:widowControl w:val="0"/>
              <w:adjustRightInd w:val="0"/>
              <w:spacing w:line="400" w:lineRule="exact"/>
              <w:jc w:val="center"/>
              <w:rPr>
                <w:rFonts w:hint="default" w:ascii="宋体" w:hAnsi="宋体" w:cs="宋体" w:eastAsiaTheme="minorEastAsia"/>
                <w:spacing w:val="6"/>
                <w:kern w:val="2"/>
                <w:sz w:val="24"/>
                <w:szCs w:val="24"/>
                <w:lang w:val="en-US" w:eastAsia="zh-CN" w:bidi="ar-SA"/>
              </w:rPr>
            </w:pPr>
            <w:r>
              <w:rPr>
                <w:rFonts w:hint="eastAsia" w:ascii="宋体" w:hAnsi="宋体" w:cs="宋体"/>
                <w:spacing w:val="6"/>
                <w:sz w:val="24"/>
                <w:szCs w:val="24"/>
                <w:highlight w:val="none"/>
                <w:lang w:val="en-US" w:eastAsia="zh-CN"/>
              </w:rPr>
              <w:t>43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4D935BA">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政府采购合同</w:t>
            </w:r>
          </w:p>
          <w:p w14:paraId="71ACEA36">
            <w:pPr>
              <w:spacing w:line="360" w:lineRule="exact"/>
              <w:jc w:val="center"/>
              <w:rPr>
                <w:rFonts w:hint="eastAsia" w:ascii="宋体" w:hAnsi="宋体" w:eastAsia="宋体" w:cs="宋体"/>
                <w:sz w:val="24"/>
                <w:szCs w:val="24"/>
                <w:lang w:val="zh-CN" w:eastAsia="zh-CN" w:bidi="ar-SA"/>
              </w:rPr>
            </w:pPr>
            <w:r>
              <w:rPr>
                <w:rFonts w:hint="eastAsia" w:ascii="宋体" w:hAnsi="宋体" w:eastAsia="宋体" w:cs="宋体"/>
                <w:sz w:val="24"/>
                <w:szCs w:val="24"/>
              </w:rPr>
              <w:t>融资政策</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D553F08">
            <w:pPr>
              <w:spacing w:line="360" w:lineRule="exact"/>
              <w:jc w:val="left"/>
              <w:rPr>
                <w:rFonts w:hint="eastAsia" w:ascii="宋体" w:hAnsi="宋体" w:eastAsia="宋体" w:cs="宋体"/>
                <w:sz w:val="24"/>
                <w:szCs w:val="24"/>
                <w:lang w:val="en-US" w:eastAsia="en-US" w:bidi="ar-SA"/>
              </w:rPr>
            </w:pPr>
            <w:r>
              <w:rPr>
                <w:rFonts w:hint="eastAsia" w:ascii="宋体" w:hAnsi="宋体" w:eastAsia="宋体" w:cs="宋体"/>
                <w:sz w:val="24"/>
                <w:szCs w:val="24"/>
              </w:rPr>
              <w:t>中标后如需融资，参照《河南省政府采购合同融资工作实施方案》（豫财购〔2017〕10号）执行。</w:t>
            </w:r>
          </w:p>
        </w:tc>
      </w:tr>
      <w:tr w14:paraId="5B6C539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CF506B8">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sz w:val="24"/>
                <w:szCs w:val="24"/>
                <w:highlight w:val="none"/>
                <w:lang w:val="en-US" w:eastAsia="zh-CN"/>
              </w:rPr>
              <w:t>44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C6A564D">
            <w:pPr>
              <w:widowControl w:val="0"/>
              <w:adjustRightInd w:val="0"/>
              <w:spacing w:line="400" w:lineRule="exact"/>
              <w:jc w:val="center"/>
              <w:rPr>
                <w:rFonts w:hint="eastAsia" w:ascii="宋体" w:hAnsi="宋体" w:eastAsia="宋体" w:cs="宋体"/>
                <w:b w:val="0"/>
                <w:bCs/>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采购标的</w:t>
            </w:r>
          </w:p>
          <w:p w14:paraId="3AA34552">
            <w:pPr>
              <w:widowControl w:val="0"/>
              <w:adjustRightInd w:val="0"/>
              <w:spacing w:line="400" w:lineRule="exact"/>
              <w:jc w:val="center"/>
              <w:rPr>
                <w:rFonts w:hint="eastAsia" w:ascii="宋体" w:hAnsi="宋体" w:eastAsia="宋体" w:cs="宋体"/>
                <w:b/>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所属行业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411F803">
            <w:pPr>
              <w:widowControl w:val="0"/>
              <w:snapToGrid w:val="0"/>
              <w:spacing w:line="400" w:lineRule="exact"/>
              <w:jc w:val="both"/>
              <w:rPr>
                <w:rFonts w:hint="eastAsia" w:ascii="宋体" w:hAnsi="宋体"/>
                <w:sz w:val="24"/>
                <w:szCs w:val="24"/>
                <w:highlight w:val="yellow"/>
                <w:lang w:eastAsia="zh-CN"/>
              </w:rPr>
            </w:pPr>
            <w:r>
              <w:rPr>
                <w:rFonts w:hint="eastAsia" w:ascii="宋体" w:hAnsi="宋体"/>
                <w:sz w:val="24"/>
                <w:szCs w:val="24"/>
                <w:highlight w:val="none"/>
                <w:lang w:eastAsia="zh-CN"/>
              </w:rPr>
              <w:t>本项目采购标的所属行业：</w:t>
            </w:r>
            <w:r>
              <w:rPr>
                <w:rFonts w:hint="eastAsia" w:ascii="宋体" w:hAnsi="宋体"/>
                <w:sz w:val="24"/>
                <w:szCs w:val="24"/>
                <w:highlight w:val="none"/>
                <w:lang w:val="en-US" w:eastAsia="zh-CN"/>
              </w:rPr>
              <w:t>工业</w:t>
            </w:r>
          </w:p>
          <w:p w14:paraId="10E6FE44">
            <w:pPr>
              <w:pStyle w:val="21"/>
              <w:rPr>
                <w:rFonts w:hint="eastAsia" w:ascii="Times New Roman" w:hAnsi="Times New Roman" w:eastAsia="宋体" w:cs="Times New Roman"/>
                <w:sz w:val="24"/>
                <w:lang w:val="en-US" w:eastAsia="en-US" w:bidi="ar-SA"/>
              </w:rPr>
            </w:pPr>
            <w:r>
              <w:rPr>
                <w:rFonts w:hint="eastAsia"/>
                <w:lang w:val="en-US" w:eastAsia="en-US"/>
              </w:rPr>
              <w:t>划定标准为：《工业和信息化部、国家统计局、国家发展和改革委员会、财政部关于印发&lt;中小企业划型标准规定的通知&gt;（工信部联企业</w:t>
            </w:r>
            <w:r>
              <w:rPr>
                <w:rFonts w:hint="eastAsia" w:ascii="宋体" w:hAnsi="宋体" w:eastAsia="宋体" w:cs="宋体"/>
                <w:lang w:val="en-US" w:eastAsia="en-US"/>
              </w:rPr>
              <w:t>〔2011〕300号）</w:t>
            </w:r>
            <w:r>
              <w:rPr>
                <w:rFonts w:hint="eastAsia"/>
                <w:lang w:val="en-US" w:eastAsia="en-US"/>
              </w:rPr>
              <w:t>规定的划分标准为依据。</w:t>
            </w:r>
          </w:p>
        </w:tc>
      </w:tr>
      <w:tr w14:paraId="4DC1016A">
        <w:tblPrEx>
          <w:tblCellMar>
            <w:top w:w="0" w:type="dxa"/>
            <w:left w:w="108" w:type="dxa"/>
            <w:bottom w:w="0" w:type="dxa"/>
            <w:right w:w="108" w:type="dxa"/>
          </w:tblCellMar>
        </w:tblPrEx>
        <w:trPr>
          <w:trHeight w:val="81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E5DCDC7">
            <w:pPr>
              <w:widowControl w:val="0"/>
              <w:adjustRightInd w:val="0"/>
              <w:spacing w:line="400" w:lineRule="exact"/>
              <w:jc w:val="center"/>
              <w:rPr>
                <w:rFonts w:hint="default" w:ascii="宋体" w:hAnsi="宋体" w:cs="宋体"/>
                <w:spacing w:val="6"/>
                <w:sz w:val="24"/>
                <w:szCs w:val="24"/>
                <w:highlight w:val="none"/>
                <w:lang w:val="en-US" w:eastAsia="zh-CN"/>
              </w:rPr>
            </w:pPr>
            <w:r>
              <w:rPr>
                <w:rFonts w:hint="eastAsia" w:ascii="宋体" w:hAnsi="宋体" w:cs="宋体"/>
                <w:spacing w:val="6"/>
                <w:sz w:val="24"/>
                <w:szCs w:val="24"/>
                <w:highlight w:val="none"/>
                <w:lang w:val="en-US" w:eastAsia="zh-CN"/>
              </w:rPr>
              <w:t>45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CC40595">
            <w:pPr>
              <w:widowControl/>
              <w:spacing w:before="0" w:beforeLines="0" w:beforeAutospacing="0" w:after="0" w:afterLines="0" w:afterAutospacing="0" w:line="400" w:lineRule="exact"/>
              <w:ind w:left="0" w:leftChars="0" w:right="0" w:rightChars="0"/>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本次采购项目的核心产品</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39273D7">
            <w:pPr>
              <w:widowControl/>
              <w:spacing w:before="0" w:beforeLines="0" w:beforeAutospacing="0" w:after="0" w:afterLines="0" w:afterAutospacing="0" w:line="400" w:lineRule="exact"/>
              <w:ind w:left="0" w:leftChars="0" w:right="0" w:rightChars="0"/>
              <w:jc w:val="left"/>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电梯</w:t>
            </w:r>
          </w:p>
        </w:tc>
      </w:tr>
      <w:tr w14:paraId="5583A1A1">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FF954EA">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sz w:val="24"/>
                <w:szCs w:val="24"/>
                <w:lang w:val="en-US" w:eastAsia="zh-CN"/>
              </w:rPr>
              <w:t>46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F9DD357">
            <w:pPr>
              <w:widowControl/>
              <w:spacing w:before="0" w:beforeLines="0" w:beforeAutospacing="0" w:after="0" w:afterLines="0" w:afterAutospacing="0" w:line="400" w:lineRule="exact"/>
              <w:ind w:left="0" w:leftChars="0" w:right="0" w:rightChars="0"/>
              <w:jc w:val="center"/>
              <w:rPr>
                <w:rFonts w:hint="eastAsia" w:ascii="宋体" w:hAnsi="宋体" w:cs="宋体"/>
                <w:sz w:val="24"/>
                <w:szCs w:val="24"/>
                <w:highlight w:val="yellow"/>
              </w:rPr>
            </w:pPr>
            <w:r>
              <w:rPr>
                <w:rFonts w:hint="default" w:ascii="宋体" w:hAnsi="宋体" w:eastAsia="宋体" w:cs="宋体"/>
                <w:color w:val="000000" w:themeColor="text1"/>
                <w:kern w:val="2"/>
                <w:sz w:val="24"/>
                <w:szCs w:val="24"/>
                <w:lang w:val="en-US" w:eastAsia="zh-CN"/>
                <w14:textFill>
                  <w14:solidFill>
                    <w14:schemeClr w14:val="tx1"/>
                  </w14:solidFill>
                </w14:textFill>
              </w:rPr>
              <w:t>本国产品的支持政策</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1C10BA3">
            <w:pPr>
              <w:widowControl/>
              <w:spacing w:before="0" w:beforeLines="0" w:beforeAutospacing="0" w:after="0" w:afterLines="0" w:afterAutospacing="0" w:line="400" w:lineRule="exact"/>
              <w:ind w:left="0" w:leftChars="0" w:right="0" w:rightChars="0"/>
              <w:jc w:val="left"/>
              <w:rPr>
                <w:rFonts w:hint="eastAsia" w:ascii="宋体" w:hAnsi="宋体" w:cs="宋体"/>
                <w:sz w:val="24"/>
                <w:szCs w:val="24"/>
                <w:highlight w:val="yellow"/>
              </w:rPr>
            </w:pPr>
            <w:r>
              <w:rPr>
                <w:rFonts w:hint="eastAsia" w:ascii="宋体" w:hAnsi="宋体" w:eastAsia="宋体" w:cs="宋体"/>
                <w:color w:val="000000" w:themeColor="text1"/>
                <w:kern w:val="2"/>
                <w:sz w:val="24"/>
                <w:szCs w:val="24"/>
                <w14:textFill>
                  <w14:solidFill>
                    <w14:schemeClr w14:val="tx1"/>
                  </w14:solidFill>
                </w14:textFill>
              </w:rPr>
              <w:t>供应商</w:t>
            </w:r>
            <w:r>
              <w:rPr>
                <w:rFonts w:hint="eastAsia" w:ascii="宋体" w:hAnsi="宋体" w:eastAsia="宋体" w:cs="宋体"/>
                <w:color w:val="000000" w:themeColor="text1"/>
                <w:kern w:val="2"/>
                <w:sz w:val="24"/>
                <w:szCs w:val="24"/>
                <w:lang w:val="en-US" w:eastAsia="zh-CN"/>
                <w14:textFill>
                  <w14:solidFill>
                    <w14:schemeClr w14:val="tx1"/>
                  </w14:solidFill>
                </w14:textFill>
              </w:rPr>
              <w:t>应在投标文件中</w:t>
            </w:r>
            <w:r>
              <w:rPr>
                <w:rFonts w:hint="eastAsia" w:ascii="宋体" w:hAnsi="宋体" w:eastAsia="宋体" w:cs="宋体"/>
                <w:color w:val="000000" w:themeColor="text1"/>
                <w:kern w:val="2"/>
                <w:sz w:val="24"/>
                <w:szCs w:val="24"/>
                <w14:textFill>
                  <w14:solidFill>
                    <w14:schemeClr w14:val="tx1"/>
                  </w14:solidFill>
                </w14:textFill>
              </w:rPr>
              <w:t>对其提供的产品出具《关于符合本国产品标准的声明函》或财政部会同有关部门规定的有关证明文件</w:t>
            </w:r>
          </w:p>
        </w:tc>
      </w:tr>
      <w:tr w14:paraId="30F94610">
        <w:tblPrEx>
          <w:tblCellMar>
            <w:top w:w="0" w:type="dxa"/>
            <w:left w:w="108" w:type="dxa"/>
            <w:bottom w:w="0" w:type="dxa"/>
            <w:right w:w="108" w:type="dxa"/>
          </w:tblCellMar>
        </w:tblPrEx>
        <w:trPr>
          <w:trHeight w:val="117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5B5580C">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1AA8A50">
            <w:pPr>
              <w:spacing w:line="400" w:lineRule="exact"/>
              <w:jc w:val="center"/>
              <w:rPr>
                <w:rFonts w:hint="eastAsia" w:ascii="宋体" w:hAnsi="宋体" w:cs="宋体"/>
                <w:spacing w:val="6"/>
                <w:sz w:val="24"/>
                <w:szCs w:val="24"/>
              </w:rPr>
            </w:pPr>
            <w:r>
              <w:rPr>
                <w:rFonts w:hint="eastAsia" w:ascii="宋体" w:hAnsi="宋体" w:cs="宋体"/>
                <w:sz w:val="24"/>
                <w:szCs w:val="24"/>
              </w:rPr>
              <w:t>竞争性磋商文件的解释</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739825E">
            <w:pPr>
              <w:spacing w:line="400" w:lineRule="exact"/>
              <w:rPr>
                <w:rFonts w:hint="eastAsia" w:ascii="宋体" w:hAnsi="宋体" w:cs="宋体"/>
                <w:spacing w:val="6"/>
                <w:sz w:val="24"/>
                <w:szCs w:val="24"/>
              </w:rPr>
            </w:pPr>
            <w:r>
              <w:rPr>
                <w:rFonts w:hint="eastAsia" w:ascii="宋体" w:hAnsi="宋体" w:eastAsia="宋体" w:cs="宋体"/>
                <w:color w:val="000000" w:themeColor="text1"/>
                <w:kern w:val="2"/>
                <w:sz w:val="24"/>
                <w:szCs w:val="24"/>
                <w14:textFill>
                  <w14:solidFill>
                    <w14:schemeClr w14:val="tx1"/>
                  </w14:solidFill>
                </w14:textFill>
              </w:rPr>
              <w:t>构成本</w:t>
            </w:r>
            <w:r>
              <w:rPr>
                <w:rFonts w:hint="eastAsia" w:ascii="宋体" w:hAnsi="宋体" w:eastAsia="宋体" w:cs="宋体"/>
                <w:color w:val="000000" w:themeColor="text1"/>
                <w:kern w:val="2"/>
                <w:sz w:val="24"/>
                <w:szCs w:val="24"/>
                <w:lang w:val="en-US" w:eastAsia="zh-CN"/>
                <w14:textFill>
                  <w14:solidFill>
                    <w14:schemeClr w14:val="tx1"/>
                  </w14:solidFill>
                </w14:textFill>
              </w:rPr>
              <w:t>磋商</w:t>
            </w:r>
            <w:r>
              <w:rPr>
                <w:rFonts w:hint="eastAsia" w:ascii="宋体" w:hAnsi="宋体" w:eastAsia="宋体" w:cs="宋体"/>
                <w:color w:val="000000" w:themeColor="text1"/>
                <w:kern w:val="2"/>
                <w:sz w:val="24"/>
                <w:szCs w:val="24"/>
                <w14:textFill>
                  <w14:solidFill>
                    <w14:schemeClr w14:val="tx1"/>
                  </w14:solidFill>
                </w14:textFill>
              </w:rPr>
              <w:t>文件的各个组成文件应互为解释，互为说明；如有不明确或不一致，按</w:t>
            </w:r>
            <w:r>
              <w:rPr>
                <w:rFonts w:hint="eastAsia" w:ascii="宋体" w:hAnsi="宋体" w:eastAsia="宋体" w:cs="宋体"/>
                <w:color w:val="000000" w:themeColor="text1"/>
                <w:kern w:val="2"/>
                <w:sz w:val="24"/>
                <w:szCs w:val="24"/>
                <w:lang w:val="en-US" w:eastAsia="zh-CN"/>
                <w14:textFill>
                  <w14:solidFill>
                    <w14:schemeClr w14:val="tx1"/>
                  </w14:solidFill>
                </w14:textFill>
              </w:rPr>
              <w:t>磋商</w:t>
            </w:r>
            <w:r>
              <w:rPr>
                <w:rFonts w:hint="eastAsia" w:ascii="宋体" w:hAnsi="宋体" w:eastAsia="宋体" w:cs="宋体"/>
                <w:color w:val="000000" w:themeColor="text1"/>
                <w:kern w:val="2"/>
                <w:sz w:val="24"/>
                <w:szCs w:val="24"/>
                <w14:textFill>
                  <w14:solidFill>
                    <w14:schemeClr w14:val="tx1"/>
                  </w14:solidFill>
                </w14:textFill>
              </w:rPr>
              <w:t>公告、</w:t>
            </w:r>
            <w:r>
              <w:rPr>
                <w:rFonts w:hint="eastAsia" w:ascii="宋体" w:hAnsi="宋体" w:eastAsia="宋体" w:cs="宋体"/>
                <w:color w:val="000000" w:themeColor="text1"/>
                <w:kern w:val="2"/>
                <w:sz w:val="24"/>
                <w:szCs w:val="24"/>
                <w:lang w:eastAsia="zh-CN"/>
                <w14:textFill>
                  <w14:solidFill>
                    <w14:schemeClr w14:val="tx1"/>
                  </w14:solidFill>
                </w14:textFill>
              </w:rPr>
              <w:t>供应商</w:t>
            </w:r>
            <w:r>
              <w:rPr>
                <w:rFonts w:hint="eastAsia" w:ascii="宋体" w:hAnsi="宋体" w:eastAsia="宋体" w:cs="宋体"/>
                <w:color w:val="000000" w:themeColor="text1"/>
                <w:kern w:val="2"/>
                <w:sz w:val="24"/>
                <w:szCs w:val="24"/>
                <w14:textFill>
                  <w14:solidFill>
                    <w14:schemeClr w14:val="tx1"/>
                  </w14:solidFill>
                </w14:textFill>
              </w:rPr>
              <w:t>须知、评标办法、</w:t>
            </w:r>
            <w:r>
              <w:rPr>
                <w:rFonts w:hint="eastAsia" w:ascii="宋体" w:hAnsi="宋体" w:eastAsia="宋体" w:cs="宋体"/>
                <w:color w:val="000000" w:themeColor="text1"/>
                <w:kern w:val="2"/>
                <w:sz w:val="24"/>
                <w:szCs w:val="24"/>
                <w:lang w:val="en-US" w:eastAsia="zh-CN"/>
                <w14:textFill>
                  <w14:solidFill>
                    <w14:schemeClr w14:val="tx1"/>
                  </w14:solidFill>
                </w14:textFill>
              </w:rPr>
              <w:t>响应</w:t>
            </w:r>
            <w:r>
              <w:rPr>
                <w:rFonts w:hint="eastAsia" w:ascii="宋体" w:hAnsi="宋体" w:eastAsia="宋体" w:cs="宋体"/>
                <w:color w:val="000000" w:themeColor="text1"/>
                <w:kern w:val="2"/>
                <w:sz w:val="24"/>
                <w:szCs w:val="24"/>
                <w14:textFill>
                  <w14:solidFill>
                    <w14:schemeClr w14:val="tx1"/>
                  </w14:solidFill>
                </w14:textFill>
              </w:rPr>
              <w:t>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7DD13DE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EF815D3">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77C2E25">
            <w:pPr>
              <w:spacing w:line="400" w:lineRule="exact"/>
              <w:jc w:val="center"/>
              <w:rPr>
                <w:rFonts w:hint="eastAsia" w:ascii="宋体" w:hAnsi="宋体" w:cs="宋体"/>
                <w:spacing w:val="6"/>
                <w:sz w:val="24"/>
                <w:szCs w:val="24"/>
              </w:rPr>
            </w:pPr>
            <w:r>
              <w:rPr>
                <w:rFonts w:hint="eastAsia" w:ascii="宋体" w:hAnsi="宋体" w:cs="宋体"/>
                <w:sz w:val="24"/>
                <w:szCs w:val="24"/>
              </w:rPr>
              <w:t>答疑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0AA9C7D">
            <w:pPr>
              <w:spacing w:line="400" w:lineRule="exact"/>
              <w:rPr>
                <w:rFonts w:hint="eastAsia" w:ascii="宋体" w:hAnsi="宋体" w:cs="宋体"/>
                <w:spacing w:val="6"/>
                <w:sz w:val="24"/>
                <w:szCs w:val="24"/>
              </w:rPr>
            </w:pPr>
            <w:r>
              <w:rPr>
                <w:rFonts w:hint="eastAsia" w:ascii="宋体" w:hAnsi="宋体" w:cs="宋体"/>
                <w:sz w:val="24"/>
                <w:szCs w:val="24"/>
              </w:rPr>
              <w:t>需要解答的疑问以书面形式加盖单位公章递交至采购人或代理机构，逾期提交的问题概不做回复。采购人将需要解答的内容以公告形式发至所有潜在响应人。</w:t>
            </w:r>
          </w:p>
        </w:tc>
      </w:tr>
      <w:tr w14:paraId="5E8C5763">
        <w:tblPrEx>
          <w:tblCellMar>
            <w:top w:w="0" w:type="dxa"/>
            <w:left w:w="108" w:type="dxa"/>
            <w:bottom w:w="0" w:type="dxa"/>
            <w:right w:w="108" w:type="dxa"/>
          </w:tblCellMar>
        </w:tblPrEx>
        <w:trPr>
          <w:trHeight w:val="44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17FDC93">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9EF7825">
            <w:pPr>
              <w:spacing w:line="400" w:lineRule="exact"/>
              <w:jc w:val="center"/>
              <w:rPr>
                <w:rFonts w:hint="eastAsia" w:ascii="宋体" w:hAnsi="宋体" w:cs="宋体"/>
                <w:spacing w:val="6"/>
                <w:sz w:val="24"/>
                <w:szCs w:val="24"/>
              </w:rPr>
            </w:pPr>
            <w:r>
              <w:rPr>
                <w:rFonts w:hint="eastAsia" w:ascii="宋体" w:hAnsi="宋体" w:cs="宋体"/>
                <w:sz w:val="24"/>
                <w:szCs w:val="24"/>
              </w:rPr>
              <w:t>知识产权</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0C78176">
            <w:pPr>
              <w:spacing w:line="400" w:lineRule="exact"/>
              <w:rPr>
                <w:rFonts w:hint="eastAsia" w:ascii="宋体" w:hAnsi="宋体" w:cs="宋体"/>
                <w:spacing w:val="6"/>
                <w:sz w:val="24"/>
                <w:szCs w:val="24"/>
              </w:rPr>
            </w:pPr>
            <w:r>
              <w:rPr>
                <w:rFonts w:hint="eastAsia" w:ascii="宋体" w:hAnsi="宋体" w:cs="宋体"/>
                <w:sz w:val="24"/>
                <w:szCs w:val="24"/>
              </w:rPr>
              <w:t>构成本竞争性磋商文件各个组成部分的文件，未经采购人书面同意，响应人不得擅自复印和用于非本招标项目所需的其他目的。采购人全部或者部分使用未中标人响应文件中的技术成果或技术方案时，需征得其书面同意，并不得擅自复印或提供给第三人。</w:t>
            </w:r>
          </w:p>
        </w:tc>
      </w:tr>
      <w:tr w14:paraId="0724A1B1">
        <w:tblPrEx>
          <w:tblCellMar>
            <w:top w:w="0" w:type="dxa"/>
            <w:left w:w="108" w:type="dxa"/>
            <w:bottom w:w="0" w:type="dxa"/>
            <w:right w:w="108" w:type="dxa"/>
          </w:tblCellMar>
        </w:tblPrEx>
        <w:trPr>
          <w:trHeight w:val="39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500F1B9">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50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DA6663E">
            <w:pPr>
              <w:spacing w:line="400" w:lineRule="exact"/>
              <w:jc w:val="center"/>
              <w:rPr>
                <w:rFonts w:hint="eastAsia" w:ascii="宋体" w:hAnsi="宋体" w:cs="宋体"/>
                <w:spacing w:val="6"/>
                <w:sz w:val="24"/>
                <w:szCs w:val="24"/>
              </w:rPr>
            </w:pPr>
            <w:r>
              <w:rPr>
                <w:rFonts w:hint="eastAsia" w:ascii="宋体" w:hAnsi="宋体" w:cs="宋体"/>
                <w:sz w:val="24"/>
                <w:szCs w:val="24"/>
              </w:rPr>
              <w:t>重新招标的其他情形</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2C0B88A">
            <w:pPr>
              <w:spacing w:line="400" w:lineRule="exact"/>
              <w:rPr>
                <w:rFonts w:hint="eastAsia" w:ascii="宋体" w:hAnsi="宋体" w:cs="宋体"/>
                <w:spacing w:val="6"/>
                <w:sz w:val="24"/>
                <w:szCs w:val="24"/>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rPr>
              <w:t>人确定</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推荐的排名第一的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候选人放弃</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、因不可抗力不能履行合同，或者被查实存在影响</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结果的违法行为等情形，不符合</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条件的，</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人可以按照</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提出的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候选人名单排序依次确定其他</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人，也可以重新招标。</w:t>
            </w:r>
            <w:r>
              <w:rPr>
                <w:rFonts w:hint="eastAsia" w:ascii="宋体" w:hAnsi="宋体" w:eastAsia="宋体" w:cs="宋体"/>
                <w:sz w:val="24"/>
                <w:szCs w:val="24"/>
              </w:rPr>
              <w:t>除响应人须知正文规定的情形外，除非已经产生</w:t>
            </w:r>
            <w:r>
              <w:rPr>
                <w:rFonts w:hint="eastAsia" w:ascii="宋体" w:hAnsi="宋体" w:cs="宋体"/>
                <w:color w:val="auto"/>
                <w:sz w:val="24"/>
                <w:szCs w:val="24"/>
                <w:highlight w:val="none"/>
                <w:lang w:eastAsia="zh-CN"/>
              </w:rPr>
              <w:t>成交</w:t>
            </w:r>
            <w:r>
              <w:rPr>
                <w:rFonts w:hint="eastAsia" w:ascii="宋体" w:hAnsi="宋体" w:eastAsia="宋体" w:cs="宋体"/>
                <w:sz w:val="24"/>
                <w:szCs w:val="24"/>
              </w:rPr>
              <w:t>候选人，在磋商有效期内同意延长磋商有效期的响应人少于三个的，采购人应当依法重新招标。</w:t>
            </w:r>
          </w:p>
        </w:tc>
      </w:tr>
      <w:tr w14:paraId="65CD9404">
        <w:tblPrEx>
          <w:tblCellMar>
            <w:top w:w="0" w:type="dxa"/>
            <w:left w:w="108" w:type="dxa"/>
            <w:bottom w:w="0" w:type="dxa"/>
            <w:right w:w="108" w:type="dxa"/>
          </w:tblCellMar>
        </w:tblPrEx>
        <w:trPr>
          <w:trHeight w:val="84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089767A">
            <w:pPr>
              <w:widowControl w:val="0"/>
              <w:adjustRightInd w:val="0"/>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51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4CF45EA">
            <w:pPr>
              <w:spacing w:line="400" w:lineRule="exact"/>
              <w:jc w:val="center"/>
              <w:rPr>
                <w:rFonts w:hint="eastAsia" w:ascii="宋体" w:hAnsi="宋体" w:cs="宋体"/>
                <w:spacing w:val="6"/>
                <w:sz w:val="24"/>
                <w:szCs w:val="24"/>
              </w:rPr>
            </w:pPr>
            <w:r>
              <w:rPr>
                <w:rFonts w:hint="eastAsia" w:ascii="宋体" w:hAnsi="宋体" w:cs="宋体"/>
                <w:sz w:val="24"/>
                <w:szCs w:val="24"/>
              </w:rPr>
              <w:t>监  督</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D47C25">
            <w:pPr>
              <w:spacing w:line="400" w:lineRule="exact"/>
              <w:rPr>
                <w:rFonts w:hint="eastAsia" w:ascii="宋体" w:hAnsi="宋体" w:cs="宋体"/>
                <w:spacing w:val="6"/>
                <w:sz w:val="24"/>
                <w:szCs w:val="24"/>
              </w:rPr>
            </w:pPr>
            <w:r>
              <w:rPr>
                <w:rFonts w:hint="eastAsia" w:ascii="宋体" w:hAnsi="宋体" w:cs="宋体"/>
                <w:sz w:val="24"/>
                <w:szCs w:val="24"/>
              </w:rPr>
              <w:t>本项目的磋商活动及其相关当事人应当接受有管辖权的招标投标行政监督部门依法实施的监督。</w:t>
            </w:r>
          </w:p>
        </w:tc>
      </w:tr>
      <w:tr w14:paraId="209ECF60">
        <w:tblPrEx>
          <w:tblCellMar>
            <w:top w:w="0" w:type="dxa"/>
            <w:left w:w="108" w:type="dxa"/>
            <w:bottom w:w="0" w:type="dxa"/>
            <w:right w:w="108" w:type="dxa"/>
          </w:tblCellMar>
        </w:tblPrEx>
        <w:trPr>
          <w:trHeight w:val="404" w:hRule="atLeast"/>
          <w:jc w:val="center"/>
        </w:trPr>
        <w:tc>
          <w:tcPr>
            <w:tcW w:w="728" w:type="dxa"/>
            <w:tcBorders>
              <w:top w:val="single" w:color="auto" w:sz="6" w:space="0"/>
              <w:left w:val="single" w:color="auto" w:sz="12" w:space="0"/>
              <w:bottom w:val="single" w:color="auto" w:sz="12" w:space="0"/>
              <w:right w:val="single" w:color="auto" w:sz="6" w:space="0"/>
            </w:tcBorders>
            <w:noWrap w:val="0"/>
            <w:vAlign w:val="center"/>
          </w:tcPr>
          <w:p w14:paraId="5BF9FD60">
            <w:pPr>
              <w:widowControl w:val="0"/>
              <w:adjustRightInd w:val="0"/>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52</w:t>
            </w:r>
          </w:p>
        </w:tc>
        <w:tc>
          <w:tcPr>
            <w:tcW w:w="2076" w:type="dxa"/>
            <w:tcBorders>
              <w:top w:val="single" w:color="auto" w:sz="6" w:space="0"/>
              <w:left w:val="single" w:color="auto" w:sz="6" w:space="0"/>
              <w:bottom w:val="single" w:color="auto" w:sz="12" w:space="0"/>
              <w:right w:val="single" w:color="auto" w:sz="6" w:space="0"/>
            </w:tcBorders>
            <w:noWrap w:val="0"/>
            <w:vAlign w:val="center"/>
          </w:tcPr>
          <w:p w14:paraId="3703AE38">
            <w:pPr>
              <w:widowControl w:val="0"/>
              <w:adjustRightInd w:val="0"/>
              <w:spacing w:line="400" w:lineRule="exact"/>
              <w:jc w:val="center"/>
              <w:rPr>
                <w:rFonts w:ascii="宋体" w:hAnsi="宋体" w:cs="宋体"/>
                <w:spacing w:val="6"/>
                <w:sz w:val="24"/>
                <w:szCs w:val="24"/>
              </w:rPr>
            </w:pPr>
            <w:r>
              <w:rPr>
                <w:rFonts w:ascii="宋体" w:hAnsi="宋体" w:cs="宋体"/>
                <w:b/>
                <w:sz w:val="24"/>
                <w:szCs w:val="24"/>
              </w:rPr>
              <w:t>电子化注意事项</w:t>
            </w:r>
          </w:p>
        </w:tc>
        <w:tc>
          <w:tcPr>
            <w:tcW w:w="6297" w:type="dxa"/>
            <w:tcBorders>
              <w:top w:val="single" w:color="auto" w:sz="6" w:space="0"/>
              <w:left w:val="single" w:color="auto" w:sz="6" w:space="0"/>
              <w:bottom w:val="single" w:color="auto" w:sz="12" w:space="0"/>
              <w:right w:val="single" w:color="auto" w:sz="12" w:space="0"/>
            </w:tcBorders>
            <w:noWrap w:val="0"/>
            <w:vAlign w:val="center"/>
          </w:tcPr>
          <w:p w14:paraId="229F9CAE">
            <w:pPr>
              <w:widowControl w:val="0"/>
              <w:spacing w:line="400" w:lineRule="exact"/>
              <w:jc w:val="both"/>
              <w:rPr>
                <w:rFonts w:ascii="宋体" w:hAnsi="宋体"/>
                <w:b w:val="0"/>
                <w:bCs/>
                <w:sz w:val="24"/>
                <w:szCs w:val="24"/>
              </w:rPr>
            </w:pPr>
            <w:r>
              <w:rPr>
                <w:rFonts w:hint="eastAsia" w:ascii="宋体" w:hAnsi="宋体" w:eastAsia="宋体" w:cs="宋体"/>
                <w:kern w:val="2"/>
                <w:sz w:val="24"/>
                <w:szCs w:val="24"/>
                <w:lang w:val="en-US" w:eastAsia="zh-CN"/>
              </w:rPr>
              <w:t>本项目为电子化、无纸化交易项目，</w:t>
            </w:r>
            <w:r>
              <w:rPr>
                <w:rFonts w:ascii="宋体" w:hAnsi="宋体" w:cs="宋体"/>
                <w:b w:val="0"/>
                <w:bCs/>
                <w:sz w:val="24"/>
                <w:szCs w:val="24"/>
              </w:rPr>
              <w:t>响应文件</w:t>
            </w:r>
            <w:r>
              <w:rPr>
                <w:rFonts w:hint="eastAsia" w:ascii="宋体" w:hAnsi="宋体" w:cs="宋体"/>
                <w:b w:val="0"/>
                <w:bCs/>
                <w:sz w:val="24"/>
                <w:szCs w:val="24"/>
              </w:rPr>
              <w:t>是</w:t>
            </w:r>
            <w:r>
              <w:rPr>
                <w:rFonts w:ascii="宋体" w:hAnsi="宋体" w:cs="宋体"/>
                <w:b w:val="0"/>
                <w:bCs/>
                <w:sz w:val="24"/>
                <w:szCs w:val="24"/>
              </w:rPr>
              <w:t>供应商通过中心</w:t>
            </w:r>
            <w:r>
              <w:rPr>
                <w:rFonts w:hint="eastAsia" w:ascii="宋体" w:hAnsi="宋体" w:cs="宋体"/>
                <w:b w:val="0"/>
                <w:bCs/>
                <w:sz w:val="24"/>
                <w:szCs w:val="24"/>
                <w:lang w:val="en-US" w:eastAsia="zh-CN"/>
              </w:rPr>
              <w:t>投标文件制作系统制作</w:t>
            </w:r>
            <w:r>
              <w:rPr>
                <w:rFonts w:ascii="宋体" w:hAnsi="宋体" w:cs="宋体"/>
                <w:b w:val="0"/>
                <w:bCs/>
                <w:sz w:val="24"/>
                <w:szCs w:val="24"/>
              </w:rPr>
              <w:t>，并经过签章和加密后生成的电子版响应文件。</w:t>
            </w:r>
            <w:r>
              <w:rPr>
                <w:rFonts w:hint="eastAsia" w:ascii="宋体" w:hAnsi="宋体" w:cs="宋体"/>
                <w:b w:val="0"/>
                <w:bCs/>
                <w:sz w:val="24"/>
                <w:szCs w:val="24"/>
              </w:rPr>
              <w:t>开</w:t>
            </w:r>
            <w:r>
              <w:rPr>
                <w:rFonts w:ascii="宋体" w:hAnsi="宋体" w:cs="宋体"/>
                <w:b w:val="0"/>
                <w:bCs/>
                <w:sz w:val="24"/>
                <w:szCs w:val="24"/>
              </w:rPr>
              <w:t>标时，将不再接受任何纸质文件资料。</w:t>
            </w:r>
          </w:p>
          <w:p w14:paraId="1F4EAC50">
            <w:pPr>
              <w:widowControl w:val="0"/>
              <w:spacing w:line="400" w:lineRule="exact"/>
              <w:jc w:val="both"/>
              <w:rPr>
                <w:rFonts w:ascii="宋体" w:hAnsi="宋体"/>
                <w:b w:val="0"/>
                <w:bCs/>
                <w:sz w:val="24"/>
                <w:szCs w:val="24"/>
              </w:rPr>
            </w:pPr>
            <w:r>
              <w:rPr>
                <w:rFonts w:ascii="宋体" w:hAnsi="宋体" w:cs="宋体"/>
                <w:b w:val="0"/>
                <w:bCs/>
                <w:sz w:val="24"/>
                <w:szCs w:val="24"/>
              </w:rPr>
              <w:t>电子化响应文件具体制作教材请</w:t>
            </w:r>
            <w:r>
              <w:rPr>
                <w:rFonts w:hint="eastAsia" w:ascii="宋体" w:hAnsi="宋体" w:cs="宋体"/>
                <w:b w:val="0"/>
                <w:bCs/>
                <w:sz w:val="24"/>
                <w:szCs w:val="24"/>
              </w:rPr>
              <w:t>供应商</w:t>
            </w:r>
            <w:r>
              <w:rPr>
                <w:rFonts w:ascii="宋体" w:hAnsi="宋体" w:cs="宋体"/>
                <w:b w:val="0"/>
                <w:bCs/>
                <w:sz w:val="24"/>
                <w:szCs w:val="24"/>
              </w:rPr>
              <w:t>通过</w:t>
            </w:r>
            <w:r>
              <w:rPr>
                <w:rFonts w:ascii="宋体" w:hAnsi="宋体"/>
                <w:b w:val="0"/>
                <w:bCs/>
                <w:sz w:val="24"/>
                <w:szCs w:val="24"/>
              </w:rPr>
              <w:t>CA</w:t>
            </w:r>
            <w:r>
              <w:rPr>
                <w:rFonts w:ascii="宋体" w:hAnsi="宋体" w:cs="宋体"/>
                <w:b w:val="0"/>
                <w:bCs/>
                <w:sz w:val="24"/>
                <w:szCs w:val="24"/>
              </w:rPr>
              <w:t>证书登录三门峡市公共资源电子化交易系统在“</w:t>
            </w:r>
            <w:r>
              <w:rPr>
                <w:rFonts w:hint="eastAsia" w:ascii="宋体" w:hAnsi="宋体" w:cs="宋体"/>
                <w:b w:val="0"/>
                <w:bCs/>
                <w:sz w:val="24"/>
                <w:szCs w:val="24"/>
                <w:lang w:val="en-US" w:eastAsia="en-US"/>
              </w:rPr>
              <w:t>交易智库</w:t>
            </w:r>
            <w:r>
              <w:rPr>
                <w:rFonts w:ascii="宋体" w:hAnsi="宋体" w:cs="宋体"/>
                <w:b w:val="0"/>
                <w:bCs/>
                <w:sz w:val="24"/>
                <w:szCs w:val="24"/>
              </w:rPr>
              <w:t>”中查看。</w:t>
            </w:r>
          </w:p>
          <w:p w14:paraId="3930DC52">
            <w:pPr>
              <w:widowControl w:val="0"/>
              <w:spacing w:line="400" w:lineRule="exact"/>
              <w:jc w:val="both"/>
              <w:rPr>
                <w:rFonts w:ascii="宋体" w:hAnsi="宋体"/>
                <w:b w:val="0"/>
                <w:bCs/>
                <w:sz w:val="24"/>
                <w:szCs w:val="24"/>
              </w:rPr>
            </w:pPr>
            <w:r>
              <w:rPr>
                <w:rFonts w:ascii="宋体" w:hAnsi="宋体" w:cs="宋体"/>
                <w:b w:val="0"/>
                <w:bCs/>
                <w:sz w:val="24"/>
                <w:szCs w:val="24"/>
              </w:rPr>
              <w:t>温馨提示：本项目为电子化、无纸化交易项目，开标时不接受任何纸质资料，为保证您能</w:t>
            </w:r>
            <w:r>
              <w:rPr>
                <w:rFonts w:hint="eastAsia" w:ascii="宋体" w:hAnsi="宋体" w:cs="宋体"/>
                <w:b w:val="0"/>
                <w:bCs/>
                <w:sz w:val="24"/>
                <w:szCs w:val="24"/>
              </w:rPr>
              <w:t>开</w:t>
            </w:r>
            <w:r>
              <w:rPr>
                <w:rFonts w:ascii="宋体" w:hAnsi="宋体" w:cs="宋体"/>
                <w:b w:val="0"/>
                <w:bCs/>
                <w:sz w:val="24"/>
                <w:szCs w:val="24"/>
              </w:rPr>
              <w:t>标成功，请需仔细阅读以下条款。</w:t>
            </w:r>
          </w:p>
          <w:p w14:paraId="5CDDD7A7">
            <w:pPr>
              <w:widowControl w:val="0"/>
              <w:spacing w:line="400" w:lineRule="exact"/>
              <w:jc w:val="both"/>
              <w:rPr>
                <w:rFonts w:ascii="宋体" w:hAnsi="宋体" w:cs="宋体"/>
                <w:b w:val="0"/>
                <w:bCs/>
                <w:sz w:val="24"/>
                <w:szCs w:val="24"/>
              </w:rPr>
            </w:pPr>
            <w:r>
              <w:rPr>
                <w:rFonts w:ascii="宋体" w:hAnsi="宋体" w:cs="宋体"/>
                <w:b w:val="0"/>
                <w:bCs/>
                <w:sz w:val="24"/>
                <w:szCs w:val="24"/>
              </w:rPr>
              <w:t>一、电子化投标</w:t>
            </w:r>
          </w:p>
          <w:p w14:paraId="6EB429E0">
            <w:pPr>
              <w:widowControl w:val="0"/>
              <w:spacing w:line="400" w:lineRule="exact"/>
              <w:jc w:val="both"/>
              <w:rPr>
                <w:rFonts w:ascii="宋体" w:hAnsi="宋体" w:cs="宋体"/>
                <w:sz w:val="24"/>
                <w:szCs w:val="24"/>
              </w:rPr>
            </w:pPr>
            <w:r>
              <w:rPr>
                <w:rFonts w:ascii="宋体" w:hAnsi="宋体" w:cs="宋体"/>
                <w:sz w:val="24"/>
                <w:szCs w:val="24"/>
              </w:rPr>
              <w:t>（一）网上投标保证金的缴纳</w:t>
            </w:r>
          </w:p>
          <w:p w14:paraId="06DCE538">
            <w:pPr>
              <w:spacing w:line="400" w:lineRule="exact"/>
              <w:rPr>
                <w:rFonts w:ascii="宋体" w:hAnsi="宋体" w:cs="宋体"/>
                <w:sz w:val="24"/>
                <w:szCs w:val="24"/>
              </w:rPr>
            </w:pPr>
            <w:r>
              <w:rPr>
                <w:rFonts w:hint="eastAsia" w:ascii="宋体" w:hAnsi="宋体" w:cs="宋体"/>
                <w:sz w:val="24"/>
                <w:szCs w:val="24"/>
              </w:rPr>
              <w:t>按照《河南省财政厅关于优化政府采购营商环境有关问题的通知》（豫财购[2019]4号文）的要求本项目不再收取磋商保证金；</w:t>
            </w:r>
          </w:p>
          <w:p w14:paraId="762372CD">
            <w:pPr>
              <w:spacing w:line="400" w:lineRule="exact"/>
              <w:rPr>
                <w:rFonts w:ascii="宋体" w:hAnsi="宋体" w:cs="宋体"/>
                <w:sz w:val="24"/>
                <w:szCs w:val="24"/>
              </w:rPr>
            </w:pPr>
            <w:r>
              <w:rPr>
                <w:rFonts w:ascii="宋体" w:hAnsi="宋体" w:cs="宋体"/>
                <w:sz w:val="24"/>
                <w:szCs w:val="24"/>
              </w:rPr>
              <w:t>（二）电子化响应文件的签章</w:t>
            </w:r>
          </w:p>
          <w:p w14:paraId="613D7CC4">
            <w:pPr>
              <w:spacing w:line="400" w:lineRule="exact"/>
              <w:rPr>
                <w:rFonts w:ascii="宋体" w:hAnsi="宋体" w:cs="宋体"/>
                <w:sz w:val="24"/>
                <w:szCs w:val="24"/>
              </w:rPr>
            </w:pPr>
            <w:r>
              <w:rPr>
                <w:rFonts w:ascii="宋体" w:hAnsi="宋体" w:cs="宋体"/>
                <w:sz w:val="24"/>
                <w:szCs w:val="24"/>
              </w:rPr>
              <w:t>1、</w:t>
            </w:r>
            <w:r>
              <w:rPr>
                <w:rFonts w:hint="eastAsia" w:ascii="宋体" w:hAnsi="宋体"/>
                <w:sz w:val="24"/>
                <w:szCs w:val="24"/>
              </w:rPr>
              <w:t>供应商</w:t>
            </w:r>
            <w:r>
              <w:rPr>
                <w:rFonts w:ascii="宋体" w:hAnsi="宋体" w:cs="宋体"/>
                <w:sz w:val="24"/>
                <w:szCs w:val="24"/>
              </w:rPr>
              <w:t>在生成电子化响应文件后，应对电子化响应文件进行签章，未进行签章的视为无效</w:t>
            </w:r>
            <w:r>
              <w:rPr>
                <w:rFonts w:hint="eastAsia" w:ascii="宋体" w:hAnsi="宋体" w:cs="宋体"/>
                <w:sz w:val="24"/>
                <w:szCs w:val="24"/>
              </w:rPr>
              <w:t>文件</w:t>
            </w:r>
            <w:r>
              <w:rPr>
                <w:rFonts w:ascii="宋体" w:hAnsi="宋体" w:cs="宋体"/>
                <w:sz w:val="24"/>
                <w:szCs w:val="24"/>
              </w:rPr>
              <w:t>。</w:t>
            </w:r>
          </w:p>
          <w:p w14:paraId="6DA3175C">
            <w:pPr>
              <w:spacing w:line="400" w:lineRule="exact"/>
              <w:rPr>
                <w:rFonts w:ascii="宋体" w:hAnsi="宋体" w:cs="宋体"/>
                <w:sz w:val="24"/>
                <w:szCs w:val="24"/>
              </w:rPr>
            </w:pPr>
            <w:r>
              <w:rPr>
                <w:rFonts w:ascii="宋体" w:hAnsi="宋体" w:cs="宋体"/>
                <w:sz w:val="24"/>
                <w:szCs w:val="24"/>
              </w:rPr>
              <w:t>2、</w:t>
            </w:r>
            <w:r>
              <w:rPr>
                <w:rFonts w:hint="eastAsia" w:ascii="宋体" w:hAnsi="宋体" w:cs="宋体"/>
                <w:sz w:val="24"/>
                <w:szCs w:val="24"/>
              </w:rPr>
              <w:t>磋商</w:t>
            </w:r>
            <w:r>
              <w:rPr>
                <w:rFonts w:ascii="宋体" w:hAnsi="宋体" w:cs="宋体"/>
                <w:sz w:val="24"/>
                <w:szCs w:val="24"/>
              </w:rPr>
              <w:t>文件中要求法定代表人或</w:t>
            </w:r>
            <w:r>
              <w:rPr>
                <w:rFonts w:hint="eastAsia" w:ascii="宋体" w:hAnsi="宋体" w:cs="宋体"/>
                <w:sz w:val="24"/>
                <w:szCs w:val="24"/>
                <w:lang w:val="en-US" w:eastAsia="zh-CN"/>
              </w:rPr>
              <w:t>其委托代理人</w:t>
            </w:r>
            <w:r>
              <w:rPr>
                <w:rFonts w:ascii="宋体" w:hAnsi="宋体" w:cs="宋体"/>
                <w:sz w:val="24"/>
                <w:szCs w:val="24"/>
              </w:rPr>
              <w:t>签字或</w:t>
            </w:r>
            <w:r>
              <w:rPr>
                <w:rFonts w:hint="eastAsia" w:ascii="宋体" w:hAnsi="宋体" w:cs="宋体"/>
                <w:sz w:val="24"/>
                <w:szCs w:val="24"/>
                <w:lang w:val="en-US" w:eastAsia="zh-CN"/>
              </w:rPr>
              <w:t>签</w:t>
            </w:r>
            <w:r>
              <w:rPr>
                <w:rFonts w:ascii="宋体" w:hAnsi="宋体" w:cs="宋体"/>
                <w:sz w:val="24"/>
                <w:szCs w:val="24"/>
              </w:rPr>
              <w:t>章的，</w:t>
            </w:r>
            <w:r>
              <w:rPr>
                <w:rFonts w:hint="eastAsia" w:ascii="宋体" w:hAnsi="宋体"/>
                <w:sz w:val="24"/>
                <w:szCs w:val="24"/>
              </w:rPr>
              <w:t>供应商</w:t>
            </w:r>
            <w:r>
              <w:rPr>
                <w:rFonts w:ascii="宋体" w:hAnsi="宋体" w:cs="宋体"/>
                <w:sz w:val="24"/>
                <w:szCs w:val="24"/>
              </w:rPr>
              <w:t>在进行电子化响应文件</w:t>
            </w:r>
            <w:r>
              <w:rPr>
                <w:rFonts w:hint="eastAsia" w:ascii="宋体" w:hAnsi="宋体" w:cs="宋体"/>
                <w:sz w:val="24"/>
                <w:szCs w:val="24"/>
              </w:rPr>
              <w:t>需逐页</w:t>
            </w:r>
            <w:r>
              <w:rPr>
                <w:rFonts w:ascii="宋体" w:hAnsi="宋体" w:cs="宋体"/>
                <w:sz w:val="24"/>
                <w:szCs w:val="24"/>
              </w:rPr>
              <w:t>签章</w:t>
            </w:r>
            <w:r>
              <w:rPr>
                <w:rFonts w:hint="eastAsia" w:ascii="宋体" w:hAnsi="宋体" w:cs="宋体"/>
                <w:sz w:val="24"/>
                <w:szCs w:val="24"/>
              </w:rPr>
              <w:t>，</w:t>
            </w:r>
            <w:r>
              <w:rPr>
                <w:rFonts w:ascii="宋体" w:hAnsi="宋体" w:cs="宋体"/>
                <w:sz w:val="24"/>
                <w:szCs w:val="24"/>
              </w:rPr>
              <w:t>签章时以签盖法定代表人签章为准。</w:t>
            </w:r>
          </w:p>
          <w:p w14:paraId="186D6686">
            <w:pPr>
              <w:spacing w:line="400" w:lineRule="exact"/>
              <w:rPr>
                <w:rFonts w:ascii="宋体" w:hAnsi="宋体" w:cs="宋体"/>
                <w:sz w:val="24"/>
                <w:szCs w:val="24"/>
              </w:rPr>
            </w:pPr>
            <w:r>
              <w:rPr>
                <w:rFonts w:ascii="宋体" w:hAnsi="宋体" w:cs="宋体"/>
                <w:sz w:val="24"/>
                <w:szCs w:val="24"/>
              </w:rPr>
              <w:t>（三）电子化响应文件的格式及上传投标</w:t>
            </w:r>
          </w:p>
          <w:p w14:paraId="478E96CE">
            <w:pPr>
              <w:widowControl w:val="0"/>
              <w:snapToGrid w:val="0"/>
              <w:spacing w:line="400" w:lineRule="exact"/>
              <w:jc w:val="both"/>
              <w:rPr>
                <w:rStyle w:val="22"/>
                <w:rFonts w:hint="eastAsia"/>
              </w:rPr>
            </w:pPr>
            <w:r>
              <w:rPr>
                <w:rFonts w:ascii="宋体" w:hAnsi="宋体" w:cs="宋体"/>
                <w:sz w:val="24"/>
                <w:szCs w:val="24"/>
              </w:rPr>
              <w:t>1、</w:t>
            </w:r>
            <w:r>
              <w:rPr>
                <w:rFonts w:hint="eastAsia" w:ascii="宋体" w:hAnsi="宋体" w:cs="宋体"/>
                <w:sz w:val="24"/>
                <w:szCs w:val="24"/>
              </w:rPr>
              <w:t>供应商所上传的电子化磋商响应文件，应是通过中心磋商响应文件制作系统制作的</w:t>
            </w:r>
            <w:r>
              <w:rPr>
                <w:rFonts w:hint="eastAsia" w:ascii="宋体" w:hAnsi="宋体" w:cs="宋体"/>
                <w:sz w:val="24"/>
                <w:szCs w:val="24"/>
                <w:lang w:eastAsia="zh-CN"/>
              </w:rPr>
              <w:t>（</w:t>
            </w:r>
            <w:r>
              <w:rPr>
                <w:rFonts w:hint="eastAsia" w:ascii="宋体" w:hAnsi="宋体" w:cs="宋体"/>
                <w:sz w:val="24"/>
                <w:szCs w:val="24"/>
              </w:rPr>
              <w:t>响应文件制作工具下载地址：</w:t>
            </w:r>
            <w:r>
              <w:rPr>
                <w:rFonts w:hint="eastAsia"/>
              </w:rPr>
              <w:fldChar w:fldCharType="begin"/>
            </w:r>
            <w:r>
              <w:rPr>
                <w:rStyle w:val="22"/>
                <w:rFonts w:hint="eastAsia"/>
              </w:rPr>
              <w:instrText xml:space="preserve"> HYPERLINK "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 </w:instrText>
            </w:r>
            <w:r>
              <w:rPr>
                <w:rFonts w:hint="eastAsia"/>
              </w:rPr>
              <w:fldChar w:fldCharType="separate"/>
            </w:r>
            <w:r>
              <w:rPr>
                <w:rStyle w:val="22"/>
                <w:rFonts w:hint="eastAsia"/>
              </w:rPr>
              <w:t>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r>
              <w:rPr>
                <w:rFonts w:hint="eastAsia"/>
              </w:rPr>
              <w:fldChar w:fldCharType="end"/>
            </w:r>
          </w:p>
          <w:p w14:paraId="373B15CF">
            <w:pPr>
              <w:widowControl w:val="0"/>
              <w:snapToGrid w:val="0"/>
              <w:spacing w:line="400" w:lineRule="exact"/>
              <w:jc w:val="both"/>
              <w:rPr>
                <w:rFonts w:hint="eastAsia" w:ascii="宋体" w:hAnsi="宋体"/>
                <w:bCs/>
                <w:sz w:val="24"/>
                <w:szCs w:val="24"/>
              </w:rPr>
            </w:pPr>
            <w:r>
              <w:rPr>
                <w:rFonts w:ascii="宋体" w:hAnsi="宋体" w:cs="宋体"/>
                <w:bCs/>
                <w:sz w:val="24"/>
                <w:szCs w:val="24"/>
              </w:rPr>
              <w:t>注：</w:t>
            </w:r>
            <w:r>
              <w:rPr>
                <w:rFonts w:hint="eastAsia" w:ascii="宋体" w:hAnsi="宋体" w:cs="宋体"/>
                <w:bCs/>
                <w:sz w:val="24"/>
                <w:szCs w:val="24"/>
              </w:rPr>
              <w:t>供应商投报多个标段的，每个标段均要生成独立的电子响应文件。</w:t>
            </w:r>
          </w:p>
          <w:p w14:paraId="57681481">
            <w:pPr>
              <w:widowControl w:val="0"/>
              <w:snapToGrid w:val="0"/>
              <w:spacing w:line="400" w:lineRule="exact"/>
              <w:jc w:val="both"/>
              <w:rPr>
                <w:rFonts w:ascii="宋体" w:hAnsi="宋体"/>
                <w:sz w:val="24"/>
                <w:szCs w:val="24"/>
              </w:rPr>
            </w:pPr>
            <w:r>
              <w:rPr>
                <w:rFonts w:ascii="宋体" w:hAnsi="宋体"/>
                <w:sz w:val="24"/>
                <w:szCs w:val="24"/>
              </w:rPr>
              <w:t>2</w:t>
            </w:r>
            <w:r>
              <w:rPr>
                <w:rFonts w:ascii="宋体" w:hAnsi="宋体" w:cs="宋体"/>
                <w:sz w:val="24"/>
                <w:szCs w:val="24"/>
              </w:rPr>
              <w:t>、电子化响应文件应在</w:t>
            </w:r>
            <w:r>
              <w:rPr>
                <w:rFonts w:hint="eastAsia" w:ascii="宋体" w:hAnsi="宋体" w:cs="宋体"/>
                <w:sz w:val="24"/>
                <w:szCs w:val="24"/>
              </w:rPr>
              <w:t>递交</w:t>
            </w:r>
            <w:r>
              <w:rPr>
                <w:rFonts w:ascii="宋体" w:hAnsi="宋体" w:cs="宋体"/>
                <w:sz w:val="24"/>
                <w:szCs w:val="24"/>
              </w:rPr>
              <w:t>截止时间前成功上传至三门峡市公共资源电子化交易系统。至</w:t>
            </w:r>
            <w:r>
              <w:rPr>
                <w:rFonts w:hint="eastAsia" w:ascii="宋体" w:hAnsi="宋体" w:cs="宋体"/>
                <w:sz w:val="24"/>
                <w:szCs w:val="24"/>
              </w:rPr>
              <w:t>开标</w:t>
            </w:r>
            <w:r>
              <w:rPr>
                <w:rFonts w:ascii="宋体" w:hAnsi="宋体" w:cs="宋体"/>
                <w:sz w:val="24"/>
                <w:szCs w:val="24"/>
              </w:rPr>
              <w:t>截止时间止，仍未上传成功的电子化响应文件将不予接收。</w:t>
            </w:r>
          </w:p>
          <w:p w14:paraId="4C38066C">
            <w:pPr>
              <w:widowControl w:val="0"/>
              <w:snapToGrid w:val="0"/>
              <w:spacing w:line="400" w:lineRule="exact"/>
              <w:jc w:val="both"/>
              <w:rPr>
                <w:rFonts w:ascii="宋体" w:hAnsi="宋体"/>
                <w:sz w:val="24"/>
                <w:szCs w:val="24"/>
              </w:rPr>
            </w:pPr>
            <w:r>
              <w:rPr>
                <w:rFonts w:ascii="宋体" w:hAnsi="宋体" w:cs="宋体"/>
                <w:b w:val="0"/>
                <w:bCs/>
                <w:sz w:val="24"/>
                <w:szCs w:val="24"/>
              </w:rPr>
              <w:t>注：如按照电子化投标操作教材制作完成的电子化响应文件无法上传的，</w:t>
            </w:r>
            <w:r>
              <w:rPr>
                <w:rFonts w:hint="eastAsia" w:ascii="宋体" w:hAnsi="宋体"/>
                <w:b w:val="0"/>
                <w:bCs/>
                <w:sz w:val="24"/>
                <w:szCs w:val="24"/>
              </w:rPr>
              <w:t>供应商</w:t>
            </w:r>
            <w:r>
              <w:rPr>
                <w:rFonts w:ascii="宋体" w:hAnsi="宋体" w:cs="宋体"/>
                <w:b w:val="0"/>
                <w:bCs/>
                <w:sz w:val="24"/>
                <w:szCs w:val="24"/>
              </w:rPr>
              <w:t>应在</w:t>
            </w:r>
            <w:r>
              <w:rPr>
                <w:rFonts w:hint="eastAsia" w:ascii="宋体" w:hAnsi="宋体" w:cs="宋体"/>
                <w:b w:val="0"/>
                <w:bCs/>
                <w:sz w:val="24"/>
                <w:szCs w:val="24"/>
              </w:rPr>
              <w:t>开标</w:t>
            </w:r>
            <w:r>
              <w:rPr>
                <w:rFonts w:ascii="宋体" w:hAnsi="宋体" w:cs="宋体"/>
                <w:b w:val="0"/>
                <w:bCs/>
                <w:sz w:val="24"/>
                <w:szCs w:val="24"/>
              </w:rPr>
              <w:t>截止时间前尽早的联系中心技术人员，以便有充分的时间进行处理。</w:t>
            </w:r>
            <w:r>
              <w:rPr>
                <w:rFonts w:hint="eastAsia" w:ascii="宋体" w:hAnsi="宋体" w:cs="宋体"/>
                <w:b w:val="0"/>
                <w:bCs/>
                <w:sz w:val="24"/>
                <w:szCs w:val="24"/>
              </w:rPr>
              <w:t>供应商</w:t>
            </w:r>
            <w:r>
              <w:rPr>
                <w:rFonts w:ascii="宋体" w:hAnsi="宋体" w:cs="宋体"/>
                <w:b w:val="0"/>
                <w:bCs/>
                <w:sz w:val="24"/>
                <w:szCs w:val="24"/>
              </w:rPr>
              <w:t>应充分考虑到处理技术问题和上传数据等工作所需的时间问题，响应文件未在</w:t>
            </w:r>
            <w:r>
              <w:rPr>
                <w:rFonts w:hint="eastAsia" w:ascii="宋体" w:hAnsi="宋体" w:cs="宋体"/>
                <w:b w:val="0"/>
                <w:bCs/>
                <w:sz w:val="24"/>
                <w:szCs w:val="24"/>
              </w:rPr>
              <w:t>开</w:t>
            </w:r>
            <w:r>
              <w:rPr>
                <w:rFonts w:ascii="宋体" w:hAnsi="宋体" w:cs="宋体"/>
                <w:b w:val="0"/>
                <w:bCs/>
                <w:sz w:val="24"/>
                <w:szCs w:val="24"/>
              </w:rPr>
              <w:t>标截止时间前成功上传的，其响应文件不予接收。</w:t>
            </w:r>
          </w:p>
          <w:p w14:paraId="60777855">
            <w:pPr>
              <w:widowControl w:val="0"/>
              <w:snapToGrid w:val="0"/>
              <w:spacing w:line="400" w:lineRule="exact"/>
              <w:jc w:val="both"/>
              <w:rPr>
                <w:rFonts w:ascii="宋体" w:hAnsi="宋体"/>
                <w:sz w:val="24"/>
                <w:szCs w:val="24"/>
              </w:rPr>
            </w:pPr>
            <w:r>
              <w:rPr>
                <w:rFonts w:ascii="宋体" w:hAnsi="宋体" w:cs="宋体"/>
                <w:sz w:val="24"/>
                <w:szCs w:val="24"/>
              </w:rPr>
              <w:t>技术联系电话：</w:t>
            </w:r>
            <w:r>
              <w:rPr>
                <w:rFonts w:hint="eastAsia" w:ascii="宋体" w:hAnsi="宋体"/>
                <w:sz w:val="24"/>
                <w:szCs w:val="24"/>
              </w:rPr>
              <w:t>400 998 0000</w:t>
            </w:r>
          </w:p>
          <w:p w14:paraId="52F6B26F">
            <w:pPr>
              <w:widowControl w:val="0"/>
              <w:snapToGrid w:val="0"/>
              <w:spacing w:line="400" w:lineRule="exact"/>
              <w:jc w:val="both"/>
              <w:rPr>
                <w:rFonts w:ascii="宋体" w:hAnsi="宋体"/>
                <w:sz w:val="24"/>
                <w:szCs w:val="24"/>
              </w:rPr>
            </w:pPr>
            <w:r>
              <w:rPr>
                <w:rFonts w:ascii="宋体" w:hAnsi="宋体" w:cs="宋体"/>
                <w:sz w:val="24"/>
                <w:szCs w:val="24"/>
              </w:rPr>
              <w:t>（四）电子化项目开标、解密、唱标、</w:t>
            </w:r>
            <w:r>
              <w:rPr>
                <w:rFonts w:hint="eastAsia" w:ascii="宋体" w:hAnsi="宋体" w:cs="宋体"/>
                <w:sz w:val="24"/>
                <w:szCs w:val="24"/>
              </w:rPr>
              <w:t>磋商</w:t>
            </w:r>
          </w:p>
          <w:p w14:paraId="7753F2FB">
            <w:pPr>
              <w:widowControl w:val="0"/>
              <w:snapToGrid w:val="0"/>
              <w:spacing w:line="400" w:lineRule="exact"/>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本项目采用电子化、无纸化进行招标，开标当日，供应商无需到开标现场参加开标会议；</w:t>
            </w:r>
          </w:p>
          <w:p w14:paraId="787D73C9">
            <w:pPr>
              <w:widowControl w:val="0"/>
              <w:wordWrap w:val="0"/>
              <w:snapToGrid w:val="0"/>
              <w:spacing w:line="400" w:lineRule="exact"/>
              <w:rPr>
                <w:rFonts w:ascii="宋体" w:hAnsi="宋体"/>
                <w:sz w:val="24"/>
                <w:szCs w:val="24"/>
              </w:rPr>
            </w:pPr>
            <w:r>
              <w:rPr>
                <w:rFonts w:ascii="宋体" w:hAnsi="宋体" w:cs="宋体"/>
                <w:sz w:val="24"/>
                <w:szCs w:val="24"/>
              </w:rPr>
              <w:t>2、开标时，</w:t>
            </w:r>
            <w:r>
              <w:rPr>
                <w:rFonts w:hint="eastAsia" w:ascii="宋体" w:hAnsi="宋体" w:cs="宋体"/>
                <w:sz w:val="24"/>
                <w:szCs w:val="24"/>
              </w:rPr>
              <w:t>登陆三门</w:t>
            </w:r>
            <w:r>
              <w:rPr>
                <w:rFonts w:hint="eastAsia" w:ascii="宋体" w:hAnsi="宋体"/>
                <w:sz w:val="24"/>
                <w:szCs w:val="24"/>
                <w:shd w:val="clear" w:color="auto" w:fill="FFFFFF"/>
              </w:rPr>
              <w:t>峡市公共资源电子招投标系统进行登陆（网址为</w:t>
            </w:r>
            <w:r>
              <w:rPr>
                <w:rFonts w:hint="eastAsia" w:ascii="Times New Roman" w:hAnsi="Times New Roman"/>
                <w:sz w:val="24"/>
                <w:szCs w:val="24"/>
              </w:rPr>
              <w:t>http://120.194.249.36:10094/BidOpening/bidopeninghallaction/hall/login</w:t>
            </w:r>
            <w:r>
              <w:rPr>
                <w:rFonts w:hint="eastAsia" w:ascii="宋体" w:hAnsi="宋体"/>
                <w:sz w:val="24"/>
                <w:szCs w:val="24"/>
                <w:shd w:val="clear" w:color="auto" w:fill="FFFFFF"/>
              </w:rPr>
              <w:t>）,在线准时参加开标活动并进行响应文件解密</w:t>
            </w:r>
            <w:r>
              <w:rPr>
                <w:rFonts w:ascii="宋体" w:hAnsi="宋体" w:cs="宋体"/>
                <w:sz w:val="24"/>
                <w:szCs w:val="24"/>
              </w:rPr>
              <w:t>。每位</w:t>
            </w:r>
            <w:r>
              <w:rPr>
                <w:rFonts w:hint="eastAsia" w:ascii="宋体" w:hAnsi="宋体" w:cs="宋体"/>
                <w:sz w:val="24"/>
                <w:szCs w:val="24"/>
              </w:rPr>
              <w:t>供应商</w:t>
            </w:r>
            <w:r>
              <w:rPr>
                <w:rFonts w:ascii="宋体" w:hAnsi="宋体" w:cs="宋体"/>
                <w:sz w:val="24"/>
                <w:szCs w:val="24"/>
              </w:rPr>
              <w:t>的解密时间为开标时间起</w:t>
            </w:r>
            <w:r>
              <w:rPr>
                <w:rFonts w:hint="eastAsia" w:ascii="宋体" w:hAnsi="宋体"/>
                <w:sz w:val="24"/>
                <w:szCs w:val="24"/>
              </w:rPr>
              <w:t>30</w:t>
            </w:r>
            <w:r>
              <w:rPr>
                <w:rFonts w:ascii="宋体" w:hAnsi="宋体" w:cs="宋体"/>
                <w:sz w:val="24"/>
                <w:szCs w:val="24"/>
              </w:rPr>
              <w:t>分钟内完成。待所有</w:t>
            </w:r>
            <w:r>
              <w:rPr>
                <w:rFonts w:hint="eastAsia" w:ascii="宋体" w:hAnsi="宋体"/>
                <w:sz w:val="24"/>
                <w:szCs w:val="24"/>
              </w:rPr>
              <w:t>供应商</w:t>
            </w:r>
            <w:r>
              <w:rPr>
                <w:rFonts w:ascii="宋体" w:hAnsi="宋体" w:cs="宋体"/>
                <w:sz w:val="24"/>
                <w:szCs w:val="24"/>
              </w:rPr>
              <w:t>全部解密完成后，</w:t>
            </w:r>
            <w:r>
              <w:rPr>
                <w:rFonts w:hint="eastAsia" w:ascii="宋体" w:hAnsi="宋体" w:cs="宋体"/>
                <w:sz w:val="24"/>
                <w:szCs w:val="24"/>
              </w:rPr>
              <w:t>由中介服务机构操作，对所有已解密响应文件进行唱标。</w:t>
            </w:r>
          </w:p>
          <w:p w14:paraId="52BFC3CB">
            <w:pPr>
              <w:widowControl w:val="0"/>
              <w:snapToGrid w:val="0"/>
              <w:spacing w:line="400" w:lineRule="exact"/>
              <w:jc w:val="both"/>
              <w:rPr>
                <w:rFonts w:ascii="宋体" w:hAnsi="宋体"/>
                <w:b/>
                <w:sz w:val="24"/>
                <w:szCs w:val="24"/>
              </w:rPr>
            </w:pPr>
            <w:r>
              <w:rPr>
                <w:rFonts w:ascii="宋体" w:hAnsi="宋体"/>
                <w:sz w:val="24"/>
                <w:szCs w:val="24"/>
              </w:rPr>
              <w:t>3</w:t>
            </w:r>
            <w:r>
              <w:rPr>
                <w:rFonts w:ascii="宋体" w:hAnsi="宋体" w:cs="宋体"/>
                <w:sz w:val="24"/>
                <w:szCs w:val="24"/>
              </w:rPr>
              <w:t>、电子化</w:t>
            </w:r>
            <w:r>
              <w:rPr>
                <w:rFonts w:hint="eastAsia" w:ascii="宋体" w:hAnsi="宋体" w:cs="宋体"/>
                <w:sz w:val="24"/>
                <w:szCs w:val="24"/>
              </w:rPr>
              <w:t>响应</w:t>
            </w:r>
            <w:r>
              <w:rPr>
                <w:rFonts w:ascii="宋体" w:hAnsi="宋体" w:cs="宋体"/>
                <w:sz w:val="24"/>
                <w:szCs w:val="24"/>
              </w:rPr>
              <w:t>文件解密异常的处理</w:t>
            </w:r>
          </w:p>
          <w:p w14:paraId="3711FEE6">
            <w:pPr>
              <w:widowControl w:val="0"/>
              <w:snapToGrid w:val="0"/>
              <w:spacing w:line="400" w:lineRule="exact"/>
              <w:jc w:val="both"/>
              <w:rPr>
                <w:rFonts w:ascii="宋体" w:hAnsi="宋体"/>
                <w:sz w:val="24"/>
                <w:szCs w:val="24"/>
              </w:rPr>
            </w:pPr>
            <w:r>
              <w:rPr>
                <w:rFonts w:ascii="宋体" w:hAnsi="宋体" w:cs="宋体"/>
                <w:sz w:val="24"/>
                <w:szCs w:val="24"/>
              </w:rPr>
              <w:t>如出现</w:t>
            </w:r>
            <w:r>
              <w:rPr>
                <w:rFonts w:hint="eastAsia" w:ascii="宋体" w:hAnsi="宋体"/>
                <w:sz w:val="24"/>
                <w:szCs w:val="24"/>
              </w:rPr>
              <w:t>供应商</w:t>
            </w:r>
            <w:r>
              <w:rPr>
                <w:rFonts w:ascii="宋体" w:hAnsi="宋体" w:cs="宋体"/>
                <w:sz w:val="24"/>
                <w:szCs w:val="24"/>
              </w:rPr>
              <w:t>的电子响应文件无法解密等异常情况，</w:t>
            </w:r>
            <w:r>
              <w:rPr>
                <w:rFonts w:hint="eastAsia" w:ascii="宋体" w:hAnsi="宋体"/>
                <w:sz w:val="24"/>
                <w:szCs w:val="24"/>
              </w:rPr>
              <w:t>供应商</w:t>
            </w:r>
            <w:r>
              <w:rPr>
                <w:rFonts w:ascii="宋体" w:hAnsi="宋体" w:cs="宋体"/>
                <w:sz w:val="24"/>
                <w:szCs w:val="24"/>
              </w:rPr>
              <w:t>应及时致电中介服务机构说明。</w:t>
            </w:r>
            <w:r>
              <w:rPr>
                <w:rFonts w:hint="eastAsia" w:ascii="宋体" w:hAnsi="宋体" w:cs="宋体"/>
                <w:sz w:val="24"/>
                <w:szCs w:val="24"/>
              </w:rPr>
              <w:t>响应</w:t>
            </w:r>
            <w:r>
              <w:rPr>
                <w:rFonts w:ascii="宋体" w:hAnsi="宋体" w:cs="宋体"/>
                <w:sz w:val="24"/>
                <w:szCs w:val="24"/>
              </w:rPr>
              <w:t>文件异常，按以下步骤进行处理：</w:t>
            </w:r>
          </w:p>
          <w:p w14:paraId="7E9228F4">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1</w:t>
            </w:r>
            <w:r>
              <w:rPr>
                <w:rFonts w:ascii="宋体" w:hAnsi="宋体" w:cs="宋体"/>
                <w:sz w:val="24"/>
                <w:szCs w:val="24"/>
              </w:rPr>
              <w:t>）首先由技术人员进行问题排查。</w:t>
            </w:r>
          </w:p>
          <w:p w14:paraId="06660886">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2</w:t>
            </w:r>
            <w:r>
              <w:rPr>
                <w:rFonts w:ascii="宋体" w:hAnsi="宋体" w:cs="宋体"/>
                <w:sz w:val="24"/>
                <w:szCs w:val="24"/>
              </w:rPr>
              <w:t>）经技术人员排查后，是</w:t>
            </w:r>
            <w:r>
              <w:rPr>
                <w:rFonts w:hint="eastAsia" w:ascii="宋体" w:hAnsi="宋体" w:cs="宋体"/>
                <w:sz w:val="24"/>
                <w:szCs w:val="24"/>
              </w:rPr>
              <w:t>供应商</w:t>
            </w:r>
            <w:r>
              <w:rPr>
                <w:rFonts w:ascii="宋体" w:hAnsi="宋体" w:cs="宋体"/>
                <w:sz w:val="24"/>
                <w:szCs w:val="24"/>
              </w:rPr>
              <w:t>文件自身问题导致响应文件无法解密的，该</w:t>
            </w:r>
            <w:r>
              <w:rPr>
                <w:rFonts w:hint="eastAsia" w:ascii="宋体" w:hAnsi="宋体" w:cs="宋体"/>
                <w:sz w:val="24"/>
                <w:szCs w:val="24"/>
              </w:rPr>
              <w:t>响应</w:t>
            </w:r>
            <w:r>
              <w:rPr>
                <w:rFonts w:ascii="宋体" w:hAnsi="宋体" w:cs="宋体"/>
                <w:sz w:val="24"/>
                <w:szCs w:val="24"/>
              </w:rPr>
              <w:t>文件将不予接收、解密和唱标。开标会议继续进行。</w:t>
            </w:r>
          </w:p>
          <w:p w14:paraId="6AF90C9B">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3</w:t>
            </w:r>
            <w:r>
              <w:rPr>
                <w:rFonts w:ascii="宋体" w:hAnsi="宋体" w:cs="宋体"/>
                <w:sz w:val="24"/>
                <w:szCs w:val="24"/>
              </w:rPr>
              <w:t>）经技术人员排查后，如果是电子化交易系统问题造成</w:t>
            </w:r>
            <w:r>
              <w:rPr>
                <w:rFonts w:hint="eastAsia" w:ascii="宋体" w:hAnsi="宋体" w:cs="宋体"/>
                <w:sz w:val="24"/>
                <w:szCs w:val="24"/>
              </w:rPr>
              <w:t>响应</w:t>
            </w:r>
            <w:r>
              <w:rPr>
                <w:rFonts w:ascii="宋体" w:hAnsi="宋体" w:cs="宋体"/>
                <w:sz w:val="24"/>
                <w:szCs w:val="24"/>
              </w:rPr>
              <w:t>文件无法解密的，将由技术人员对问题进行处理。如短时间内问题无法解决的，将由中介服务机构向监督部门申请，经监督部门同意后，暂停开标会议，待问题解决后继续开标。</w:t>
            </w:r>
          </w:p>
          <w:p w14:paraId="59699C67">
            <w:pPr>
              <w:widowControl w:val="0"/>
              <w:snapToGrid w:val="0"/>
              <w:spacing w:line="400" w:lineRule="exact"/>
              <w:jc w:val="both"/>
              <w:rPr>
                <w:rFonts w:ascii="宋体" w:hAnsi="宋体"/>
                <w:sz w:val="24"/>
                <w:szCs w:val="24"/>
              </w:rPr>
            </w:pPr>
            <w:r>
              <w:rPr>
                <w:rFonts w:ascii="宋体" w:hAnsi="宋体"/>
                <w:sz w:val="24"/>
                <w:szCs w:val="24"/>
              </w:rPr>
              <w:t>4</w:t>
            </w:r>
            <w:r>
              <w:rPr>
                <w:rFonts w:ascii="宋体" w:hAnsi="宋体" w:cs="宋体"/>
                <w:sz w:val="24"/>
                <w:szCs w:val="24"/>
              </w:rPr>
              <w:t>、待所有</w:t>
            </w:r>
            <w:r>
              <w:rPr>
                <w:rFonts w:hint="eastAsia" w:ascii="宋体" w:hAnsi="宋体" w:cs="宋体"/>
                <w:sz w:val="24"/>
                <w:szCs w:val="24"/>
              </w:rPr>
              <w:t>供应商磋商</w:t>
            </w:r>
            <w:r>
              <w:rPr>
                <w:rFonts w:ascii="宋体" w:hAnsi="宋体" w:cs="宋体"/>
                <w:sz w:val="24"/>
                <w:szCs w:val="24"/>
              </w:rPr>
              <w:t>文件解密完成后，由中介服务机构操作，对所有已解密</w:t>
            </w:r>
            <w:r>
              <w:rPr>
                <w:rFonts w:hint="eastAsia" w:ascii="宋体" w:hAnsi="宋体" w:cs="宋体"/>
                <w:sz w:val="24"/>
                <w:szCs w:val="24"/>
              </w:rPr>
              <w:t>响应</w:t>
            </w:r>
            <w:r>
              <w:rPr>
                <w:rFonts w:ascii="宋体" w:hAnsi="宋体" w:cs="宋体"/>
                <w:sz w:val="24"/>
                <w:szCs w:val="24"/>
              </w:rPr>
              <w:t>文件进行唱标。</w:t>
            </w:r>
          </w:p>
          <w:p w14:paraId="3D6C3977">
            <w:pPr>
              <w:widowControl w:val="0"/>
              <w:snapToGrid w:val="0"/>
              <w:spacing w:line="400" w:lineRule="exact"/>
              <w:jc w:val="both"/>
              <w:rPr>
                <w:rFonts w:ascii="宋体" w:hAnsi="宋体" w:cs="宋体"/>
                <w:b w:val="0"/>
                <w:bCs/>
                <w:sz w:val="24"/>
                <w:szCs w:val="24"/>
              </w:rPr>
            </w:pPr>
            <w:r>
              <w:rPr>
                <w:rFonts w:hint="eastAsia" w:ascii="宋体" w:hAnsi="宋体" w:cs="宋体"/>
                <w:b w:val="0"/>
                <w:bCs/>
                <w:sz w:val="24"/>
                <w:szCs w:val="24"/>
              </w:rPr>
              <w:t>供应商</w:t>
            </w:r>
            <w:r>
              <w:rPr>
                <w:rFonts w:ascii="宋体" w:hAnsi="宋体" w:cs="宋体"/>
                <w:b w:val="0"/>
                <w:bCs/>
                <w:sz w:val="24"/>
                <w:szCs w:val="24"/>
              </w:rPr>
              <w:t>应保证在开标期间电话、电脑、网络能够正常工作，</w:t>
            </w:r>
            <w:r>
              <w:rPr>
                <w:rFonts w:hint="eastAsia" w:ascii="宋体" w:hAnsi="宋体" w:cs="宋体"/>
                <w:b w:val="0"/>
                <w:bCs/>
                <w:sz w:val="24"/>
                <w:szCs w:val="24"/>
              </w:rPr>
              <w:t>供应商</w:t>
            </w:r>
            <w:r>
              <w:rPr>
                <w:rFonts w:ascii="宋体" w:hAnsi="宋体" w:cs="宋体"/>
                <w:b w:val="0"/>
                <w:bCs/>
                <w:sz w:val="24"/>
                <w:szCs w:val="24"/>
              </w:rPr>
              <w:t>因停电、电脑病毒、网络堵塞等原因，未在规定的解密时间内对响应文件进行解密的，其响应文件不予接收、唱标。</w:t>
            </w:r>
          </w:p>
          <w:p w14:paraId="07D39C83">
            <w:pPr>
              <w:widowControl w:val="0"/>
              <w:snapToGrid w:val="0"/>
              <w:spacing w:line="400" w:lineRule="exact"/>
              <w:jc w:val="both"/>
              <w:rPr>
                <w:rFonts w:ascii="宋体" w:hAnsi="宋体" w:cs="宋体"/>
                <w:sz w:val="24"/>
                <w:szCs w:val="24"/>
              </w:rPr>
            </w:pPr>
            <w:r>
              <w:rPr>
                <w:rFonts w:ascii="宋体" w:hAnsi="宋体" w:cs="宋体"/>
                <w:sz w:val="24"/>
                <w:szCs w:val="24"/>
              </w:rPr>
              <w:t>5、开标时</w:t>
            </w:r>
            <w:r>
              <w:rPr>
                <w:rFonts w:hint="eastAsia" w:ascii="宋体" w:hAnsi="宋体"/>
                <w:sz w:val="24"/>
                <w:szCs w:val="24"/>
              </w:rPr>
              <w:t>供应商</w:t>
            </w:r>
            <w:r>
              <w:rPr>
                <w:rFonts w:ascii="宋体" w:hAnsi="宋体" w:cs="宋体"/>
                <w:sz w:val="24"/>
                <w:szCs w:val="24"/>
              </w:rPr>
              <w:t>可登录到交易系统中在开标解密栏</w:t>
            </w:r>
            <w:r>
              <w:rPr>
                <w:rFonts w:hint="eastAsia" w:ascii="宋体" w:hAnsi="宋体" w:cs="宋体"/>
                <w:sz w:val="24"/>
                <w:szCs w:val="24"/>
                <w:lang w:val="en-US" w:eastAsia="zh-CN"/>
              </w:rPr>
              <w:t>中点击报价一览表</w:t>
            </w:r>
            <w:r>
              <w:rPr>
                <w:rFonts w:ascii="宋体" w:hAnsi="宋体" w:cs="宋体"/>
                <w:sz w:val="24"/>
                <w:szCs w:val="24"/>
              </w:rPr>
              <w:t>查看自己的报价。如对自己的唱标内容有异议的，应在</w:t>
            </w:r>
            <w:r>
              <w:rPr>
                <w:rFonts w:hint="eastAsia" w:ascii="宋体" w:hAnsi="宋体"/>
                <w:sz w:val="24"/>
                <w:szCs w:val="24"/>
              </w:rPr>
              <w:t>供应商</w:t>
            </w:r>
            <w:r>
              <w:rPr>
                <w:rFonts w:ascii="宋体" w:hAnsi="宋体" w:cs="宋体"/>
                <w:sz w:val="24"/>
                <w:szCs w:val="24"/>
              </w:rPr>
              <w:t>解密成功后</w:t>
            </w:r>
            <w:r>
              <w:rPr>
                <w:rFonts w:hint="eastAsia" w:ascii="宋体" w:hAnsi="宋体" w:cs="宋体"/>
                <w:sz w:val="24"/>
                <w:szCs w:val="24"/>
              </w:rPr>
              <w:t>1</w:t>
            </w:r>
            <w:r>
              <w:rPr>
                <w:rFonts w:ascii="宋体" w:hAnsi="宋体" w:cs="宋体"/>
                <w:sz w:val="24"/>
                <w:szCs w:val="24"/>
              </w:rPr>
              <w:t>0分钟内向中介服务机构</w:t>
            </w:r>
            <w:r>
              <w:rPr>
                <w:rFonts w:hint="eastAsia" w:ascii="宋体" w:hAnsi="宋体" w:cs="宋体"/>
                <w:sz w:val="24"/>
                <w:szCs w:val="24"/>
                <w:lang w:val="en-US" w:eastAsia="zh-CN"/>
              </w:rPr>
              <w:t>通过开标大厅对话框提出质疑</w:t>
            </w:r>
            <w:r>
              <w:rPr>
                <w:rFonts w:hint="eastAsia" w:ascii="宋体" w:hAnsi="宋体" w:cs="宋体"/>
                <w:sz w:val="24"/>
                <w:szCs w:val="24"/>
                <w:lang w:eastAsia="zh-CN"/>
              </w:rPr>
              <w:t>，</w:t>
            </w:r>
            <w:r>
              <w:rPr>
                <w:rFonts w:ascii="宋体" w:hAnsi="宋体" w:cs="宋体"/>
                <w:sz w:val="24"/>
                <w:szCs w:val="24"/>
              </w:rPr>
              <w:t>中介服务机构应做好书面记录。</w:t>
            </w:r>
            <w:r>
              <w:rPr>
                <w:rFonts w:hint="eastAsia" w:ascii="宋体" w:hAnsi="宋体"/>
                <w:sz w:val="24"/>
                <w:szCs w:val="24"/>
              </w:rPr>
              <w:t>供应商</w:t>
            </w:r>
            <w:r>
              <w:rPr>
                <w:rFonts w:ascii="宋体" w:hAnsi="宋体" w:cs="宋体"/>
                <w:sz w:val="24"/>
                <w:szCs w:val="24"/>
              </w:rPr>
              <w:t>未在规定时间内提出质疑的，视为认可唱标内容。</w:t>
            </w:r>
          </w:p>
          <w:p w14:paraId="4E702E40">
            <w:pPr>
              <w:widowControl w:val="0"/>
              <w:snapToGrid w:val="0"/>
              <w:spacing w:line="400" w:lineRule="exact"/>
              <w:jc w:val="both"/>
              <w:rPr>
                <w:rFonts w:ascii="宋体" w:hAnsi="宋体"/>
                <w:sz w:val="24"/>
                <w:szCs w:val="24"/>
              </w:rPr>
            </w:pPr>
            <w:r>
              <w:rPr>
                <w:rFonts w:hint="eastAsia" w:ascii="宋体" w:hAnsi="宋体"/>
                <w:sz w:val="24"/>
                <w:szCs w:val="24"/>
                <w:lang w:val="en-US" w:eastAsia="zh-CN"/>
              </w:rPr>
              <w:t>6</w:t>
            </w:r>
            <w:r>
              <w:rPr>
                <w:rFonts w:ascii="宋体" w:hAnsi="宋体" w:cs="宋体"/>
                <w:sz w:val="24"/>
                <w:szCs w:val="24"/>
              </w:rPr>
              <w:t>、</w:t>
            </w:r>
            <w:r>
              <w:rPr>
                <w:rFonts w:hint="eastAsia" w:ascii="宋体" w:hAnsi="宋体" w:eastAsia="宋体" w:cs="Times New Roman"/>
                <w:sz w:val="24"/>
                <w:szCs w:val="24"/>
                <w:lang w:val="en-US" w:eastAsia="zh-CN"/>
              </w:rPr>
              <w:t>评标时，</w:t>
            </w:r>
            <w:r>
              <w:rPr>
                <w:rFonts w:hint="eastAsia" w:ascii="宋体" w:hAnsi="宋体" w:eastAsia="宋体" w:cs="Times New Roman"/>
                <w:sz w:val="24"/>
                <w:szCs w:val="24"/>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ascii="宋体" w:hAnsi="宋体" w:cs="宋体"/>
                <w:sz w:val="24"/>
                <w:szCs w:val="24"/>
              </w:rPr>
              <w:t>。</w:t>
            </w:r>
          </w:p>
          <w:p w14:paraId="2C4999C6">
            <w:pPr>
              <w:widowControl w:val="0"/>
              <w:snapToGrid w:val="0"/>
              <w:spacing w:line="400" w:lineRule="exact"/>
              <w:jc w:val="both"/>
              <w:rPr>
                <w:rFonts w:hint="eastAsia" w:ascii="宋体" w:hAnsi="宋体" w:eastAsia="宋体" w:cs="Times New Roman"/>
                <w:sz w:val="24"/>
                <w:szCs w:val="24"/>
                <w:lang w:val="en-US" w:eastAsia="zh-CN"/>
              </w:rPr>
            </w:pPr>
            <w:r>
              <w:rPr>
                <w:rFonts w:hint="eastAsia" w:ascii="宋体" w:hAnsi="宋体"/>
                <w:sz w:val="24"/>
                <w:szCs w:val="24"/>
                <w:lang w:val="en-US" w:eastAsia="zh-CN"/>
              </w:rPr>
              <w:t>7</w:t>
            </w:r>
            <w:r>
              <w:rPr>
                <w:rFonts w:ascii="宋体" w:hAnsi="宋体" w:cs="宋体"/>
                <w:sz w:val="24"/>
                <w:szCs w:val="24"/>
              </w:rPr>
              <w:t>、</w:t>
            </w:r>
            <w:r>
              <w:rPr>
                <w:rFonts w:hint="default" w:ascii="宋体" w:hAnsi="宋体" w:eastAsia="宋体" w:cs="Times New Roman"/>
                <w:sz w:val="24"/>
                <w:szCs w:val="24"/>
                <w:lang w:val="en-US" w:eastAsia="zh-CN"/>
              </w:rPr>
              <w:t>如</w:t>
            </w:r>
            <w:r>
              <w:rPr>
                <w:rFonts w:hint="eastAsia" w:ascii="宋体" w:hAnsi="宋体" w:eastAsia="宋体" w:cs="Times New Roman"/>
                <w:sz w:val="24"/>
                <w:szCs w:val="24"/>
              </w:rPr>
              <w:t>磋商小组</w:t>
            </w:r>
            <w:r>
              <w:rPr>
                <w:rFonts w:hint="default" w:ascii="宋体" w:hAnsi="宋体" w:eastAsia="宋体" w:cs="Times New Roman"/>
                <w:sz w:val="24"/>
                <w:szCs w:val="24"/>
                <w:lang w:val="en-US" w:eastAsia="zh-CN"/>
              </w:rPr>
              <w:t>对需要回复的</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在规定时间内通过电子化交易系统未收到回复的，视为</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放弃回复，</w:t>
            </w:r>
            <w:r>
              <w:rPr>
                <w:rFonts w:hint="eastAsia" w:ascii="宋体" w:hAnsi="宋体" w:eastAsia="宋体" w:cs="Times New Roman"/>
                <w:sz w:val="24"/>
                <w:szCs w:val="24"/>
                <w:lang w:val="en-US" w:eastAsia="zh-CN"/>
              </w:rPr>
              <w:t>采购人及采购代理机构不再电话通知。磋商小组</w:t>
            </w:r>
            <w:r>
              <w:rPr>
                <w:rFonts w:hint="default" w:ascii="宋体" w:hAnsi="宋体" w:eastAsia="宋体" w:cs="Times New Roman"/>
                <w:sz w:val="24"/>
                <w:szCs w:val="24"/>
                <w:lang w:val="en-US" w:eastAsia="zh-CN"/>
              </w:rPr>
              <w:t>将自行对需要回复的内容进行认定</w:t>
            </w:r>
            <w:r>
              <w:rPr>
                <w:rFonts w:hint="eastAsia" w:ascii="宋体" w:hAnsi="宋体" w:eastAsia="宋体" w:cs="Times New Roman"/>
                <w:sz w:val="24"/>
                <w:szCs w:val="24"/>
                <w:lang w:val="en-US" w:eastAsia="zh-CN"/>
              </w:rPr>
              <w:t>。</w:t>
            </w:r>
          </w:p>
          <w:p w14:paraId="3579CDBB">
            <w:pPr>
              <w:widowControl w:val="0"/>
              <w:snapToGrid w:val="0"/>
              <w:spacing w:line="400" w:lineRule="exact"/>
              <w:jc w:val="both"/>
              <w:rPr>
                <w:rFonts w:hint="eastAsia" w:ascii="宋体" w:hAnsi="宋体"/>
                <w:sz w:val="24"/>
                <w:szCs w:val="24"/>
              </w:rPr>
            </w:pPr>
            <w:r>
              <w:rPr>
                <w:rFonts w:hint="eastAsia" w:ascii="宋体" w:hAnsi="宋体"/>
                <w:sz w:val="24"/>
                <w:szCs w:val="24"/>
              </w:rPr>
              <w:t>二、相关证书原件的提交</w:t>
            </w:r>
          </w:p>
          <w:p w14:paraId="329C9D5F">
            <w:pPr>
              <w:widowControl w:val="0"/>
              <w:snapToGrid w:val="0"/>
              <w:spacing w:line="400" w:lineRule="exact"/>
              <w:jc w:val="both"/>
              <w:rPr>
                <w:rFonts w:hint="eastAsia" w:ascii="宋体" w:hAnsi="宋体"/>
                <w:sz w:val="24"/>
                <w:szCs w:val="24"/>
              </w:rPr>
            </w:pPr>
            <w:r>
              <w:rPr>
                <w:rFonts w:hint="eastAsia" w:ascii="宋体" w:hAnsi="宋体"/>
                <w:sz w:val="24"/>
                <w:szCs w:val="24"/>
              </w:rPr>
              <w:t>本项目实行资格后审，磋商文件中要求供应商提交资质、业绩、荣誉及单位人员等相关资料原件的，供应商需将原件扫描件制作到电子响应文件中，其上传资料真实性由供应商自行承担，同时，供应商要完善主体库。磋商小组对原件的核验工作按以下条款进行：</w:t>
            </w:r>
          </w:p>
          <w:p w14:paraId="748F9D6A">
            <w:pPr>
              <w:widowControl w:val="0"/>
              <w:snapToGrid w:val="0"/>
              <w:spacing w:line="400" w:lineRule="exact"/>
              <w:jc w:val="both"/>
              <w:rPr>
                <w:rFonts w:hint="eastAsia" w:ascii="宋体" w:hAnsi="宋体"/>
                <w:sz w:val="24"/>
                <w:szCs w:val="24"/>
              </w:rPr>
            </w:pPr>
            <w:r>
              <w:rPr>
                <w:rFonts w:hint="eastAsia" w:ascii="宋体" w:hAnsi="宋体"/>
                <w:sz w:val="24"/>
                <w:szCs w:val="24"/>
              </w:rPr>
              <w:t>（一）评标时，磋商小组先查阅响应文件中是否具有该资料的原件扫描件，其上传资料真实性由供应商自行承担，同时，供应商需要完善主体库信息。本项目需要提交的原件扫描件以开标截止时间前在以供应商自行上传到响应文件中的相应内容为准。规定时间外上传或更改的信息不作为评标依据。评标时不接受供应商所提交的任何原件。</w:t>
            </w:r>
          </w:p>
          <w:p w14:paraId="1FDA6936">
            <w:pPr>
              <w:widowControl w:val="0"/>
              <w:snapToGrid w:val="0"/>
              <w:spacing w:line="400" w:lineRule="exact"/>
              <w:jc w:val="both"/>
              <w:rPr>
                <w:rFonts w:hint="eastAsia" w:ascii="宋体" w:hAnsi="宋体"/>
                <w:sz w:val="24"/>
                <w:szCs w:val="24"/>
              </w:rPr>
            </w:pPr>
            <w:r>
              <w:rPr>
                <w:rFonts w:hint="eastAsia" w:ascii="宋体" w:hAnsi="宋体"/>
                <w:sz w:val="24"/>
                <w:szCs w:val="24"/>
              </w:rPr>
              <w:t>（二）供应商需应仔细阅读操作手册，保证上传内容齐全，真实有效，原件扫描件清晰可辨。因供应商上传原因导致应得分项而未得分或资格审查不合格等情况的，由供应商自行承担责任。</w:t>
            </w:r>
          </w:p>
          <w:p w14:paraId="0AAB75C0">
            <w:pPr>
              <w:widowControl w:val="0"/>
              <w:snapToGrid w:val="0"/>
              <w:spacing w:line="400" w:lineRule="exact"/>
              <w:jc w:val="both"/>
              <w:rPr>
                <w:rFonts w:ascii="宋体" w:hAnsi="宋体"/>
                <w:sz w:val="24"/>
                <w:szCs w:val="24"/>
              </w:rPr>
            </w:pPr>
            <w:r>
              <w:rPr>
                <w:rFonts w:hint="eastAsia" w:ascii="宋体" w:hAnsi="宋体"/>
                <w:sz w:val="24"/>
                <w:szCs w:val="24"/>
              </w:rPr>
              <w:t>提示：本项目为电子化、无纸化交易项目，开标时不再接受任何纸质资料，为保证您能开标成功，请需仔细阅读以上条款。</w:t>
            </w:r>
          </w:p>
        </w:tc>
      </w:tr>
    </w:tbl>
    <w:p w14:paraId="04BA14F9">
      <w:pPr>
        <w:spacing w:line="360" w:lineRule="auto"/>
        <w:jc w:val="center"/>
        <w:outlineLvl w:val="0"/>
        <w:rPr>
          <w:rFonts w:hint="eastAsia" w:ascii="宋体" w:hAnsi="宋体" w:eastAsia="宋体" w:cs="宋体"/>
          <w:b/>
          <w:bCs/>
          <w:color w:val="auto"/>
          <w:sz w:val="24"/>
          <w:szCs w:val="24"/>
        </w:rPr>
      </w:pPr>
      <w:bookmarkStart w:id="29" w:name="_Toc3544"/>
      <w:bookmarkStart w:id="30" w:name="_Toc11850"/>
      <w:bookmarkStart w:id="31" w:name="_Toc25482"/>
      <w:r>
        <w:rPr>
          <w:rFonts w:hint="eastAsia" w:ascii="宋体" w:hAnsi="宋体" w:eastAsia="宋体" w:cs="宋体"/>
          <w:b/>
          <w:bCs/>
          <w:color w:val="auto"/>
          <w:sz w:val="24"/>
          <w:szCs w:val="24"/>
        </w:rPr>
        <w:t>总  则</w:t>
      </w:r>
      <w:bookmarkEnd w:id="29"/>
      <w:bookmarkEnd w:id="30"/>
      <w:bookmarkEnd w:id="31"/>
    </w:p>
    <w:p w14:paraId="61CF44AB">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32" w:name="_Toc10949"/>
      <w:bookmarkStart w:id="33" w:name="_Toc7197"/>
      <w:bookmarkStart w:id="34" w:name="_Toc32366"/>
      <w:r>
        <w:rPr>
          <w:rFonts w:hint="eastAsia" w:ascii="宋体" w:hAnsi="宋体" w:eastAsia="宋体" w:cs="宋体"/>
          <w:b/>
          <w:bCs/>
          <w:color w:val="auto"/>
          <w:sz w:val="24"/>
          <w:szCs w:val="24"/>
        </w:rPr>
        <w:t>1、适用范围</w:t>
      </w:r>
      <w:bookmarkEnd w:id="32"/>
      <w:bookmarkEnd w:id="33"/>
      <w:bookmarkEnd w:id="34"/>
    </w:p>
    <w:p w14:paraId="69DF0E01">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35" w:name="_Toc8525"/>
      <w:bookmarkStart w:id="36" w:name="_Toc9120"/>
      <w:bookmarkStart w:id="37" w:name="_Toc8754"/>
      <w:r>
        <w:rPr>
          <w:rFonts w:hint="eastAsia" w:ascii="宋体" w:hAnsi="宋体" w:eastAsia="宋体" w:cs="宋体"/>
          <w:color w:val="auto"/>
          <w:sz w:val="24"/>
          <w:szCs w:val="24"/>
        </w:rPr>
        <w:t>本竞争性磋商文件仅适用于本次竞争性磋商文件中所叙述的内容。</w:t>
      </w:r>
      <w:bookmarkEnd w:id="35"/>
      <w:bookmarkEnd w:id="36"/>
      <w:bookmarkEnd w:id="37"/>
    </w:p>
    <w:p w14:paraId="5D48146A">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38" w:name="_Toc19966"/>
      <w:bookmarkStart w:id="39" w:name="_Toc9597"/>
      <w:bookmarkStart w:id="40" w:name="_Toc14548"/>
      <w:r>
        <w:rPr>
          <w:rFonts w:hint="eastAsia" w:ascii="宋体" w:hAnsi="宋体" w:eastAsia="宋体" w:cs="宋体"/>
          <w:b/>
          <w:bCs/>
          <w:color w:val="auto"/>
          <w:sz w:val="24"/>
          <w:szCs w:val="24"/>
        </w:rPr>
        <w:t>2、合格的供应商</w:t>
      </w:r>
      <w:bookmarkEnd w:id="38"/>
      <w:bookmarkEnd w:id="39"/>
      <w:bookmarkEnd w:id="40"/>
    </w:p>
    <w:p w14:paraId="05B2092D">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41" w:name="_Toc15410"/>
      <w:bookmarkStart w:id="42" w:name="_Toc28143"/>
      <w:bookmarkStart w:id="43" w:name="_Toc19021"/>
      <w:r>
        <w:rPr>
          <w:rFonts w:hint="eastAsia" w:ascii="宋体" w:hAnsi="宋体" w:eastAsia="宋体" w:cs="宋体"/>
          <w:color w:val="auto"/>
          <w:sz w:val="24"/>
          <w:szCs w:val="24"/>
        </w:rPr>
        <w:t>见“供应商须知前附表”。</w:t>
      </w:r>
      <w:bookmarkEnd w:id="41"/>
      <w:bookmarkEnd w:id="42"/>
      <w:bookmarkEnd w:id="43"/>
    </w:p>
    <w:p w14:paraId="3925B957">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44" w:name="_Toc18597"/>
      <w:bookmarkStart w:id="45" w:name="_Toc29820"/>
      <w:bookmarkStart w:id="46" w:name="_Toc4407"/>
      <w:r>
        <w:rPr>
          <w:rFonts w:hint="eastAsia" w:ascii="宋体" w:hAnsi="宋体" w:eastAsia="宋体" w:cs="宋体"/>
          <w:b/>
          <w:bCs/>
          <w:color w:val="auto"/>
          <w:sz w:val="24"/>
          <w:szCs w:val="24"/>
        </w:rPr>
        <w:t>3. 其他</w:t>
      </w:r>
      <w:bookmarkEnd w:id="44"/>
      <w:bookmarkEnd w:id="45"/>
      <w:bookmarkEnd w:id="46"/>
    </w:p>
    <w:p w14:paraId="2C2343E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 无论磋商中的做法和结果如何，供应商均应自行承担所有与参与磋商活动有关的全部费用。</w:t>
      </w:r>
    </w:p>
    <w:p w14:paraId="2B7CE4E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 无论磋商结果如何，采购人均无向供应商解释其成交或未成交原因的义务。</w:t>
      </w:r>
    </w:p>
    <w:p w14:paraId="4934477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 无论成交与否，已</w:t>
      </w:r>
      <w:r>
        <w:rPr>
          <w:rFonts w:hint="eastAsia" w:ascii="宋体" w:hAnsi="宋体" w:cs="宋体"/>
          <w:color w:val="auto"/>
          <w:sz w:val="24"/>
          <w:szCs w:val="24"/>
          <w:lang w:val="en-US" w:eastAsia="zh-CN"/>
        </w:rPr>
        <w:t>获取</w:t>
      </w:r>
      <w:r>
        <w:rPr>
          <w:rFonts w:hint="eastAsia" w:ascii="宋体" w:hAnsi="宋体" w:eastAsia="宋体" w:cs="宋体"/>
          <w:color w:val="auto"/>
          <w:sz w:val="24"/>
          <w:szCs w:val="24"/>
        </w:rPr>
        <w:t>磋商文件的供应商对磋商文件负保密责任。</w:t>
      </w:r>
    </w:p>
    <w:p w14:paraId="43505276">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47" w:name="_Toc32270"/>
      <w:bookmarkStart w:id="48" w:name="_Toc32236"/>
      <w:bookmarkStart w:id="49" w:name="_Toc479"/>
      <w:r>
        <w:rPr>
          <w:rFonts w:hint="eastAsia" w:ascii="宋体" w:hAnsi="宋体" w:eastAsia="宋体" w:cs="宋体"/>
          <w:b/>
          <w:bCs/>
          <w:color w:val="auto"/>
          <w:sz w:val="24"/>
          <w:szCs w:val="24"/>
        </w:rPr>
        <w:t>4、磋商文件的组成</w:t>
      </w:r>
      <w:bookmarkEnd w:id="47"/>
      <w:bookmarkEnd w:id="48"/>
      <w:bookmarkEnd w:id="49"/>
    </w:p>
    <w:p w14:paraId="404CC757">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50" w:name="_Toc3826"/>
      <w:bookmarkStart w:id="51" w:name="_Toc22695"/>
      <w:r>
        <w:rPr>
          <w:rFonts w:hint="eastAsia" w:ascii="宋体" w:hAnsi="宋体" w:eastAsia="宋体" w:cs="宋体"/>
          <w:color w:val="auto"/>
          <w:sz w:val="24"/>
          <w:szCs w:val="24"/>
        </w:rPr>
        <w:t>4.1 磋商文件用于阐明</w:t>
      </w:r>
      <w:r>
        <w:rPr>
          <w:rFonts w:hint="eastAsia" w:ascii="宋体" w:hAnsi="宋体" w:cs="宋体"/>
          <w:color w:val="auto"/>
          <w:sz w:val="24"/>
          <w:szCs w:val="24"/>
          <w:lang w:val="en-US" w:eastAsia="zh-CN"/>
        </w:rPr>
        <w:t>本</w:t>
      </w:r>
      <w:r>
        <w:rPr>
          <w:rFonts w:hint="eastAsia" w:ascii="宋体" w:hAnsi="宋体" w:eastAsia="宋体" w:cs="宋体"/>
          <w:color w:val="auto"/>
          <w:sz w:val="24"/>
          <w:szCs w:val="24"/>
        </w:rPr>
        <w:t>项目的磋商范围、磋商程序、磋商内容、合同草签和条款以及评定成交的标准。具体包括以下内容：</w:t>
      </w:r>
      <w:bookmarkEnd w:id="50"/>
      <w:bookmarkEnd w:id="51"/>
    </w:p>
    <w:p w14:paraId="09A67BE3">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（1）竞争性磋商公告</w:t>
      </w:r>
    </w:p>
    <w:p w14:paraId="6C96A43E">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须知</w:t>
      </w:r>
    </w:p>
    <w:p w14:paraId="40A4ED1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eastAsia="zh-CN"/>
        </w:rPr>
        <w:t>采购</w:t>
      </w:r>
      <w:r>
        <w:rPr>
          <w:rFonts w:hint="eastAsia" w:ascii="宋体" w:hAnsi="宋体" w:cs="宋体"/>
          <w:color w:val="auto"/>
          <w:sz w:val="24"/>
          <w:szCs w:val="24"/>
          <w:lang w:val="en-US" w:eastAsia="zh-CN"/>
        </w:rPr>
        <w:t>需求</w:t>
      </w:r>
    </w:p>
    <w:p w14:paraId="54232A0C">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cs="宋体"/>
          <w:color w:val="auto"/>
          <w:sz w:val="24"/>
          <w:szCs w:val="24"/>
          <w:lang w:val="en-US" w:eastAsia="zh-CN"/>
        </w:rPr>
        <w:t>合同条款及格式</w:t>
      </w:r>
    </w:p>
    <w:p w14:paraId="3A02BA44">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评标办法</w:t>
      </w:r>
    </w:p>
    <w:p w14:paraId="0CEFC4C7">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（6）响应文件格式</w:t>
      </w:r>
    </w:p>
    <w:p w14:paraId="62785C15">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 磋商文件以中文编印，且以中文为准。除国外第三方出具的证明文件、专用术语外，与磋商有关的响应文件语言文字均应使用中文。必须使用他国语言文字时，证明文件、专用术语应附有中文注释和翻译文件。磋商响应文件中因使用他国语言文字发生歧义时，以中文为准。</w:t>
      </w:r>
    </w:p>
    <w:p w14:paraId="6B03FF4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 除非有特殊要求，磋商文件不单独提供项目所在地的公用设施等情况，供应商被视为熟悉上述与履行合同有关的一切情况。</w:t>
      </w:r>
    </w:p>
    <w:p w14:paraId="639E8A1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4.4磋商文件的澄清和修改</w:t>
      </w:r>
    </w:p>
    <w:p w14:paraId="09ECA1A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4.4.1供应商对磋商文件中如有需要澄清的疑问的，应当在提交首次响应文件截止之日前，在</w:t>
      </w:r>
      <w:r>
        <w:rPr>
          <w:rFonts w:hint="eastAsia" w:ascii="宋体" w:hAnsi="宋体" w:eastAsia="宋体" w:cs="宋体"/>
          <w:color w:val="auto"/>
          <w:sz w:val="24"/>
          <w:szCs w:val="24"/>
          <w:lang w:val="en-US" w:eastAsia="zh-CN"/>
        </w:rPr>
        <w:t>电子化交易</w:t>
      </w:r>
      <w:r>
        <w:rPr>
          <w:rFonts w:hint="eastAsia" w:ascii="宋体" w:hAnsi="宋体" w:eastAsia="宋体" w:cs="宋体"/>
          <w:color w:val="auto"/>
          <w:sz w:val="24"/>
          <w:szCs w:val="24"/>
        </w:rPr>
        <w:t>系统内提出。在规定的时间内未提出疑问的，将被视为对磋商文件完全认可。</w:t>
      </w:r>
    </w:p>
    <w:p w14:paraId="52125F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4.4.2代理机构将按规定对收到的要求澄清的问题以公告形式予以答复，澄清或者修改的内容作为竞争性磋商文件的组成部分。澄清或者修改的内容可能影响响应文件编制的，代理机构应当在提交首次响应文件截止之日5日前，在</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媒体上发布更正公告，不足5日的，应当顺延提交首次响应文件截止之日。</w:t>
      </w:r>
    </w:p>
    <w:p w14:paraId="0205778D">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4.5响应文件的澄清和修改</w:t>
      </w:r>
    </w:p>
    <w:p w14:paraId="7177E3FD">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4.5.1 为了有助于对响应文件进行审查、评估和比较，</w:t>
      </w:r>
      <w:r>
        <w:rPr>
          <w:rFonts w:hint="eastAsia" w:ascii="宋体" w:hAnsi="宋体" w:eastAsia="宋体" w:cs="宋体"/>
          <w:color w:val="auto"/>
          <w:sz w:val="24"/>
          <w:szCs w:val="24"/>
          <w:highlight w:val="none"/>
          <w:lang w:val="en-US" w:eastAsia="zh-CN"/>
        </w:rPr>
        <w:t>评标时，</w:t>
      </w:r>
      <w:r>
        <w:rPr>
          <w:rFonts w:hint="eastAsia" w:ascii="宋体" w:hAnsi="宋体" w:eastAsia="宋体" w:cs="宋体"/>
          <w:color w:val="auto"/>
          <w:sz w:val="24"/>
          <w:szCs w:val="24"/>
          <w:highlight w:val="none"/>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hint="eastAsia" w:ascii="宋体" w:hAnsi="宋体" w:eastAsia="宋体" w:cs="宋体"/>
          <w:color w:val="auto"/>
          <w:sz w:val="24"/>
          <w:szCs w:val="24"/>
          <w:highlight w:val="none"/>
          <w:lang w:eastAsia="zh-CN"/>
        </w:rPr>
        <w:t>。</w:t>
      </w:r>
    </w:p>
    <w:p w14:paraId="425986AC">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供应商的澄清文件是响应文件的组成部分，并取代响应文件中被澄清的部分。</w:t>
      </w:r>
    </w:p>
    <w:p w14:paraId="0EE0A81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磋商响应文件澄清部分不得对磋商内容进行实质性修改。</w:t>
      </w:r>
    </w:p>
    <w:p w14:paraId="373D030A">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52" w:name="_Toc5072"/>
      <w:bookmarkStart w:id="53" w:name="_Toc29662"/>
      <w:bookmarkStart w:id="54" w:name="_Toc18210"/>
      <w:r>
        <w:rPr>
          <w:rFonts w:hint="eastAsia" w:ascii="宋体" w:hAnsi="宋体" w:eastAsia="宋体" w:cs="宋体"/>
          <w:b/>
          <w:bCs/>
          <w:color w:val="auto"/>
          <w:sz w:val="24"/>
          <w:szCs w:val="24"/>
        </w:rPr>
        <w:t>5、响应文件的组成</w:t>
      </w:r>
      <w:bookmarkEnd w:id="52"/>
      <w:bookmarkEnd w:id="53"/>
      <w:bookmarkEnd w:id="54"/>
    </w:p>
    <w:p w14:paraId="5A83BBE9">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（1）磋商函及磋商函</w:t>
      </w:r>
      <w:r>
        <w:rPr>
          <w:rFonts w:hint="eastAsia" w:ascii="宋体" w:hAnsi="宋体" w:cs="宋体"/>
          <w:color w:val="auto"/>
          <w:sz w:val="24"/>
          <w:szCs w:val="24"/>
          <w:lang w:val="en-US" w:eastAsia="zh-CN"/>
        </w:rPr>
        <w:t>附录</w:t>
      </w:r>
    </w:p>
    <w:p w14:paraId="7824D82A">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（2）法定代表人身份证明</w:t>
      </w:r>
    </w:p>
    <w:p w14:paraId="78713E1F">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法人</w:t>
      </w:r>
      <w:r>
        <w:rPr>
          <w:rFonts w:hint="eastAsia" w:ascii="宋体" w:hAnsi="宋体" w:eastAsia="宋体" w:cs="宋体"/>
          <w:color w:val="auto"/>
          <w:sz w:val="24"/>
          <w:szCs w:val="24"/>
        </w:rPr>
        <w:t>授权委托书</w:t>
      </w:r>
    </w:p>
    <w:p w14:paraId="0840C44F">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（4）磋商承诺函</w:t>
      </w:r>
    </w:p>
    <w:p w14:paraId="5EE76DF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（5）</w:t>
      </w:r>
      <w:r>
        <w:rPr>
          <w:rFonts w:hint="eastAsia" w:ascii="宋体" w:hAnsi="宋体" w:cs="宋体"/>
          <w:color w:val="auto"/>
          <w:sz w:val="24"/>
          <w:szCs w:val="24"/>
          <w:lang w:eastAsia="zh-CN"/>
        </w:rPr>
        <w:t>资格审查资料</w:t>
      </w:r>
    </w:p>
    <w:p w14:paraId="7D240668">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w:t>
      </w:r>
      <w:r>
        <w:rPr>
          <w:rFonts w:hint="eastAsia" w:ascii="宋体" w:hAnsi="宋体" w:cs="宋体"/>
          <w:color w:val="auto"/>
          <w:sz w:val="24"/>
          <w:szCs w:val="24"/>
          <w:lang w:eastAsia="zh-CN"/>
        </w:rPr>
        <w:t>技术部分</w:t>
      </w:r>
    </w:p>
    <w:p w14:paraId="25AF46B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w:t>
      </w:r>
      <w:r>
        <w:rPr>
          <w:rFonts w:hint="eastAsia" w:ascii="宋体" w:hAnsi="宋体" w:cs="宋体"/>
          <w:color w:val="auto"/>
          <w:sz w:val="24"/>
          <w:szCs w:val="24"/>
          <w:lang w:eastAsia="zh-CN"/>
        </w:rPr>
        <w:t>商务部分</w:t>
      </w:r>
    </w:p>
    <w:p w14:paraId="6E322061">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（8）其他资料</w:t>
      </w:r>
    </w:p>
    <w:p w14:paraId="58EC29B3">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注：供应商应按磋商文件的要求准备磋商响应文件，并保证所提供的全部资料的真实性，准确性及完整性，以使其报价对竞争性磋商文件做出实质性的响应，否则其磋商资格有可能被磋商小组否决。</w:t>
      </w:r>
    </w:p>
    <w:p w14:paraId="1FAEBA9E">
      <w:pPr>
        <w:keepNext w:val="0"/>
        <w:keepLines w:val="0"/>
        <w:pageBreakBefore w:val="0"/>
        <w:widowControl w:val="0"/>
        <w:kinsoku/>
        <w:wordWrap/>
        <w:overflowPunct/>
        <w:topLinePunct w:val="0"/>
        <w:bidi w:val="0"/>
        <w:snapToGrid/>
        <w:spacing w:line="500" w:lineRule="exact"/>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6、磋商报价</w:t>
      </w:r>
    </w:p>
    <w:p w14:paraId="67692751">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 根据磋商文件规定的项目范围，供应商应对本次采购项目的全部工作内容进行磋商报价。磋商报价应是竞争性磋商文件所确定的磋商范围内的全部工作内容的价格体现。</w:t>
      </w:r>
    </w:p>
    <w:p w14:paraId="30F5403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6.2磋商报价应包括竞争性磋商文件及</w:t>
      </w:r>
      <w:r>
        <w:rPr>
          <w:rFonts w:hint="eastAsia" w:ascii="宋体" w:hAnsi="宋体" w:cs="宋体"/>
          <w:color w:val="auto"/>
          <w:sz w:val="24"/>
          <w:szCs w:val="24"/>
          <w:lang w:eastAsia="zh-CN"/>
        </w:rPr>
        <w:t>采购</w:t>
      </w:r>
      <w:r>
        <w:rPr>
          <w:rFonts w:hint="eastAsia" w:ascii="宋体" w:hAnsi="宋体" w:eastAsia="宋体" w:cs="宋体"/>
          <w:color w:val="auto"/>
          <w:sz w:val="24"/>
          <w:szCs w:val="24"/>
        </w:rPr>
        <w:t>内容要求等规定的，实施和完成项目直至验收合格，及达到质量和</w:t>
      </w:r>
      <w:r>
        <w:rPr>
          <w:rFonts w:hint="eastAsia" w:ascii="宋体" w:hAnsi="宋体" w:cs="宋体"/>
          <w:color w:val="auto"/>
          <w:sz w:val="24"/>
          <w:szCs w:val="24"/>
          <w:lang w:eastAsia="zh-CN"/>
        </w:rPr>
        <w:t>交货期</w:t>
      </w:r>
      <w:r>
        <w:rPr>
          <w:rFonts w:hint="eastAsia" w:ascii="宋体" w:hAnsi="宋体" w:cs="宋体"/>
          <w:color w:val="auto"/>
          <w:sz w:val="24"/>
          <w:szCs w:val="24"/>
          <w:lang w:val="en-US" w:eastAsia="zh-CN"/>
        </w:rPr>
        <w:t>限</w:t>
      </w:r>
      <w:r>
        <w:rPr>
          <w:rFonts w:hint="eastAsia" w:ascii="宋体" w:hAnsi="宋体" w:eastAsia="宋体" w:cs="宋体"/>
          <w:color w:val="auto"/>
          <w:sz w:val="24"/>
          <w:szCs w:val="24"/>
        </w:rPr>
        <w:t>等要求</w:t>
      </w:r>
      <w:r>
        <w:rPr>
          <w:rFonts w:hint="eastAsia" w:ascii="宋体" w:hAnsi="宋体" w:cs="宋体"/>
          <w:color w:val="auto"/>
          <w:sz w:val="24"/>
          <w:szCs w:val="24"/>
          <w:lang w:eastAsia="zh-CN"/>
        </w:rPr>
        <w:t>，</w:t>
      </w:r>
      <w:r>
        <w:rPr>
          <w:rFonts w:hint="eastAsia" w:ascii="宋体" w:hAnsi="宋体" w:eastAsia="宋体" w:cs="宋体"/>
          <w:color w:val="auto"/>
          <w:sz w:val="24"/>
          <w:szCs w:val="24"/>
        </w:rPr>
        <w:t>正式交付采购人使用前所需的全部费用。</w:t>
      </w:r>
    </w:p>
    <w:p w14:paraId="1E74481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6.3磋商报价要求</w:t>
      </w:r>
    </w:p>
    <w:p w14:paraId="521598F1">
      <w:pPr>
        <w:keepNext w:val="0"/>
        <w:keepLines w:val="0"/>
        <w:pageBreakBefore w:val="0"/>
        <w:widowControl w:val="0"/>
        <w:numPr>
          <w:ilvl w:val="0"/>
          <w:numId w:val="0"/>
        </w:numPr>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rPr>
        <w:t>磋商报价：响应人的报价是磋商响应人为完成本项目所发生的一切费用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应当</w:t>
      </w:r>
      <w:r>
        <w:rPr>
          <w:rFonts w:hint="eastAsia" w:ascii="宋体" w:hAnsi="宋体" w:eastAsia="宋体" w:cs="宋体"/>
          <w:color w:val="auto"/>
          <w:sz w:val="24"/>
          <w:szCs w:val="24"/>
        </w:rPr>
        <w:t>包括</w:t>
      </w:r>
      <w:r>
        <w:rPr>
          <w:rFonts w:hint="eastAsia" w:ascii="宋体" w:hAnsi="宋体" w:eastAsia="宋体" w:cs="宋体"/>
          <w:color w:val="auto"/>
          <w:sz w:val="24"/>
          <w:szCs w:val="24"/>
          <w:lang w:val="en-US" w:eastAsia="zh-CN"/>
        </w:rPr>
        <w:t>运输费、安装费、调试费、税费、培训费、维保费</w:t>
      </w:r>
      <w:r>
        <w:rPr>
          <w:rFonts w:hint="eastAsia" w:ascii="宋体" w:hAnsi="宋体" w:eastAsia="宋体" w:cs="宋体"/>
          <w:color w:val="auto"/>
          <w:sz w:val="24"/>
          <w:szCs w:val="24"/>
        </w:rPr>
        <w:t>等全部费用，以及合同文件规定的应由承包人承担的所有责任、义务和一定的风险费用。报价时磋商响应人应根据市场行情，综合考虑项目的风险、市场价格、项目难易程度等，报价估算错误或漏项的风险由磋商响应人自行承担。</w:t>
      </w:r>
    </w:p>
    <w:p w14:paraId="22AEB8B7">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（2）磋商响应人响应文件中</w:t>
      </w:r>
      <w:r>
        <w:rPr>
          <w:rFonts w:hint="eastAsia" w:ascii="宋体" w:hAnsi="宋体" w:cs="宋体"/>
          <w:color w:val="auto"/>
          <w:sz w:val="24"/>
          <w:szCs w:val="24"/>
          <w:lang w:val="en-US" w:eastAsia="zh-CN"/>
        </w:rPr>
        <w:t>磋商</w:t>
      </w:r>
      <w:r>
        <w:rPr>
          <w:rFonts w:hint="eastAsia" w:ascii="宋体" w:hAnsi="宋体" w:eastAsia="宋体" w:cs="宋体"/>
          <w:color w:val="auto"/>
          <w:sz w:val="24"/>
          <w:szCs w:val="24"/>
        </w:rPr>
        <w:t>函及</w:t>
      </w:r>
      <w:r>
        <w:rPr>
          <w:rFonts w:hint="eastAsia" w:ascii="宋体" w:hAnsi="宋体" w:cs="宋体"/>
          <w:color w:val="auto"/>
          <w:sz w:val="24"/>
          <w:szCs w:val="24"/>
          <w:lang w:val="en-US" w:eastAsia="zh-CN"/>
        </w:rPr>
        <w:t>磋商函附录以及报价明细表</w:t>
      </w:r>
      <w:r>
        <w:rPr>
          <w:rFonts w:hint="eastAsia" w:ascii="宋体" w:hAnsi="宋体" w:eastAsia="宋体" w:cs="宋体"/>
          <w:color w:val="auto"/>
          <w:sz w:val="24"/>
          <w:szCs w:val="24"/>
        </w:rPr>
        <w:t>中价格为第一次报价，在磋商过程中，磋商响应人每轮报价不得高于上轮报价，磋商响应人的最后报价即为签订合同价，最后报价中每一子目价格按第一次报价中对应子目价格同比例调整。</w:t>
      </w:r>
    </w:p>
    <w:p w14:paraId="09B50149">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（3）采购人不接受任何有选择的最后报价。磋商响应人最后报价不得超过采购预算。 </w:t>
      </w:r>
    </w:p>
    <w:p w14:paraId="4D468C91">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55" w:name="_Toc19129"/>
      <w:bookmarkStart w:id="56" w:name="_Toc11876"/>
      <w:bookmarkStart w:id="57" w:name="_Toc6159"/>
      <w:r>
        <w:rPr>
          <w:rFonts w:hint="eastAsia" w:ascii="宋体" w:hAnsi="宋体" w:eastAsia="宋体" w:cs="宋体"/>
          <w:b/>
          <w:bCs/>
          <w:color w:val="auto"/>
          <w:sz w:val="24"/>
          <w:szCs w:val="24"/>
        </w:rPr>
        <w:t>7、磋商有效期</w:t>
      </w:r>
      <w:bookmarkEnd w:id="55"/>
      <w:bookmarkEnd w:id="56"/>
      <w:bookmarkEnd w:id="57"/>
    </w:p>
    <w:p w14:paraId="2A09215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7.1在&lt;供应商须知前附表&gt;规定的磋商有效期内，供应商不得要求撤销或修改其磋商响应文件。</w:t>
      </w:r>
    </w:p>
    <w:p w14:paraId="1F567AA6">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7.2出现特殊情况需要延长磋商有效期的，采购人以书面形式通知所有供应商延长磋商有效期。供应商同意延长的，不得要求或被允许修改或撤销其磋商响应文件；供应商拒绝延长的，其磋商响应文件失效。</w:t>
      </w:r>
    </w:p>
    <w:p w14:paraId="52401C72">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58" w:name="_Toc29375"/>
      <w:bookmarkStart w:id="59" w:name="_Toc17489"/>
      <w:bookmarkStart w:id="60" w:name="_Toc12718"/>
      <w:r>
        <w:rPr>
          <w:rFonts w:hint="eastAsia" w:ascii="宋体" w:hAnsi="宋体" w:eastAsia="宋体" w:cs="宋体"/>
          <w:b/>
          <w:bCs/>
          <w:color w:val="auto"/>
          <w:sz w:val="24"/>
          <w:szCs w:val="24"/>
        </w:rPr>
        <w:t>8、磋商响应文件的编制</w:t>
      </w:r>
      <w:bookmarkEnd w:id="58"/>
      <w:bookmarkEnd w:id="59"/>
      <w:bookmarkEnd w:id="60"/>
    </w:p>
    <w:p w14:paraId="14A31FF8">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8.1磋商响应文件应按“</w:t>
      </w:r>
      <w:r>
        <w:rPr>
          <w:rFonts w:hint="eastAsia" w:ascii="宋体" w:hAnsi="宋体" w:cs="宋体"/>
          <w:color w:val="auto"/>
          <w:sz w:val="24"/>
          <w:szCs w:val="24"/>
          <w:lang w:val="en-US" w:eastAsia="zh-CN"/>
        </w:rPr>
        <w:t xml:space="preserve">第六章 </w:t>
      </w:r>
      <w:r>
        <w:rPr>
          <w:rFonts w:hint="eastAsia" w:ascii="宋体" w:hAnsi="宋体" w:eastAsia="宋体" w:cs="宋体"/>
          <w:color w:val="auto"/>
          <w:sz w:val="24"/>
          <w:szCs w:val="24"/>
        </w:rPr>
        <w:t>响应文件格式”进行编写，如有必要，可以增加附页，作为磋商响应文件的组成部分。其中，</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函附录在满足竞争性磋商文件实质性要求的基础上，可以提出比竞争性磋商文件要求更有利于采购单位的承诺。</w:t>
      </w:r>
    </w:p>
    <w:p w14:paraId="3D9DC156">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8.2磋商响应文件应当对竞争性磋商文件有关</w:t>
      </w:r>
      <w:r>
        <w:rPr>
          <w:rFonts w:hint="eastAsia" w:ascii="宋体" w:hAnsi="宋体" w:cs="宋体"/>
          <w:color w:val="auto"/>
          <w:sz w:val="24"/>
          <w:szCs w:val="24"/>
          <w:lang w:val="en-US" w:eastAsia="zh-CN"/>
        </w:rPr>
        <w:t>交货期限</w:t>
      </w:r>
      <w:r>
        <w:rPr>
          <w:rFonts w:hint="eastAsia" w:ascii="宋体" w:hAnsi="宋体" w:eastAsia="宋体" w:cs="宋体"/>
          <w:color w:val="auto"/>
          <w:sz w:val="24"/>
          <w:szCs w:val="24"/>
        </w:rPr>
        <w:t>、磋商有效期、质量要求等实质性内容作出响应。</w:t>
      </w:r>
    </w:p>
    <w:p w14:paraId="44A2FCCC">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8.3供应商在生成电子化响应文件后，应对电子化响应文件进行签章，未进行签章的视为无效响应。</w:t>
      </w:r>
    </w:p>
    <w:p w14:paraId="422EBF50">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8.4磋商文件中要求法定代表人或</w:t>
      </w:r>
      <w:r>
        <w:rPr>
          <w:rFonts w:hint="eastAsia" w:ascii="宋体" w:hAnsi="宋体" w:cs="宋体"/>
          <w:color w:val="auto"/>
          <w:sz w:val="24"/>
          <w:szCs w:val="24"/>
          <w:lang w:val="en-US" w:eastAsia="zh-CN"/>
        </w:rPr>
        <w:t>其</w:t>
      </w:r>
      <w:r>
        <w:rPr>
          <w:rFonts w:hint="eastAsia" w:ascii="宋体" w:hAnsi="宋体" w:eastAsia="宋体" w:cs="宋体"/>
          <w:color w:val="auto"/>
          <w:sz w:val="24"/>
          <w:szCs w:val="24"/>
        </w:rPr>
        <w:t>委托代理人签字或盖章的，供应商在进行电子化响应文件签章时，以签盖法定代表人签章为准。</w:t>
      </w:r>
    </w:p>
    <w:p w14:paraId="6147817B">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61" w:name="_Toc16533"/>
      <w:bookmarkStart w:id="62" w:name="_Toc1301"/>
      <w:bookmarkStart w:id="63" w:name="_Toc7930"/>
      <w:r>
        <w:rPr>
          <w:rFonts w:hint="eastAsia" w:ascii="宋体" w:hAnsi="宋体" w:eastAsia="宋体" w:cs="宋体"/>
          <w:b/>
          <w:bCs/>
          <w:color w:val="auto"/>
          <w:sz w:val="24"/>
          <w:szCs w:val="24"/>
        </w:rPr>
        <w:t>9、磋商响应文件的递交</w:t>
      </w:r>
      <w:bookmarkEnd w:id="61"/>
      <w:bookmarkEnd w:id="62"/>
      <w:bookmarkEnd w:id="63"/>
    </w:p>
    <w:p w14:paraId="7C521B55">
      <w:pPr>
        <w:pStyle w:val="24"/>
        <w:keepNext w:val="0"/>
        <w:keepLines w:val="0"/>
        <w:pageBreakBefore w:val="0"/>
        <w:widowControl w:val="0"/>
        <w:kinsoku/>
        <w:wordWrap/>
        <w:overflowPunct/>
        <w:topLinePunct w:val="0"/>
        <w:bidi w:val="0"/>
        <w:snapToGrid/>
        <w:spacing w:line="500" w:lineRule="exact"/>
        <w:ind w:firstLine="482" w:firstLineChars="200"/>
        <w:jc w:val="both"/>
        <w:textAlignment w:val="auto"/>
        <w:outlineLvl w:val="1"/>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9.1电子化</w:t>
      </w:r>
      <w:r>
        <w:rPr>
          <w:rFonts w:hint="eastAsia" w:ascii="宋体" w:hAnsi="宋体" w:eastAsia="宋体" w:cs="宋体"/>
          <w:b/>
          <w:bCs/>
          <w:color w:val="auto"/>
          <w:sz w:val="24"/>
          <w:szCs w:val="24"/>
        </w:rPr>
        <w:t>磋商</w:t>
      </w:r>
      <w:r>
        <w:rPr>
          <w:rFonts w:hint="eastAsia" w:ascii="宋体" w:hAnsi="宋体" w:eastAsia="宋体" w:cs="宋体"/>
          <w:b/>
          <w:bCs/>
          <w:color w:val="auto"/>
          <w:kern w:val="2"/>
          <w:sz w:val="24"/>
          <w:szCs w:val="24"/>
        </w:rPr>
        <w:t>响应文件的格式及上传投标</w:t>
      </w:r>
    </w:p>
    <w:p w14:paraId="2BADFD5D">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供应商所上传的电子化响应文件，应是通过中心响应文件制作系统制作的，经过签章和加密后生成的电子版响应文件。其中包含用于响应文件上传的主文件和用于应急补救的响应文件备份文件。</w:t>
      </w:r>
    </w:p>
    <w:p w14:paraId="11991B80">
      <w:pPr>
        <w:keepNext w:val="0"/>
        <w:keepLines w:val="0"/>
        <w:pageBreakBefore w:val="0"/>
        <w:widowControl w:val="0"/>
        <w:kinsoku/>
        <w:wordWrap w:val="0"/>
        <w:overflowPunct/>
        <w:topLinePunct/>
        <w:autoSpaceDE/>
        <w:autoSpaceDN/>
        <w:bidi w:val="0"/>
        <w:adjustRightInd/>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64" w:name="_Toc4446"/>
      <w:bookmarkStart w:id="65" w:name="_Toc25168"/>
      <w:bookmarkStart w:id="66" w:name="_Toc6590"/>
      <w:r>
        <w:rPr>
          <w:rFonts w:hint="eastAsia" w:ascii="宋体" w:hAnsi="宋体" w:eastAsia="宋体" w:cs="宋体"/>
          <w:b/>
          <w:bCs/>
          <w:color w:val="auto"/>
          <w:sz w:val="24"/>
          <w:szCs w:val="24"/>
        </w:rPr>
        <w:t>9.2迟交的磋商响应文件</w:t>
      </w:r>
      <w:bookmarkEnd w:id="64"/>
      <w:bookmarkEnd w:id="65"/>
      <w:bookmarkEnd w:id="66"/>
    </w:p>
    <w:p w14:paraId="5283A18F">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电子化响应文件应在磋商截止时间前成功上传至三门峡市公共资源电子化交易系统。至磋商截止时间止，仍未上传成功的电子化响应文件将不予接收。电子交易系统将拒绝在竞争性磋商响应文件递交截止时间后</w:t>
      </w:r>
      <w:r>
        <w:rPr>
          <w:rFonts w:hint="eastAsia" w:ascii="宋体" w:hAnsi="宋体" w:cs="宋体"/>
          <w:color w:val="auto"/>
          <w:sz w:val="24"/>
          <w:szCs w:val="24"/>
          <w:lang w:val="en-US" w:eastAsia="zh-CN"/>
        </w:rPr>
        <w:t>递</w:t>
      </w:r>
      <w:r>
        <w:rPr>
          <w:rFonts w:hint="eastAsia" w:ascii="宋体" w:hAnsi="宋体" w:eastAsia="宋体" w:cs="宋体"/>
          <w:color w:val="auto"/>
          <w:sz w:val="24"/>
          <w:szCs w:val="24"/>
        </w:rPr>
        <w:t>交的竞争性磋商响应文件。</w:t>
      </w:r>
    </w:p>
    <w:p w14:paraId="7E446060">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如按照电子化投标操作教材制作完成的电子化响应文件无法上传的，供应商应在磋商截止时间前尽早的联系中心技术人员，以便有充分的时间进行处理。供应商应充分考虑到处理技术问题和上传数据等工作所需的时间问题，响应文件未在磋商截止时间前成功上传的，其响应文件不予接收。</w:t>
      </w:r>
    </w:p>
    <w:p w14:paraId="778E6CA3">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67" w:name="_Toc524616177"/>
      <w:bookmarkStart w:id="68" w:name="_Toc74643709"/>
      <w:bookmarkStart w:id="69" w:name="_Toc43911490"/>
      <w:bookmarkStart w:id="70" w:name="_Toc43911362"/>
      <w:r>
        <w:rPr>
          <w:rFonts w:hint="eastAsia" w:ascii="宋体" w:hAnsi="宋体" w:eastAsia="宋体" w:cs="宋体"/>
          <w:b/>
          <w:color w:val="auto"/>
          <w:sz w:val="24"/>
          <w:szCs w:val="24"/>
        </w:rPr>
        <w:t>10. 磋商</w:t>
      </w:r>
      <w:bookmarkEnd w:id="67"/>
      <w:bookmarkEnd w:id="68"/>
      <w:bookmarkEnd w:id="69"/>
      <w:bookmarkEnd w:id="70"/>
    </w:p>
    <w:p w14:paraId="59AE47AA">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10.1 磋商时间和地点</w:t>
      </w:r>
      <w:r>
        <w:rPr>
          <w:rFonts w:hint="eastAsia" w:ascii="宋体" w:hAnsi="宋体" w:cs="宋体"/>
          <w:color w:val="auto"/>
          <w:kern w:val="0"/>
          <w:sz w:val="24"/>
          <w:szCs w:val="24"/>
          <w:lang w:eastAsia="zh-CN"/>
        </w:rPr>
        <w:t>：</w:t>
      </w:r>
      <w:r>
        <w:rPr>
          <w:rFonts w:hint="eastAsia" w:ascii="宋体" w:hAnsi="宋体" w:eastAsia="宋体" w:cs="宋体"/>
          <w:color w:val="auto"/>
          <w:sz w:val="24"/>
          <w:szCs w:val="24"/>
          <w:lang w:val="en-US" w:eastAsia="zh-CN"/>
        </w:rPr>
        <w:t>详见</w:t>
      </w:r>
      <w:r>
        <w:rPr>
          <w:rFonts w:hint="eastAsia" w:ascii="宋体" w:hAnsi="宋体" w:eastAsia="宋体" w:cs="宋体"/>
          <w:color w:val="auto"/>
          <w:sz w:val="24"/>
          <w:szCs w:val="24"/>
        </w:rPr>
        <w:t>&lt;供应商须知前附表&gt;</w:t>
      </w:r>
    </w:p>
    <w:p w14:paraId="3A9C95F0">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 磋商程序</w:t>
      </w:r>
    </w:p>
    <w:p w14:paraId="47156D2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10.2.1采购人按&lt;供应商须知前附表&gt;规定的时间和地点磋商。</w:t>
      </w:r>
    </w:p>
    <w:p w14:paraId="76A49A74">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10.2.2本项目采用电子化、无纸化、不见面进行磋商。</w:t>
      </w:r>
    </w:p>
    <w:p w14:paraId="0A8DF072">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10.2.3响应文件有下列情况之一的,采购人将不予接收：</w:t>
      </w:r>
    </w:p>
    <w:p w14:paraId="3D049831">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10.2.3.1响应文件递交截止时间后上传的；</w:t>
      </w:r>
    </w:p>
    <w:p w14:paraId="105341B1">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10.2.3.2未按竞争性磋商文件要求参加磋商的；</w:t>
      </w:r>
    </w:p>
    <w:p w14:paraId="2F5D49A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r>
        <w:rPr>
          <w:rFonts w:hint="eastAsia" w:ascii="宋体" w:hAnsi="宋体" w:eastAsia="宋体" w:cs="宋体"/>
          <w:color w:val="auto"/>
          <w:kern w:val="0"/>
          <w:sz w:val="24"/>
          <w:szCs w:val="24"/>
          <w:lang w:val="en-US" w:eastAsia="zh-CN"/>
        </w:rPr>
        <w:t>3开标</w:t>
      </w:r>
      <w:r>
        <w:rPr>
          <w:rFonts w:hint="eastAsia" w:ascii="宋体" w:hAnsi="宋体" w:eastAsia="宋体" w:cs="宋体"/>
          <w:color w:val="auto"/>
          <w:kern w:val="0"/>
          <w:sz w:val="24"/>
          <w:szCs w:val="24"/>
        </w:rPr>
        <w:t>程序：</w:t>
      </w:r>
    </w:p>
    <w:p w14:paraId="70CB92B8">
      <w:pPr>
        <w:keepNext w:val="0"/>
        <w:keepLines w:val="0"/>
        <w:pageBreakBefore w:val="0"/>
        <w:widowControl w:val="0"/>
        <w:tabs>
          <w:tab w:val="left" w:pos="1233"/>
        </w:tabs>
        <w:kinsoku/>
        <w:wordWrap w:val="0"/>
        <w:overflowPunct/>
        <w:topLinePunct w:val="0"/>
        <w:autoSpaceDE/>
        <w:autoSpaceDN/>
        <w:bidi w:val="0"/>
        <w:adjustRightInd/>
        <w:snapToGrid/>
        <w:spacing w:line="500" w:lineRule="exact"/>
        <w:ind w:left="0" w:leftChars="0" w:firstLine="420" w:firstLineChars="175"/>
        <w:textAlignment w:val="auto"/>
        <w:outlineLvl w:val="1"/>
        <w:rPr>
          <w:rFonts w:hint="eastAsia" w:ascii="宋体" w:hAnsi="宋体" w:eastAsia="宋体" w:cs="宋体"/>
          <w:b w:val="0"/>
          <w:bCs/>
          <w:color w:val="auto"/>
          <w:sz w:val="24"/>
          <w:szCs w:val="24"/>
          <w:lang w:val="en-US" w:eastAsia="zh-CN"/>
        </w:rPr>
      </w:pPr>
      <w:bookmarkStart w:id="71" w:name="_Toc43911491"/>
      <w:bookmarkStart w:id="72" w:name="_Toc43911363"/>
      <w:bookmarkStart w:id="73" w:name="_Toc74643710"/>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3.1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03D39D66">
      <w:pPr>
        <w:keepNext w:val="0"/>
        <w:keepLines w:val="0"/>
        <w:pageBreakBefore w:val="0"/>
        <w:widowControl w:val="0"/>
        <w:tabs>
          <w:tab w:val="left" w:pos="1233"/>
        </w:tabs>
        <w:kinsoku/>
        <w:wordWrap w:val="0"/>
        <w:overflowPunct/>
        <w:topLinePunct w:val="0"/>
        <w:autoSpaceDE/>
        <w:autoSpaceDN/>
        <w:bidi w:val="0"/>
        <w:adjustRightInd/>
        <w:snapToGrid/>
        <w:spacing w:line="500" w:lineRule="exact"/>
        <w:ind w:left="0" w:leftChars="0" w:firstLine="420" w:firstLineChars="175"/>
        <w:textAlignment w:val="auto"/>
        <w:outlineLvl w:val="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2电子化磋商响应文件采用一次加密方式。开标时，由响应人使用CA证书，在规定时间内对其电子化磋商响应文件进行解密。每位响应人的解密时间为开标时间起30分钟内，如在规定时间内未完成解密的，其磋商响应文件不予开标、唱标。每位响应人的解密时间为开标时间起30分钟内完成。</w:t>
      </w:r>
    </w:p>
    <w:p w14:paraId="2FA44FF2">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r>
        <w:rPr>
          <w:rFonts w:hint="eastAsia" w:ascii="宋体" w:hAnsi="宋体" w:eastAsia="宋体" w:cs="宋体"/>
          <w:b/>
          <w:color w:val="auto"/>
          <w:sz w:val="24"/>
          <w:szCs w:val="24"/>
        </w:rPr>
        <w:t>11. 磋商细则</w:t>
      </w:r>
      <w:bookmarkEnd w:id="71"/>
      <w:bookmarkEnd w:id="72"/>
      <w:bookmarkEnd w:id="73"/>
    </w:p>
    <w:p w14:paraId="01E8F6D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11.1采购人按照上传响应文件时间的顺序，决定磋商顺序；</w:t>
      </w:r>
    </w:p>
    <w:p w14:paraId="3F6E8547">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本次磋商中，响应文件中的报价为第一次报价。</w:t>
      </w:r>
    </w:p>
    <w:p w14:paraId="295007B7">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供应商可以在磋商小组规定的时间内进行第二次报价，通过交易中心系统以电子形式递交，第二次报价为最终报价。</w:t>
      </w:r>
      <w:r>
        <w:rPr>
          <w:rFonts w:hint="eastAsia" w:ascii="宋体" w:hAnsi="宋体" w:eastAsia="宋体" w:cs="宋体"/>
          <w:color w:val="auto"/>
          <w:kern w:val="0"/>
          <w:sz w:val="24"/>
          <w:szCs w:val="24"/>
          <w:lang w:bidi="zh-CN"/>
        </w:rPr>
        <w:t>【注：1、最终报价不得超出采购人预算金额；2、最终报价明显低于成本价的，供应商需做出合理说明，否则将承担不被接受的风险</w:t>
      </w:r>
      <w:r>
        <w:rPr>
          <w:rFonts w:hint="eastAsia" w:ascii="宋体" w:hAnsi="宋体" w:eastAsia="宋体" w:cs="宋体"/>
          <w:color w:val="auto"/>
          <w:kern w:val="0"/>
          <w:sz w:val="24"/>
          <w:szCs w:val="24"/>
        </w:rPr>
        <w:t>】。</w:t>
      </w:r>
    </w:p>
    <w:p w14:paraId="37116E0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本项目采用综合评分法，磋商小组成员综合评审各供应商提交的响应文件，按总得分由高到低的顺序推荐3名成交候选</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，并编写评审报告</w:t>
      </w:r>
      <w:r>
        <w:rPr>
          <w:rFonts w:hint="eastAsia" w:ascii="宋体" w:hAnsi="宋体" w:cs="宋体"/>
          <w:color w:val="auto"/>
          <w:sz w:val="24"/>
          <w:szCs w:val="24"/>
          <w:lang w:eastAsia="zh-CN"/>
        </w:rPr>
        <w:t>，由磋商小组成员在评审报告上签字</w:t>
      </w:r>
      <w:r>
        <w:rPr>
          <w:rFonts w:hint="eastAsia" w:ascii="宋体" w:hAnsi="宋体" w:eastAsia="宋体" w:cs="宋体"/>
          <w:color w:val="auto"/>
          <w:sz w:val="24"/>
          <w:szCs w:val="24"/>
        </w:rPr>
        <w:t>。</w:t>
      </w:r>
    </w:p>
    <w:p w14:paraId="4BAEBD50">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lang w:eastAsia="zh-CN"/>
        </w:rPr>
      </w:pPr>
      <w:bookmarkStart w:id="74" w:name="_Toc74643711"/>
      <w:bookmarkStart w:id="75" w:name="_Toc43911364"/>
      <w:bookmarkStart w:id="76" w:name="_Toc43911492"/>
      <w:r>
        <w:rPr>
          <w:rFonts w:hint="eastAsia" w:ascii="宋体" w:hAnsi="宋体" w:eastAsia="宋体" w:cs="宋体"/>
          <w:b/>
          <w:color w:val="auto"/>
          <w:sz w:val="24"/>
          <w:szCs w:val="24"/>
        </w:rPr>
        <w:t>12、磋商</w:t>
      </w:r>
      <w:bookmarkEnd w:id="74"/>
      <w:bookmarkEnd w:id="75"/>
      <w:bookmarkEnd w:id="76"/>
      <w:r>
        <w:rPr>
          <w:rFonts w:hint="eastAsia" w:ascii="宋体" w:hAnsi="宋体" w:cs="宋体"/>
          <w:b/>
          <w:color w:val="auto"/>
          <w:sz w:val="24"/>
          <w:szCs w:val="24"/>
          <w:lang w:eastAsia="zh-CN"/>
        </w:rPr>
        <w:t>小组</w:t>
      </w:r>
    </w:p>
    <w:p w14:paraId="07A8A5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12.1磋商小组由采购人依法组建，根据《政府采购竞争性磋商采购方式管理办法》的规定，磋商小组应当履行以下义务：</w:t>
      </w:r>
    </w:p>
    <w:p w14:paraId="51AAAAE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（一）遵纪守法，客观、公正、廉洁地履行职责；</w:t>
      </w:r>
    </w:p>
    <w:p w14:paraId="3BDAE8E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（二）根据竞争性磋商文件的规定独立进行评审，对个人的评审意见承担法律责任；</w:t>
      </w:r>
    </w:p>
    <w:p w14:paraId="3B18549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（三）参与磋商报告的起草；</w:t>
      </w:r>
    </w:p>
    <w:p w14:paraId="70E3578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（四）配合采购人、代理机构答复供应商提出的质疑；</w:t>
      </w:r>
    </w:p>
    <w:p w14:paraId="0AEF559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（五）配合财政部门的投诉处理和监督检查工作。</w:t>
      </w:r>
    </w:p>
    <w:p w14:paraId="0B66748B">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12.2磋商小组由有关技术、经济方面的专家组成。磋商小组人数及技术、经济专家的确定方式见供应商须知前附表。</w:t>
      </w:r>
    </w:p>
    <w:p w14:paraId="50BA4E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 磋商原则</w:t>
      </w:r>
    </w:p>
    <w:p w14:paraId="0D1A8E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12.3.1严格按照竞争性磋商文件中的所有相关规定；按照“公平、公正、科学”的原则进行磋商。</w:t>
      </w:r>
    </w:p>
    <w:p w14:paraId="1C55C63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12.3.2反对不正当竞争。</w:t>
      </w:r>
    </w:p>
    <w:p w14:paraId="51E98C92">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77" w:name="_Toc43911365"/>
      <w:bookmarkStart w:id="78" w:name="_Toc43911493"/>
      <w:bookmarkStart w:id="79" w:name="_Toc74643712"/>
      <w:r>
        <w:rPr>
          <w:rFonts w:hint="eastAsia" w:ascii="宋体" w:hAnsi="宋体" w:eastAsia="宋体" w:cs="宋体"/>
          <w:b/>
          <w:color w:val="auto"/>
          <w:sz w:val="24"/>
          <w:szCs w:val="24"/>
        </w:rPr>
        <w:t>13、磋商过程的保密</w:t>
      </w:r>
      <w:bookmarkEnd w:id="77"/>
      <w:bookmarkEnd w:id="78"/>
      <w:bookmarkEnd w:id="79"/>
    </w:p>
    <w:p w14:paraId="31CA46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13.1响应文件的审查、澄清、评价和比较的有关资料以及</w:t>
      </w:r>
      <w:r>
        <w:rPr>
          <w:rFonts w:hint="eastAsia" w:ascii="宋体" w:hAnsi="宋体" w:cs="宋体"/>
          <w:color w:val="auto"/>
          <w:sz w:val="24"/>
          <w:szCs w:val="24"/>
          <w:lang w:eastAsia="zh-CN"/>
        </w:rPr>
        <w:t>成交</w:t>
      </w:r>
      <w:r>
        <w:rPr>
          <w:rFonts w:hint="eastAsia" w:ascii="宋体" w:hAnsi="宋体" w:eastAsia="宋体" w:cs="宋体"/>
          <w:color w:val="auto"/>
          <w:sz w:val="24"/>
          <w:szCs w:val="24"/>
        </w:rPr>
        <w:t>候选人的推荐情况，与评标有关的其他任何情况均应严格保密。</w:t>
      </w:r>
    </w:p>
    <w:p w14:paraId="64B2EF8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13.2在响应文件的评审和比较、</w:t>
      </w:r>
      <w:r>
        <w:rPr>
          <w:rFonts w:hint="eastAsia" w:ascii="宋体" w:hAnsi="宋体" w:cs="宋体"/>
          <w:color w:val="auto"/>
          <w:sz w:val="24"/>
          <w:szCs w:val="24"/>
          <w:lang w:eastAsia="zh-CN"/>
        </w:rPr>
        <w:t>成交</w:t>
      </w:r>
      <w:r>
        <w:rPr>
          <w:rFonts w:hint="eastAsia" w:ascii="宋体" w:hAnsi="宋体" w:eastAsia="宋体" w:cs="宋体"/>
          <w:color w:val="auto"/>
          <w:sz w:val="24"/>
          <w:szCs w:val="24"/>
        </w:rPr>
        <w:t>候选人推荐以及授予合同的过程中，供应商向采购人和磋商小组施加影响的任何行为，都将会导致其响应被拒绝。</w:t>
      </w:r>
    </w:p>
    <w:p w14:paraId="1C40F6DA">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13.3采购人不对未成交人就磋商过程以及未能成交原因作出任何解释。未成交人不得向磋商小组成员和其他有关人员索问磋商、评审过程的情况和资料。</w:t>
      </w:r>
    </w:p>
    <w:p w14:paraId="17FB2F53">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80" w:name="_Toc74643713"/>
      <w:bookmarkStart w:id="81" w:name="_Toc43911366"/>
      <w:bookmarkStart w:id="82" w:name="_Toc43911494"/>
      <w:r>
        <w:rPr>
          <w:rFonts w:hint="eastAsia" w:ascii="宋体" w:hAnsi="宋体" w:eastAsia="宋体" w:cs="宋体"/>
          <w:b/>
          <w:color w:val="auto"/>
          <w:sz w:val="24"/>
          <w:szCs w:val="24"/>
        </w:rPr>
        <w:t>14、</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响应文件的澄清</w:t>
      </w:r>
      <w:bookmarkEnd w:id="80"/>
      <w:bookmarkEnd w:id="81"/>
      <w:bookmarkEnd w:id="82"/>
    </w:p>
    <w:p w14:paraId="36C56A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可以以书面形式要求供应商对其响应文件中含义不明确的内容作必要的澄清或说明。供应商应采用书面形式进行澄清和说明，但不得超出响应文件的范围或者改变响应文件实质性内容。凡属于磋商小组在磋商发现的计算错误并进行核实的修改不在此列。</w:t>
      </w:r>
    </w:p>
    <w:p w14:paraId="77FB2F6D">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color w:val="auto"/>
          <w:sz w:val="24"/>
          <w:szCs w:val="24"/>
        </w:rPr>
      </w:pPr>
      <w:bookmarkStart w:id="83" w:name="_Toc74643714"/>
      <w:bookmarkStart w:id="84" w:name="_Toc43911367"/>
      <w:bookmarkStart w:id="85" w:name="_Toc43911495"/>
      <w:r>
        <w:rPr>
          <w:rFonts w:hint="eastAsia" w:ascii="宋体" w:hAnsi="宋体" w:eastAsia="宋体" w:cs="宋体"/>
          <w:b/>
          <w:color w:val="auto"/>
          <w:sz w:val="24"/>
          <w:szCs w:val="24"/>
        </w:rPr>
        <w:t>15、</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响应文件的初步评审</w:t>
      </w:r>
      <w:bookmarkEnd w:id="83"/>
      <w:bookmarkEnd w:id="84"/>
      <w:bookmarkEnd w:id="85"/>
    </w:p>
    <w:p w14:paraId="18411D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磋商小组首先评定每份响应文件是否实质上响应了竞争性磋商文件的要求。所谓实质上响应，是指响应文件与竞争性磋商文件的所有实质性条款、条件和要求相符，无显著差异或保留，或者对合同中约定的采购人的权利和供应商的义务方面造成重大的限制，纠正这些差异或保留，将会对其他实质上响应竞争性磋商文件要求的供应商的竞争地位产生不公正的影响。</w:t>
      </w:r>
    </w:p>
    <w:p w14:paraId="738617E3">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如果响应文件实质上不响应竞争性磋商文件的要求，采购人将予以拒绝，并且不允许供应商通过修改或撤消其不符合要求的差异或保留，使之成为具有响应性的投标。</w:t>
      </w:r>
    </w:p>
    <w:p w14:paraId="5D4D629E">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86" w:name="_Toc43911368"/>
      <w:bookmarkStart w:id="87" w:name="_Toc74643715"/>
      <w:bookmarkStart w:id="88" w:name="_Toc43911496"/>
      <w:r>
        <w:rPr>
          <w:rFonts w:hint="eastAsia" w:ascii="宋体" w:hAnsi="宋体" w:eastAsia="宋体" w:cs="宋体"/>
          <w:b/>
          <w:color w:val="auto"/>
          <w:sz w:val="24"/>
          <w:szCs w:val="24"/>
        </w:rPr>
        <w:t>16.</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响应文件计算错误的修正</w:t>
      </w:r>
      <w:bookmarkEnd w:id="86"/>
      <w:bookmarkEnd w:id="87"/>
      <w:bookmarkEnd w:id="88"/>
    </w:p>
    <w:p w14:paraId="09B1BD14">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16.1磋商小组将对确定为实质上响应竞争性磋商文件要求的响应文件进行校核，看其是否有计算或表达上的错误，修正错误的原则如下：</w:t>
      </w:r>
    </w:p>
    <w:p w14:paraId="1BDE9D6B">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16.1.1如果数字表示的金额和用文字表示的金额不一致时，应以文字表示的金额为准；</w:t>
      </w:r>
    </w:p>
    <w:p w14:paraId="7DDCDE87">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16.1.2当单价与数量的乘积与合价不一致时，以单价为准，除非磋商小组认为单价有明显的小数点错误，此时应以标出的合价为准，并修改单价。</w:t>
      </w:r>
    </w:p>
    <w:p w14:paraId="06E2CBFA">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16.2按上述修正错误的原则及方法调整或修正响应文件的磋商报价，供应商同意后，调整后的磋商报价对供应商起约束作用。如果供应商不接受修正后的报价，则磋商小组对其不再进行评审。</w:t>
      </w:r>
    </w:p>
    <w:p w14:paraId="6E38F531">
      <w:pPr>
        <w:keepNext w:val="0"/>
        <w:keepLines w:val="0"/>
        <w:pageBreakBefore w:val="0"/>
        <w:widowControl w:val="0"/>
        <w:tabs>
          <w:tab w:val="left" w:pos="1233"/>
        </w:tabs>
        <w:kinsoku/>
        <w:wordWrap w:val="0"/>
        <w:overflowPunct/>
        <w:topLinePunct/>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89" w:name="_Toc43911497"/>
      <w:bookmarkStart w:id="90" w:name="_Toc74643716"/>
      <w:bookmarkStart w:id="91" w:name="_Toc43911369"/>
      <w:r>
        <w:rPr>
          <w:rFonts w:hint="eastAsia" w:ascii="宋体" w:hAnsi="宋体" w:eastAsia="宋体" w:cs="宋体"/>
          <w:b/>
          <w:color w:val="auto"/>
          <w:sz w:val="24"/>
          <w:szCs w:val="24"/>
        </w:rPr>
        <w:t xml:space="preserve">17. </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响应文件的评审、比较和否决</w:t>
      </w:r>
      <w:bookmarkEnd w:id="89"/>
      <w:bookmarkEnd w:id="90"/>
      <w:bookmarkEnd w:id="91"/>
    </w:p>
    <w:p w14:paraId="0CDD38B3">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17.1磋商小组将按照本须知规定，仅对在实质上响应竞争性磋商文件要求的响应文件进行评估和比较。</w:t>
      </w:r>
    </w:p>
    <w:p w14:paraId="34DC80DA">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在磋商过程中，磋商小组发现供应商的磋商报价明显低于其他供应商的报价，并有可能低于其企业成本的，则磋商小组可以以书面形式要求该供应商作出书面说明并提供相关证明材料。供应商不能合理说明或不能提供相关证明材料的，磋商小组对其响应文件不再进行评审。</w:t>
      </w:r>
    </w:p>
    <w:p w14:paraId="4221509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17.3出现下列情形之一的，将终止竞争性磋商采购活动，发布项目终止公告并说明原因，重新开展采购活动：</w:t>
      </w:r>
    </w:p>
    <w:p w14:paraId="144C3F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1、不符合法律、法规和竞争性磋商文件中规定的其他实质性要求的；</w:t>
      </w:r>
    </w:p>
    <w:p w14:paraId="0AABD9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2、其他法律、法规及本竞争性磋商文件规定的属响应无效的情形。终止竞争性磋商采购活动的条款；</w:t>
      </w:r>
    </w:p>
    <w:p w14:paraId="6A1BB43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3、因情况变化，不再符合规定的竞争性磋商采购方式适用情形的；出现影响采购公正的违法、违规行为的；</w:t>
      </w:r>
    </w:p>
    <w:p w14:paraId="6009A9DC">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92" w:name="_Toc43911370"/>
      <w:bookmarkStart w:id="93" w:name="_Toc43911498"/>
      <w:bookmarkStart w:id="94" w:name="_Toc74643717"/>
      <w:r>
        <w:rPr>
          <w:rFonts w:hint="eastAsia" w:ascii="宋体" w:hAnsi="宋体" w:eastAsia="宋体" w:cs="宋体"/>
          <w:b/>
          <w:color w:val="auto"/>
          <w:sz w:val="24"/>
          <w:szCs w:val="24"/>
        </w:rPr>
        <w:t>18、</w:t>
      </w:r>
      <w:bookmarkEnd w:id="92"/>
      <w:bookmarkEnd w:id="93"/>
      <w:r>
        <w:rPr>
          <w:rFonts w:hint="eastAsia" w:ascii="宋体" w:hAnsi="宋体" w:eastAsia="宋体" w:cs="宋体"/>
          <w:b/>
          <w:color w:val="auto"/>
          <w:sz w:val="24"/>
          <w:szCs w:val="24"/>
        </w:rPr>
        <w:t>成交候选人</w:t>
      </w:r>
      <w:bookmarkEnd w:id="94"/>
    </w:p>
    <w:p w14:paraId="562584D9">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bookmarkStart w:id="95" w:name="_Toc43911371"/>
      <w:bookmarkStart w:id="96" w:name="_Toc74643718"/>
      <w:bookmarkStart w:id="97" w:name="_Toc43911499"/>
      <w:r>
        <w:rPr>
          <w:rFonts w:hint="eastAsia" w:ascii="宋体" w:hAnsi="宋体" w:cs="宋体"/>
          <w:color w:val="auto"/>
          <w:sz w:val="24"/>
          <w:szCs w:val="24"/>
          <w:lang w:val="en-US" w:eastAsia="zh-CN"/>
        </w:rPr>
        <w:t>18.1</w:t>
      </w:r>
      <w:r>
        <w:rPr>
          <w:rFonts w:hint="eastAsia" w:ascii="宋体" w:hAnsi="宋体" w:eastAsia="宋体" w:cs="宋体"/>
          <w:color w:val="auto"/>
          <w:sz w:val="24"/>
          <w:szCs w:val="24"/>
        </w:rPr>
        <w:t>磋商小组应当根据综合评分情况，按照评审由高到低的顺序推荐</w:t>
      </w:r>
      <w:r>
        <w:rPr>
          <w:rFonts w:hint="eastAsia" w:ascii="宋体" w:hAnsi="宋体" w:eastAsia="宋体" w:cs="宋体"/>
          <w:color w:val="auto"/>
          <w:sz w:val="24"/>
          <w:szCs w:val="24"/>
          <w:lang w:val="en-US" w:eastAsia="zh-CN"/>
        </w:rPr>
        <w:t>三名</w:t>
      </w:r>
      <w:r>
        <w:rPr>
          <w:rFonts w:hint="eastAsia" w:ascii="宋体" w:hAnsi="宋体" w:eastAsia="宋体" w:cs="宋体"/>
          <w:color w:val="auto"/>
          <w:sz w:val="24"/>
          <w:szCs w:val="24"/>
        </w:rPr>
        <w:t>成交候选供应商，并向采购人提供书面评审报告，采购人及采购代理机构在政府采购项目评审结束当日内完成评标报告的报送、成交供应商的确定、成交公告发布及成交通知书的发出等。</w:t>
      </w:r>
    </w:p>
    <w:p w14:paraId="42816679">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18.2 招标代理服务收费参照豫招协[2023]002号河南省招标投标协会关于印发《河南省招标代理服务收费指导意见》规定的收费标准收取中标服务费。</w:t>
      </w:r>
    </w:p>
    <w:p w14:paraId="398D56F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z w:val="24"/>
          <w:szCs w:val="24"/>
          <w:lang w:val="en-US" w:eastAsia="zh-CN"/>
        </w:rPr>
        <w:t>河南省招标代理服务费计算标准：</w:t>
      </w:r>
    </w:p>
    <w:tbl>
      <w:tblPr>
        <w:tblStyle w:val="16"/>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4"/>
        <w:gridCol w:w="1654"/>
        <w:gridCol w:w="1548"/>
        <w:gridCol w:w="1432"/>
      </w:tblGrid>
      <w:tr w14:paraId="15E8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428FEAF3">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项目类型/（金额万元）</w:t>
            </w:r>
          </w:p>
        </w:tc>
        <w:tc>
          <w:tcPr>
            <w:tcW w:w="1654" w:type="dxa"/>
            <w:noWrap w:val="0"/>
            <w:vAlign w:val="center"/>
          </w:tcPr>
          <w:p w14:paraId="0266DB68">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工程</w:t>
            </w:r>
          </w:p>
        </w:tc>
        <w:tc>
          <w:tcPr>
            <w:tcW w:w="1548" w:type="dxa"/>
            <w:noWrap w:val="0"/>
            <w:vAlign w:val="center"/>
          </w:tcPr>
          <w:p w14:paraId="3C210FFD">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货物</w:t>
            </w:r>
          </w:p>
        </w:tc>
        <w:tc>
          <w:tcPr>
            <w:tcW w:w="1432" w:type="dxa"/>
            <w:noWrap w:val="0"/>
            <w:vAlign w:val="center"/>
          </w:tcPr>
          <w:p w14:paraId="6CE27B4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服务</w:t>
            </w:r>
          </w:p>
        </w:tc>
      </w:tr>
      <w:tr w14:paraId="1D83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7051C4F7">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100万元以下（含100万元）</w:t>
            </w:r>
          </w:p>
        </w:tc>
        <w:tc>
          <w:tcPr>
            <w:tcW w:w="1654" w:type="dxa"/>
            <w:noWrap w:val="0"/>
            <w:vAlign w:val="center"/>
          </w:tcPr>
          <w:p w14:paraId="417E2370">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c>
          <w:tcPr>
            <w:tcW w:w="1548" w:type="dxa"/>
            <w:noWrap w:val="0"/>
            <w:vAlign w:val="center"/>
          </w:tcPr>
          <w:p w14:paraId="4E0B35D8">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1.70%</w:t>
            </w:r>
          </w:p>
        </w:tc>
        <w:tc>
          <w:tcPr>
            <w:tcW w:w="1432" w:type="dxa"/>
            <w:noWrap w:val="0"/>
            <w:vAlign w:val="center"/>
          </w:tcPr>
          <w:p w14:paraId="575D3441">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1.70%</w:t>
            </w:r>
          </w:p>
        </w:tc>
      </w:tr>
      <w:tr w14:paraId="2198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3F509030">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100-500万元（含500万元）</w:t>
            </w:r>
          </w:p>
        </w:tc>
        <w:tc>
          <w:tcPr>
            <w:tcW w:w="1654" w:type="dxa"/>
            <w:noWrap w:val="0"/>
            <w:vAlign w:val="center"/>
          </w:tcPr>
          <w:p w14:paraId="5CA34213">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1.00%</w:t>
            </w:r>
          </w:p>
        </w:tc>
        <w:tc>
          <w:tcPr>
            <w:tcW w:w="1548" w:type="dxa"/>
            <w:noWrap w:val="0"/>
            <w:vAlign w:val="center"/>
          </w:tcPr>
          <w:p w14:paraId="2AAA1CA4">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c>
          <w:tcPr>
            <w:tcW w:w="1432" w:type="dxa"/>
            <w:noWrap w:val="0"/>
            <w:vAlign w:val="center"/>
          </w:tcPr>
          <w:p w14:paraId="3E981D34">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r>
      <w:tr w14:paraId="71F1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4BCBE618">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500-1000万元（含1000万元）</w:t>
            </w:r>
          </w:p>
        </w:tc>
        <w:tc>
          <w:tcPr>
            <w:tcW w:w="1654" w:type="dxa"/>
            <w:noWrap w:val="0"/>
            <w:vAlign w:val="center"/>
          </w:tcPr>
          <w:p w14:paraId="49341A23">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0.70%</w:t>
            </w:r>
          </w:p>
        </w:tc>
        <w:tc>
          <w:tcPr>
            <w:tcW w:w="1548" w:type="dxa"/>
            <w:noWrap w:val="0"/>
            <w:vAlign w:val="center"/>
          </w:tcPr>
          <w:p w14:paraId="7A063F9E">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0.80%</w:t>
            </w:r>
          </w:p>
        </w:tc>
        <w:tc>
          <w:tcPr>
            <w:tcW w:w="1432" w:type="dxa"/>
            <w:noWrap w:val="0"/>
            <w:vAlign w:val="center"/>
          </w:tcPr>
          <w:p w14:paraId="7C1D3BF6">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0.70%</w:t>
            </w:r>
          </w:p>
        </w:tc>
      </w:tr>
      <w:tr w14:paraId="33EE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5CBF9E59">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1000-5000万元（含5000万元）</w:t>
            </w:r>
          </w:p>
        </w:tc>
        <w:tc>
          <w:tcPr>
            <w:tcW w:w="1654" w:type="dxa"/>
            <w:noWrap w:val="0"/>
            <w:vAlign w:val="center"/>
          </w:tcPr>
          <w:p w14:paraId="2CB6CA86">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0.40%</w:t>
            </w:r>
          </w:p>
        </w:tc>
        <w:tc>
          <w:tcPr>
            <w:tcW w:w="1548" w:type="dxa"/>
            <w:noWrap w:val="0"/>
            <w:vAlign w:val="center"/>
          </w:tcPr>
          <w:p w14:paraId="6F520D27">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0.50%</w:t>
            </w:r>
          </w:p>
        </w:tc>
        <w:tc>
          <w:tcPr>
            <w:tcW w:w="1432" w:type="dxa"/>
            <w:noWrap w:val="0"/>
            <w:vAlign w:val="center"/>
          </w:tcPr>
          <w:p w14:paraId="6AED1CB6">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0.40%</w:t>
            </w:r>
          </w:p>
        </w:tc>
      </w:tr>
      <w:tr w14:paraId="611C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35C6862B">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5000万元--1亿元（含1亿元）</w:t>
            </w:r>
          </w:p>
        </w:tc>
        <w:tc>
          <w:tcPr>
            <w:tcW w:w="1654" w:type="dxa"/>
            <w:noWrap w:val="0"/>
            <w:vAlign w:val="center"/>
          </w:tcPr>
          <w:p w14:paraId="19AF261F">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0.25%</w:t>
            </w:r>
          </w:p>
        </w:tc>
        <w:tc>
          <w:tcPr>
            <w:tcW w:w="1548" w:type="dxa"/>
            <w:noWrap w:val="0"/>
            <w:vAlign w:val="center"/>
          </w:tcPr>
          <w:p w14:paraId="4ABDD6B2">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0.30%</w:t>
            </w:r>
          </w:p>
        </w:tc>
        <w:tc>
          <w:tcPr>
            <w:tcW w:w="1432" w:type="dxa"/>
            <w:noWrap w:val="0"/>
            <w:vAlign w:val="center"/>
          </w:tcPr>
          <w:p w14:paraId="14F5C05C">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0.25%</w:t>
            </w:r>
          </w:p>
        </w:tc>
      </w:tr>
      <w:tr w14:paraId="3375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71935B89">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1亿--5亿元（含5亿元）</w:t>
            </w:r>
          </w:p>
        </w:tc>
        <w:tc>
          <w:tcPr>
            <w:tcW w:w="1654" w:type="dxa"/>
            <w:noWrap w:val="0"/>
            <w:vAlign w:val="center"/>
          </w:tcPr>
          <w:p w14:paraId="70CD9693">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0.10%</w:t>
            </w:r>
          </w:p>
        </w:tc>
        <w:tc>
          <w:tcPr>
            <w:tcW w:w="1548" w:type="dxa"/>
            <w:noWrap w:val="0"/>
            <w:vAlign w:val="center"/>
          </w:tcPr>
          <w:p w14:paraId="613F6CD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0.10%</w:t>
            </w:r>
          </w:p>
        </w:tc>
        <w:tc>
          <w:tcPr>
            <w:tcW w:w="1432" w:type="dxa"/>
            <w:noWrap w:val="0"/>
            <w:vAlign w:val="center"/>
          </w:tcPr>
          <w:p w14:paraId="741045D7">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0.10%</w:t>
            </w:r>
          </w:p>
        </w:tc>
      </w:tr>
      <w:tr w14:paraId="2E28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053D2C95">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5亿--10亿元（含10亿元）</w:t>
            </w:r>
          </w:p>
        </w:tc>
        <w:tc>
          <w:tcPr>
            <w:tcW w:w="1654" w:type="dxa"/>
            <w:noWrap w:val="0"/>
            <w:vAlign w:val="center"/>
          </w:tcPr>
          <w:p w14:paraId="32A4093E">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0.045%</w:t>
            </w:r>
          </w:p>
        </w:tc>
        <w:tc>
          <w:tcPr>
            <w:tcW w:w="1548" w:type="dxa"/>
            <w:noWrap w:val="0"/>
            <w:vAlign w:val="center"/>
          </w:tcPr>
          <w:p w14:paraId="0132269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0.045%</w:t>
            </w:r>
          </w:p>
        </w:tc>
        <w:tc>
          <w:tcPr>
            <w:tcW w:w="1432" w:type="dxa"/>
            <w:noWrap w:val="0"/>
            <w:vAlign w:val="center"/>
          </w:tcPr>
          <w:p w14:paraId="41A94600">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0.045%</w:t>
            </w:r>
          </w:p>
        </w:tc>
      </w:tr>
      <w:tr w14:paraId="39DF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1C7AD037">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10亿--50亿元（含50亿元）</w:t>
            </w:r>
          </w:p>
        </w:tc>
        <w:tc>
          <w:tcPr>
            <w:tcW w:w="1654" w:type="dxa"/>
            <w:noWrap w:val="0"/>
            <w:vAlign w:val="center"/>
          </w:tcPr>
          <w:p w14:paraId="56146F1D">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0.010%</w:t>
            </w:r>
          </w:p>
        </w:tc>
        <w:tc>
          <w:tcPr>
            <w:tcW w:w="1548" w:type="dxa"/>
            <w:noWrap w:val="0"/>
            <w:vAlign w:val="center"/>
          </w:tcPr>
          <w:p w14:paraId="0C285DC7">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0.010%</w:t>
            </w:r>
          </w:p>
        </w:tc>
        <w:tc>
          <w:tcPr>
            <w:tcW w:w="1432" w:type="dxa"/>
            <w:noWrap w:val="0"/>
            <w:vAlign w:val="center"/>
          </w:tcPr>
          <w:p w14:paraId="18A0B251">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0.010%</w:t>
            </w:r>
          </w:p>
        </w:tc>
      </w:tr>
      <w:tr w14:paraId="5B72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0D07E4FD">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50亿--100亿元（含</w:t>
            </w:r>
            <w:r>
              <w:rPr>
                <w:rFonts w:hint="eastAsia" w:ascii="宋体" w:hAnsi="宋体"/>
                <w:b w:val="0"/>
                <w:i w:val="0"/>
                <w:snapToGrid/>
                <w:color w:val="auto"/>
                <w:sz w:val="24"/>
                <w:szCs w:val="18"/>
                <w:u w:val="none"/>
                <w:lang w:val="en-US" w:eastAsia="zh-CN"/>
              </w:rPr>
              <w:t>100</w:t>
            </w:r>
            <w:r>
              <w:rPr>
                <w:rFonts w:hint="default" w:ascii="宋体" w:hAnsi="宋体" w:eastAsia="宋体"/>
                <w:b w:val="0"/>
                <w:i w:val="0"/>
                <w:snapToGrid/>
                <w:color w:val="auto"/>
                <w:sz w:val="24"/>
                <w:szCs w:val="18"/>
                <w:u w:val="none"/>
                <w:lang w:eastAsia="zh-CN"/>
              </w:rPr>
              <w:t>亿元）</w:t>
            </w:r>
          </w:p>
        </w:tc>
        <w:tc>
          <w:tcPr>
            <w:tcW w:w="1654" w:type="dxa"/>
            <w:noWrap w:val="0"/>
            <w:vAlign w:val="center"/>
          </w:tcPr>
          <w:p w14:paraId="7F6CDD42">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0.008%</w:t>
            </w:r>
          </w:p>
        </w:tc>
        <w:tc>
          <w:tcPr>
            <w:tcW w:w="1548" w:type="dxa"/>
            <w:noWrap w:val="0"/>
            <w:vAlign w:val="center"/>
          </w:tcPr>
          <w:p w14:paraId="7FBF3876">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0.008%</w:t>
            </w:r>
          </w:p>
        </w:tc>
        <w:tc>
          <w:tcPr>
            <w:tcW w:w="1432" w:type="dxa"/>
            <w:noWrap w:val="0"/>
            <w:vAlign w:val="center"/>
          </w:tcPr>
          <w:p w14:paraId="3712C67B">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0.008%</w:t>
            </w:r>
          </w:p>
        </w:tc>
      </w:tr>
      <w:tr w14:paraId="1D11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tcBorders>
              <w:bottom w:val="single" w:color="auto" w:sz="4" w:space="0"/>
            </w:tcBorders>
            <w:noWrap w:val="0"/>
            <w:vAlign w:val="center"/>
          </w:tcPr>
          <w:p w14:paraId="3F3ACDEC">
            <w:pPr>
              <w:widowControl w:val="0"/>
              <w:kinsoku/>
              <w:autoSpaceDE/>
              <w:autoSpaceDN w:val="0"/>
              <w:jc w:val="left"/>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100亿元以上</w:t>
            </w:r>
          </w:p>
        </w:tc>
        <w:tc>
          <w:tcPr>
            <w:tcW w:w="1654" w:type="dxa"/>
            <w:tcBorders>
              <w:bottom w:val="single" w:color="auto" w:sz="4" w:space="0"/>
            </w:tcBorders>
            <w:noWrap w:val="0"/>
            <w:vAlign w:val="center"/>
          </w:tcPr>
          <w:p w14:paraId="68D552EF">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c>
          <w:tcPr>
            <w:tcW w:w="1548" w:type="dxa"/>
            <w:tcBorders>
              <w:bottom w:val="single" w:color="auto" w:sz="4" w:space="0"/>
            </w:tcBorders>
            <w:noWrap w:val="0"/>
            <w:vAlign w:val="center"/>
          </w:tcPr>
          <w:p w14:paraId="4C3E7F2F">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c>
          <w:tcPr>
            <w:tcW w:w="1432" w:type="dxa"/>
            <w:tcBorders>
              <w:bottom w:val="single" w:color="auto" w:sz="4" w:space="0"/>
            </w:tcBorders>
            <w:noWrap w:val="0"/>
            <w:vAlign w:val="center"/>
          </w:tcPr>
          <w:p w14:paraId="1F8CB9A5">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r>
      <w:tr w14:paraId="37F9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6" w:hRule="atLeast"/>
          <w:jc w:val="center"/>
        </w:trPr>
        <w:tc>
          <w:tcPr>
            <w:tcW w:w="8578" w:type="dxa"/>
            <w:gridSpan w:val="4"/>
            <w:tcBorders>
              <w:top w:val="single" w:color="auto" w:sz="4" w:space="0"/>
              <w:left w:val="nil"/>
              <w:bottom w:val="nil"/>
              <w:right w:val="nil"/>
            </w:tcBorders>
            <w:noWrap w:val="0"/>
            <w:vAlign w:val="center"/>
          </w:tcPr>
          <w:p w14:paraId="3438780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注：1.按本表费率计算的收费金额为招标代理服务费的基准价格，不含工程量清单、最高投标限价（招标控制价）或标底的编制费用。</w:t>
            </w:r>
          </w:p>
          <w:p w14:paraId="59C6CB72">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val="en-US" w:eastAsia="zh-CN"/>
              </w:rPr>
            </w:pPr>
            <w:r>
              <w:rPr>
                <w:rFonts w:hint="eastAsia" w:ascii="宋体" w:hAnsi="宋体" w:eastAsia="宋体" w:cs="Times New Roman"/>
                <w:b w:val="0"/>
                <w:i w:val="0"/>
                <w:snapToGrid/>
                <w:color w:val="auto"/>
                <w:sz w:val="24"/>
                <w:szCs w:val="24"/>
                <w:u w:val="none"/>
                <w:lang w:val="en-US" w:eastAsia="zh-CN"/>
              </w:rPr>
              <w:t>2.招标代理服务收费按差额定率累进法计算。</w:t>
            </w:r>
          </w:p>
          <w:p w14:paraId="28FBB463">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例如: 某工程招标代理业务，项目预算金额（招标控制价）为10000万元，招标代理服务收费计算如下:</w:t>
            </w:r>
          </w:p>
          <w:p w14:paraId="74A377D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eastAsia" w:ascii="宋体" w:hAnsi="宋体" w:eastAsia="宋体" w:cs="Times New Roman"/>
                <w:b w:val="0"/>
                <w:i w:val="0"/>
                <w:snapToGrid/>
                <w:color w:val="auto"/>
                <w:sz w:val="24"/>
                <w:szCs w:val="24"/>
                <w:u w:val="none"/>
                <w:lang w:val="en-US" w:eastAsia="zh-CN"/>
              </w:rPr>
              <w:t xml:space="preserve"> </w:t>
            </w:r>
            <w:r>
              <w:rPr>
                <w:rFonts w:hint="default" w:ascii="宋体" w:hAnsi="宋体" w:eastAsia="宋体" w:cs="Times New Roman"/>
                <w:b w:val="0"/>
                <w:i w:val="0"/>
                <w:snapToGrid/>
                <w:color w:val="auto"/>
                <w:sz w:val="24"/>
                <w:szCs w:val="24"/>
                <w:u w:val="none"/>
                <w:lang w:eastAsia="zh-CN"/>
              </w:rPr>
              <w:t>100万元×1.2%=1.2万元</w:t>
            </w:r>
          </w:p>
          <w:p w14:paraId="74595A00">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（500-100）万元×1.0%=4万元</w:t>
            </w:r>
          </w:p>
          <w:p w14:paraId="3C83B85E">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（1000-500）×0.7%=3.5万元</w:t>
            </w:r>
          </w:p>
          <w:p w14:paraId="0B370E5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（5000-1000）×0.4%=16万元</w:t>
            </w:r>
          </w:p>
          <w:p w14:paraId="1FBB4D3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（10000-5000）×0.25%=12.5万元</w:t>
            </w:r>
          </w:p>
          <w:p w14:paraId="589AE41B">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合计收费=1.2+4+3.5+16+12.5=37.2万元</w:t>
            </w:r>
          </w:p>
        </w:tc>
      </w:tr>
      <w:bookmarkEnd w:id="95"/>
      <w:bookmarkEnd w:id="96"/>
      <w:bookmarkEnd w:id="97"/>
    </w:tbl>
    <w:p w14:paraId="1EB85E72">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98" w:name="_Toc4360"/>
      <w:bookmarkStart w:id="99" w:name="_Toc1944"/>
      <w:bookmarkStart w:id="100" w:name="_Toc30746"/>
      <w:r>
        <w:rPr>
          <w:rFonts w:hint="eastAsia" w:ascii="宋体" w:hAnsi="宋体" w:eastAsia="宋体" w:cs="宋体"/>
          <w:b/>
          <w:bCs/>
          <w:color w:val="auto"/>
          <w:sz w:val="24"/>
          <w:szCs w:val="24"/>
        </w:rPr>
        <w:t>19、合同授予</w:t>
      </w:r>
      <w:bookmarkEnd w:id="98"/>
      <w:bookmarkEnd w:id="99"/>
      <w:bookmarkEnd w:id="100"/>
    </w:p>
    <w:p w14:paraId="038C256E">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101" w:name="_Toc13246"/>
      <w:bookmarkStart w:id="102" w:name="_Toc27951"/>
      <w:bookmarkStart w:id="103" w:name="_Toc13255"/>
      <w:r>
        <w:rPr>
          <w:rFonts w:hint="eastAsia" w:ascii="宋体" w:hAnsi="宋体" w:eastAsia="宋体" w:cs="宋体"/>
          <w:color w:val="auto"/>
          <w:sz w:val="24"/>
          <w:szCs w:val="24"/>
        </w:rPr>
        <w:t>19.1 成交供应商在收到成交通知书后</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个工作日内应与采购人签订合同</w:t>
      </w:r>
      <w:bookmarkEnd w:id="101"/>
      <w:bookmarkStart w:id="104" w:name="_Toc21013"/>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按照磋商文件及</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供应商的响应文件订立书面合同，</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人无正当理由拒签合同，在签订合同时向采购人提出附加条件，采购人有权取消其中标资格，并按采购人要求予以赔偿。采购人和</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供应商不得再行订立背离合同实质性内容的其他协议。</w:t>
      </w:r>
      <w:bookmarkEnd w:id="102"/>
      <w:bookmarkEnd w:id="103"/>
    </w:p>
    <w:bookmarkEnd w:id="104"/>
    <w:p w14:paraId="69EEF4A4">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105" w:name="_Toc28130"/>
      <w:bookmarkStart w:id="106" w:name="_Toc26835"/>
      <w:bookmarkStart w:id="107" w:name="_Toc21605"/>
      <w:r>
        <w:rPr>
          <w:rFonts w:hint="eastAsia" w:ascii="宋体" w:hAnsi="宋体" w:eastAsia="宋体" w:cs="宋体"/>
          <w:color w:val="auto"/>
          <w:sz w:val="24"/>
          <w:szCs w:val="24"/>
          <w:lang w:val="en-US" w:eastAsia="zh-CN"/>
        </w:rPr>
        <w:t>19.2在签订合同过程中，如发现成交供应商以他人名义磋商或者以其他方式弄虚作假，骗取成交的，采购人有权取消其成交资格。</w:t>
      </w:r>
      <w:bookmarkEnd w:id="105"/>
      <w:bookmarkEnd w:id="106"/>
      <w:bookmarkEnd w:id="107"/>
    </w:p>
    <w:p w14:paraId="1996FB90">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108" w:name="_Toc19546"/>
      <w:bookmarkStart w:id="109" w:name="_Toc13270"/>
      <w:bookmarkStart w:id="110" w:name="_Toc23198"/>
      <w:r>
        <w:rPr>
          <w:rFonts w:hint="eastAsia" w:ascii="宋体" w:hAnsi="宋体" w:eastAsia="宋体" w:cs="宋体"/>
          <w:color w:val="auto"/>
          <w:sz w:val="24"/>
          <w:szCs w:val="24"/>
          <w:lang w:val="en-US" w:eastAsia="zh-CN"/>
        </w:rPr>
        <w:t>19.</w:t>
      </w:r>
      <w:bookmarkEnd w:id="108"/>
      <w:r>
        <w:rPr>
          <w:rFonts w:hint="eastAsia" w:ascii="宋体" w:hAnsi="宋体" w:eastAsia="宋体" w:cs="宋体"/>
          <w:color w:val="auto"/>
          <w:sz w:val="24"/>
          <w:szCs w:val="24"/>
          <w:lang w:val="en-US" w:eastAsia="zh-CN"/>
        </w:rPr>
        <w:t>3采购人应在采购合同签订之日起2个工作日内将政府采购合同在河南省政府采购网发布公告信息及将采购合同报同级财政部门备案。</w:t>
      </w:r>
      <w:bookmarkEnd w:id="109"/>
      <w:bookmarkEnd w:id="110"/>
    </w:p>
    <w:p w14:paraId="5E1510ED">
      <w:pPr>
        <w:keepNext w:val="0"/>
        <w:keepLines w:val="0"/>
        <w:pageBreakBefore w:val="0"/>
        <w:widowControl w:val="0"/>
        <w:kinsoku/>
        <w:overflowPunct/>
        <w:topLinePunct w:val="0"/>
        <w:bidi w:val="0"/>
        <w:snapToGrid/>
        <w:spacing w:before="20" w:after="20" w:line="360" w:lineRule="auto"/>
        <w:outlineLvl w:val="1"/>
        <w:rPr>
          <w:rFonts w:hint="eastAsia" w:ascii="宋体" w:hAnsi="宋体" w:eastAsia="宋体" w:cs="宋体"/>
          <w:bCs/>
          <w:color w:val="auto"/>
          <w:sz w:val="24"/>
          <w:szCs w:val="24"/>
          <w:lang w:bidi="zh-CN"/>
        </w:rPr>
      </w:pPr>
    </w:p>
    <w:p w14:paraId="3E7EB97E">
      <w:pPr>
        <w:adjustRightInd w:val="0"/>
        <w:snapToGrid w:val="0"/>
        <w:spacing w:line="360" w:lineRule="auto"/>
        <w:jc w:val="center"/>
        <w:rPr>
          <w:rFonts w:hint="eastAsia" w:ascii="宋体" w:hAnsi="宋体" w:eastAsia="宋体" w:cs="宋体"/>
          <w:sz w:val="24"/>
          <w:szCs w:val="24"/>
        </w:rPr>
      </w:pPr>
      <w:bookmarkStart w:id="111" w:name="_Toc461977419"/>
      <w:bookmarkEnd w:id="111"/>
    </w:p>
    <w:p w14:paraId="443931B3">
      <w:pPr>
        <w:adjustRightInd w:val="0"/>
        <w:snapToGrid w:val="0"/>
        <w:spacing w:line="360" w:lineRule="auto"/>
        <w:jc w:val="center"/>
        <w:rPr>
          <w:rFonts w:hint="eastAsia" w:ascii="宋体" w:hAnsi="宋体" w:eastAsia="宋体" w:cs="宋体"/>
          <w:sz w:val="24"/>
          <w:szCs w:val="24"/>
        </w:rPr>
      </w:pPr>
    </w:p>
    <w:p w14:paraId="524D71BF">
      <w:pPr>
        <w:adjustRightInd w:val="0"/>
        <w:snapToGrid w:val="0"/>
        <w:spacing w:line="360" w:lineRule="auto"/>
        <w:jc w:val="center"/>
        <w:rPr>
          <w:rFonts w:hint="eastAsia" w:ascii="宋体" w:hAnsi="宋体" w:eastAsia="宋体" w:cs="宋体"/>
          <w:sz w:val="24"/>
          <w:szCs w:val="24"/>
        </w:rPr>
      </w:pPr>
    </w:p>
    <w:p w14:paraId="4AE163FB">
      <w:pPr>
        <w:adjustRightInd w:val="0"/>
        <w:snapToGrid w:val="0"/>
        <w:spacing w:line="360" w:lineRule="auto"/>
        <w:jc w:val="both"/>
        <w:rPr>
          <w:rFonts w:ascii="宋体" w:hAnsi="宋体" w:eastAsia="宋体" w:cs="宋体"/>
          <w:sz w:val="24"/>
          <w:szCs w:val="24"/>
        </w:rPr>
      </w:pPr>
      <w:r>
        <w:rPr>
          <w:rFonts w:hint="eastAsia" w:ascii="宋体" w:hAnsi="宋体" w:eastAsia="宋体" w:cs="宋体"/>
          <w:sz w:val="24"/>
          <w:szCs w:val="24"/>
        </w:rPr>
        <w:t>附件1：河南省政府采购合同融资政策告知函</w:t>
      </w:r>
    </w:p>
    <w:p w14:paraId="5596815D">
      <w:pPr>
        <w:adjustRightInd w:val="0"/>
        <w:snapToGrid w:val="0"/>
        <w:spacing w:line="360" w:lineRule="auto"/>
        <w:ind w:firstLine="482" w:firstLineChars="200"/>
        <w:jc w:val="center"/>
        <w:rPr>
          <w:rFonts w:ascii="宋体" w:hAnsi="宋体" w:eastAsia="宋体" w:cs="宋体"/>
          <w:b/>
          <w:bCs/>
          <w:sz w:val="24"/>
          <w:szCs w:val="24"/>
        </w:rPr>
      </w:pPr>
      <w:bookmarkStart w:id="112" w:name="_Toc7567"/>
      <w:bookmarkStart w:id="113" w:name="_Toc19399"/>
    </w:p>
    <w:p w14:paraId="1C184A1D">
      <w:pPr>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河南省政府采购合同融资政策告知函</w:t>
      </w:r>
      <w:bookmarkEnd w:id="112"/>
      <w:bookmarkEnd w:id="113"/>
    </w:p>
    <w:p w14:paraId="7BDBC5A2">
      <w:pPr>
        <w:adjustRightInd w:val="0"/>
        <w:snapToGrid w:val="0"/>
        <w:spacing w:line="360" w:lineRule="auto"/>
        <w:ind w:firstLine="480" w:firstLineChars="200"/>
        <w:jc w:val="left"/>
        <w:rPr>
          <w:rFonts w:ascii="宋体" w:hAnsi="宋体" w:eastAsia="宋体" w:cs="宋体"/>
          <w:sz w:val="24"/>
          <w:szCs w:val="24"/>
        </w:rPr>
      </w:pPr>
    </w:p>
    <w:p w14:paraId="2E9389AE">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各投标人：</w:t>
      </w:r>
    </w:p>
    <w:p w14:paraId="4DBF517D">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欢迎贵公司参与河南省政府采购活动！</w:t>
      </w:r>
    </w:p>
    <w:p w14:paraId="171C4BF9">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政府采购合同融资是河南省财政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0A553727">
      <w:pPr>
        <w:autoSpaceDE w:val="0"/>
        <w:autoSpaceDN w:val="0"/>
        <w:adjustRightInd w:val="0"/>
        <w:snapToGrid w:val="0"/>
        <w:spacing w:before="240" w:after="60" w:line="360" w:lineRule="auto"/>
        <w:ind w:firstLine="480" w:firstLineChars="200"/>
        <w:jc w:val="left"/>
        <w:rPr>
          <w:rFonts w:ascii="宋体" w:hAnsi="宋体" w:eastAsia="宋体" w:cs="宋体"/>
          <w:smallCaps/>
          <w:color w:val="000000"/>
          <w:sz w:val="24"/>
          <w:szCs w:val="24"/>
        </w:rPr>
      </w:pPr>
      <w:bookmarkStart w:id="114" w:name="_Toc15196"/>
      <w:r>
        <w:rPr>
          <w:rFonts w:hint="eastAsia" w:ascii="宋体" w:hAnsi="宋体" w:eastAsia="宋体" w:cs="宋体"/>
          <w:smallCaps/>
          <w:sz w:val="24"/>
          <w:szCs w:val="24"/>
        </w:rPr>
        <w:t>贷款渠道和提供贷款的金融机构，可在河南省政府采购网“河南省政府采购合同融资平台”查询联系。</w:t>
      </w:r>
      <w:bookmarkEnd w:id="114"/>
    </w:p>
    <w:p w14:paraId="4286C59D">
      <w:pPr>
        <w:rPr>
          <w:rFonts w:ascii="宋体" w:hAnsi="宋体" w:eastAsia="宋体" w:cs="宋体"/>
          <w:sz w:val="24"/>
          <w:szCs w:val="24"/>
        </w:rPr>
      </w:pPr>
    </w:p>
    <w:p w14:paraId="6B4D33C8">
      <w:pPr>
        <w:rPr>
          <w:rFonts w:ascii="宋体" w:hAnsi="宋体" w:eastAsia="宋体" w:cs="宋体"/>
          <w:kern w:val="0"/>
          <w:sz w:val="24"/>
          <w:szCs w:val="24"/>
          <w:shd w:val="clear" w:color="auto" w:fill="F9F9F9"/>
        </w:rPr>
      </w:pPr>
      <w:r>
        <w:rPr>
          <w:rFonts w:hint="eastAsia" w:ascii="宋体" w:hAnsi="宋体" w:eastAsia="宋体" w:cs="宋体"/>
          <w:kern w:val="0"/>
          <w:sz w:val="24"/>
          <w:szCs w:val="24"/>
          <w:shd w:val="clear" w:color="auto" w:fill="F9F9F9"/>
        </w:rPr>
        <w:br w:type="page"/>
      </w:r>
      <w:r>
        <w:rPr>
          <w:rFonts w:hint="eastAsia" w:ascii="宋体" w:hAnsi="宋体" w:eastAsia="宋体" w:cs="宋体"/>
          <w:sz w:val="24"/>
          <w:szCs w:val="24"/>
        </w:rPr>
        <w:t>附件2：卢氏县政府采购合同融资政策告知书</w:t>
      </w:r>
    </w:p>
    <w:p w14:paraId="3C3E946D">
      <w:pPr>
        <w:adjustRightInd w:val="0"/>
        <w:snapToGrid w:val="0"/>
        <w:spacing w:line="360" w:lineRule="auto"/>
        <w:ind w:firstLine="480" w:firstLineChars="200"/>
        <w:jc w:val="left"/>
        <w:rPr>
          <w:rFonts w:ascii="宋体" w:hAnsi="宋体" w:eastAsia="宋体" w:cs="宋体"/>
          <w:sz w:val="24"/>
          <w:szCs w:val="24"/>
        </w:rPr>
      </w:pPr>
    </w:p>
    <w:p w14:paraId="068D2A7A">
      <w:pPr>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卢氏县政府采购合同融资政策告知书</w:t>
      </w:r>
    </w:p>
    <w:p w14:paraId="32800D75">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各供应商:</w:t>
      </w:r>
    </w:p>
    <w:p w14:paraId="0920CB64">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2B01B5A3">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17BBE839">
      <w:pPr>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联系电话:0398-7863556</w:t>
      </w:r>
      <w:r>
        <w:rPr>
          <w:rFonts w:hint="eastAsia" w:ascii="宋体" w:hAnsi="宋体" w:eastAsia="宋体" w:cs="宋体"/>
          <w:sz w:val="24"/>
          <w:szCs w:val="24"/>
          <w:lang w:eastAsia="zh-CN"/>
        </w:rPr>
        <w:t>。</w:t>
      </w:r>
    </w:p>
    <w:p w14:paraId="54CB813E">
      <w:pPr>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承接银行联系方式</w:t>
      </w:r>
      <w:r>
        <w:rPr>
          <w:rFonts w:hint="eastAsia" w:ascii="宋体" w:hAnsi="宋体" w:eastAsia="宋体" w:cs="宋体"/>
          <w:sz w:val="24"/>
          <w:szCs w:val="24"/>
          <w:lang w:eastAsia="zh-CN"/>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460"/>
        <w:gridCol w:w="2505"/>
      </w:tblGrid>
      <w:tr w14:paraId="1532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3225" w:type="dxa"/>
            <w:vAlign w:val="bottom"/>
          </w:tcPr>
          <w:p w14:paraId="7779AD25">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单位名称</w:t>
            </w:r>
          </w:p>
        </w:tc>
        <w:tc>
          <w:tcPr>
            <w:tcW w:w="2460" w:type="dxa"/>
            <w:vAlign w:val="bottom"/>
          </w:tcPr>
          <w:p w14:paraId="0E463A67">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联系人</w:t>
            </w:r>
          </w:p>
        </w:tc>
        <w:tc>
          <w:tcPr>
            <w:tcW w:w="2505" w:type="dxa"/>
            <w:vAlign w:val="bottom"/>
          </w:tcPr>
          <w:p w14:paraId="2DF68C8C">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联系方式</w:t>
            </w:r>
          </w:p>
        </w:tc>
      </w:tr>
      <w:tr w14:paraId="5EEC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13F43B1C">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中国建设银行股份有限公司卢氏支行</w:t>
            </w:r>
          </w:p>
        </w:tc>
        <w:tc>
          <w:tcPr>
            <w:tcW w:w="2460" w:type="dxa"/>
            <w:vAlign w:val="center"/>
          </w:tcPr>
          <w:p w14:paraId="05F7A59D">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张江涛</w:t>
            </w:r>
          </w:p>
        </w:tc>
        <w:tc>
          <w:tcPr>
            <w:tcW w:w="2505" w:type="dxa"/>
            <w:vAlign w:val="center"/>
          </w:tcPr>
          <w:p w14:paraId="13442C32">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18739850204</w:t>
            </w:r>
          </w:p>
        </w:tc>
      </w:tr>
      <w:tr w14:paraId="2AE9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60A34E7A">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中国农业银行股份有限公司卢氏县支行</w:t>
            </w:r>
          </w:p>
        </w:tc>
        <w:tc>
          <w:tcPr>
            <w:tcW w:w="2460" w:type="dxa"/>
            <w:vAlign w:val="center"/>
          </w:tcPr>
          <w:p w14:paraId="02169FA4">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代仁旺</w:t>
            </w:r>
          </w:p>
        </w:tc>
        <w:tc>
          <w:tcPr>
            <w:tcW w:w="2505" w:type="dxa"/>
            <w:vAlign w:val="center"/>
          </w:tcPr>
          <w:p w14:paraId="78E40741">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18939062604</w:t>
            </w:r>
          </w:p>
        </w:tc>
      </w:tr>
      <w:tr w14:paraId="4682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692F4917">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中原银行股份有限公司</w:t>
            </w:r>
          </w:p>
          <w:p w14:paraId="6AC28595">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卢氏支行</w:t>
            </w:r>
          </w:p>
        </w:tc>
        <w:tc>
          <w:tcPr>
            <w:tcW w:w="2460" w:type="dxa"/>
            <w:vAlign w:val="center"/>
          </w:tcPr>
          <w:p w14:paraId="1FFF6994">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李 博</w:t>
            </w:r>
          </w:p>
        </w:tc>
        <w:tc>
          <w:tcPr>
            <w:tcW w:w="2505" w:type="dxa"/>
            <w:vAlign w:val="center"/>
          </w:tcPr>
          <w:p w14:paraId="5CA1D6FC">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15839857887</w:t>
            </w:r>
          </w:p>
        </w:tc>
      </w:tr>
    </w:tbl>
    <w:p w14:paraId="1E8014A9">
      <w:pPr>
        <w:spacing w:line="440" w:lineRule="exact"/>
        <w:ind w:firstLine="480" w:firstLineChars="200"/>
        <w:rPr>
          <w:rFonts w:ascii="宋体" w:hAnsi="宋体" w:eastAsia="宋体" w:cs="宋体"/>
          <w:sz w:val="24"/>
          <w:szCs w:val="24"/>
        </w:rPr>
      </w:pPr>
    </w:p>
    <w:p w14:paraId="0D8247DB">
      <w:pPr>
        <w:spacing w:line="360" w:lineRule="auto"/>
        <w:jc w:val="center"/>
        <w:outlineLvl w:val="0"/>
        <w:rPr>
          <w:rFonts w:hint="eastAsia" w:ascii="宋体" w:hAnsi="宋体" w:eastAsia="宋体" w:cs="Times New Roman"/>
          <w:b/>
          <w:bCs/>
          <w:sz w:val="32"/>
          <w:szCs w:val="32"/>
        </w:rPr>
      </w:pPr>
      <w:bookmarkStart w:id="115" w:name="_Toc467"/>
    </w:p>
    <w:p w14:paraId="636288F8">
      <w:pPr>
        <w:spacing w:line="360" w:lineRule="auto"/>
        <w:jc w:val="center"/>
        <w:outlineLvl w:val="0"/>
        <w:rPr>
          <w:rFonts w:hint="eastAsia" w:ascii="宋体" w:hAnsi="宋体" w:eastAsia="宋体" w:cs="Times New Roman"/>
          <w:b/>
          <w:bCs/>
          <w:sz w:val="32"/>
          <w:szCs w:val="32"/>
        </w:rPr>
      </w:pPr>
    </w:p>
    <w:p w14:paraId="36C29F38">
      <w:pPr>
        <w:widowControl w:val="0"/>
        <w:jc w:val="both"/>
        <w:textAlignment w:val="auto"/>
        <w:rPr>
          <w:rFonts w:hint="eastAsia" w:ascii="宋体" w:hAnsi="宋体" w:eastAsia="宋体" w:cs="宋体"/>
          <w:b w:val="0"/>
          <w:bCs w:val="0"/>
          <w:color w:val="000000"/>
          <w:kern w:val="0"/>
          <w:sz w:val="28"/>
          <w:szCs w:val="28"/>
          <w:highlight w:val="none"/>
          <w:shd w:val="clear" w:color="auto" w:fill="F9F9F9"/>
          <w:lang w:val="en-US" w:eastAsia="zh-CN"/>
        </w:rPr>
      </w:pPr>
      <w:bookmarkStart w:id="116" w:name="_Toc93144098"/>
      <w:r>
        <w:rPr>
          <w:rFonts w:hint="eastAsia" w:ascii="宋体" w:hAnsi="宋体" w:eastAsia="宋体" w:cs="宋体"/>
          <w:color w:val="000000"/>
          <w:kern w:val="0"/>
          <w:sz w:val="28"/>
          <w:szCs w:val="28"/>
          <w:highlight w:val="none"/>
          <w:shd w:val="clear" w:color="auto" w:fill="F9F9F9"/>
          <w:lang w:val="en-US" w:eastAsia="zh-CN"/>
        </w:rPr>
        <w:drawing>
          <wp:anchor distT="0" distB="0" distL="114300" distR="114300" simplePos="0" relativeHeight="251666432" behindDoc="0" locked="0" layoutInCell="1" allowOverlap="1">
            <wp:simplePos x="0" y="0"/>
            <wp:positionH relativeFrom="column">
              <wp:posOffset>-66675</wp:posOffset>
            </wp:positionH>
            <wp:positionV relativeFrom="paragraph">
              <wp:posOffset>360045</wp:posOffset>
            </wp:positionV>
            <wp:extent cx="5966460" cy="8439785"/>
            <wp:effectExtent l="0" t="0" r="15240" b="18415"/>
            <wp:wrapNone/>
            <wp:docPr id="14" name="图片 14" descr="359233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592333_01"/>
                    <pic:cNvPicPr>
                      <a:picLocks noChangeAspect="1"/>
                    </pic:cNvPicPr>
                  </pic:nvPicPr>
                  <pic:blipFill>
                    <a:blip r:embed="rId11"/>
                    <a:stretch>
                      <a:fillRect/>
                    </a:stretch>
                  </pic:blipFill>
                  <pic:spPr>
                    <a:xfrm>
                      <a:off x="0" y="0"/>
                      <a:ext cx="5966460" cy="8439785"/>
                    </a:xfrm>
                    <a:prstGeom prst="rect">
                      <a:avLst/>
                    </a:prstGeom>
                  </pic:spPr>
                </pic:pic>
              </a:graphicData>
            </a:graphic>
          </wp:anchor>
        </w:drawing>
      </w:r>
      <w:r>
        <w:rPr>
          <w:rFonts w:hint="eastAsia" w:ascii="宋体" w:hAnsi="宋体" w:eastAsia="宋体" w:cs="宋体"/>
          <w:b w:val="0"/>
          <w:bCs w:val="0"/>
          <w:color w:val="000000"/>
          <w:kern w:val="0"/>
          <w:sz w:val="28"/>
          <w:szCs w:val="28"/>
          <w:highlight w:val="none"/>
          <w:shd w:val="clear" w:color="auto" w:fill="F9F9F9"/>
          <w:lang w:val="en-US" w:eastAsia="zh-CN"/>
        </w:rPr>
        <w:t xml:space="preserve">附件3 </w:t>
      </w:r>
    </w:p>
    <w:p w14:paraId="5BE23FE3">
      <w:pPr>
        <w:widowControl w:val="0"/>
        <w:jc w:val="both"/>
        <w:textAlignment w:val="auto"/>
        <w:rPr>
          <w:rFonts w:hint="eastAsia" w:ascii="宋体" w:hAnsi="宋体" w:eastAsia="宋体" w:cs="宋体"/>
          <w:color w:val="000000"/>
          <w:kern w:val="0"/>
          <w:sz w:val="28"/>
          <w:szCs w:val="28"/>
          <w:highlight w:val="none"/>
          <w:shd w:val="clear" w:color="auto" w:fill="F9F9F9"/>
          <w:lang w:val="en-US" w:eastAsia="zh-CN"/>
        </w:rPr>
      </w:pPr>
      <w:r>
        <w:rPr>
          <w:rFonts w:hint="eastAsia" w:ascii="宋体" w:hAnsi="宋体" w:eastAsia="宋体" w:cs="宋体"/>
          <w:b w:val="0"/>
          <w:bCs w:val="0"/>
          <w:color w:val="000000"/>
          <w:kern w:val="0"/>
          <w:sz w:val="28"/>
          <w:szCs w:val="28"/>
          <w:highlight w:val="none"/>
          <w:shd w:val="clear" w:color="auto" w:fill="F9F9F9"/>
          <w:lang w:val="en-US" w:eastAsia="zh-CN"/>
        </w:rPr>
        <w:t xml:space="preserve">  </w:t>
      </w:r>
      <w:r>
        <w:rPr>
          <w:rFonts w:hint="eastAsia" w:ascii="宋体" w:hAnsi="宋体" w:eastAsia="宋体" w:cs="宋体"/>
          <w:color w:val="000000"/>
          <w:kern w:val="0"/>
          <w:sz w:val="28"/>
          <w:szCs w:val="28"/>
          <w:highlight w:val="none"/>
          <w:shd w:val="clear" w:color="auto" w:fill="F9F9F9"/>
          <w:lang w:val="en-US" w:eastAsia="zh-CN"/>
        </w:rPr>
        <w:t xml:space="preserve">           </w:t>
      </w:r>
    </w:p>
    <w:p w14:paraId="4AC7A7E7">
      <w:pPr>
        <w:widowControl w:val="0"/>
        <w:ind w:firstLine="3080" w:firstLineChars="1100"/>
        <w:jc w:val="both"/>
        <w:textAlignment w:val="auto"/>
        <w:rPr>
          <w:rFonts w:ascii="方正小标宋简体" w:hAnsi="方正小标宋简体" w:eastAsia="方正小标宋简体" w:cs="方正小标宋简体"/>
          <w:color w:val="000000"/>
          <w:kern w:val="0"/>
          <w:sz w:val="28"/>
          <w:szCs w:val="28"/>
          <w:highlight w:val="none"/>
          <w:shd w:val="clear" w:color="auto" w:fill="F9F9F9"/>
        </w:rPr>
        <w:sectPr>
          <w:footerReference r:id="rId4" w:type="default"/>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F2A63F7">
      <w:pPr>
        <w:widowControl w:val="0"/>
        <w:ind w:firstLine="3080" w:firstLineChars="1100"/>
        <w:jc w:val="both"/>
        <w:textAlignment w:val="auto"/>
        <w:rPr>
          <w:rFonts w:hint="eastAsia" w:ascii="方正小标宋简体" w:hAnsi="方正小标宋简体" w:eastAsia="方正小标宋简体" w:cs="方正小标宋简体"/>
          <w:color w:val="000000"/>
          <w:kern w:val="0"/>
          <w:sz w:val="28"/>
          <w:szCs w:val="28"/>
          <w:highlight w:val="none"/>
          <w:shd w:val="clear" w:color="auto" w:fill="F9F9F9"/>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7456" behindDoc="0" locked="0" layoutInCell="1" allowOverlap="1">
            <wp:simplePos x="0" y="0"/>
            <wp:positionH relativeFrom="column">
              <wp:posOffset>-217170</wp:posOffset>
            </wp:positionH>
            <wp:positionV relativeFrom="paragraph">
              <wp:posOffset>45720</wp:posOffset>
            </wp:positionV>
            <wp:extent cx="6196965" cy="8765540"/>
            <wp:effectExtent l="0" t="0" r="13335" b="16510"/>
            <wp:wrapNone/>
            <wp:docPr id="15" name="图片 15" descr="359233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592333_02"/>
                    <pic:cNvPicPr>
                      <a:picLocks noChangeAspect="1"/>
                    </pic:cNvPicPr>
                  </pic:nvPicPr>
                  <pic:blipFill>
                    <a:blip r:embed="rId12"/>
                    <a:stretch>
                      <a:fillRect/>
                    </a:stretch>
                  </pic:blipFill>
                  <pic:spPr>
                    <a:xfrm>
                      <a:off x="0" y="0"/>
                      <a:ext cx="6196965" cy="8765540"/>
                    </a:xfrm>
                    <a:prstGeom prst="rect">
                      <a:avLst/>
                    </a:prstGeom>
                  </pic:spPr>
                </pic:pic>
              </a:graphicData>
            </a:graphic>
          </wp:anchor>
        </w:drawing>
      </w:r>
    </w:p>
    <w:p w14:paraId="79FD9613">
      <w:pPr>
        <w:widowControl w:val="0"/>
        <w:ind w:firstLine="3080" w:firstLineChars="1100"/>
        <w:jc w:val="both"/>
        <w:textAlignment w:val="auto"/>
        <w:rPr>
          <w:rFonts w:hint="eastAsia" w:ascii="方正小标宋简体" w:hAnsi="方正小标宋简体" w:eastAsia="方正小标宋简体" w:cs="方正小标宋简体"/>
          <w:color w:val="000000"/>
          <w:kern w:val="0"/>
          <w:sz w:val="28"/>
          <w:szCs w:val="28"/>
          <w:highlight w:val="none"/>
          <w:shd w:val="clear" w:color="auto" w:fill="F9F9F9"/>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8480" behindDoc="0" locked="0" layoutInCell="1" allowOverlap="1">
            <wp:simplePos x="0" y="0"/>
            <wp:positionH relativeFrom="column">
              <wp:posOffset>-254000</wp:posOffset>
            </wp:positionH>
            <wp:positionV relativeFrom="paragraph">
              <wp:posOffset>45720</wp:posOffset>
            </wp:positionV>
            <wp:extent cx="6174105" cy="8733790"/>
            <wp:effectExtent l="0" t="0" r="17145" b="10160"/>
            <wp:wrapNone/>
            <wp:docPr id="16" name="图片 16" descr="3592333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592333_03"/>
                    <pic:cNvPicPr>
                      <a:picLocks noChangeAspect="1"/>
                    </pic:cNvPicPr>
                  </pic:nvPicPr>
                  <pic:blipFill>
                    <a:blip r:embed="rId13"/>
                    <a:stretch>
                      <a:fillRect/>
                    </a:stretch>
                  </pic:blipFill>
                  <pic:spPr>
                    <a:xfrm>
                      <a:off x="0" y="0"/>
                      <a:ext cx="6174105" cy="8733790"/>
                    </a:xfrm>
                    <a:prstGeom prst="rect">
                      <a:avLst/>
                    </a:prstGeom>
                  </pic:spPr>
                </pic:pic>
              </a:graphicData>
            </a:graphic>
          </wp:anchor>
        </w:drawing>
      </w:r>
    </w:p>
    <w:p w14:paraId="76816838">
      <w:pPr>
        <w:widowControl w:val="0"/>
        <w:ind w:firstLine="3080" w:firstLineChars="1100"/>
        <w:jc w:val="both"/>
        <w:textAlignment w:val="auto"/>
        <w:rPr>
          <w:rFonts w:ascii="方正小标宋简体" w:hAnsi="方正小标宋简体" w:eastAsia="方正小标宋简体" w:cs="方正小标宋简体"/>
          <w:color w:val="000000"/>
          <w:kern w:val="0"/>
          <w:sz w:val="28"/>
          <w:szCs w:val="28"/>
          <w:highlight w:val="none"/>
          <w:shd w:val="clear" w:color="auto" w:fill="F9F9F9"/>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9504" behindDoc="0" locked="0" layoutInCell="1" allowOverlap="1">
            <wp:simplePos x="0" y="0"/>
            <wp:positionH relativeFrom="column">
              <wp:posOffset>-311150</wp:posOffset>
            </wp:positionH>
            <wp:positionV relativeFrom="paragraph">
              <wp:posOffset>55245</wp:posOffset>
            </wp:positionV>
            <wp:extent cx="6195695" cy="8763635"/>
            <wp:effectExtent l="0" t="0" r="14605" b="18415"/>
            <wp:wrapNone/>
            <wp:docPr id="18" name="图片 18" descr="3592333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592333_04(1)"/>
                    <pic:cNvPicPr>
                      <a:picLocks noChangeAspect="1"/>
                    </pic:cNvPicPr>
                  </pic:nvPicPr>
                  <pic:blipFill>
                    <a:blip r:embed="rId14"/>
                    <a:stretch>
                      <a:fillRect/>
                    </a:stretch>
                  </pic:blipFill>
                  <pic:spPr>
                    <a:xfrm>
                      <a:off x="0" y="0"/>
                      <a:ext cx="6195695" cy="8763635"/>
                    </a:xfrm>
                    <a:prstGeom prst="rect">
                      <a:avLst/>
                    </a:prstGeom>
                  </pic:spPr>
                </pic:pic>
              </a:graphicData>
            </a:graphic>
          </wp:anchor>
        </w:drawing>
      </w:r>
    </w:p>
    <w:p w14:paraId="622E406F">
      <w:pPr>
        <w:widowControl w:val="0"/>
        <w:jc w:val="both"/>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附件</w:t>
      </w:r>
      <w:r>
        <w:rPr>
          <w:rFonts w:hint="eastAsia" w:ascii="宋体" w:hAnsi="宋体" w:eastAsia="宋体" w:cs="宋体"/>
          <w:b w:val="0"/>
          <w:bCs w:val="0"/>
          <w:color w:val="000000"/>
          <w:sz w:val="24"/>
          <w:szCs w:val="24"/>
          <w:highlight w:val="none"/>
          <w:lang w:val="en-US" w:eastAsia="zh-CN"/>
        </w:rPr>
        <w:t>4</w:t>
      </w:r>
    </w:p>
    <w:p w14:paraId="7558775D">
      <w:pPr>
        <w:pStyle w:val="3"/>
        <w:bidi w:val="0"/>
        <w:jc w:val="left"/>
        <w:rPr>
          <w:rFonts w:hint="eastAsia" w:ascii="宋体" w:hAnsi="宋体" w:eastAsia="宋体" w:cs="宋体"/>
          <w:b w:val="0"/>
          <w:bCs w:val="0"/>
          <w:color w:val="000000"/>
          <w:sz w:val="24"/>
          <w:szCs w:val="24"/>
          <w:highlight w:val="none"/>
          <w:lang w:val="en-US" w:eastAsia="zh-CN"/>
        </w:rPr>
      </w:pPr>
      <w:r>
        <w:rPr>
          <w:rFonts w:hint="eastAsia" w:eastAsia="黑体"/>
          <w:color w:val="000000"/>
          <w:highlight w:val="none"/>
          <w:lang w:eastAsia="zh-CN"/>
        </w:rPr>
        <w:drawing>
          <wp:anchor distT="0" distB="0" distL="114300" distR="114300" simplePos="0" relativeHeight="251659264" behindDoc="0" locked="0" layoutInCell="1" allowOverlap="1">
            <wp:simplePos x="0" y="0"/>
            <wp:positionH relativeFrom="column">
              <wp:posOffset>-219075</wp:posOffset>
            </wp:positionH>
            <wp:positionV relativeFrom="paragraph">
              <wp:posOffset>24130</wp:posOffset>
            </wp:positionV>
            <wp:extent cx="6043930" cy="8546465"/>
            <wp:effectExtent l="0" t="0" r="13970" b="6985"/>
            <wp:wrapNone/>
            <wp:docPr id="3" name="图片 3" descr="节能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节能产品政府采购品目清单_01"/>
                    <pic:cNvPicPr>
                      <a:picLocks noChangeAspect="1"/>
                    </pic:cNvPicPr>
                  </pic:nvPicPr>
                  <pic:blipFill>
                    <a:blip r:embed="rId15"/>
                    <a:stretch>
                      <a:fillRect/>
                    </a:stretch>
                  </pic:blipFill>
                  <pic:spPr>
                    <a:xfrm>
                      <a:off x="0" y="0"/>
                      <a:ext cx="6043930" cy="8546465"/>
                    </a:xfrm>
                    <a:prstGeom prst="rect">
                      <a:avLst/>
                    </a:prstGeom>
                  </pic:spPr>
                </pic:pic>
              </a:graphicData>
            </a:graphic>
          </wp:anchor>
        </w:drawing>
      </w:r>
    </w:p>
    <w:p w14:paraId="4D134835">
      <w:pPr>
        <w:pStyle w:val="3"/>
        <w:bidi w:val="0"/>
        <w:jc w:val="center"/>
        <w:rPr>
          <w:rFonts w:hint="eastAsia" w:eastAsia="黑体"/>
          <w:color w:val="000000"/>
          <w:highlight w:val="none"/>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D35598A">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0288" behindDoc="0" locked="0" layoutInCell="1" allowOverlap="1">
            <wp:simplePos x="0" y="0"/>
            <wp:positionH relativeFrom="column">
              <wp:posOffset>-228600</wp:posOffset>
            </wp:positionH>
            <wp:positionV relativeFrom="paragraph">
              <wp:posOffset>45720</wp:posOffset>
            </wp:positionV>
            <wp:extent cx="6168390" cy="8722995"/>
            <wp:effectExtent l="0" t="0" r="3810" b="1905"/>
            <wp:wrapNone/>
            <wp:docPr id="5" name="图片 5" descr="节能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节能产品政府采购品目清单_02"/>
                    <pic:cNvPicPr>
                      <a:picLocks noChangeAspect="1"/>
                    </pic:cNvPicPr>
                  </pic:nvPicPr>
                  <pic:blipFill>
                    <a:blip r:embed="rId16"/>
                    <a:stretch>
                      <a:fillRect/>
                    </a:stretch>
                  </pic:blipFill>
                  <pic:spPr>
                    <a:xfrm>
                      <a:off x="0" y="0"/>
                      <a:ext cx="6168390" cy="8722995"/>
                    </a:xfrm>
                    <a:prstGeom prst="rect">
                      <a:avLst/>
                    </a:prstGeom>
                  </pic:spPr>
                </pic:pic>
              </a:graphicData>
            </a:graphic>
          </wp:anchor>
        </w:drawing>
      </w:r>
    </w:p>
    <w:p w14:paraId="45683BE1">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-190500</wp:posOffset>
            </wp:positionH>
            <wp:positionV relativeFrom="paragraph">
              <wp:posOffset>45720</wp:posOffset>
            </wp:positionV>
            <wp:extent cx="6195060" cy="8761730"/>
            <wp:effectExtent l="0" t="0" r="15240" b="1270"/>
            <wp:wrapNone/>
            <wp:docPr id="6" name="图片 6" descr="节能产品政府采购品目清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节能产品政府采购品目清单_03"/>
                    <pic:cNvPicPr>
                      <a:picLocks noChangeAspect="1"/>
                    </pic:cNvPicPr>
                  </pic:nvPicPr>
                  <pic:blipFill>
                    <a:blip r:embed="rId17"/>
                    <a:stretch>
                      <a:fillRect/>
                    </a:stretch>
                  </pic:blipFill>
                  <pic:spPr>
                    <a:xfrm>
                      <a:off x="0" y="0"/>
                      <a:ext cx="6195060" cy="8761730"/>
                    </a:xfrm>
                    <a:prstGeom prst="rect">
                      <a:avLst/>
                    </a:prstGeom>
                  </pic:spPr>
                </pic:pic>
              </a:graphicData>
            </a:graphic>
          </wp:anchor>
        </w:drawing>
      </w:r>
    </w:p>
    <w:p w14:paraId="3B7A7817">
      <w:r>
        <w:rPr>
          <w:rFonts w:hint="eastAsia" w:ascii="宋体" w:hAnsi="宋体" w:cs="宋体"/>
          <w:b/>
          <w:bCs/>
          <w:color w:val="000000"/>
          <w:highlight w:val="none"/>
          <w:lang w:eastAsia="zh-CN"/>
        </w:rPr>
        <w:drawing>
          <wp:anchor distT="0" distB="0" distL="114300" distR="114300" simplePos="0" relativeHeight="251662336" behindDoc="0" locked="0" layoutInCell="1" allowOverlap="1">
            <wp:simplePos x="0" y="0"/>
            <wp:positionH relativeFrom="column">
              <wp:posOffset>-257175</wp:posOffset>
            </wp:positionH>
            <wp:positionV relativeFrom="paragraph">
              <wp:posOffset>100965</wp:posOffset>
            </wp:positionV>
            <wp:extent cx="6186170" cy="8747760"/>
            <wp:effectExtent l="0" t="0" r="5080" b="15240"/>
            <wp:wrapNone/>
            <wp:docPr id="7" name="图片 7" descr="节能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节能产品政府采购品目清单_04"/>
                    <pic:cNvPicPr>
                      <a:picLocks noChangeAspect="1"/>
                    </pic:cNvPicPr>
                  </pic:nvPicPr>
                  <pic:blipFill>
                    <a:blip r:embed="rId18"/>
                    <a:stretch>
                      <a:fillRect/>
                    </a:stretch>
                  </pic:blipFill>
                  <pic:spPr>
                    <a:xfrm>
                      <a:off x="0" y="0"/>
                      <a:ext cx="6186170" cy="8747760"/>
                    </a:xfrm>
                    <a:prstGeom prst="rect">
                      <a:avLst/>
                    </a:prstGeom>
                  </pic:spPr>
                </pic:pic>
              </a:graphicData>
            </a:graphic>
          </wp:anchor>
        </w:drawing>
      </w:r>
    </w:p>
    <w:p w14:paraId="026F6929">
      <w:pPr>
        <w:spacing w:line="240" w:lineRule="auto"/>
        <w:jc w:val="both"/>
        <w:rPr>
          <w:rFonts w:hint="eastAsia" w:ascii="宋体" w:hAnsi="宋体" w:cs="宋体"/>
          <w:b/>
          <w:bCs/>
          <w:color w:val="000000"/>
          <w:highlight w:val="none"/>
          <w:lang w:eastAsia="zh-CN"/>
        </w:rPr>
      </w:pPr>
    </w:p>
    <w:p w14:paraId="54BE5147">
      <w:pPr>
        <w:spacing w:line="240" w:lineRule="auto"/>
        <w:jc w:val="both"/>
        <w:rPr>
          <w:rFonts w:hint="eastAsia" w:ascii="宋体" w:hAnsi="宋体" w:cs="宋体"/>
          <w:b/>
          <w:bCs/>
          <w:color w:val="000000"/>
          <w:highlight w:val="none"/>
          <w:lang w:eastAsia="zh-CN"/>
        </w:rPr>
      </w:pPr>
    </w:p>
    <w:p w14:paraId="0F048AB5">
      <w:pPr>
        <w:spacing w:line="240" w:lineRule="auto"/>
        <w:jc w:val="both"/>
        <w:rPr>
          <w:rFonts w:hint="eastAsia" w:ascii="宋体" w:hAnsi="宋体" w:cs="宋体"/>
          <w:b/>
          <w:bCs/>
          <w:color w:val="000000"/>
          <w:highlight w:val="none"/>
          <w:lang w:eastAsia="zh-CN"/>
        </w:rPr>
      </w:pPr>
    </w:p>
    <w:p w14:paraId="0A25A615">
      <w:pPr>
        <w:spacing w:line="240" w:lineRule="auto"/>
        <w:jc w:val="both"/>
        <w:rPr>
          <w:rFonts w:hint="eastAsia" w:ascii="宋体" w:hAnsi="宋体" w:cs="宋体"/>
          <w:b/>
          <w:bCs/>
          <w:color w:val="000000"/>
          <w:highlight w:val="none"/>
          <w:lang w:eastAsia="zh-CN"/>
        </w:rPr>
      </w:pPr>
    </w:p>
    <w:p w14:paraId="517A838D">
      <w:pPr>
        <w:spacing w:line="240" w:lineRule="auto"/>
        <w:jc w:val="both"/>
        <w:rPr>
          <w:rFonts w:hint="eastAsia" w:ascii="宋体" w:hAnsi="宋体" w:cs="宋体"/>
          <w:b/>
          <w:bCs/>
          <w:color w:val="000000"/>
          <w:highlight w:val="none"/>
          <w:lang w:eastAsia="zh-CN"/>
        </w:rPr>
      </w:pPr>
    </w:p>
    <w:p w14:paraId="76D38811">
      <w:pPr>
        <w:spacing w:line="240" w:lineRule="auto"/>
        <w:jc w:val="both"/>
        <w:rPr>
          <w:rFonts w:hint="eastAsia" w:ascii="宋体" w:hAnsi="宋体" w:cs="宋体"/>
          <w:b/>
          <w:bCs/>
          <w:color w:val="000000"/>
          <w:highlight w:val="none"/>
          <w:lang w:eastAsia="zh-CN"/>
        </w:rPr>
      </w:pPr>
    </w:p>
    <w:p w14:paraId="60D29155">
      <w:pPr>
        <w:spacing w:line="240" w:lineRule="auto"/>
        <w:jc w:val="both"/>
        <w:rPr>
          <w:rFonts w:hint="eastAsia" w:ascii="宋体" w:hAnsi="宋体" w:cs="宋体"/>
          <w:b/>
          <w:bCs/>
          <w:color w:val="000000"/>
          <w:highlight w:val="none"/>
          <w:lang w:eastAsia="zh-CN"/>
        </w:rPr>
      </w:pPr>
    </w:p>
    <w:p w14:paraId="5BE6221A">
      <w:pPr>
        <w:spacing w:line="240" w:lineRule="auto"/>
        <w:jc w:val="both"/>
        <w:rPr>
          <w:rFonts w:hint="eastAsia" w:ascii="宋体" w:hAnsi="宋体" w:cs="宋体"/>
          <w:b/>
          <w:bCs/>
          <w:color w:val="000000"/>
          <w:highlight w:val="none"/>
          <w:lang w:eastAsia="zh-CN"/>
        </w:rPr>
      </w:pPr>
    </w:p>
    <w:p w14:paraId="66264A95">
      <w:pPr>
        <w:spacing w:line="240" w:lineRule="auto"/>
        <w:jc w:val="both"/>
        <w:rPr>
          <w:rFonts w:hint="eastAsia" w:ascii="宋体" w:hAnsi="宋体" w:cs="宋体"/>
          <w:b/>
          <w:bCs/>
          <w:color w:val="000000"/>
          <w:highlight w:val="none"/>
          <w:lang w:eastAsia="zh-CN"/>
        </w:rPr>
      </w:pPr>
    </w:p>
    <w:p w14:paraId="1ACEFA8D">
      <w:pPr>
        <w:spacing w:line="240" w:lineRule="auto"/>
        <w:jc w:val="both"/>
        <w:rPr>
          <w:rFonts w:hint="eastAsia" w:ascii="宋体" w:hAnsi="宋体" w:cs="宋体"/>
          <w:b/>
          <w:bCs/>
          <w:color w:val="000000"/>
          <w:highlight w:val="none"/>
          <w:lang w:eastAsia="zh-CN"/>
        </w:rPr>
      </w:pPr>
    </w:p>
    <w:p w14:paraId="373A883B">
      <w:pPr>
        <w:spacing w:line="240" w:lineRule="auto"/>
        <w:jc w:val="both"/>
        <w:rPr>
          <w:rFonts w:hint="eastAsia" w:ascii="宋体" w:hAnsi="宋体" w:cs="宋体"/>
          <w:b/>
          <w:bCs/>
          <w:color w:val="000000"/>
          <w:highlight w:val="none"/>
          <w:lang w:eastAsia="zh-CN"/>
        </w:rPr>
      </w:pPr>
    </w:p>
    <w:p w14:paraId="5D4FE095">
      <w:pPr>
        <w:spacing w:line="240" w:lineRule="auto"/>
        <w:jc w:val="both"/>
        <w:rPr>
          <w:rFonts w:hint="eastAsia" w:ascii="宋体" w:hAnsi="宋体" w:cs="宋体"/>
          <w:b/>
          <w:bCs/>
          <w:color w:val="000000"/>
          <w:highlight w:val="none"/>
          <w:lang w:eastAsia="zh-CN"/>
        </w:rPr>
      </w:pPr>
    </w:p>
    <w:p w14:paraId="1DDEF93E">
      <w:pPr>
        <w:spacing w:line="240" w:lineRule="auto"/>
        <w:jc w:val="both"/>
        <w:rPr>
          <w:rFonts w:hint="eastAsia" w:ascii="宋体" w:hAnsi="宋体" w:cs="宋体"/>
          <w:b/>
          <w:bCs/>
          <w:color w:val="000000"/>
          <w:highlight w:val="none"/>
          <w:lang w:eastAsia="zh-CN"/>
        </w:rPr>
      </w:pPr>
    </w:p>
    <w:p w14:paraId="126B2FFF">
      <w:pPr>
        <w:spacing w:line="240" w:lineRule="auto"/>
        <w:jc w:val="both"/>
        <w:rPr>
          <w:rFonts w:hint="eastAsia" w:ascii="宋体" w:hAnsi="宋体" w:cs="宋体"/>
          <w:b/>
          <w:bCs/>
          <w:color w:val="000000"/>
          <w:highlight w:val="none"/>
          <w:lang w:eastAsia="zh-CN"/>
        </w:rPr>
      </w:pPr>
    </w:p>
    <w:p w14:paraId="65405EF7">
      <w:pPr>
        <w:spacing w:line="240" w:lineRule="auto"/>
        <w:jc w:val="both"/>
        <w:rPr>
          <w:rFonts w:hint="eastAsia" w:ascii="宋体" w:hAnsi="宋体" w:cs="宋体"/>
          <w:b/>
          <w:bCs/>
          <w:color w:val="000000"/>
          <w:highlight w:val="none"/>
          <w:lang w:eastAsia="zh-CN"/>
        </w:rPr>
      </w:pPr>
    </w:p>
    <w:p w14:paraId="777055D2">
      <w:pPr>
        <w:spacing w:line="240" w:lineRule="auto"/>
        <w:jc w:val="both"/>
        <w:rPr>
          <w:rFonts w:hint="eastAsia" w:ascii="宋体" w:hAnsi="宋体" w:cs="宋体"/>
          <w:b/>
          <w:bCs/>
          <w:color w:val="000000"/>
          <w:highlight w:val="none"/>
          <w:lang w:eastAsia="zh-CN"/>
        </w:rPr>
      </w:pPr>
    </w:p>
    <w:p w14:paraId="75B47E74">
      <w:pPr>
        <w:spacing w:line="240" w:lineRule="auto"/>
        <w:jc w:val="both"/>
        <w:rPr>
          <w:rFonts w:hint="eastAsia" w:ascii="宋体" w:hAnsi="宋体" w:cs="宋体"/>
          <w:b/>
          <w:bCs/>
          <w:color w:val="000000"/>
          <w:highlight w:val="none"/>
          <w:lang w:eastAsia="zh-CN"/>
        </w:rPr>
      </w:pPr>
    </w:p>
    <w:p w14:paraId="49667116">
      <w:pPr>
        <w:spacing w:line="240" w:lineRule="auto"/>
        <w:jc w:val="both"/>
        <w:rPr>
          <w:rFonts w:hint="eastAsia" w:ascii="宋体" w:hAnsi="宋体" w:cs="宋体"/>
          <w:b/>
          <w:bCs/>
          <w:color w:val="000000"/>
          <w:highlight w:val="none"/>
          <w:lang w:eastAsia="zh-CN"/>
        </w:rPr>
      </w:pPr>
    </w:p>
    <w:p w14:paraId="1415B95A">
      <w:pPr>
        <w:spacing w:line="240" w:lineRule="auto"/>
        <w:jc w:val="both"/>
        <w:rPr>
          <w:rFonts w:hint="eastAsia" w:ascii="宋体" w:hAnsi="宋体" w:cs="宋体"/>
          <w:b/>
          <w:bCs/>
          <w:color w:val="000000"/>
          <w:highlight w:val="none"/>
          <w:lang w:eastAsia="zh-CN"/>
        </w:rPr>
      </w:pPr>
    </w:p>
    <w:p w14:paraId="6C0091D5">
      <w:pPr>
        <w:spacing w:line="240" w:lineRule="auto"/>
        <w:jc w:val="both"/>
        <w:rPr>
          <w:rFonts w:hint="eastAsia" w:ascii="宋体" w:hAnsi="宋体" w:cs="宋体"/>
          <w:b/>
          <w:bCs/>
          <w:color w:val="000000"/>
          <w:highlight w:val="none"/>
          <w:lang w:eastAsia="zh-CN"/>
        </w:rPr>
      </w:pPr>
    </w:p>
    <w:p w14:paraId="4C93273A">
      <w:pPr>
        <w:spacing w:line="240" w:lineRule="auto"/>
        <w:jc w:val="both"/>
        <w:rPr>
          <w:rFonts w:hint="eastAsia" w:ascii="宋体" w:hAnsi="宋体" w:cs="宋体"/>
          <w:b/>
          <w:bCs/>
          <w:color w:val="000000"/>
          <w:highlight w:val="none"/>
          <w:lang w:eastAsia="zh-CN"/>
        </w:rPr>
      </w:pPr>
    </w:p>
    <w:p w14:paraId="07996B8F">
      <w:pPr>
        <w:spacing w:line="240" w:lineRule="auto"/>
        <w:jc w:val="both"/>
        <w:rPr>
          <w:rFonts w:hint="eastAsia" w:ascii="宋体" w:hAnsi="宋体" w:cs="宋体"/>
          <w:b/>
          <w:bCs/>
          <w:color w:val="000000"/>
          <w:highlight w:val="none"/>
          <w:lang w:eastAsia="zh-CN"/>
        </w:rPr>
      </w:pPr>
    </w:p>
    <w:p w14:paraId="3AE6DE3C">
      <w:pPr>
        <w:spacing w:line="240" w:lineRule="auto"/>
        <w:jc w:val="both"/>
        <w:rPr>
          <w:rFonts w:hint="eastAsia" w:ascii="宋体" w:hAnsi="宋体" w:cs="宋体"/>
          <w:b/>
          <w:bCs/>
          <w:color w:val="000000"/>
          <w:highlight w:val="none"/>
          <w:lang w:eastAsia="zh-CN"/>
        </w:rPr>
      </w:pPr>
    </w:p>
    <w:p w14:paraId="6BD1BFDC">
      <w:pPr>
        <w:spacing w:line="240" w:lineRule="auto"/>
        <w:jc w:val="both"/>
        <w:rPr>
          <w:rFonts w:hint="eastAsia" w:ascii="宋体" w:hAnsi="宋体" w:cs="宋体"/>
          <w:b/>
          <w:bCs/>
          <w:color w:val="000000"/>
          <w:highlight w:val="none"/>
          <w:lang w:eastAsia="zh-CN"/>
        </w:rPr>
      </w:pPr>
    </w:p>
    <w:p w14:paraId="146C6B45">
      <w:pPr>
        <w:spacing w:line="240" w:lineRule="auto"/>
        <w:jc w:val="both"/>
        <w:rPr>
          <w:rFonts w:hint="eastAsia" w:ascii="宋体" w:hAnsi="宋体" w:cs="宋体"/>
          <w:b/>
          <w:bCs/>
          <w:color w:val="000000"/>
          <w:highlight w:val="none"/>
          <w:lang w:eastAsia="zh-CN"/>
        </w:rPr>
      </w:pPr>
    </w:p>
    <w:p w14:paraId="1507CF75">
      <w:pPr>
        <w:spacing w:line="240" w:lineRule="auto"/>
        <w:jc w:val="both"/>
        <w:rPr>
          <w:rFonts w:hint="eastAsia" w:ascii="宋体" w:hAnsi="宋体" w:cs="宋体"/>
          <w:b/>
          <w:bCs/>
          <w:color w:val="000000"/>
          <w:highlight w:val="none"/>
          <w:lang w:eastAsia="zh-CN"/>
        </w:rPr>
      </w:pPr>
    </w:p>
    <w:p w14:paraId="34FA2E43">
      <w:pPr>
        <w:spacing w:line="240" w:lineRule="auto"/>
        <w:jc w:val="both"/>
        <w:rPr>
          <w:rFonts w:hint="eastAsia" w:ascii="宋体" w:hAnsi="宋体" w:cs="宋体"/>
          <w:b/>
          <w:bCs/>
          <w:color w:val="000000"/>
          <w:highlight w:val="none"/>
          <w:lang w:eastAsia="zh-CN"/>
        </w:rPr>
      </w:pPr>
    </w:p>
    <w:p w14:paraId="46A71335">
      <w:pPr>
        <w:spacing w:line="240" w:lineRule="auto"/>
        <w:jc w:val="both"/>
        <w:rPr>
          <w:rFonts w:hint="eastAsia" w:ascii="宋体" w:hAnsi="宋体" w:cs="宋体"/>
          <w:b/>
          <w:bCs/>
          <w:color w:val="000000"/>
          <w:highlight w:val="none"/>
          <w:lang w:eastAsia="zh-CN"/>
        </w:rPr>
      </w:pPr>
    </w:p>
    <w:p w14:paraId="2336A0FD">
      <w:pPr>
        <w:spacing w:line="240" w:lineRule="auto"/>
        <w:jc w:val="both"/>
        <w:rPr>
          <w:rFonts w:hint="eastAsia" w:ascii="宋体" w:hAnsi="宋体" w:cs="宋体"/>
          <w:b/>
          <w:bCs/>
          <w:color w:val="000000"/>
          <w:highlight w:val="none"/>
          <w:lang w:eastAsia="zh-CN"/>
        </w:rPr>
      </w:pPr>
    </w:p>
    <w:p w14:paraId="05B0A0A5">
      <w:pPr>
        <w:spacing w:line="240" w:lineRule="auto"/>
        <w:jc w:val="both"/>
        <w:rPr>
          <w:rFonts w:hint="eastAsia" w:ascii="宋体" w:hAnsi="宋体" w:cs="宋体"/>
          <w:b/>
          <w:bCs/>
          <w:color w:val="000000"/>
          <w:highlight w:val="none"/>
          <w:lang w:eastAsia="zh-CN"/>
        </w:rPr>
      </w:pPr>
    </w:p>
    <w:p w14:paraId="36F5F1BF">
      <w:pPr>
        <w:spacing w:line="240" w:lineRule="auto"/>
        <w:jc w:val="both"/>
        <w:rPr>
          <w:rFonts w:hint="eastAsia" w:ascii="宋体" w:hAnsi="宋体" w:cs="宋体"/>
          <w:b/>
          <w:bCs/>
          <w:color w:val="000000"/>
          <w:highlight w:val="none"/>
          <w:lang w:eastAsia="zh-CN"/>
        </w:rPr>
      </w:pPr>
    </w:p>
    <w:p w14:paraId="39C7B204">
      <w:pPr>
        <w:spacing w:line="240" w:lineRule="auto"/>
        <w:jc w:val="both"/>
        <w:rPr>
          <w:rFonts w:hint="eastAsia" w:ascii="宋体" w:hAnsi="宋体" w:cs="宋体"/>
          <w:b/>
          <w:bCs/>
          <w:color w:val="000000"/>
          <w:highlight w:val="none"/>
          <w:lang w:eastAsia="zh-CN"/>
        </w:rPr>
      </w:pPr>
    </w:p>
    <w:p w14:paraId="66D3101B">
      <w:pPr>
        <w:spacing w:line="240" w:lineRule="auto"/>
        <w:jc w:val="both"/>
        <w:rPr>
          <w:rFonts w:hint="eastAsia" w:ascii="宋体" w:hAnsi="宋体" w:cs="宋体"/>
          <w:b/>
          <w:bCs/>
          <w:color w:val="000000"/>
          <w:highlight w:val="none"/>
          <w:lang w:eastAsia="zh-CN"/>
        </w:rPr>
      </w:pPr>
    </w:p>
    <w:p w14:paraId="3F0E3187">
      <w:pPr>
        <w:spacing w:line="240" w:lineRule="auto"/>
        <w:jc w:val="both"/>
        <w:rPr>
          <w:rFonts w:hint="eastAsia" w:ascii="宋体" w:hAnsi="宋体" w:cs="宋体"/>
          <w:b/>
          <w:bCs/>
          <w:color w:val="000000"/>
          <w:highlight w:val="none"/>
          <w:lang w:eastAsia="zh-CN"/>
        </w:rPr>
      </w:pPr>
    </w:p>
    <w:p w14:paraId="0F21EB10">
      <w:pPr>
        <w:spacing w:line="240" w:lineRule="auto"/>
        <w:jc w:val="both"/>
        <w:rPr>
          <w:rFonts w:hint="eastAsia" w:ascii="宋体" w:hAnsi="宋体" w:cs="宋体"/>
          <w:b/>
          <w:bCs/>
          <w:color w:val="000000"/>
          <w:highlight w:val="none"/>
          <w:lang w:eastAsia="zh-CN"/>
        </w:rPr>
      </w:pPr>
    </w:p>
    <w:p w14:paraId="6A66CDA0">
      <w:pPr>
        <w:spacing w:line="240" w:lineRule="auto"/>
        <w:jc w:val="both"/>
        <w:rPr>
          <w:rFonts w:hint="eastAsia" w:ascii="宋体" w:hAnsi="宋体" w:cs="宋体"/>
          <w:b/>
          <w:bCs/>
          <w:color w:val="000000"/>
          <w:highlight w:val="none"/>
          <w:lang w:eastAsia="zh-CN"/>
        </w:rPr>
      </w:pPr>
    </w:p>
    <w:p w14:paraId="1E9B920F">
      <w:pPr>
        <w:spacing w:line="240" w:lineRule="auto"/>
        <w:jc w:val="both"/>
        <w:rPr>
          <w:rFonts w:hint="eastAsia" w:ascii="宋体" w:hAnsi="宋体" w:cs="宋体"/>
          <w:b/>
          <w:bCs/>
          <w:color w:val="000000"/>
          <w:highlight w:val="none"/>
          <w:lang w:eastAsia="zh-CN"/>
        </w:rPr>
      </w:pPr>
    </w:p>
    <w:p w14:paraId="7B60DD7E">
      <w:pPr>
        <w:spacing w:line="240" w:lineRule="auto"/>
        <w:jc w:val="both"/>
        <w:rPr>
          <w:rFonts w:hint="eastAsia" w:ascii="宋体" w:hAnsi="宋体" w:cs="宋体"/>
          <w:b/>
          <w:bCs/>
          <w:color w:val="000000"/>
          <w:highlight w:val="none"/>
          <w:lang w:eastAsia="zh-CN"/>
        </w:rPr>
      </w:pPr>
    </w:p>
    <w:p w14:paraId="21F2573E">
      <w:pPr>
        <w:spacing w:line="240" w:lineRule="auto"/>
        <w:jc w:val="both"/>
        <w:rPr>
          <w:rFonts w:hint="eastAsia" w:ascii="宋体" w:hAnsi="宋体" w:cs="宋体"/>
          <w:b/>
          <w:bCs/>
          <w:color w:val="000000"/>
          <w:highlight w:val="none"/>
          <w:lang w:eastAsia="zh-CN"/>
        </w:rPr>
      </w:pPr>
    </w:p>
    <w:p w14:paraId="2B933334">
      <w:pPr>
        <w:spacing w:line="240" w:lineRule="auto"/>
        <w:jc w:val="both"/>
        <w:rPr>
          <w:rFonts w:hint="eastAsia" w:ascii="宋体" w:hAnsi="宋体" w:cs="宋体"/>
          <w:b/>
          <w:bCs/>
          <w:color w:val="000000"/>
          <w:highlight w:val="none"/>
          <w:lang w:eastAsia="zh-CN"/>
        </w:rPr>
      </w:pPr>
    </w:p>
    <w:p w14:paraId="1D4D3D0C">
      <w:pPr>
        <w:spacing w:line="240" w:lineRule="auto"/>
        <w:jc w:val="both"/>
        <w:rPr>
          <w:rFonts w:hint="eastAsia" w:ascii="宋体" w:hAnsi="宋体" w:cs="宋体"/>
          <w:b/>
          <w:bCs/>
          <w:color w:val="000000"/>
          <w:highlight w:val="none"/>
          <w:lang w:eastAsia="zh-CN"/>
        </w:rPr>
      </w:pPr>
    </w:p>
    <w:p w14:paraId="12D4E9AB">
      <w:pPr>
        <w:spacing w:line="240" w:lineRule="auto"/>
        <w:jc w:val="both"/>
        <w:rPr>
          <w:rFonts w:hint="eastAsia" w:ascii="宋体" w:hAnsi="宋体" w:cs="宋体"/>
          <w:b/>
          <w:bCs/>
          <w:color w:val="000000"/>
          <w:highlight w:val="none"/>
          <w:lang w:eastAsia="zh-CN"/>
        </w:rPr>
      </w:pPr>
    </w:p>
    <w:p w14:paraId="43E42DC3">
      <w:pPr>
        <w:spacing w:line="240" w:lineRule="auto"/>
        <w:jc w:val="both"/>
        <w:rPr>
          <w:rFonts w:hint="eastAsia" w:ascii="宋体" w:hAnsi="宋体" w:cs="宋体"/>
          <w:b/>
          <w:bCs/>
          <w:color w:val="000000"/>
          <w:highlight w:val="none"/>
          <w:lang w:eastAsia="zh-CN"/>
        </w:rPr>
      </w:pPr>
    </w:p>
    <w:p w14:paraId="5AF12E53">
      <w:pPr>
        <w:spacing w:line="240" w:lineRule="auto"/>
        <w:jc w:val="both"/>
        <w:rPr>
          <w:rFonts w:hint="default" w:ascii="宋体" w:hAnsi="宋体" w:cs="宋体"/>
          <w:b/>
          <w:bCs/>
          <w:color w:val="000000"/>
          <w:highlight w:val="none"/>
          <w:lang w:val="en-US" w:eastAsia="zh-CN"/>
        </w:rPr>
      </w:pPr>
      <w:r>
        <w:rPr>
          <w:rFonts w:hint="eastAsia" w:ascii="宋体" w:hAnsi="宋体" w:cs="宋体"/>
          <w:b w:val="0"/>
          <w:bCs w:val="0"/>
          <w:color w:val="000000"/>
          <w:sz w:val="28"/>
          <w:szCs w:val="28"/>
          <w:highlight w:val="none"/>
          <w:lang w:val="en-US" w:eastAsia="zh-CN"/>
        </w:rPr>
        <w:drawing>
          <wp:anchor distT="0" distB="0" distL="114300" distR="114300" simplePos="0" relativeHeight="251663360" behindDoc="0" locked="0" layoutInCell="1" allowOverlap="1">
            <wp:simplePos x="0" y="0"/>
            <wp:positionH relativeFrom="column">
              <wp:posOffset>-228600</wp:posOffset>
            </wp:positionH>
            <wp:positionV relativeFrom="paragraph">
              <wp:posOffset>192405</wp:posOffset>
            </wp:positionV>
            <wp:extent cx="6101080" cy="8627745"/>
            <wp:effectExtent l="0" t="0" r="13970" b="1905"/>
            <wp:wrapNone/>
            <wp:docPr id="10" name="图片 10" descr="环境标志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环境标志产品政府采购品目清单_01"/>
                    <pic:cNvPicPr>
                      <a:picLocks noChangeAspect="1"/>
                    </pic:cNvPicPr>
                  </pic:nvPicPr>
                  <pic:blipFill>
                    <a:blip r:embed="rId19"/>
                    <a:stretch>
                      <a:fillRect/>
                    </a:stretch>
                  </pic:blipFill>
                  <pic:spPr>
                    <a:xfrm>
                      <a:off x="0" y="0"/>
                      <a:ext cx="6101080" cy="8627745"/>
                    </a:xfrm>
                    <a:prstGeom prst="rect">
                      <a:avLst/>
                    </a:prstGeom>
                  </pic:spPr>
                </pic:pic>
              </a:graphicData>
            </a:graphic>
          </wp:anchor>
        </w:drawing>
      </w:r>
      <w:r>
        <w:rPr>
          <w:rFonts w:hint="eastAsia" w:ascii="宋体" w:hAnsi="宋体" w:cs="宋体"/>
          <w:b/>
          <w:bCs/>
          <w:color w:val="000000"/>
          <w:highlight w:val="none"/>
          <w:lang w:val="en-US" w:eastAsia="zh-CN"/>
        </w:rPr>
        <w:t>附件5</w:t>
      </w:r>
    </w:p>
    <w:p w14:paraId="48843BAE">
      <w:pPr>
        <w:spacing w:line="240" w:lineRule="auto"/>
        <w:jc w:val="both"/>
        <w:rPr>
          <w:rFonts w:hint="eastAsia" w:ascii="宋体" w:hAnsi="宋体" w:cs="宋体"/>
          <w:b/>
          <w:bCs/>
          <w:color w:val="000000"/>
          <w:highlight w:val="none"/>
          <w:lang w:eastAsia="zh-CN"/>
        </w:rPr>
      </w:pPr>
    </w:p>
    <w:p w14:paraId="63311D4B">
      <w:pPr>
        <w:spacing w:line="240" w:lineRule="auto"/>
        <w:jc w:val="both"/>
        <w:rPr>
          <w:rFonts w:hint="eastAsia" w:ascii="宋体" w:hAnsi="宋体" w:cs="宋体"/>
          <w:b/>
          <w:bCs/>
          <w:color w:val="000000"/>
          <w:highlight w:val="none"/>
          <w:lang w:eastAsia="zh-CN"/>
        </w:rPr>
      </w:pPr>
    </w:p>
    <w:p w14:paraId="2B7279C5">
      <w:pPr>
        <w:spacing w:line="240" w:lineRule="auto"/>
        <w:jc w:val="both"/>
        <w:rPr>
          <w:rFonts w:hint="eastAsia" w:ascii="宋体" w:hAnsi="宋体" w:cs="宋体"/>
          <w:b w:val="0"/>
          <w:bCs w:val="0"/>
          <w:color w:val="000000"/>
          <w:sz w:val="28"/>
          <w:szCs w:val="28"/>
          <w:highlight w:val="none"/>
          <w:lang w:val="en-US" w:eastAsia="zh-CN"/>
        </w:rPr>
      </w:pPr>
    </w:p>
    <w:p w14:paraId="09EF4355">
      <w:pPr>
        <w:pStyle w:val="26"/>
        <w:numPr>
          <w:ilvl w:val="1"/>
          <w:numId w:val="0"/>
        </w:numPr>
        <w:ind w:leftChars="0"/>
        <w:rPr>
          <w:rFonts w:hint="eastAsia" w:ascii="宋体" w:hAnsi="宋体" w:cs="宋体"/>
          <w:b/>
          <w:bCs/>
          <w:color w:val="000000"/>
          <w:highlight w:val="none"/>
          <w:lang w:eastAsia="zh-CN"/>
        </w:rPr>
      </w:pPr>
      <w:r>
        <w:rPr>
          <w:rFonts w:hint="eastAsia" w:ascii="宋体" w:hAnsi="宋体" w:cs="宋体"/>
          <w:b/>
          <w:bCs/>
          <w:color w:val="000000"/>
          <w:highlight w:val="none"/>
          <w:lang w:eastAsia="zh-CN"/>
        </w:rPr>
        <w:drawing>
          <wp:inline distT="0" distB="0" distL="114300" distR="114300">
            <wp:extent cx="5758180" cy="8142605"/>
            <wp:effectExtent l="0" t="0" r="13970" b="10795"/>
            <wp:docPr id="11" name="图片 11" descr="环境标志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环境标志产品政府采购品目清单_02"/>
                    <pic:cNvPicPr>
                      <a:picLocks noChangeAspect="1"/>
                    </pic:cNvPicPr>
                  </pic:nvPicPr>
                  <pic:blipFill>
                    <a:blip r:embed="rId20"/>
                    <a:stretch>
                      <a:fillRect/>
                    </a:stretch>
                  </pic:blipFill>
                  <pic:spPr>
                    <a:xfrm>
                      <a:off x="0" y="0"/>
                      <a:ext cx="5758180" cy="8142605"/>
                    </a:xfrm>
                    <a:prstGeom prst="rect">
                      <a:avLst/>
                    </a:prstGeom>
                  </pic:spPr>
                </pic:pic>
              </a:graphicData>
            </a:graphic>
          </wp:inline>
        </w:drawing>
      </w:r>
    </w:p>
    <w:p w14:paraId="216FC7F3">
      <w:pPr>
        <w:pStyle w:val="26"/>
        <w:numPr>
          <w:ilvl w:val="1"/>
          <w:numId w:val="0"/>
        </w:numPr>
        <w:ind w:leftChars="0"/>
        <w:rPr>
          <w:rFonts w:hint="eastAsia" w:ascii="宋体" w:hAnsi="宋体" w:cs="宋体"/>
          <w:b/>
          <w:bCs/>
          <w:color w:val="000000"/>
          <w:highlight w:val="none"/>
          <w:lang w:eastAsia="zh-CN"/>
        </w:rPr>
      </w:pPr>
    </w:p>
    <w:p w14:paraId="040883F8">
      <w:pPr>
        <w:pStyle w:val="26"/>
        <w:numPr>
          <w:ilvl w:val="1"/>
          <w:numId w:val="0"/>
        </w:numPr>
        <w:ind w:leftChars="0"/>
        <w:rPr>
          <w:rFonts w:hint="eastAsia" w:ascii="宋体" w:hAnsi="宋体" w:cs="宋体"/>
          <w:b/>
          <w:bCs/>
          <w:color w:val="000000"/>
          <w:highlight w:val="none"/>
          <w:lang w:eastAsia="zh-CN"/>
        </w:rPr>
      </w:pPr>
      <w:r>
        <w:rPr>
          <w:rFonts w:hint="eastAsia" w:ascii="宋体" w:hAnsi="宋体" w:cs="宋体"/>
          <w:b/>
          <w:bCs/>
          <w:color w:val="000000"/>
          <w:highlight w:val="none"/>
          <w:lang w:eastAsia="zh-CN"/>
        </w:rPr>
        <w:drawing>
          <wp:anchor distT="0" distB="0" distL="114300" distR="114300" simplePos="0" relativeHeight="251664384" behindDoc="0" locked="0" layoutInCell="1" allowOverlap="1">
            <wp:simplePos x="0" y="0"/>
            <wp:positionH relativeFrom="column">
              <wp:posOffset>-304800</wp:posOffset>
            </wp:positionH>
            <wp:positionV relativeFrom="paragraph">
              <wp:posOffset>51435</wp:posOffset>
            </wp:positionV>
            <wp:extent cx="6270625" cy="8867775"/>
            <wp:effectExtent l="0" t="0" r="15875" b="9525"/>
            <wp:wrapNone/>
            <wp:docPr id="20" name="图片 15" descr="环境标志产品政府采购品目清单(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环境标志产品政府采购品目清单(1)_02"/>
                    <pic:cNvPicPr>
                      <a:picLocks noChangeAspect="1"/>
                    </pic:cNvPicPr>
                  </pic:nvPicPr>
                  <pic:blipFill>
                    <a:blip r:embed="rId21"/>
                    <a:stretch>
                      <a:fillRect/>
                    </a:stretch>
                  </pic:blipFill>
                  <pic:spPr>
                    <a:xfrm>
                      <a:off x="0" y="0"/>
                      <a:ext cx="6270625" cy="8867775"/>
                    </a:xfrm>
                    <a:prstGeom prst="rect">
                      <a:avLst/>
                    </a:prstGeom>
                    <a:noFill/>
                    <a:ln>
                      <a:noFill/>
                    </a:ln>
                  </pic:spPr>
                </pic:pic>
              </a:graphicData>
            </a:graphic>
          </wp:anchor>
        </w:drawing>
      </w:r>
    </w:p>
    <w:p w14:paraId="5AC33D2B">
      <w:pPr>
        <w:pStyle w:val="26"/>
        <w:numPr>
          <w:ilvl w:val="1"/>
          <w:numId w:val="0"/>
        </w:numPr>
        <w:ind w:leftChars="0"/>
        <w:rPr>
          <w:rFonts w:hint="eastAsia" w:ascii="宋体" w:hAnsi="宋体" w:cs="宋体"/>
          <w:b/>
          <w:bCs/>
          <w:color w:val="000000"/>
          <w:highlight w:val="none"/>
          <w:lang w:eastAsia="zh-CN"/>
        </w:rPr>
      </w:pPr>
    </w:p>
    <w:p w14:paraId="3AEC1D52">
      <w:pPr>
        <w:pStyle w:val="26"/>
        <w:numPr>
          <w:ilvl w:val="1"/>
          <w:numId w:val="0"/>
        </w:numPr>
        <w:ind w:leftChars="0"/>
        <w:rPr>
          <w:rFonts w:hint="eastAsia" w:ascii="宋体" w:hAnsi="宋体" w:cs="宋体"/>
          <w:b/>
          <w:bCs/>
          <w:color w:val="000000"/>
          <w:highlight w:val="none"/>
          <w:lang w:eastAsia="zh-CN"/>
        </w:rPr>
      </w:pPr>
    </w:p>
    <w:p w14:paraId="0E11CB65">
      <w:pPr>
        <w:pStyle w:val="26"/>
        <w:numPr>
          <w:ilvl w:val="1"/>
          <w:numId w:val="0"/>
        </w:numPr>
        <w:ind w:leftChars="0"/>
        <w:rPr>
          <w:rFonts w:hint="eastAsia" w:ascii="宋体" w:hAnsi="宋体" w:cs="宋体"/>
          <w:b/>
          <w:bCs/>
          <w:color w:val="000000"/>
          <w:highlight w:val="none"/>
          <w:lang w:eastAsia="zh-CN"/>
        </w:rPr>
      </w:pPr>
    </w:p>
    <w:p w14:paraId="01165A61">
      <w:pPr>
        <w:pStyle w:val="26"/>
        <w:numPr>
          <w:ilvl w:val="1"/>
          <w:numId w:val="0"/>
        </w:numPr>
        <w:ind w:leftChars="0"/>
        <w:rPr>
          <w:rFonts w:hint="eastAsia" w:ascii="宋体" w:hAnsi="宋体" w:cs="宋体"/>
          <w:b/>
          <w:bCs/>
          <w:color w:val="000000"/>
          <w:highlight w:val="none"/>
          <w:lang w:eastAsia="zh-CN"/>
        </w:rPr>
      </w:pPr>
    </w:p>
    <w:p w14:paraId="222C6BE8">
      <w:pPr>
        <w:pStyle w:val="26"/>
        <w:numPr>
          <w:ilvl w:val="1"/>
          <w:numId w:val="0"/>
        </w:numPr>
        <w:ind w:leftChars="0"/>
        <w:rPr>
          <w:rFonts w:hint="eastAsia" w:ascii="宋体" w:hAnsi="宋体" w:cs="宋体"/>
          <w:b/>
          <w:bCs/>
          <w:color w:val="000000"/>
          <w:highlight w:val="none"/>
          <w:lang w:eastAsia="zh-CN"/>
        </w:rPr>
      </w:pPr>
    </w:p>
    <w:p w14:paraId="199B0124">
      <w:pPr>
        <w:pStyle w:val="26"/>
        <w:numPr>
          <w:ilvl w:val="1"/>
          <w:numId w:val="0"/>
        </w:numPr>
        <w:ind w:leftChars="0"/>
        <w:rPr>
          <w:rFonts w:hint="eastAsia" w:ascii="宋体" w:hAnsi="宋体" w:cs="宋体"/>
          <w:b/>
          <w:bCs/>
          <w:color w:val="000000"/>
          <w:highlight w:val="none"/>
          <w:lang w:eastAsia="zh-CN"/>
        </w:rPr>
      </w:pPr>
    </w:p>
    <w:p w14:paraId="294D493F">
      <w:pPr>
        <w:pStyle w:val="26"/>
        <w:numPr>
          <w:ilvl w:val="1"/>
          <w:numId w:val="0"/>
        </w:numPr>
        <w:ind w:leftChars="0"/>
        <w:rPr>
          <w:rFonts w:hint="eastAsia" w:ascii="宋体" w:hAnsi="宋体" w:cs="宋体"/>
          <w:b/>
          <w:bCs/>
          <w:color w:val="000000"/>
          <w:highlight w:val="none"/>
          <w:lang w:eastAsia="zh-CN"/>
        </w:rPr>
      </w:pPr>
    </w:p>
    <w:p w14:paraId="330C754B">
      <w:pPr>
        <w:pStyle w:val="26"/>
        <w:numPr>
          <w:ilvl w:val="1"/>
          <w:numId w:val="0"/>
        </w:numPr>
        <w:ind w:leftChars="0"/>
        <w:rPr>
          <w:rFonts w:hint="eastAsia" w:ascii="宋体" w:hAnsi="宋体" w:cs="宋体"/>
          <w:b/>
          <w:bCs/>
          <w:color w:val="000000"/>
          <w:highlight w:val="none"/>
          <w:lang w:eastAsia="zh-CN"/>
        </w:rPr>
      </w:pPr>
    </w:p>
    <w:p w14:paraId="2348C895">
      <w:pPr>
        <w:pStyle w:val="26"/>
        <w:numPr>
          <w:ilvl w:val="1"/>
          <w:numId w:val="0"/>
        </w:numPr>
        <w:ind w:leftChars="0"/>
        <w:rPr>
          <w:rFonts w:hint="eastAsia" w:ascii="宋体" w:hAnsi="宋体" w:cs="宋体"/>
          <w:b/>
          <w:bCs/>
          <w:color w:val="000000"/>
          <w:highlight w:val="none"/>
          <w:lang w:eastAsia="zh-CN"/>
        </w:rPr>
      </w:pPr>
    </w:p>
    <w:p w14:paraId="251C97C3">
      <w:pPr>
        <w:pStyle w:val="26"/>
        <w:numPr>
          <w:ilvl w:val="1"/>
          <w:numId w:val="0"/>
        </w:numPr>
        <w:ind w:leftChars="0"/>
        <w:rPr>
          <w:rFonts w:hint="eastAsia" w:ascii="宋体" w:hAnsi="宋体" w:cs="宋体"/>
          <w:b/>
          <w:bCs/>
          <w:color w:val="000000"/>
          <w:highlight w:val="none"/>
          <w:lang w:eastAsia="zh-CN"/>
        </w:rPr>
      </w:pPr>
    </w:p>
    <w:p w14:paraId="561F1AF9">
      <w:pPr>
        <w:pStyle w:val="26"/>
        <w:numPr>
          <w:ilvl w:val="1"/>
          <w:numId w:val="0"/>
        </w:numPr>
        <w:ind w:leftChars="0"/>
        <w:rPr>
          <w:rFonts w:hint="eastAsia" w:ascii="宋体" w:hAnsi="宋体" w:cs="宋体"/>
          <w:b/>
          <w:bCs/>
          <w:color w:val="000000"/>
          <w:highlight w:val="none"/>
          <w:lang w:eastAsia="zh-CN"/>
        </w:rPr>
      </w:pPr>
    </w:p>
    <w:p w14:paraId="5A71A327">
      <w:pPr>
        <w:pStyle w:val="26"/>
        <w:numPr>
          <w:ilvl w:val="1"/>
          <w:numId w:val="0"/>
        </w:numPr>
        <w:ind w:leftChars="0"/>
        <w:rPr>
          <w:rFonts w:hint="eastAsia" w:ascii="宋体" w:hAnsi="宋体" w:cs="宋体"/>
          <w:b/>
          <w:bCs/>
          <w:color w:val="000000"/>
          <w:highlight w:val="none"/>
          <w:lang w:eastAsia="zh-CN"/>
        </w:rPr>
      </w:pPr>
    </w:p>
    <w:p w14:paraId="0771ECF9">
      <w:pPr>
        <w:pStyle w:val="26"/>
        <w:numPr>
          <w:ilvl w:val="1"/>
          <w:numId w:val="0"/>
        </w:numPr>
        <w:ind w:leftChars="0"/>
        <w:rPr>
          <w:rFonts w:hint="eastAsia" w:ascii="宋体" w:hAnsi="宋体" w:cs="宋体"/>
          <w:b/>
          <w:bCs/>
          <w:color w:val="000000"/>
          <w:highlight w:val="none"/>
          <w:lang w:eastAsia="zh-CN"/>
        </w:rPr>
      </w:pPr>
    </w:p>
    <w:p w14:paraId="765ED6DC">
      <w:pPr>
        <w:pStyle w:val="26"/>
        <w:numPr>
          <w:ilvl w:val="1"/>
          <w:numId w:val="0"/>
        </w:numPr>
        <w:ind w:leftChars="0"/>
        <w:rPr>
          <w:rFonts w:hint="eastAsia" w:ascii="宋体" w:hAnsi="宋体" w:cs="宋体"/>
          <w:b/>
          <w:bCs/>
          <w:color w:val="000000"/>
          <w:highlight w:val="none"/>
          <w:lang w:eastAsia="zh-CN"/>
        </w:rPr>
      </w:pPr>
    </w:p>
    <w:p w14:paraId="2024659D">
      <w:pPr>
        <w:pStyle w:val="26"/>
        <w:numPr>
          <w:ilvl w:val="1"/>
          <w:numId w:val="0"/>
        </w:numPr>
        <w:ind w:leftChars="0"/>
        <w:rPr>
          <w:rFonts w:hint="eastAsia" w:ascii="宋体" w:hAnsi="宋体" w:cs="宋体"/>
          <w:b/>
          <w:bCs/>
          <w:color w:val="000000"/>
          <w:highlight w:val="none"/>
          <w:lang w:eastAsia="zh-CN"/>
        </w:rPr>
      </w:pPr>
    </w:p>
    <w:p w14:paraId="5B41536D">
      <w:pPr>
        <w:pStyle w:val="26"/>
        <w:numPr>
          <w:ilvl w:val="1"/>
          <w:numId w:val="0"/>
        </w:numPr>
        <w:ind w:leftChars="0"/>
        <w:rPr>
          <w:rFonts w:hint="eastAsia"/>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FFBDE0">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5408" behindDoc="0" locked="0" layoutInCell="1" allowOverlap="1">
            <wp:simplePos x="0" y="0"/>
            <wp:positionH relativeFrom="column">
              <wp:posOffset>-152400</wp:posOffset>
            </wp:positionH>
            <wp:positionV relativeFrom="paragraph">
              <wp:posOffset>55245</wp:posOffset>
            </wp:positionV>
            <wp:extent cx="6215380" cy="8789670"/>
            <wp:effectExtent l="0" t="0" r="13970" b="11430"/>
            <wp:wrapNone/>
            <wp:docPr id="13" name="图片 13" descr="环境标志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环境标志产品政府采购品目清单_04"/>
                    <pic:cNvPicPr>
                      <a:picLocks noChangeAspect="1"/>
                    </pic:cNvPicPr>
                  </pic:nvPicPr>
                  <pic:blipFill>
                    <a:blip r:embed="rId22"/>
                    <a:stretch>
                      <a:fillRect/>
                    </a:stretch>
                  </pic:blipFill>
                  <pic:spPr>
                    <a:xfrm>
                      <a:off x="0" y="0"/>
                      <a:ext cx="6215380" cy="8789670"/>
                    </a:xfrm>
                    <a:prstGeom prst="rect">
                      <a:avLst/>
                    </a:prstGeom>
                  </pic:spPr>
                </pic:pic>
              </a:graphicData>
            </a:graphic>
          </wp:anchor>
        </w:drawing>
      </w:r>
    </w:p>
    <w:p w14:paraId="37BBDFC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黑体" w:eastAsia="宋体" w:cs="宋体"/>
          <w:b/>
          <w:kern w:val="2"/>
          <w:sz w:val="28"/>
          <w:szCs w:val="28"/>
          <w:highlight w:val="none"/>
          <w:vertAlign w:val="baseline"/>
          <w:lang w:val="en-US" w:eastAsia="zh-CN"/>
        </w:rPr>
      </w:pPr>
      <w:bookmarkStart w:id="117" w:name="_Toc23518"/>
      <w:bookmarkStart w:id="118" w:name="_Toc3981"/>
      <w:r>
        <w:rPr>
          <w:rFonts w:hint="eastAsia" w:ascii="黑体" w:cs="宋体" w:hAnsiTheme="minorHAnsi" w:eastAsiaTheme="minorEastAsia"/>
          <w:b/>
          <w:kern w:val="2"/>
          <w:sz w:val="28"/>
          <w:szCs w:val="28"/>
          <w:highlight w:val="none"/>
          <w:lang w:val="en-US" w:eastAsia="zh-CN" w:bidi="ar-SA"/>
        </w:rPr>
        <w:t>第三章</w:t>
      </w:r>
      <w:r>
        <w:rPr>
          <w:rFonts w:hint="eastAsia" w:ascii="Times New Roman" w:hAnsi="Times New Roman" w:eastAsia="宋体" w:cs="Times New Roman"/>
          <w:b/>
          <w:sz w:val="32"/>
          <w:szCs w:val="40"/>
          <w:highlight w:val="none"/>
        </w:rPr>
        <w:t xml:space="preserve">  </w:t>
      </w:r>
      <w:r>
        <w:rPr>
          <w:rFonts w:hint="eastAsia" w:ascii="黑体" w:eastAsia="宋体" w:cs="宋体"/>
          <w:b/>
          <w:kern w:val="2"/>
          <w:sz w:val="28"/>
          <w:szCs w:val="28"/>
          <w:highlight w:val="none"/>
          <w:lang w:eastAsia="zh-CN"/>
        </w:rPr>
        <w:t>采购需求</w:t>
      </w:r>
      <w:bookmarkEnd w:id="117"/>
      <w:bookmarkEnd w:id="118"/>
    </w:p>
    <w:tbl>
      <w:tblPr>
        <w:tblStyle w:val="28"/>
        <w:tblpPr w:leftFromText="180" w:rightFromText="180" w:vertAnchor="text" w:horzAnchor="page" w:tblpXSpec="center" w:tblpY="568"/>
        <w:tblOverlap w:val="never"/>
        <w:tblW w:w="96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9"/>
        <w:gridCol w:w="697"/>
        <w:gridCol w:w="598"/>
        <w:gridCol w:w="766"/>
        <w:gridCol w:w="4934"/>
        <w:gridCol w:w="755"/>
        <w:gridCol w:w="654"/>
        <w:gridCol w:w="782"/>
      </w:tblGrid>
      <w:tr w14:paraId="58C03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jc w:val="center"/>
        </w:trPr>
        <w:tc>
          <w:tcPr>
            <w:tcW w:w="479" w:type="dxa"/>
            <w:tcBorders>
              <w:bottom w:val="nil"/>
            </w:tcBorders>
            <w:vAlign w:val="top"/>
          </w:tcPr>
          <w:p w14:paraId="6EA8EA19">
            <w:pPr>
              <w:pStyle w:val="27"/>
              <w:spacing w:before="52" w:line="221" w:lineRule="auto"/>
              <w:jc w:val="center"/>
              <w:rPr>
                <w:b/>
                <w:bCs/>
                <w:color w:val="auto"/>
                <w:spacing w:val="-5"/>
                <w:sz w:val="22"/>
                <w:szCs w:val="22"/>
              </w:rPr>
            </w:pPr>
            <w:r>
              <w:rPr>
                <w:b/>
                <w:bCs/>
                <w:color w:val="auto"/>
                <w:spacing w:val="-5"/>
                <w:sz w:val="22"/>
                <w:szCs w:val="22"/>
              </w:rPr>
              <w:t>序</w:t>
            </w:r>
          </w:p>
          <w:p w14:paraId="3C447656">
            <w:pPr>
              <w:pStyle w:val="27"/>
              <w:spacing w:before="52" w:line="221" w:lineRule="auto"/>
              <w:jc w:val="center"/>
              <w:rPr>
                <w:color w:val="auto"/>
                <w:sz w:val="22"/>
                <w:szCs w:val="22"/>
              </w:rPr>
            </w:pPr>
            <w:r>
              <w:rPr>
                <w:b/>
                <w:bCs/>
                <w:color w:val="auto"/>
                <w:spacing w:val="-5"/>
                <w:sz w:val="22"/>
                <w:szCs w:val="22"/>
              </w:rPr>
              <w:t>号</w:t>
            </w:r>
          </w:p>
        </w:tc>
        <w:tc>
          <w:tcPr>
            <w:tcW w:w="697" w:type="dxa"/>
            <w:vAlign w:val="top"/>
          </w:tcPr>
          <w:p w14:paraId="692CD5BC">
            <w:pPr>
              <w:pStyle w:val="27"/>
              <w:spacing w:before="52" w:line="222" w:lineRule="auto"/>
              <w:jc w:val="center"/>
              <w:rPr>
                <w:b/>
                <w:bCs/>
                <w:color w:val="auto"/>
                <w:spacing w:val="-6"/>
                <w:sz w:val="22"/>
                <w:szCs w:val="22"/>
              </w:rPr>
            </w:pPr>
            <w:r>
              <w:rPr>
                <w:b/>
                <w:bCs/>
                <w:color w:val="auto"/>
                <w:spacing w:val="-6"/>
                <w:sz w:val="22"/>
                <w:szCs w:val="22"/>
              </w:rPr>
              <w:t>小区</w:t>
            </w:r>
          </w:p>
          <w:p w14:paraId="6463F53B">
            <w:pPr>
              <w:pStyle w:val="27"/>
              <w:spacing w:before="33" w:line="222" w:lineRule="auto"/>
              <w:jc w:val="center"/>
              <w:rPr>
                <w:color w:val="auto"/>
                <w:sz w:val="22"/>
                <w:szCs w:val="22"/>
              </w:rPr>
            </w:pPr>
            <w:r>
              <w:rPr>
                <w:b/>
                <w:bCs/>
                <w:color w:val="auto"/>
                <w:spacing w:val="-5"/>
                <w:sz w:val="22"/>
                <w:szCs w:val="22"/>
              </w:rPr>
              <w:t>名称</w:t>
            </w:r>
          </w:p>
        </w:tc>
        <w:tc>
          <w:tcPr>
            <w:tcW w:w="598" w:type="dxa"/>
            <w:vAlign w:val="top"/>
          </w:tcPr>
          <w:p w14:paraId="75D485C1">
            <w:pPr>
              <w:pStyle w:val="27"/>
              <w:spacing w:before="51" w:line="220" w:lineRule="auto"/>
              <w:jc w:val="center"/>
              <w:rPr>
                <w:b/>
                <w:bCs/>
                <w:color w:val="auto"/>
                <w:spacing w:val="-5"/>
                <w:sz w:val="22"/>
                <w:szCs w:val="22"/>
              </w:rPr>
            </w:pPr>
            <w:r>
              <w:rPr>
                <w:b/>
                <w:bCs/>
                <w:color w:val="auto"/>
                <w:spacing w:val="-5"/>
                <w:sz w:val="22"/>
                <w:szCs w:val="22"/>
              </w:rPr>
              <w:t>楼</w:t>
            </w:r>
          </w:p>
          <w:p w14:paraId="7DC314AF">
            <w:pPr>
              <w:pStyle w:val="27"/>
              <w:spacing w:before="51" w:line="220" w:lineRule="auto"/>
              <w:jc w:val="center"/>
              <w:rPr>
                <w:color w:val="auto"/>
                <w:sz w:val="22"/>
                <w:szCs w:val="22"/>
              </w:rPr>
            </w:pPr>
            <w:r>
              <w:rPr>
                <w:b/>
                <w:bCs/>
                <w:color w:val="auto"/>
                <w:spacing w:val="-5"/>
                <w:sz w:val="22"/>
                <w:szCs w:val="22"/>
              </w:rPr>
              <w:t>号</w:t>
            </w:r>
          </w:p>
        </w:tc>
        <w:tc>
          <w:tcPr>
            <w:tcW w:w="766" w:type="dxa"/>
            <w:vAlign w:val="top"/>
          </w:tcPr>
          <w:p w14:paraId="6C6DC67E">
            <w:pPr>
              <w:pStyle w:val="27"/>
              <w:spacing w:before="52" w:line="220" w:lineRule="auto"/>
              <w:jc w:val="center"/>
              <w:rPr>
                <w:b/>
                <w:bCs/>
                <w:color w:val="auto"/>
                <w:spacing w:val="-5"/>
                <w:sz w:val="22"/>
                <w:szCs w:val="22"/>
              </w:rPr>
            </w:pPr>
            <w:r>
              <w:rPr>
                <w:b/>
                <w:bCs/>
                <w:color w:val="auto"/>
                <w:spacing w:val="-5"/>
                <w:sz w:val="22"/>
                <w:szCs w:val="22"/>
              </w:rPr>
              <w:t>梯</w:t>
            </w:r>
          </w:p>
          <w:p w14:paraId="554F3047">
            <w:pPr>
              <w:pStyle w:val="27"/>
              <w:spacing w:before="52" w:line="220" w:lineRule="auto"/>
              <w:jc w:val="center"/>
              <w:rPr>
                <w:color w:val="auto"/>
                <w:sz w:val="22"/>
                <w:szCs w:val="22"/>
              </w:rPr>
            </w:pPr>
            <w:r>
              <w:rPr>
                <w:b/>
                <w:bCs/>
                <w:color w:val="auto"/>
                <w:spacing w:val="-5"/>
                <w:sz w:val="22"/>
                <w:szCs w:val="22"/>
              </w:rPr>
              <w:t>号</w:t>
            </w:r>
          </w:p>
        </w:tc>
        <w:tc>
          <w:tcPr>
            <w:tcW w:w="4934" w:type="dxa"/>
            <w:vAlign w:val="top"/>
          </w:tcPr>
          <w:p w14:paraId="7DB0A089">
            <w:pPr>
              <w:pStyle w:val="27"/>
              <w:spacing w:before="51" w:line="220" w:lineRule="auto"/>
              <w:jc w:val="center"/>
              <w:rPr>
                <w:color w:val="auto"/>
                <w:sz w:val="22"/>
                <w:szCs w:val="22"/>
              </w:rPr>
            </w:pPr>
            <w:r>
              <w:rPr>
                <w:b/>
                <w:bCs/>
                <w:color w:val="auto"/>
                <w:spacing w:val="-4"/>
                <w:sz w:val="36"/>
                <w:szCs w:val="36"/>
              </w:rPr>
              <w:t>技术参数</w:t>
            </w:r>
          </w:p>
        </w:tc>
        <w:tc>
          <w:tcPr>
            <w:tcW w:w="755" w:type="dxa"/>
            <w:vAlign w:val="top"/>
          </w:tcPr>
          <w:p w14:paraId="41DFEEE3">
            <w:pPr>
              <w:pStyle w:val="27"/>
              <w:spacing w:before="91" w:line="202" w:lineRule="auto"/>
              <w:jc w:val="center"/>
              <w:rPr>
                <w:rFonts w:hint="eastAsia"/>
                <w:b/>
                <w:bCs/>
                <w:color w:val="auto"/>
                <w:spacing w:val="-5"/>
                <w:sz w:val="22"/>
                <w:szCs w:val="22"/>
                <w:lang w:val="en-US" w:eastAsia="zh-CN"/>
              </w:rPr>
            </w:pPr>
            <w:r>
              <w:rPr>
                <w:b/>
                <w:bCs/>
                <w:color w:val="auto"/>
                <w:spacing w:val="-5"/>
                <w:sz w:val="22"/>
                <w:szCs w:val="22"/>
              </w:rPr>
              <w:t>数</w:t>
            </w:r>
            <w:r>
              <w:rPr>
                <w:rFonts w:hint="eastAsia"/>
                <w:b/>
                <w:bCs/>
                <w:color w:val="auto"/>
                <w:spacing w:val="-5"/>
                <w:sz w:val="22"/>
                <w:szCs w:val="22"/>
                <w:lang w:val="en-US" w:eastAsia="zh-CN"/>
              </w:rPr>
              <w:t>量</w:t>
            </w:r>
          </w:p>
          <w:p w14:paraId="48C0DC52">
            <w:pPr>
              <w:pStyle w:val="27"/>
              <w:spacing w:before="91" w:line="202" w:lineRule="auto"/>
              <w:jc w:val="center"/>
              <w:rPr>
                <w:color w:val="auto"/>
                <w:sz w:val="22"/>
                <w:szCs w:val="22"/>
              </w:rPr>
            </w:pPr>
            <w:r>
              <w:rPr>
                <w:b/>
                <w:bCs/>
                <w:color w:val="auto"/>
                <w:spacing w:val="-15"/>
                <w:sz w:val="22"/>
                <w:szCs w:val="22"/>
              </w:rPr>
              <w:t>（部</w:t>
            </w:r>
            <w:r>
              <w:rPr>
                <w:b/>
                <w:bCs/>
                <w:color w:val="auto"/>
                <w:spacing w:val="-3"/>
                <w:sz w:val="22"/>
                <w:szCs w:val="22"/>
              </w:rPr>
              <w:t>)</w:t>
            </w:r>
          </w:p>
        </w:tc>
        <w:tc>
          <w:tcPr>
            <w:tcW w:w="654" w:type="dxa"/>
            <w:vAlign w:val="top"/>
          </w:tcPr>
          <w:p w14:paraId="692F5C46">
            <w:pPr>
              <w:pStyle w:val="27"/>
              <w:spacing w:before="91" w:line="202" w:lineRule="auto"/>
              <w:jc w:val="center"/>
              <w:rPr>
                <w:b/>
                <w:bCs/>
                <w:color w:val="auto"/>
                <w:spacing w:val="-5"/>
                <w:sz w:val="22"/>
                <w:szCs w:val="22"/>
              </w:rPr>
            </w:pPr>
            <w:r>
              <w:rPr>
                <w:b/>
                <w:bCs/>
                <w:color w:val="auto"/>
                <w:spacing w:val="-5"/>
                <w:sz w:val="22"/>
                <w:szCs w:val="22"/>
              </w:rPr>
              <w:t>有无</w:t>
            </w:r>
          </w:p>
          <w:p w14:paraId="23AE6D86">
            <w:pPr>
              <w:pStyle w:val="27"/>
              <w:spacing w:before="100" w:line="219" w:lineRule="auto"/>
              <w:jc w:val="center"/>
              <w:rPr>
                <w:color w:val="auto"/>
                <w:sz w:val="22"/>
                <w:szCs w:val="22"/>
              </w:rPr>
            </w:pPr>
            <w:r>
              <w:rPr>
                <w:b/>
                <w:bCs/>
                <w:color w:val="auto"/>
                <w:spacing w:val="-5"/>
                <w:sz w:val="22"/>
                <w:szCs w:val="22"/>
              </w:rPr>
              <w:t>机房</w:t>
            </w:r>
          </w:p>
        </w:tc>
        <w:tc>
          <w:tcPr>
            <w:tcW w:w="782" w:type="dxa"/>
            <w:vAlign w:val="top"/>
          </w:tcPr>
          <w:p w14:paraId="4F1364E3">
            <w:pPr>
              <w:pStyle w:val="27"/>
              <w:spacing w:before="100" w:line="219" w:lineRule="auto"/>
              <w:jc w:val="center"/>
              <w:rPr>
                <w:rFonts w:hint="eastAsia"/>
                <w:b/>
                <w:bCs/>
                <w:color w:val="auto"/>
                <w:spacing w:val="-5"/>
                <w:sz w:val="22"/>
                <w:szCs w:val="22"/>
                <w:lang w:val="en-US" w:eastAsia="zh-CN"/>
              </w:rPr>
            </w:pPr>
            <w:r>
              <w:rPr>
                <w:rFonts w:hint="eastAsia"/>
                <w:b/>
                <w:bCs/>
                <w:color w:val="auto"/>
                <w:spacing w:val="-5"/>
                <w:sz w:val="22"/>
                <w:szCs w:val="22"/>
                <w:lang w:val="en-US" w:eastAsia="zh-CN"/>
              </w:rPr>
              <w:t>价</w:t>
            </w:r>
          </w:p>
          <w:p w14:paraId="271DBEFC">
            <w:pPr>
              <w:pStyle w:val="27"/>
              <w:spacing w:before="100" w:line="219" w:lineRule="auto"/>
              <w:jc w:val="center"/>
              <w:rPr>
                <w:rFonts w:hint="eastAsia" w:eastAsia="宋体"/>
                <w:b/>
                <w:bCs/>
                <w:color w:val="auto"/>
                <w:spacing w:val="-5"/>
                <w:sz w:val="22"/>
                <w:szCs w:val="22"/>
                <w:lang w:val="en-US" w:eastAsia="zh-CN"/>
              </w:rPr>
            </w:pPr>
            <w:r>
              <w:rPr>
                <w:rFonts w:hint="eastAsia"/>
                <w:b/>
                <w:bCs/>
                <w:color w:val="auto"/>
                <w:spacing w:val="-5"/>
                <w:sz w:val="22"/>
                <w:szCs w:val="22"/>
                <w:lang w:val="en-US" w:eastAsia="zh-CN"/>
              </w:rPr>
              <w:t>格</w:t>
            </w:r>
          </w:p>
        </w:tc>
      </w:tr>
      <w:tr w14:paraId="3B7C3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7" w:hRule="atLeast"/>
          <w:jc w:val="center"/>
        </w:trPr>
        <w:tc>
          <w:tcPr>
            <w:tcW w:w="479" w:type="dxa"/>
            <w:vAlign w:val="top"/>
          </w:tcPr>
          <w:p w14:paraId="69FF5308">
            <w:pPr>
              <w:pStyle w:val="27"/>
              <w:spacing w:before="79" w:line="241" w:lineRule="auto"/>
              <w:ind w:left="384"/>
              <w:jc w:val="left"/>
              <w:rPr>
                <w:color w:val="auto"/>
                <w:sz w:val="21"/>
                <w:szCs w:val="21"/>
              </w:rPr>
            </w:pPr>
          </w:p>
          <w:p w14:paraId="579D3F50">
            <w:pPr>
              <w:pStyle w:val="27"/>
              <w:spacing w:before="79" w:line="241" w:lineRule="auto"/>
              <w:ind w:left="384"/>
              <w:jc w:val="left"/>
              <w:rPr>
                <w:color w:val="auto"/>
                <w:sz w:val="21"/>
                <w:szCs w:val="21"/>
              </w:rPr>
            </w:pPr>
          </w:p>
          <w:p w14:paraId="321F95FC">
            <w:pPr>
              <w:pStyle w:val="27"/>
              <w:spacing w:before="79" w:line="241" w:lineRule="auto"/>
              <w:ind w:left="384"/>
              <w:jc w:val="left"/>
              <w:rPr>
                <w:color w:val="auto"/>
                <w:sz w:val="21"/>
                <w:szCs w:val="21"/>
              </w:rPr>
            </w:pPr>
          </w:p>
          <w:p w14:paraId="47C678C9">
            <w:pPr>
              <w:pStyle w:val="27"/>
              <w:spacing w:before="79" w:line="241" w:lineRule="auto"/>
              <w:ind w:left="384"/>
              <w:jc w:val="left"/>
              <w:rPr>
                <w:color w:val="auto"/>
                <w:sz w:val="21"/>
                <w:szCs w:val="21"/>
              </w:rPr>
            </w:pPr>
            <w:r>
              <w:rPr>
                <w:color w:val="auto"/>
                <w:sz w:val="21"/>
                <w:szCs w:val="21"/>
              </w:rPr>
              <w:t>1</w:t>
            </w:r>
          </w:p>
        </w:tc>
        <w:tc>
          <w:tcPr>
            <w:tcW w:w="697" w:type="dxa"/>
            <w:vMerge w:val="restart"/>
            <w:vAlign w:val="top"/>
          </w:tcPr>
          <w:p w14:paraId="0A6A9EF3">
            <w:pPr>
              <w:pStyle w:val="27"/>
              <w:spacing w:before="48" w:line="277" w:lineRule="auto"/>
              <w:ind w:left="176" w:right="175" w:firstLine="9"/>
              <w:jc w:val="left"/>
              <w:rPr>
                <w:rFonts w:hint="eastAsia"/>
                <w:color w:val="auto"/>
                <w:sz w:val="21"/>
                <w:szCs w:val="21"/>
                <w:lang w:val="en-US" w:eastAsia="zh-CN"/>
              </w:rPr>
            </w:pPr>
          </w:p>
          <w:p w14:paraId="12CF3684">
            <w:pPr>
              <w:pStyle w:val="27"/>
              <w:spacing w:before="48" w:line="277" w:lineRule="auto"/>
              <w:ind w:left="176" w:right="175" w:firstLine="9"/>
              <w:jc w:val="left"/>
              <w:rPr>
                <w:rFonts w:hint="eastAsia"/>
                <w:color w:val="auto"/>
                <w:sz w:val="21"/>
                <w:szCs w:val="21"/>
                <w:lang w:val="en-US" w:eastAsia="zh-CN"/>
              </w:rPr>
            </w:pPr>
          </w:p>
          <w:p w14:paraId="34539C73">
            <w:pPr>
              <w:pStyle w:val="27"/>
              <w:spacing w:before="48" w:line="277" w:lineRule="auto"/>
              <w:ind w:left="176" w:right="175" w:firstLine="9"/>
              <w:jc w:val="left"/>
              <w:rPr>
                <w:rFonts w:hint="eastAsia"/>
                <w:color w:val="auto"/>
                <w:sz w:val="21"/>
                <w:szCs w:val="21"/>
                <w:lang w:val="en-US" w:eastAsia="zh-CN"/>
              </w:rPr>
            </w:pPr>
          </w:p>
          <w:p w14:paraId="5D3078DB">
            <w:pPr>
              <w:pStyle w:val="27"/>
              <w:spacing w:before="48" w:line="277" w:lineRule="auto"/>
              <w:ind w:left="176" w:right="175" w:firstLine="9"/>
              <w:jc w:val="left"/>
              <w:rPr>
                <w:rFonts w:hint="eastAsia"/>
                <w:color w:val="auto"/>
                <w:sz w:val="21"/>
                <w:szCs w:val="21"/>
                <w:lang w:val="en-US" w:eastAsia="zh-CN"/>
              </w:rPr>
            </w:pPr>
          </w:p>
          <w:p w14:paraId="27133C78">
            <w:pPr>
              <w:pStyle w:val="27"/>
              <w:spacing w:before="48" w:line="277" w:lineRule="auto"/>
              <w:ind w:left="176" w:right="175" w:firstLine="9"/>
              <w:jc w:val="left"/>
              <w:rPr>
                <w:rFonts w:hint="default" w:eastAsia="宋体"/>
                <w:color w:val="auto"/>
                <w:sz w:val="21"/>
                <w:szCs w:val="21"/>
                <w:lang w:val="en-US" w:eastAsia="zh-CN"/>
              </w:rPr>
            </w:pPr>
            <w:r>
              <w:rPr>
                <w:rFonts w:hint="eastAsia"/>
                <w:color w:val="auto"/>
                <w:sz w:val="21"/>
                <w:szCs w:val="21"/>
                <w:lang w:val="en-US" w:eastAsia="zh-CN"/>
              </w:rPr>
              <w:t>聚贤花园</w:t>
            </w:r>
          </w:p>
        </w:tc>
        <w:tc>
          <w:tcPr>
            <w:tcW w:w="598" w:type="dxa"/>
            <w:vAlign w:val="top"/>
          </w:tcPr>
          <w:p w14:paraId="37791020">
            <w:pPr>
              <w:pStyle w:val="27"/>
              <w:spacing w:before="49" w:line="222" w:lineRule="auto"/>
              <w:ind w:left="166"/>
              <w:jc w:val="left"/>
              <w:rPr>
                <w:rFonts w:hint="eastAsia"/>
                <w:color w:val="auto"/>
                <w:sz w:val="21"/>
                <w:szCs w:val="21"/>
                <w:lang w:val="en-US" w:eastAsia="zh-CN"/>
              </w:rPr>
            </w:pPr>
          </w:p>
          <w:p w14:paraId="1976CF2E">
            <w:pPr>
              <w:pStyle w:val="27"/>
              <w:spacing w:before="49" w:line="222" w:lineRule="auto"/>
              <w:ind w:left="166"/>
              <w:jc w:val="left"/>
              <w:rPr>
                <w:rFonts w:hint="eastAsia"/>
                <w:color w:val="auto"/>
                <w:sz w:val="21"/>
                <w:szCs w:val="21"/>
                <w:lang w:val="en-US" w:eastAsia="zh-CN"/>
              </w:rPr>
            </w:pPr>
          </w:p>
          <w:p w14:paraId="3FBECD53">
            <w:pPr>
              <w:pStyle w:val="27"/>
              <w:spacing w:before="49" w:line="222" w:lineRule="auto"/>
              <w:ind w:left="166"/>
              <w:jc w:val="left"/>
              <w:rPr>
                <w:rFonts w:hint="eastAsia"/>
                <w:color w:val="auto"/>
                <w:sz w:val="21"/>
                <w:szCs w:val="21"/>
                <w:lang w:val="en-US" w:eastAsia="zh-CN"/>
              </w:rPr>
            </w:pPr>
          </w:p>
          <w:p w14:paraId="27949AD5">
            <w:pPr>
              <w:pStyle w:val="27"/>
              <w:spacing w:before="49" w:line="222" w:lineRule="auto"/>
              <w:ind w:left="166"/>
              <w:jc w:val="left"/>
              <w:rPr>
                <w:rFonts w:hint="eastAsia"/>
                <w:color w:val="auto"/>
                <w:sz w:val="21"/>
                <w:szCs w:val="21"/>
                <w:lang w:val="en-US" w:eastAsia="zh-CN"/>
              </w:rPr>
            </w:pPr>
          </w:p>
          <w:p w14:paraId="28F4EC2B">
            <w:pPr>
              <w:pStyle w:val="27"/>
              <w:spacing w:before="49" w:line="222" w:lineRule="auto"/>
              <w:ind w:left="166"/>
              <w:jc w:val="left"/>
              <w:rPr>
                <w:rFonts w:hint="eastAsia"/>
                <w:color w:val="auto"/>
                <w:sz w:val="21"/>
                <w:szCs w:val="21"/>
                <w:lang w:val="en-US" w:eastAsia="zh-CN"/>
              </w:rPr>
            </w:pPr>
            <w:r>
              <w:rPr>
                <w:rFonts w:hint="eastAsia"/>
                <w:color w:val="auto"/>
                <w:sz w:val="21"/>
                <w:szCs w:val="21"/>
                <w:lang w:val="en-US" w:eastAsia="zh-CN"/>
              </w:rPr>
              <w:t>1</w:t>
            </w:r>
          </w:p>
          <w:p w14:paraId="53ECA9F9">
            <w:pPr>
              <w:pStyle w:val="27"/>
              <w:spacing w:before="49" w:line="222" w:lineRule="auto"/>
              <w:ind w:left="166"/>
              <w:jc w:val="left"/>
              <w:rPr>
                <w:rFonts w:hint="eastAsia"/>
                <w:color w:val="auto"/>
                <w:sz w:val="21"/>
                <w:szCs w:val="21"/>
                <w:lang w:val="en-US" w:eastAsia="zh-CN"/>
              </w:rPr>
            </w:pPr>
            <w:r>
              <w:rPr>
                <w:rFonts w:hint="eastAsia"/>
                <w:color w:val="auto"/>
                <w:sz w:val="21"/>
                <w:szCs w:val="21"/>
                <w:lang w:val="en-US" w:eastAsia="zh-CN"/>
              </w:rPr>
              <w:t>号</w:t>
            </w:r>
          </w:p>
          <w:p w14:paraId="597DEA9E">
            <w:pPr>
              <w:pStyle w:val="27"/>
              <w:spacing w:before="49" w:line="222" w:lineRule="auto"/>
              <w:ind w:left="166"/>
              <w:jc w:val="left"/>
              <w:rPr>
                <w:rFonts w:hint="eastAsia"/>
                <w:color w:val="auto"/>
                <w:sz w:val="21"/>
                <w:szCs w:val="21"/>
                <w:lang w:val="en-US" w:eastAsia="zh-CN"/>
              </w:rPr>
            </w:pPr>
            <w:r>
              <w:rPr>
                <w:rFonts w:hint="eastAsia"/>
                <w:color w:val="auto"/>
                <w:sz w:val="21"/>
                <w:szCs w:val="21"/>
                <w:lang w:val="en-US" w:eastAsia="zh-CN"/>
              </w:rPr>
              <w:t>楼、</w:t>
            </w:r>
          </w:p>
          <w:p w14:paraId="6CDAB86F">
            <w:pPr>
              <w:pStyle w:val="27"/>
              <w:spacing w:before="49" w:line="222" w:lineRule="auto"/>
              <w:ind w:left="166"/>
              <w:jc w:val="left"/>
              <w:rPr>
                <w:rFonts w:hint="default"/>
                <w:color w:val="auto"/>
                <w:sz w:val="21"/>
                <w:szCs w:val="21"/>
                <w:lang w:val="en-US" w:eastAsia="zh-CN"/>
              </w:rPr>
            </w:pPr>
          </w:p>
        </w:tc>
        <w:tc>
          <w:tcPr>
            <w:tcW w:w="766" w:type="dxa"/>
            <w:vAlign w:val="top"/>
          </w:tcPr>
          <w:p w14:paraId="45F64C9F">
            <w:pPr>
              <w:pStyle w:val="27"/>
              <w:spacing w:before="48" w:line="277" w:lineRule="auto"/>
              <w:ind w:left="283" w:right="173" w:hanging="102"/>
              <w:jc w:val="left"/>
              <w:rPr>
                <w:rFonts w:hint="eastAsia"/>
                <w:color w:val="auto"/>
                <w:sz w:val="21"/>
                <w:szCs w:val="21"/>
                <w:lang w:val="en-US" w:eastAsia="zh-CN"/>
              </w:rPr>
            </w:pPr>
          </w:p>
          <w:p w14:paraId="2C188D8E">
            <w:pPr>
              <w:pStyle w:val="27"/>
              <w:spacing w:before="48" w:line="277" w:lineRule="auto"/>
              <w:ind w:right="173"/>
              <w:jc w:val="left"/>
              <w:rPr>
                <w:rFonts w:hint="default" w:eastAsia="宋体"/>
                <w:color w:val="auto"/>
                <w:sz w:val="21"/>
                <w:szCs w:val="21"/>
                <w:lang w:val="en-US" w:eastAsia="zh-CN"/>
              </w:rPr>
            </w:pPr>
            <w:r>
              <w:rPr>
                <w:rFonts w:hint="eastAsia"/>
                <w:color w:val="auto"/>
                <w:sz w:val="21"/>
                <w:szCs w:val="21"/>
                <w:lang w:val="en-US" w:eastAsia="zh-CN"/>
              </w:rPr>
              <w:t>三单元北梯</w:t>
            </w:r>
          </w:p>
        </w:tc>
        <w:tc>
          <w:tcPr>
            <w:tcW w:w="4934" w:type="dxa"/>
            <w:vAlign w:val="top"/>
          </w:tcPr>
          <w:p w14:paraId="11349091">
            <w:pPr>
              <w:pStyle w:val="27"/>
              <w:spacing w:before="1" w:line="274" w:lineRule="auto"/>
              <w:ind w:left="116" w:right="215" w:hanging="5"/>
              <w:jc w:val="left"/>
              <w:rPr>
                <w:rFonts w:hint="eastAsia" w:ascii="宋体" w:hAnsi="宋体" w:eastAsia="宋体" w:cs="宋体"/>
                <w:color w:val="auto"/>
                <w:spacing w:val="-3"/>
                <w:sz w:val="21"/>
                <w:szCs w:val="21"/>
                <w:lang w:val="en-US" w:eastAsia="zh-CN"/>
              </w:rPr>
            </w:pPr>
            <w:r>
              <w:rPr>
                <w:rFonts w:ascii="宋体" w:hAnsi="宋体" w:eastAsia="宋体" w:cs="宋体"/>
                <w:color w:val="auto"/>
                <w:spacing w:val="-3"/>
                <w:sz w:val="21"/>
                <w:szCs w:val="21"/>
              </w:rPr>
              <w:t>1、控制方式：</w:t>
            </w:r>
            <w:r>
              <w:rPr>
                <w:rFonts w:hint="eastAsia" w:cs="宋体"/>
                <w:color w:val="auto"/>
                <w:spacing w:val="-3"/>
                <w:sz w:val="21"/>
                <w:szCs w:val="21"/>
                <w:lang w:val="en-US" w:eastAsia="zh-CN"/>
              </w:rPr>
              <w:t>全集选</w:t>
            </w:r>
          </w:p>
          <w:p w14:paraId="2EA7950C">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额定载重（kg）：</w:t>
            </w:r>
            <w:r>
              <w:rPr>
                <w:rFonts w:hint="eastAsia" w:ascii="宋体" w:hAnsi="宋体" w:eastAsia="宋体" w:cs="宋体"/>
                <w:color w:val="auto"/>
                <w:spacing w:val="-3"/>
                <w:sz w:val="21"/>
                <w:szCs w:val="21"/>
                <w:lang w:val="en-US" w:eastAsia="zh-CN"/>
              </w:rPr>
              <w:t>800kg</w:t>
            </w:r>
          </w:p>
          <w:p w14:paraId="090BCC13">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3、额定速度（m/s）：</w:t>
            </w:r>
            <w:r>
              <w:rPr>
                <w:rFonts w:hint="eastAsia" w:ascii="宋体" w:hAnsi="宋体" w:eastAsia="宋体" w:cs="宋体"/>
                <w:color w:val="auto"/>
                <w:spacing w:val="-3"/>
                <w:sz w:val="21"/>
                <w:szCs w:val="21"/>
                <w:lang w:val="en-US" w:eastAsia="zh-CN"/>
              </w:rPr>
              <w:t>1.5</w:t>
            </w:r>
          </w:p>
          <w:p w14:paraId="288E1CB0">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4、层站门数：</w:t>
            </w:r>
            <w:r>
              <w:rPr>
                <w:rFonts w:hint="eastAsia" w:ascii="宋体" w:hAnsi="宋体" w:eastAsia="宋体" w:cs="宋体"/>
                <w:color w:val="auto"/>
                <w:spacing w:val="-3"/>
                <w:sz w:val="21"/>
                <w:szCs w:val="21"/>
                <w:lang w:val="en-US" w:eastAsia="zh-CN"/>
              </w:rPr>
              <w:t>18</w:t>
            </w:r>
          </w:p>
          <w:p w14:paraId="6B8FFD77">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5、层门显示：</w:t>
            </w:r>
            <w:r>
              <w:rPr>
                <w:rFonts w:hint="eastAsia" w:ascii="宋体" w:hAnsi="宋体" w:eastAsia="宋体" w:cs="宋体"/>
                <w:color w:val="auto"/>
                <w:spacing w:val="-3"/>
                <w:sz w:val="21"/>
                <w:szCs w:val="21"/>
                <w:lang w:val="en-US" w:eastAsia="zh-CN"/>
              </w:rPr>
              <w:t>-1~17</w:t>
            </w:r>
          </w:p>
          <w:p w14:paraId="56D08DF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6、开门宽/高（mm）：800*2100</w:t>
            </w:r>
          </w:p>
          <w:p w14:paraId="4B684EAD">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7、厅门材质：</w:t>
            </w:r>
            <w:r>
              <w:rPr>
                <w:rFonts w:hint="eastAsia" w:ascii="宋体" w:hAnsi="宋体" w:eastAsia="宋体" w:cs="宋体"/>
                <w:color w:val="auto"/>
                <w:spacing w:val="-3"/>
                <w:sz w:val="21"/>
                <w:szCs w:val="21"/>
                <w:lang w:val="en-US" w:eastAsia="zh-CN"/>
              </w:rPr>
              <w:t>一层发纹不锈钢，其余钢板喷涂</w:t>
            </w:r>
          </w:p>
          <w:p w14:paraId="4041BFAA">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8、提升高度（m）：</w:t>
            </w:r>
            <w:r>
              <w:rPr>
                <w:rFonts w:hint="eastAsia" w:ascii="宋体" w:hAnsi="宋体" w:eastAsia="宋体" w:cs="宋体"/>
                <w:color w:val="auto"/>
                <w:spacing w:val="-3"/>
                <w:sz w:val="21"/>
                <w:szCs w:val="21"/>
                <w:lang w:val="en-US" w:eastAsia="zh-CN"/>
              </w:rPr>
              <w:t>52.5</w:t>
            </w:r>
          </w:p>
          <w:p w14:paraId="359504B0">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9、井道尺寸（宽*深）（mm）：</w:t>
            </w:r>
            <w:r>
              <w:rPr>
                <w:rFonts w:hint="eastAsia" w:ascii="宋体" w:hAnsi="宋体" w:eastAsia="宋体" w:cs="宋体"/>
                <w:color w:val="auto"/>
                <w:spacing w:val="-3"/>
                <w:sz w:val="21"/>
                <w:szCs w:val="21"/>
                <w:lang w:val="en-US" w:eastAsia="zh-CN"/>
              </w:rPr>
              <w:t>1950*2100</w:t>
            </w:r>
          </w:p>
          <w:p w14:paraId="64F85BF8">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10、顶层高度(mm)：</w:t>
            </w:r>
            <w:r>
              <w:rPr>
                <w:rFonts w:hint="eastAsia" w:ascii="宋体" w:hAnsi="宋体" w:eastAsia="宋体" w:cs="宋体"/>
                <w:color w:val="auto"/>
                <w:spacing w:val="-3"/>
                <w:sz w:val="21"/>
                <w:szCs w:val="21"/>
                <w:lang w:val="en-US" w:eastAsia="zh-CN"/>
              </w:rPr>
              <w:t>4600</w:t>
            </w:r>
          </w:p>
          <w:p w14:paraId="7F68222D">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11、底坑深度(mm)：</w:t>
            </w:r>
            <w:r>
              <w:rPr>
                <w:rFonts w:hint="eastAsia" w:ascii="宋体" w:hAnsi="宋体" w:eastAsia="宋体" w:cs="宋体"/>
                <w:color w:val="auto"/>
                <w:spacing w:val="-3"/>
                <w:sz w:val="21"/>
                <w:szCs w:val="21"/>
                <w:lang w:val="en-US" w:eastAsia="zh-CN"/>
              </w:rPr>
              <w:t>1700</w:t>
            </w:r>
          </w:p>
          <w:p w14:paraId="2779752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12、特殊层高（mm）：</w:t>
            </w:r>
            <w:r>
              <w:rPr>
                <w:rFonts w:hint="eastAsia" w:ascii="宋体" w:hAnsi="宋体" w:eastAsia="宋体" w:cs="宋体"/>
                <w:color w:val="auto"/>
                <w:spacing w:val="-3"/>
                <w:sz w:val="21"/>
                <w:szCs w:val="21"/>
                <w:lang w:val="en-US" w:eastAsia="zh-CN"/>
              </w:rPr>
              <w:t>-</w:t>
            </w:r>
            <w:r>
              <w:rPr>
                <w:rFonts w:ascii="宋体" w:hAnsi="宋体" w:eastAsia="宋体" w:cs="宋体"/>
                <w:color w:val="auto"/>
                <w:spacing w:val="-3"/>
                <w:sz w:val="21"/>
                <w:szCs w:val="21"/>
              </w:rPr>
              <w:t>1~</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36</w:t>
            </w:r>
            <w:r>
              <w:rPr>
                <w:rFonts w:ascii="宋体" w:hAnsi="宋体" w:eastAsia="宋体" w:cs="宋体"/>
                <w:color w:val="auto"/>
                <w:spacing w:val="-3"/>
                <w:sz w:val="21"/>
                <w:szCs w:val="21"/>
              </w:rPr>
              <w:t>00、1~</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39</w:t>
            </w:r>
            <w:r>
              <w:rPr>
                <w:rFonts w:ascii="宋体" w:hAnsi="宋体" w:eastAsia="宋体" w:cs="宋体"/>
                <w:color w:val="auto"/>
                <w:spacing w:val="-3"/>
                <w:sz w:val="21"/>
                <w:szCs w:val="21"/>
              </w:rPr>
              <w:t>00</w:t>
            </w:r>
          </w:p>
          <w:p w14:paraId="3EB251D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13、标准层高（mm）：3000</w:t>
            </w:r>
          </w:p>
          <w:p w14:paraId="1FB3A6F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14、电梯轿厢</w:t>
            </w:r>
            <w:r>
              <w:rPr>
                <w:rFonts w:hint="eastAsia" w:ascii="宋体" w:hAnsi="宋体" w:eastAsia="宋体" w:cs="宋体"/>
                <w:color w:val="auto"/>
                <w:spacing w:val="-3"/>
                <w:sz w:val="21"/>
                <w:szCs w:val="21"/>
                <w:lang w:val="en-US" w:eastAsia="zh-CN"/>
              </w:rPr>
              <w:t>净</w:t>
            </w:r>
            <w:r>
              <w:rPr>
                <w:rFonts w:ascii="宋体" w:hAnsi="宋体" w:eastAsia="宋体" w:cs="宋体"/>
                <w:color w:val="auto"/>
                <w:spacing w:val="-3"/>
                <w:sz w:val="21"/>
                <w:szCs w:val="21"/>
              </w:rPr>
              <w:t>高度:2.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m</w:t>
            </w:r>
          </w:p>
          <w:p w14:paraId="76E9764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15、门厅信号装置:外召唤板采用发纹不锈钢面板，门厅楼层显示器与按钮装在统一标准的面板上，为LED显示，层层显示运行方向、电梯所在楼层等信息；</w:t>
            </w:r>
          </w:p>
          <w:p w14:paraId="3B5AFDD4">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rPr>
              <w:t>16</w:t>
            </w:r>
            <w:r>
              <w:rPr>
                <w:rFonts w:ascii="宋体" w:hAnsi="宋体" w:eastAsia="宋体" w:cs="宋体"/>
                <w:color w:val="auto"/>
                <w:spacing w:val="-3"/>
                <w:sz w:val="21"/>
                <w:szCs w:val="21"/>
                <w:highlight w:val="none"/>
              </w:rPr>
              <w:t>、地板:PVC；</w:t>
            </w:r>
          </w:p>
          <w:p w14:paraId="58A4AB66">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17、厅门及小门套:同原有电梯</w:t>
            </w:r>
            <w:r>
              <w:rPr>
                <w:rFonts w:hint="eastAsia" w:ascii="宋体" w:hAnsi="宋体" w:eastAsia="宋体" w:cs="宋体"/>
                <w:color w:val="auto"/>
                <w:spacing w:val="-3"/>
                <w:sz w:val="21"/>
                <w:szCs w:val="21"/>
                <w:highlight w:val="none"/>
                <w:lang w:val="en-US" w:eastAsia="zh-CN"/>
              </w:rPr>
              <w:t>一致（更换）</w:t>
            </w:r>
            <w:r>
              <w:rPr>
                <w:rFonts w:ascii="宋体" w:hAnsi="宋体" w:eastAsia="宋体" w:cs="宋体"/>
                <w:color w:val="auto"/>
                <w:spacing w:val="-3"/>
                <w:sz w:val="21"/>
                <w:szCs w:val="21"/>
                <w:highlight w:val="none"/>
              </w:rPr>
              <w:t>；</w:t>
            </w:r>
          </w:p>
          <w:p w14:paraId="115BD851">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18、开门保护:配套光幕保护，要求有足够光束数交叉形成保护光幕，光幕上下端满至门顶和门底；</w:t>
            </w:r>
          </w:p>
          <w:p w14:paraId="5F1DD6A3">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19、称重启动:补偿电梯启动时需要的力矩，提高电梯的舒适感；</w:t>
            </w:r>
          </w:p>
          <w:p w14:paraId="497BF6C6">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0</w:t>
            </w:r>
            <w:r>
              <w:rPr>
                <w:rFonts w:ascii="宋体" w:hAnsi="宋体" w:eastAsia="宋体" w:cs="宋体"/>
                <w:color w:val="auto"/>
                <w:spacing w:val="-3"/>
                <w:sz w:val="21"/>
                <w:szCs w:val="21"/>
                <w:highlight w:val="none"/>
              </w:rPr>
              <w:t>、火警应急返回:基层站上开关或火灾传感器被启动时,所有召唤均被取消，电梯立即驶往指定救援站层，停靠并打开门；</w:t>
            </w:r>
          </w:p>
          <w:p w14:paraId="6B788E12">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1</w:t>
            </w:r>
            <w:r>
              <w:rPr>
                <w:rFonts w:ascii="宋体" w:hAnsi="宋体" w:eastAsia="宋体" w:cs="宋体"/>
                <w:color w:val="auto"/>
                <w:spacing w:val="-3"/>
                <w:sz w:val="21"/>
                <w:szCs w:val="21"/>
                <w:highlight w:val="none"/>
              </w:rPr>
              <w:t>、</w:t>
            </w:r>
            <w:r>
              <w:rPr>
                <w:rFonts w:hint="eastAsia" w:ascii="宋体" w:hAnsi="宋体" w:eastAsia="宋体" w:cs="宋体"/>
                <w:color w:val="auto"/>
                <w:spacing w:val="-3"/>
                <w:sz w:val="21"/>
                <w:szCs w:val="21"/>
                <w:highlight w:val="none"/>
              </w:rPr>
              <w:t>次层停靠（或同等功能）：电梯到达目的层如果轿厢门无法完全开启，可自动关门运行至相邻层站，实现门完全开启后恢复正常运行。</w:t>
            </w:r>
          </w:p>
          <w:p w14:paraId="667FDC0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2</w:t>
            </w:r>
            <w:r>
              <w:rPr>
                <w:rFonts w:ascii="宋体" w:hAnsi="宋体" w:eastAsia="宋体" w:cs="宋体"/>
                <w:color w:val="auto"/>
                <w:spacing w:val="-3"/>
                <w:sz w:val="21"/>
                <w:szCs w:val="21"/>
                <w:highlight w:val="none"/>
              </w:rPr>
              <w:t>、供电电压:电梯在供电电压380V，波动≤±20%，供电频率50Hz波动±5%时仍能正常工作</w:t>
            </w:r>
            <w:r>
              <w:rPr>
                <w:rFonts w:ascii="宋体" w:hAnsi="宋体" w:eastAsia="宋体" w:cs="宋体"/>
                <w:color w:val="auto"/>
                <w:spacing w:val="-3"/>
                <w:sz w:val="21"/>
                <w:szCs w:val="21"/>
              </w:rPr>
              <w:t>；</w:t>
            </w:r>
          </w:p>
          <w:p w14:paraId="5EF8235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3</w:t>
            </w:r>
            <w:r>
              <w:rPr>
                <w:rFonts w:ascii="宋体" w:hAnsi="宋体" w:eastAsia="宋体" w:cs="宋体"/>
                <w:color w:val="auto"/>
                <w:spacing w:val="-3"/>
                <w:sz w:val="21"/>
                <w:szCs w:val="21"/>
              </w:rPr>
              <w:t>、制动要求（曳引系统）：电梯采用永磁同步曳引机制动器，制动器性能经过≥1000万次测试合格；2</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、噪声平均值：符合国标；</w:t>
            </w:r>
          </w:p>
          <w:p w14:paraId="1F9C06E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、平层精度：≤±10mm；</w:t>
            </w:r>
          </w:p>
          <w:p w14:paraId="1D4798F2">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6</w:t>
            </w:r>
            <w:r>
              <w:rPr>
                <w:rFonts w:ascii="宋体" w:hAnsi="宋体" w:eastAsia="宋体" w:cs="宋体"/>
                <w:color w:val="auto"/>
                <w:spacing w:val="-3"/>
                <w:sz w:val="21"/>
                <w:szCs w:val="21"/>
              </w:rPr>
              <w:t>、机房温度：机房内设备-10℃∽50℃时能够正常工作；</w:t>
            </w:r>
          </w:p>
          <w:p w14:paraId="437C708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7</w:t>
            </w:r>
            <w:r>
              <w:rPr>
                <w:rFonts w:ascii="宋体" w:hAnsi="宋体" w:eastAsia="宋体" w:cs="宋体"/>
                <w:color w:val="auto"/>
                <w:spacing w:val="-3"/>
                <w:sz w:val="21"/>
                <w:szCs w:val="21"/>
              </w:rPr>
              <w:t>、电梯五方对讲由施工负责安装并达到正常使用(</w:t>
            </w:r>
            <w:r>
              <w:rPr>
                <w:rFonts w:hint="eastAsia" w:ascii="宋体" w:hAnsi="宋体" w:eastAsia="宋体" w:cs="宋体"/>
                <w:color w:val="auto"/>
                <w:spacing w:val="-3"/>
                <w:sz w:val="21"/>
                <w:szCs w:val="21"/>
                <w:lang w:val="en-US" w:eastAsia="zh-CN"/>
              </w:rPr>
              <w:t>井道及机房部分</w:t>
            </w:r>
            <w:r>
              <w:rPr>
                <w:rFonts w:ascii="宋体" w:hAnsi="宋体" w:eastAsia="宋体" w:cs="宋体"/>
                <w:color w:val="auto"/>
                <w:spacing w:val="-3"/>
                <w:sz w:val="21"/>
                <w:szCs w:val="21"/>
              </w:rPr>
              <w:t>)；</w:t>
            </w:r>
          </w:p>
          <w:p w14:paraId="5CCCADE2">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8</w:t>
            </w:r>
            <w:r>
              <w:rPr>
                <w:rFonts w:ascii="宋体" w:hAnsi="宋体" w:eastAsia="宋体" w:cs="宋体"/>
                <w:color w:val="auto"/>
                <w:spacing w:val="-3"/>
                <w:sz w:val="21"/>
                <w:szCs w:val="21"/>
              </w:rPr>
              <w:t>、误操作:具有按键消除误操作功能；</w:t>
            </w:r>
          </w:p>
          <w:p w14:paraId="71E984E5">
            <w:pPr>
              <w:pStyle w:val="27"/>
              <w:spacing w:before="1" w:line="274" w:lineRule="auto"/>
              <w:ind w:left="116" w:right="215" w:hanging="5"/>
              <w:jc w:val="left"/>
              <w:rPr>
                <w:rFonts w:ascii="宋体" w:hAnsi="宋体" w:eastAsia="宋体" w:cs="宋体"/>
                <w:color w:val="auto"/>
                <w:spacing w:val="-3"/>
                <w:sz w:val="21"/>
                <w:szCs w:val="21"/>
              </w:rPr>
            </w:pPr>
            <w:r>
              <w:rPr>
                <w:rFonts w:hint="eastAsia" w:ascii="宋体" w:hAnsi="宋体" w:eastAsia="宋体" w:cs="宋体"/>
                <w:color w:val="auto"/>
                <w:spacing w:val="-3"/>
                <w:sz w:val="21"/>
                <w:szCs w:val="21"/>
                <w:lang w:val="en-US" w:eastAsia="zh-CN"/>
              </w:rPr>
              <w:t>29</w:t>
            </w:r>
            <w:r>
              <w:rPr>
                <w:rFonts w:ascii="宋体" w:hAnsi="宋体" w:eastAsia="宋体" w:cs="宋体"/>
                <w:color w:val="auto"/>
                <w:spacing w:val="-3"/>
                <w:sz w:val="21"/>
                <w:szCs w:val="21"/>
              </w:rPr>
              <w:t>、层门、轿门和轿厢</w:t>
            </w:r>
          </w:p>
          <w:p w14:paraId="474793B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(1)层门和轿门的地坎、轿厢护脚板</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同原有电梯</w:t>
            </w:r>
            <w:r>
              <w:rPr>
                <w:rFonts w:hint="eastAsia" w:ascii="宋体" w:hAnsi="宋体" w:eastAsia="宋体" w:cs="宋体"/>
                <w:color w:val="auto"/>
                <w:spacing w:val="-3"/>
                <w:sz w:val="21"/>
                <w:szCs w:val="21"/>
                <w:lang w:val="en-US" w:eastAsia="zh-CN"/>
              </w:rPr>
              <w:t>一致（更换）</w:t>
            </w:r>
            <w:r>
              <w:rPr>
                <w:rFonts w:ascii="宋体" w:hAnsi="宋体" w:eastAsia="宋体" w:cs="宋体"/>
                <w:color w:val="auto"/>
                <w:spacing w:val="-3"/>
                <w:sz w:val="21"/>
                <w:szCs w:val="21"/>
              </w:rPr>
              <w:t>。</w:t>
            </w:r>
          </w:p>
          <w:p w14:paraId="1648A96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(2)更新的金属层门、轿门和轿壁的面板材料至少由一层公称厚度不小于1.5㎜的单一金属板材构成；保留的金属层门，其金属材质面板公称厚度不小于1.2mm；保留层门的下部保持装置啮合深度不小于15mm。</w:t>
            </w:r>
          </w:p>
          <w:p w14:paraId="1A4E525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（3）电梯轿厢内部：操作盘面板采用发纹不锈钢面板，按钮采用树脂材料或不锈钢按钮。显示器为LED显示。</w:t>
            </w:r>
          </w:p>
          <w:p w14:paraId="5D472F0A">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（4）轿厢:轿厢使用材质不得低于发纹不锈钢钢板</w:t>
            </w:r>
            <w:r>
              <w:rPr>
                <w:rFonts w:hint="eastAsia" w:ascii="宋体" w:hAnsi="宋体" w:eastAsia="宋体" w:cs="宋体"/>
                <w:color w:val="auto"/>
                <w:spacing w:val="-3"/>
                <w:sz w:val="21"/>
                <w:szCs w:val="21"/>
                <w:lang w:eastAsia="zh-CN"/>
              </w:rPr>
              <w:t>，</w:t>
            </w:r>
            <w:r>
              <w:rPr>
                <w:rFonts w:hint="eastAsia" w:ascii="宋体" w:hAnsi="宋体" w:eastAsia="宋体" w:cs="宋体"/>
                <w:color w:val="auto"/>
                <w:spacing w:val="-3"/>
                <w:sz w:val="21"/>
                <w:szCs w:val="21"/>
                <w:lang w:val="en-US" w:eastAsia="zh-CN"/>
              </w:rPr>
              <w:t>后壁中间配置一块镜面不锈钢且加装不锈钢扶手。</w:t>
            </w:r>
          </w:p>
          <w:p w14:paraId="143DF9B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（5）门系统:轿门不低于不锈钢材质、层门同原有电梯材质、门传动系统和门锁装置符合国家最新标准。</w:t>
            </w:r>
          </w:p>
          <w:p w14:paraId="0AF5CC2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0</w:t>
            </w:r>
            <w:r>
              <w:rPr>
                <w:rFonts w:ascii="宋体" w:hAnsi="宋体" w:eastAsia="宋体" w:cs="宋体"/>
                <w:color w:val="auto"/>
                <w:spacing w:val="-3"/>
                <w:sz w:val="21"/>
                <w:szCs w:val="21"/>
              </w:rPr>
              <w:t>、导轨及导向系统</w:t>
            </w:r>
          </w:p>
          <w:p w14:paraId="6FB14CA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（1）导轨：配置安全钳的更新导轨及其连接板应当符合GB/T22562(含表2至表10)的要求，其中对于额定载重量大于630kg的电梯，其轿厢侧导轨宽度b1应当不小于89mm。</w:t>
            </w:r>
          </w:p>
          <w:p w14:paraId="4167114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（2）导向系统：导靴、导轨及导轨支架、导向轮等材质要求符合国家标准。</w:t>
            </w:r>
          </w:p>
          <w:p w14:paraId="3F6D7B2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、悬挂系统</w:t>
            </w:r>
          </w:p>
          <w:p w14:paraId="0A7719B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正常使用条件下，悬挂钢丝绳使用年限不少于10年或者对应电梯驱动主机启动次数不少于200万次；包覆带使用年限不少于20年或者对应电梯驱动主机启动次数不少于400万次，未到其使用年限或者驱动主机启动次数而达到报废条件时，由制造单位予以免费更换；</w:t>
            </w:r>
          </w:p>
          <w:p w14:paraId="34F82FF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（2）采用包覆带作为悬挂装置的，应当在控制柜内永久性张贴包括防止水、砂尘和润滑油等介质影响包覆带曳引能力的日常检查和维护保养要求的标识；</w:t>
            </w:r>
          </w:p>
          <w:p w14:paraId="015888A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（3）对于采用非1:1悬挂比的电梯，当悬挂装置通过反绳轮与轿厢或者对重连接时，反绳轮及其固定部分应当设置防止轿厢或者对重与悬挂装置脱离或者反绳轮坠落的防护装置（需在相应位置设置指示标志）；</w:t>
            </w:r>
          </w:p>
          <w:p w14:paraId="25A654B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（4）反绳轮应当采用金属材质。</w:t>
            </w:r>
          </w:p>
          <w:p w14:paraId="40A3FC7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、缓冲器</w:t>
            </w:r>
          </w:p>
          <w:p w14:paraId="04635ACE">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不得使用非金属材质非线性蓄能型缓冲器。</w:t>
            </w:r>
          </w:p>
          <w:p w14:paraId="0101CEE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3</w:t>
            </w:r>
            <w:r>
              <w:rPr>
                <w:rFonts w:ascii="宋体" w:hAnsi="宋体" w:eastAsia="宋体" w:cs="宋体"/>
                <w:color w:val="auto"/>
                <w:spacing w:val="-3"/>
                <w:sz w:val="21"/>
                <w:szCs w:val="21"/>
              </w:rPr>
              <w:t>、对重块和轿厢配重</w:t>
            </w:r>
          </w:p>
          <w:p w14:paraId="7226B48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对重块和轿厢配重不得使用非金属材质。</w:t>
            </w:r>
          </w:p>
          <w:p w14:paraId="5BC9522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、电梯工作条件</w:t>
            </w:r>
          </w:p>
          <w:p w14:paraId="42F2BB0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（1）正常使用条件：1）环境温度为-10℃∽50℃。</w:t>
            </w:r>
          </w:p>
          <w:p w14:paraId="43C5799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2）空气相对湿度在最高温度为50℃时不超过60%，平均温度为25℃时，最大相对湿度不超过95%。</w:t>
            </w:r>
          </w:p>
          <w:p w14:paraId="33854FAE">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（2）电梯应满足30万次/年的使用频率。</w:t>
            </w:r>
          </w:p>
          <w:p w14:paraId="7C4F4522">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、电梯其他要求：</w:t>
            </w:r>
          </w:p>
          <w:p w14:paraId="2B3F934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（1）在安装单位实施限速器--安全钳联动试验、曳引能力试验、制动性能试验等载荷试验项目时，检验人员应当现场观察确认，相关音像记录应当清晰记录试验载荷、观察确认等情况，并长期保存。</w:t>
            </w:r>
          </w:p>
          <w:p w14:paraId="5F648713">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（2）超载运行试验：轿厢内装载110%额定载重量的载荷，进行启动、全程运行、停止和正常开关门连续周期正常不停顿运行60次，检查电梯是否无故障发生。</w:t>
            </w:r>
          </w:p>
          <w:p w14:paraId="158EF5C2">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（3）应配备节能装置和功能，至少包括节能照明、照明和风扇的节能控制。</w:t>
            </w:r>
          </w:p>
          <w:p w14:paraId="2FB742A3">
            <w:pPr>
              <w:pStyle w:val="27"/>
              <w:spacing w:before="1" w:line="274" w:lineRule="auto"/>
              <w:ind w:left="116" w:right="215" w:hanging="5"/>
              <w:jc w:val="left"/>
              <w:rPr>
                <w:color w:val="auto"/>
                <w:sz w:val="21"/>
                <w:szCs w:val="21"/>
              </w:rPr>
            </w:pPr>
            <w:r>
              <w:rPr>
                <w:rFonts w:ascii="宋体" w:hAnsi="宋体" w:eastAsia="宋体" w:cs="宋体"/>
                <w:color w:val="auto"/>
                <w:spacing w:val="-3"/>
                <w:sz w:val="21"/>
                <w:szCs w:val="21"/>
              </w:rPr>
              <w:t>（4）应配置识别电动自行车进入轿厢的功能。在电动自行车进入轿厢后，该功能应使电梯保持开门状态。</w:t>
            </w:r>
          </w:p>
        </w:tc>
        <w:tc>
          <w:tcPr>
            <w:tcW w:w="755" w:type="dxa"/>
            <w:vAlign w:val="top"/>
          </w:tcPr>
          <w:p w14:paraId="50920904">
            <w:pPr>
              <w:pStyle w:val="27"/>
              <w:spacing w:before="79" w:line="241" w:lineRule="auto"/>
              <w:jc w:val="center"/>
              <w:rPr>
                <w:rFonts w:hint="eastAsia" w:eastAsia="宋体"/>
                <w:color w:val="auto"/>
                <w:sz w:val="21"/>
                <w:szCs w:val="21"/>
                <w:lang w:eastAsia="zh-CN"/>
              </w:rPr>
            </w:pPr>
            <w:r>
              <w:rPr>
                <w:rFonts w:hint="eastAsia"/>
                <w:color w:val="auto"/>
                <w:sz w:val="21"/>
                <w:szCs w:val="21"/>
                <w:lang w:val="en-US" w:eastAsia="zh-CN"/>
              </w:rPr>
              <w:t>1</w:t>
            </w:r>
          </w:p>
        </w:tc>
        <w:tc>
          <w:tcPr>
            <w:tcW w:w="654" w:type="dxa"/>
            <w:vAlign w:val="top"/>
          </w:tcPr>
          <w:p w14:paraId="36B4D722">
            <w:pPr>
              <w:pStyle w:val="27"/>
              <w:spacing w:before="49" w:line="220" w:lineRule="auto"/>
              <w:jc w:val="center"/>
              <w:rPr>
                <w:color w:val="auto"/>
                <w:sz w:val="21"/>
                <w:szCs w:val="21"/>
              </w:rPr>
            </w:pPr>
            <w:r>
              <w:rPr>
                <w:color w:val="auto"/>
                <w:sz w:val="21"/>
                <w:szCs w:val="21"/>
              </w:rPr>
              <w:t>有</w:t>
            </w:r>
          </w:p>
        </w:tc>
        <w:tc>
          <w:tcPr>
            <w:tcW w:w="782" w:type="dxa"/>
            <w:vAlign w:val="top"/>
          </w:tcPr>
          <w:p w14:paraId="1D70DDB4">
            <w:pPr>
              <w:pStyle w:val="27"/>
              <w:spacing w:before="49" w:line="220" w:lineRule="auto"/>
              <w:jc w:val="center"/>
              <w:rPr>
                <w:rFonts w:hint="default" w:eastAsia="宋体"/>
                <w:color w:val="auto"/>
                <w:sz w:val="21"/>
                <w:szCs w:val="21"/>
                <w:lang w:val="en-US" w:eastAsia="zh-CN"/>
              </w:rPr>
            </w:pPr>
            <w:r>
              <w:rPr>
                <w:rFonts w:hint="eastAsia"/>
                <w:color w:val="auto"/>
                <w:sz w:val="21"/>
                <w:szCs w:val="21"/>
                <w:lang w:val="en-US" w:eastAsia="zh-CN"/>
              </w:rPr>
              <w:t>150000</w:t>
            </w:r>
          </w:p>
        </w:tc>
      </w:tr>
      <w:tr w14:paraId="5A7C7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4" w:hRule="atLeast"/>
          <w:jc w:val="center"/>
        </w:trPr>
        <w:tc>
          <w:tcPr>
            <w:tcW w:w="479" w:type="dxa"/>
            <w:vAlign w:val="top"/>
          </w:tcPr>
          <w:p w14:paraId="485ABE9B">
            <w:pPr>
              <w:pStyle w:val="27"/>
              <w:spacing w:before="79" w:line="241" w:lineRule="auto"/>
              <w:ind w:left="384"/>
              <w:jc w:val="left"/>
              <w:rPr>
                <w:rFonts w:hint="eastAsia" w:eastAsia="宋体"/>
                <w:color w:val="auto"/>
                <w:sz w:val="21"/>
                <w:szCs w:val="21"/>
                <w:lang w:val="en-US" w:eastAsia="zh-CN"/>
              </w:rPr>
            </w:pPr>
            <w:r>
              <w:rPr>
                <w:rFonts w:hint="eastAsia"/>
                <w:color w:val="auto"/>
                <w:sz w:val="21"/>
                <w:szCs w:val="21"/>
                <w:lang w:val="en-US" w:eastAsia="zh-CN"/>
              </w:rPr>
              <w:t>2</w:t>
            </w:r>
          </w:p>
        </w:tc>
        <w:tc>
          <w:tcPr>
            <w:tcW w:w="697" w:type="dxa"/>
            <w:vMerge w:val="continue"/>
            <w:vAlign w:val="top"/>
          </w:tcPr>
          <w:p w14:paraId="633A231F">
            <w:pPr>
              <w:pStyle w:val="27"/>
              <w:spacing w:before="48" w:line="277" w:lineRule="auto"/>
              <w:ind w:left="176" w:right="175" w:firstLine="9"/>
              <w:jc w:val="left"/>
              <w:rPr>
                <w:rFonts w:hint="eastAsia"/>
                <w:color w:val="auto"/>
                <w:sz w:val="21"/>
                <w:szCs w:val="21"/>
                <w:lang w:val="en-US" w:eastAsia="zh-CN"/>
              </w:rPr>
            </w:pPr>
          </w:p>
        </w:tc>
        <w:tc>
          <w:tcPr>
            <w:tcW w:w="598" w:type="dxa"/>
            <w:vAlign w:val="top"/>
          </w:tcPr>
          <w:p w14:paraId="33846BCB">
            <w:pPr>
              <w:pStyle w:val="27"/>
              <w:spacing w:before="49" w:line="222" w:lineRule="auto"/>
              <w:ind w:left="166"/>
              <w:jc w:val="left"/>
              <w:rPr>
                <w:rFonts w:hint="default"/>
                <w:color w:val="auto"/>
                <w:sz w:val="21"/>
                <w:szCs w:val="21"/>
                <w:lang w:val="en-US" w:eastAsia="zh-CN"/>
              </w:rPr>
            </w:pPr>
            <w:r>
              <w:rPr>
                <w:rFonts w:hint="eastAsia"/>
                <w:color w:val="auto"/>
                <w:sz w:val="21"/>
                <w:szCs w:val="21"/>
                <w:lang w:val="en-US" w:eastAsia="zh-CN"/>
              </w:rPr>
              <w:t>2号楼</w:t>
            </w:r>
          </w:p>
        </w:tc>
        <w:tc>
          <w:tcPr>
            <w:tcW w:w="766" w:type="dxa"/>
            <w:vAlign w:val="top"/>
          </w:tcPr>
          <w:p w14:paraId="304D510B">
            <w:pPr>
              <w:pStyle w:val="27"/>
              <w:spacing w:before="48" w:line="277" w:lineRule="auto"/>
              <w:ind w:left="283" w:right="173" w:hanging="102"/>
              <w:jc w:val="left"/>
              <w:rPr>
                <w:rFonts w:hint="eastAsia"/>
                <w:color w:val="auto"/>
                <w:sz w:val="21"/>
                <w:szCs w:val="21"/>
                <w:lang w:val="en-US" w:eastAsia="zh-CN"/>
              </w:rPr>
            </w:pPr>
            <w:r>
              <w:rPr>
                <w:rFonts w:hint="eastAsia"/>
                <w:color w:val="auto"/>
                <w:sz w:val="21"/>
                <w:szCs w:val="21"/>
                <w:lang w:val="en-US" w:eastAsia="zh-CN"/>
              </w:rPr>
              <w:t>二单元西梯</w:t>
            </w:r>
          </w:p>
        </w:tc>
        <w:tc>
          <w:tcPr>
            <w:tcW w:w="4934" w:type="dxa"/>
            <w:vAlign w:val="top"/>
          </w:tcPr>
          <w:p w14:paraId="28E15FB7">
            <w:pPr>
              <w:pStyle w:val="27"/>
              <w:spacing w:before="1" w:line="274" w:lineRule="auto"/>
              <w:ind w:left="116" w:right="215" w:hanging="5"/>
              <w:jc w:val="left"/>
              <w:rPr>
                <w:rFonts w:hint="eastAsia" w:ascii="宋体" w:hAnsi="宋体" w:eastAsia="宋体" w:cs="宋体"/>
                <w:color w:val="auto"/>
                <w:spacing w:val="-3"/>
                <w:sz w:val="21"/>
                <w:szCs w:val="21"/>
                <w:lang w:val="en-US" w:eastAsia="zh-CN"/>
              </w:rPr>
            </w:pPr>
            <w:r>
              <w:rPr>
                <w:rFonts w:ascii="宋体" w:hAnsi="宋体" w:eastAsia="宋体" w:cs="宋体"/>
                <w:color w:val="auto"/>
                <w:spacing w:val="-3"/>
                <w:sz w:val="21"/>
                <w:szCs w:val="21"/>
              </w:rPr>
              <w:t>1、控制方式：</w:t>
            </w:r>
            <w:r>
              <w:rPr>
                <w:rFonts w:hint="eastAsia" w:cs="宋体"/>
                <w:color w:val="auto"/>
                <w:spacing w:val="-3"/>
                <w:sz w:val="21"/>
                <w:szCs w:val="21"/>
                <w:lang w:val="en-US" w:eastAsia="zh-CN"/>
              </w:rPr>
              <w:t>全集选</w:t>
            </w:r>
          </w:p>
          <w:p w14:paraId="54D329B1">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额定载重（kg）：</w:t>
            </w:r>
            <w:r>
              <w:rPr>
                <w:rFonts w:hint="eastAsia" w:ascii="宋体" w:hAnsi="宋体" w:eastAsia="宋体" w:cs="宋体"/>
                <w:color w:val="auto"/>
                <w:spacing w:val="-3"/>
                <w:sz w:val="21"/>
                <w:szCs w:val="21"/>
                <w:lang w:val="en-US" w:eastAsia="zh-CN"/>
              </w:rPr>
              <w:t>800kg</w:t>
            </w:r>
          </w:p>
          <w:p w14:paraId="77576891">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3、额定速度（m/s）：</w:t>
            </w:r>
            <w:r>
              <w:rPr>
                <w:rFonts w:hint="eastAsia" w:ascii="宋体" w:hAnsi="宋体" w:eastAsia="宋体" w:cs="宋体"/>
                <w:color w:val="auto"/>
                <w:spacing w:val="-3"/>
                <w:sz w:val="21"/>
                <w:szCs w:val="21"/>
                <w:lang w:val="en-US" w:eastAsia="zh-CN"/>
              </w:rPr>
              <w:t>1.5</w:t>
            </w:r>
          </w:p>
          <w:p w14:paraId="033BC205">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4、层站门数：</w:t>
            </w:r>
            <w:r>
              <w:rPr>
                <w:rFonts w:hint="eastAsia" w:ascii="宋体" w:hAnsi="宋体" w:eastAsia="宋体" w:cs="宋体"/>
                <w:color w:val="auto"/>
                <w:spacing w:val="-3"/>
                <w:sz w:val="21"/>
                <w:szCs w:val="21"/>
                <w:lang w:val="en-US" w:eastAsia="zh-CN"/>
              </w:rPr>
              <w:t>18</w:t>
            </w:r>
          </w:p>
          <w:p w14:paraId="47F309C0">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5、层门显示：</w:t>
            </w:r>
            <w:r>
              <w:rPr>
                <w:rFonts w:hint="eastAsia" w:ascii="宋体" w:hAnsi="宋体" w:eastAsia="宋体" w:cs="宋体"/>
                <w:color w:val="auto"/>
                <w:spacing w:val="-3"/>
                <w:sz w:val="21"/>
                <w:szCs w:val="21"/>
                <w:lang w:val="en-US" w:eastAsia="zh-CN"/>
              </w:rPr>
              <w:t>-1~17</w:t>
            </w:r>
          </w:p>
          <w:p w14:paraId="5A9A69B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6、开门宽/高（mm）：800*2100</w:t>
            </w:r>
          </w:p>
          <w:p w14:paraId="350DA3F7">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7、厅门材质：</w:t>
            </w:r>
            <w:r>
              <w:rPr>
                <w:rFonts w:hint="eastAsia" w:ascii="宋体" w:hAnsi="宋体" w:eastAsia="宋体" w:cs="宋体"/>
                <w:color w:val="auto"/>
                <w:spacing w:val="-3"/>
                <w:sz w:val="21"/>
                <w:szCs w:val="21"/>
                <w:lang w:val="en-US" w:eastAsia="zh-CN"/>
              </w:rPr>
              <w:t>一层发纹不锈钢，其余钢板喷涂</w:t>
            </w:r>
          </w:p>
          <w:p w14:paraId="629FD442">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8、提升高度（m）：</w:t>
            </w:r>
            <w:r>
              <w:rPr>
                <w:rFonts w:hint="eastAsia" w:ascii="宋体" w:hAnsi="宋体" w:eastAsia="宋体" w:cs="宋体"/>
                <w:color w:val="auto"/>
                <w:spacing w:val="-3"/>
                <w:sz w:val="21"/>
                <w:szCs w:val="21"/>
                <w:lang w:val="en-US" w:eastAsia="zh-CN"/>
              </w:rPr>
              <w:t>52.5</w:t>
            </w:r>
          </w:p>
          <w:p w14:paraId="64788BCD">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9、井道尺寸（宽*深）（mm）：</w:t>
            </w:r>
            <w:r>
              <w:rPr>
                <w:rFonts w:hint="eastAsia" w:ascii="宋体" w:hAnsi="宋体" w:eastAsia="宋体" w:cs="宋体"/>
                <w:color w:val="auto"/>
                <w:spacing w:val="-3"/>
                <w:sz w:val="21"/>
                <w:szCs w:val="21"/>
                <w:lang w:val="en-US" w:eastAsia="zh-CN"/>
              </w:rPr>
              <w:t>1950*2100</w:t>
            </w:r>
          </w:p>
          <w:p w14:paraId="2B3D134C">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10、顶层高度(mm)：</w:t>
            </w:r>
            <w:r>
              <w:rPr>
                <w:rFonts w:hint="eastAsia" w:ascii="宋体" w:hAnsi="宋体" w:eastAsia="宋体" w:cs="宋体"/>
                <w:color w:val="auto"/>
                <w:spacing w:val="-3"/>
                <w:sz w:val="21"/>
                <w:szCs w:val="21"/>
                <w:lang w:val="en-US" w:eastAsia="zh-CN"/>
              </w:rPr>
              <w:t>4600</w:t>
            </w:r>
          </w:p>
          <w:p w14:paraId="63A8B3B4">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11、底坑深度(mm)：</w:t>
            </w:r>
            <w:r>
              <w:rPr>
                <w:rFonts w:hint="eastAsia" w:ascii="宋体" w:hAnsi="宋体" w:eastAsia="宋体" w:cs="宋体"/>
                <w:color w:val="auto"/>
                <w:spacing w:val="-3"/>
                <w:sz w:val="21"/>
                <w:szCs w:val="21"/>
                <w:lang w:val="en-US" w:eastAsia="zh-CN"/>
              </w:rPr>
              <w:t>1700</w:t>
            </w:r>
          </w:p>
          <w:p w14:paraId="61EBF93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12、特殊层高（mm）：</w:t>
            </w:r>
            <w:r>
              <w:rPr>
                <w:rFonts w:hint="eastAsia" w:ascii="宋体" w:hAnsi="宋体" w:eastAsia="宋体" w:cs="宋体"/>
                <w:color w:val="auto"/>
                <w:spacing w:val="-3"/>
                <w:sz w:val="21"/>
                <w:szCs w:val="21"/>
                <w:lang w:val="en-US" w:eastAsia="zh-CN"/>
              </w:rPr>
              <w:t>-</w:t>
            </w:r>
            <w:r>
              <w:rPr>
                <w:rFonts w:ascii="宋体" w:hAnsi="宋体" w:eastAsia="宋体" w:cs="宋体"/>
                <w:color w:val="auto"/>
                <w:spacing w:val="-3"/>
                <w:sz w:val="21"/>
                <w:szCs w:val="21"/>
              </w:rPr>
              <w:t>1~</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36</w:t>
            </w:r>
            <w:r>
              <w:rPr>
                <w:rFonts w:ascii="宋体" w:hAnsi="宋体" w:eastAsia="宋体" w:cs="宋体"/>
                <w:color w:val="auto"/>
                <w:spacing w:val="-3"/>
                <w:sz w:val="21"/>
                <w:szCs w:val="21"/>
              </w:rPr>
              <w:t>00、1~</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39</w:t>
            </w:r>
            <w:r>
              <w:rPr>
                <w:rFonts w:ascii="宋体" w:hAnsi="宋体" w:eastAsia="宋体" w:cs="宋体"/>
                <w:color w:val="auto"/>
                <w:spacing w:val="-3"/>
                <w:sz w:val="21"/>
                <w:szCs w:val="21"/>
              </w:rPr>
              <w:t>00</w:t>
            </w:r>
          </w:p>
          <w:p w14:paraId="10E9AD9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13、标准层高（mm）：3000</w:t>
            </w:r>
          </w:p>
          <w:p w14:paraId="7A39578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14、电梯轿厢</w:t>
            </w:r>
            <w:r>
              <w:rPr>
                <w:rFonts w:hint="eastAsia" w:ascii="宋体" w:hAnsi="宋体" w:eastAsia="宋体" w:cs="宋体"/>
                <w:color w:val="auto"/>
                <w:spacing w:val="-3"/>
                <w:sz w:val="21"/>
                <w:szCs w:val="21"/>
                <w:lang w:val="en-US" w:eastAsia="zh-CN"/>
              </w:rPr>
              <w:t>净</w:t>
            </w:r>
            <w:r>
              <w:rPr>
                <w:rFonts w:ascii="宋体" w:hAnsi="宋体" w:eastAsia="宋体" w:cs="宋体"/>
                <w:color w:val="auto"/>
                <w:spacing w:val="-3"/>
                <w:sz w:val="21"/>
                <w:szCs w:val="21"/>
              </w:rPr>
              <w:t>高度:2.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m</w:t>
            </w:r>
          </w:p>
          <w:p w14:paraId="18A19BB5">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rPr>
              <w:t>15、门厅信号装置:外召唤板采用发纹不锈钢面板，门厅楼层显示器与按钮装在统一标准的面板上，为LE</w:t>
            </w:r>
            <w:r>
              <w:rPr>
                <w:rFonts w:ascii="宋体" w:hAnsi="宋体" w:eastAsia="宋体" w:cs="宋体"/>
                <w:color w:val="auto"/>
                <w:spacing w:val="-3"/>
                <w:sz w:val="21"/>
                <w:szCs w:val="21"/>
                <w:highlight w:val="none"/>
              </w:rPr>
              <w:t>D显示，层层显示运行方向、电梯所在楼层等信息；</w:t>
            </w:r>
          </w:p>
          <w:p w14:paraId="283112A5">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16、地板:PVC；</w:t>
            </w:r>
          </w:p>
          <w:p w14:paraId="61ACAD93">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17、厅门及小门套:同原有电梯</w:t>
            </w:r>
            <w:r>
              <w:rPr>
                <w:rFonts w:hint="eastAsia" w:ascii="宋体" w:hAnsi="宋体" w:eastAsia="宋体" w:cs="宋体"/>
                <w:color w:val="auto"/>
                <w:spacing w:val="-3"/>
                <w:sz w:val="21"/>
                <w:szCs w:val="21"/>
                <w:highlight w:val="none"/>
                <w:lang w:val="en-US" w:eastAsia="zh-CN"/>
              </w:rPr>
              <w:t>一致（更换）</w:t>
            </w:r>
            <w:r>
              <w:rPr>
                <w:rFonts w:ascii="宋体" w:hAnsi="宋体" w:eastAsia="宋体" w:cs="宋体"/>
                <w:color w:val="auto"/>
                <w:spacing w:val="-3"/>
                <w:sz w:val="21"/>
                <w:szCs w:val="21"/>
                <w:highlight w:val="none"/>
              </w:rPr>
              <w:t>；</w:t>
            </w:r>
          </w:p>
          <w:p w14:paraId="0F9A51E9">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18、开门保护:配套光幕保护，要求有足够光束数交叉形成保护光幕，光幕上下端满至门顶和门底；</w:t>
            </w:r>
          </w:p>
          <w:p w14:paraId="1F5A2F26">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19、称重启动:补偿电梯启动时需要的力矩，提高电梯的舒适感；</w:t>
            </w:r>
          </w:p>
          <w:p w14:paraId="7E5F4D24">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0</w:t>
            </w:r>
            <w:r>
              <w:rPr>
                <w:rFonts w:ascii="宋体" w:hAnsi="宋体" w:eastAsia="宋体" w:cs="宋体"/>
                <w:color w:val="auto"/>
                <w:spacing w:val="-3"/>
                <w:sz w:val="21"/>
                <w:szCs w:val="21"/>
                <w:highlight w:val="none"/>
              </w:rPr>
              <w:t>、火警应急返回:基层站上开关或火灾传感器被启动时,所有召唤均被取消，电梯立即驶往指定救援站层，停靠并打开门；</w:t>
            </w:r>
          </w:p>
          <w:p w14:paraId="5A3E4954">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1</w:t>
            </w:r>
            <w:r>
              <w:rPr>
                <w:rFonts w:ascii="宋体" w:hAnsi="宋体" w:eastAsia="宋体" w:cs="宋体"/>
                <w:color w:val="auto"/>
                <w:spacing w:val="-3"/>
                <w:sz w:val="21"/>
                <w:szCs w:val="21"/>
                <w:highlight w:val="none"/>
              </w:rPr>
              <w:t>、</w:t>
            </w:r>
            <w:r>
              <w:rPr>
                <w:rFonts w:hint="eastAsia" w:ascii="宋体" w:hAnsi="宋体" w:eastAsia="宋体" w:cs="宋体"/>
                <w:color w:val="auto"/>
                <w:spacing w:val="-3"/>
                <w:sz w:val="21"/>
                <w:szCs w:val="21"/>
                <w:highlight w:val="none"/>
              </w:rPr>
              <w:t>次层停靠（或同等功能）：电梯到达目的层如果轿厢门无法完全开启，可自动关门运行至相邻层站，实现门完全开启后恢复正常运行。</w:t>
            </w:r>
          </w:p>
          <w:p w14:paraId="6ECAFD3E">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2</w:t>
            </w:r>
            <w:r>
              <w:rPr>
                <w:rFonts w:ascii="宋体" w:hAnsi="宋体" w:eastAsia="宋体" w:cs="宋体"/>
                <w:color w:val="auto"/>
                <w:spacing w:val="-3"/>
                <w:sz w:val="21"/>
                <w:szCs w:val="21"/>
                <w:highlight w:val="none"/>
              </w:rPr>
              <w:t>、供电电压:电梯在供电电压380V，波动≤±20%，供电频率50Hz波动±5%时仍能正常工作；</w:t>
            </w:r>
          </w:p>
          <w:p w14:paraId="322D98E3">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3</w:t>
            </w:r>
            <w:r>
              <w:rPr>
                <w:rFonts w:ascii="宋体" w:hAnsi="宋体" w:eastAsia="宋体" w:cs="宋体"/>
                <w:color w:val="auto"/>
                <w:spacing w:val="-3"/>
                <w:sz w:val="21"/>
                <w:szCs w:val="21"/>
                <w:highlight w:val="none"/>
              </w:rPr>
              <w:t>、制动要求（曳引系</w:t>
            </w:r>
            <w:r>
              <w:rPr>
                <w:rFonts w:ascii="宋体" w:hAnsi="宋体" w:eastAsia="宋体" w:cs="宋体"/>
                <w:color w:val="auto"/>
                <w:spacing w:val="-3"/>
                <w:sz w:val="21"/>
                <w:szCs w:val="21"/>
              </w:rPr>
              <w:t>统）：电梯采用永磁同步曳引机制动器，制动器性能经过≥1000万次测试合格；2</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、噪声平均值：符合国标；</w:t>
            </w:r>
          </w:p>
          <w:p w14:paraId="7BECBF8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、平层精度：≤±10mm；</w:t>
            </w:r>
          </w:p>
          <w:p w14:paraId="63F46CB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6</w:t>
            </w:r>
            <w:r>
              <w:rPr>
                <w:rFonts w:ascii="宋体" w:hAnsi="宋体" w:eastAsia="宋体" w:cs="宋体"/>
                <w:color w:val="auto"/>
                <w:spacing w:val="-3"/>
                <w:sz w:val="21"/>
                <w:szCs w:val="21"/>
              </w:rPr>
              <w:t>、机房温度：机房内设备-10℃∽50℃时能够正常工作；</w:t>
            </w:r>
          </w:p>
          <w:p w14:paraId="18D029B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7</w:t>
            </w:r>
            <w:r>
              <w:rPr>
                <w:rFonts w:ascii="宋体" w:hAnsi="宋体" w:eastAsia="宋体" w:cs="宋体"/>
                <w:color w:val="auto"/>
                <w:spacing w:val="-3"/>
                <w:sz w:val="21"/>
                <w:szCs w:val="21"/>
              </w:rPr>
              <w:t>、电梯五方对讲由施工负责安装并达到正常使用(</w:t>
            </w:r>
            <w:r>
              <w:rPr>
                <w:rFonts w:hint="eastAsia" w:ascii="宋体" w:hAnsi="宋体" w:eastAsia="宋体" w:cs="宋体"/>
                <w:color w:val="auto"/>
                <w:spacing w:val="-3"/>
                <w:sz w:val="21"/>
                <w:szCs w:val="21"/>
                <w:lang w:val="en-US" w:eastAsia="zh-CN"/>
              </w:rPr>
              <w:t>井道及机房部分</w:t>
            </w:r>
            <w:r>
              <w:rPr>
                <w:rFonts w:ascii="宋体" w:hAnsi="宋体" w:eastAsia="宋体" w:cs="宋体"/>
                <w:color w:val="auto"/>
                <w:spacing w:val="-3"/>
                <w:sz w:val="21"/>
                <w:szCs w:val="21"/>
              </w:rPr>
              <w:t>)；</w:t>
            </w:r>
          </w:p>
          <w:p w14:paraId="21AF571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8</w:t>
            </w:r>
            <w:r>
              <w:rPr>
                <w:rFonts w:ascii="宋体" w:hAnsi="宋体" w:eastAsia="宋体" w:cs="宋体"/>
                <w:color w:val="auto"/>
                <w:spacing w:val="-3"/>
                <w:sz w:val="21"/>
                <w:szCs w:val="21"/>
              </w:rPr>
              <w:t>、误操作:具有按键消除误操作功能；</w:t>
            </w:r>
          </w:p>
          <w:p w14:paraId="6C147813">
            <w:pPr>
              <w:pStyle w:val="27"/>
              <w:spacing w:before="1" w:line="274" w:lineRule="auto"/>
              <w:ind w:left="116" w:right="215" w:hanging="5"/>
              <w:jc w:val="left"/>
              <w:rPr>
                <w:rFonts w:ascii="宋体" w:hAnsi="宋体" w:eastAsia="宋体" w:cs="宋体"/>
                <w:color w:val="auto"/>
                <w:spacing w:val="-3"/>
                <w:sz w:val="21"/>
                <w:szCs w:val="21"/>
              </w:rPr>
            </w:pPr>
            <w:r>
              <w:rPr>
                <w:rFonts w:hint="eastAsia" w:ascii="宋体" w:hAnsi="宋体" w:eastAsia="宋体" w:cs="宋体"/>
                <w:color w:val="auto"/>
                <w:spacing w:val="-3"/>
                <w:sz w:val="21"/>
                <w:szCs w:val="21"/>
                <w:lang w:val="en-US" w:eastAsia="zh-CN"/>
              </w:rPr>
              <w:t>29</w:t>
            </w:r>
            <w:r>
              <w:rPr>
                <w:rFonts w:ascii="宋体" w:hAnsi="宋体" w:eastAsia="宋体" w:cs="宋体"/>
                <w:color w:val="auto"/>
                <w:spacing w:val="-3"/>
                <w:sz w:val="21"/>
                <w:szCs w:val="21"/>
              </w:rPr>
              <w:t>、层门、轿门和轿厢</w:t>
            </w:r>
          </w:p>
          <w:p w14:paraId="5FAA006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(1)层门和轿门的地坎、轿厢护脚板</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同原有电梯</w:t>
            </w:r>
            <w:r>
              <w:rPr>
                <w:rFonts w:hint="eastAsia" w:ascii="宋体" w:hAnsi="宋体" w:eastAsia="宋体" w:cs="宋体"/>
                <w:color w:val="auto"/>
                <w:spacing w:val="-3"/>
                <w:sz w:val="21"/>
                <w:szCs w:val="21"/>
                <w:lang w:val="en-US" w:eastAsia="zh-CN"/>
              </w:rPr>
              <w:t>一致（更换）</w:t>
            </w:r>
            <w:r>
              <w:rPr>
                <w:rFonts w:ascii="宋体" w:hAnsi="宋体" w:eastAsia="宋体" w:cs="宋体"/>
                <w:color w:val="auto"/>
                <w:spacing w:val="-3"/>
                <w:sz w:val="21"/>
                <w:szCs w:val="21"/>
              </w:rPr>
              <w:t>。</w:t>
            </w:r>
          </w:p>
          <w:p w14:paraId="7B1A0528">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(2)更新的金属层门、轿门和轿壁的面板材料至少由一层公称厚度不小于1.5㎜的单一金属板材构成；保留的金属层门，其金属材质面板公称厚度不小于1.2mm；保留层门的下部保持装置啮合深度不小于15mm。</w:t>
            </w:r>
          </w:p>
          <w:p w14:paraId="401D3A8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（3）电梯轿厢内部：操作盘面板采用发纹不锈钢面板，按钮采用树脂材料或不锈钢按钮。显示器为LED显示。</w:t>
            </w:r>
          </w:p>
          <w:p w14:paraId="57C816AE">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（4）轿厢:轿厢使用材质不得低于发纹不锈钢钢板</w:t>
            </w:r>
            <w:r>
              <w:rPr>
                <w:rFonts w:hint="eastAsia" w:ascii="宋体" w:hAnsi="宋体" w:eastAsia="宋体" w:cs="宋体"/>
                <w:color w:val="auto"/>
                <w:spacing w:val="-3"/>
                <w:sz w:val="21"/>
                <w:szCs w:val="21"/>
                <w:lang w:eastAsia="zh-CN"/>
              </w:rPr>
              <w:t>，</w:t>
            </w:r>
            <w:r>
              <w:rPr>
                <w:rFonts w:hint="eastAsia" w:ascii="宋体" w:hAnsi="宋体" w:eastAsia="宋体" w:cs="宋体"/>
                <w:color w:val="auto"/>
                <w:spacing w:val="-3"/>
                <w:sz w:val="21"/>
                <w:szCs w:val="21"/>
                <w:lang w:val="en-US" w:eastAsia="zh-CN"/>
              </w:rPr>
              <w:t>后壁中间配置一块镜面不锈钢且加装不锈钢扶手。</w:t>
            </w:r>
          </w:p>
          <w:p w14:paraId="783920E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（5）门系统:轿门不低于不锈钢材质、层门同原有电梯材质、门传动系统和门锁装置符合国家最新标准。</w:t>
            </w:r>
          </w:p>
          <w:p w14:paraId="66EAD0B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0</w:t>
            </w:r>
            <w:r>
              <w:rPr>
                <w:rFonts w:ascii="宋体" w:hAnsi="宋体" w:eastAsia="宋体" w:cs="宋体"/>
                <w:color w:val="auto"/>
                <w:spacing w:val="-3"/>
                <w:sz w:val="21"/>
                <w:szCs w:val="21"/>
              </w:rPr>
              <w:t>、导轨及导向系统</w:t>
            </w:r>
          </w:p>
          <w:p w14:paraId="5224743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（1）导轨：配置安全钳的更新导轨及其连接板应当符合GB/T22562(含表2至表10)的要求，其中对于额定载重量大于630kg的电梯，其轿厢侧导轨宽度b1应当不小于89mm。</w:t>
            </w:r>
          </w:p>
          <w:p w14:paraId="421168B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（2）导向系统：导靴、导轨及导轨支架、导向轮等材质要求符合国家标准。</w:t>
            </w:r>
          </w:p>
          <w:p w14:paraId="59C61F4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、悬挂系统</w:t>
            </w:r>
          </w:p>
          <w:p w14:paraId="202848F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正常使用条件下，悬挂钢丝绳使用年限不少于10年或者对应电梯驱动主机启动次数不少于200万次；包覆带使用年限不少于20年或者对应电梯驱动主机启动次数不少于400万次，未到其使用年限或者驱动主机启动次数而达到报废条件时，由制造单位予以免费更换；</w:t>
            </w:r>
          </w:p>
          <w:p w14:paraId="1DACE16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（2）采用包覆带作为悬挂装置的，应当在控制柜内永久性张贴包括防止水、砂尘和润滑油等介质影响包覆带曳引能力的日常检查和维护保养要求的标识；</w:t>
            </w:r>
          </w:p>
          <w:p w14:paraId="7FB9CCF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（3）对于采用非1:1悬挂比的电梯，当悬挂装置通过反绳轮与轿厢或者对重连接时，反绳轮及其固定部分应当设置防止轿厢或者对重与悬挂装置脱离或者反绳轮坠落的防护装置（需在相应位置设置指示标志）；</w:t>
            </w:r>
          </w:p>
          <w:p w14:paraId="13A5C1A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（4）反绳轮应当采用金属材质。</w:t>
            </w:r>
          </w:p>
          <w:p w14:paraId="7C79AA78">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、缓冲器</w:t>
            </w:r>
          </w:p>
          <w:p w14:paraId="192698F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不得使用非金属材质非线性蓄能型缓冲器。</w:t>
            </w:r>
          </w:p>
          <w:p w14:paraId="2909C01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3</w:t>
            </w:r>
            <w:r>
              <w:rPr>
                <w:rFonts w:ascii="宋体" w:hAnsi="宋体" w:eastAsia="宋体" w:cs="宋体"/>
                <w:color w:val="auto"/>
                <w:spacing w:val="-3"/>
                <w:sz w:val="21"/>
                <w:szCs w:val="21"/>
              </w:rPr>
              <w:t>、对重块和轿厢配重</w:t>
            </w:r>
          </w:p>
          <w:p w14:paraId="1CDFF1C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对重块和轿厢配重不得使用非金属材质。</w:t>
            </w:r>
          </w:p>
          <w:p w14:paraId="2D4F8CA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、电梯工作条件</w:t>
            </w:r>
          </w:p>
          <w:p w14:paraId="6D43F06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（1）正常使用条件：1）环境温度为-10℃∽50℃。</w:t>
            </w:r>
          </w:p>
          <w:p w14:paraId="0E4A924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2）空气相对湿度在最高温度为50℃时不超过60%，平均温度为25℃时，最大相对湿度不超过95%。</w:t>
            </w:r>
          </w:p>
          <w:p w14:paraId="7F77720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（2）电梯应满足30万次/年的使用频率。</w:t>
            </w:r>
          </w:p>
          <w:p w14:paraId="5CE9047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、电梯其他要求：</w:t>
            </w:r>
          </w:p>
          <w:p w14:paraId="7200330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（1）在安装单位实施限速器--安全钳联动试验、曳引能力试验、制动性能试验等载荷试验项目时，检验人员应当现场观察确认，相关音像记录应当清晰记录试验载荷、观察确认等情况，并长期保存。</w:t>
            </w:r>
          </w:p>
          <w:p w14:paraId="49F391B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（2）超载运行试验：轿厢内装载110%额定载重量的载荷，进行启动、全程运行、停止和正常开关门连续周期正常不停顿运行60次，检查电梯是否无故障发生。</w:t>
            </w:r>
          </w:p>
          <w:p w14:paraId="494DEE38">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（3）应配备节能装置和功能，至少包括节能照明、照明和风扇的节能控制。</w:t>
            </w:r>
          </w:p>
          <w:p w14:paraId="2BB4127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（4）应配置识别电动自行车进入轿厢的功能。在电动自行车进入轿厢后，该功能应使电梯保持开门状态。</w:t>
            </w:r>
          </w:p>
        </w:tc>
        <w:tc>
          <w:tcPr>
            <w:tcW w:w="755" w:type="dxa"/>
            <w:vAlign w:val="top"/>
          </w:tcPr>
          <w:p w14:paraId="7B6502D6">
            <w:pPr>
              <w:pStyle w:val="27"/>
              <w:spacing w:before="79" w:line="241" w:lineRule="auto"/>
              <w:jc w:val="center"/>
              <w:rPr>
                <w:rFonts w:hint="eastAsia" w:eastAsia="宋体"/>
                <w:color w:val="auto"/>
                <w:sz w:val="21"/>
                <w:szCs w:val="21"/>
                <w:lang w:val="en-US" w:eastAsia="zh-CN"/>
              </w:rPr>
            </w:pPr>
            <w:r>
              <w:rPr>
                <w:rFonts w:hint="eastAsia"/>
                <w:color w:val="auto"/>
                <w:sz w:val="21"/>
                <w:szCs w:val="21"/>
                <w:lang w:val="en-US" w:eastAsia="zh-CN"/>
              </w:rPr>
              <w:t>1</w:t>
            </w:r>
          </w:p>
        </w:tc>
        <w:tc>
          <w:tcPr>
            <w:tcW w:w="654" w:type="dxa"/>
            <w:vAlign w:val="top"/>
          </w:tcPr>
          <w:p w14:paraId="34EE64DE">
            <w:pPr>
              <w:pStyle w:val="27"/>
              <w:spacing w:before="49" w:line="220" w:lineRule="auto"/>
              <w:jc w:val="center"/>
              <w:rPr>
                <w:rFonts w:hint="eastAsia" w:eastAsia="宋体"/>
                <w:color w:val="auto"/>
                <w:sz w:val="21"/>
                <w:szCs w:val="21"/>
                <w:lang w:val="en-US" w:eastAsia="zh-CN"/>
              </w:rPr>
            </w:pPr>
            <w:r>
              <w:rPr>
                <w:rFonts w:hint="eastAsia"/>
                <w:color w:val="auto"/>
                <w:sz w:val="21"/>
                <w:szCs w:val="21"/>
                <w:lang w:val="en-US" w:eastAsia="zh-CN"/>
              </w:rPr>
              <w:t>有</w:t>
            </w:r>
          </w:p>
        </w:tc>
        <w:tc>
          <w:tcPr>
            <w:tcW w:w="782" w:type="dxa"/>
            <w:vAlign w:val="top"/>
          </w:tcPr>
          <w:p w14:paraId="1517673D">
            <w:pPr>
              <w:pStyle w:val="27"/>
              <w:spacing w:before="49" w:line="220" w:lineRule="auto"/>
              <w:jc w:val="center"/>
              <w:rPr>
                <w:rFonts w:hint="default"/>
                <w:color w:val="auto"/>
                <w:sz w:val="21"/>
                <w:szCs w:val="21"/>
                <w:lang w:val="en-US" w:eastAsia="zh-CN"/>
              </w:rPr>
            </w:pPr>
            <w:r>
              <w:rPr>
                <w:rFonts w:hint="eastAsia"/>
                <w:color w:val="auto"/>
                <w:sz w:val="21"/>
                <w:szCs w:val="21"/>
                <w:lang w:val="en-US" w:eastAsia="zh-CN"/>
              </w:rPr>
              <w:t>150000</w:t>
            </w:r>
          </w:p>
        </w:tc>
      </w:tr>
      <w:tr w14:paraId="1CEF5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479" w:type="dxa"/>
            <w:vAlign w:val="top"/>
          </w:tcPr>
          <w:p w14:paraId="02762722">
            <w:pPr>
              <w:pStyle w:val="27"/>
              <w:spacing w:before="79" w:line="241" w:lineRule="auto"/>
              <w:ind w:left="384"/>
              <w:jc w:val="left"/>
              <w:rPr>
                <w:rFonts w:hint="eastAsia" w:eastAsia="宋体"/>
                <w:color w:val="auto"/>
                <w:sz w:val="21"/>
                <w:szCs w:val="21"/>
                <w:lang w:val="en-US" w:eastAsia="zh-CN"/>
              </w:rPr>
            </w:pPr>
            <w:r>
              <w:rPr>
                <w:rFonts w:hint="eastAsia"/>
                <w:color w:val="auto"/>
                <w:sz w:val="21"/>
                <w:szCs w:val="21"/>
                <w:lang w:val="en-US" w:eastAsia="zh-CN"/>
              </w:rPr>
              <w:t>3</w:t>
            </w:r>
          </w:p>
        </w:tc>
        <w:tc>
          <w:tcPr>
            <w:tcW w:w="697" w:type="dxa"/>
            <w:vMerge w:val="continue"/>
            <w:vAlign w:val="top"/>
          </w:tcPr>
          <w:p w14:paraId="6084B78F">
            <w:pPr>
              <w:pStyle w:val="27"/>
              <w:spacing w:before="48" w:line="277" w:lineRule="auto"/>
              <w:ind w:left="176" w:right="175" w:firstLine="9"/>
              <w:jc w:val="left"/>
              <w:rPr>
                <w:rFonts w:hint="eastAsia"/>
                <w:color w:val="auto"/>
                <w:sz w:val="21"/>
                <w:szCs w:val="21"/>
                <w:lang w:val="en-US" w:eastAsia="zh-CN"/>
              </w:rPr>
            </w:pPr>
          </w:p>
        </w:tc>
        <w:tc>
          <w:tcPr>
            <w:tcW w:w="598" w:type="dxa"/>
            <w:vAlign w:val="top"/>
          </w:tcPr>
          <w:p w14:paraId="76284AB2">
            <w:pPr>
              <w:pStyle w:val="27"/>
              <w:spacing w:before="49" w:line="222" w:lineRule="auto"/>
              <w:ind w:left="166"/>
              <w:jc w:val="left"/>
              <w:rPr>
                <w:rFonts w:hint="default"/>
                <w:color w:val="auto"/>
                <w:sz w:val="21"/>
                <w:szCs w:val="21"/>
                <w:lang w:val="en-US" w:eastAsia="zh-CN"/>
              </w:rPr>
            </w:pPr>
            <w:r>
              <w:rPr>
                <w:rFonts w:hint="eastAsia"/>
                <w:color w:val="auto"/>
                <w:sz w:val="21"/>
                <w:szCs w:val="21"/>
                <w:lang w:val="en-US" w:eastAsia="zh-CN"/>
              </w:rPr>
              <w:t>3号楼</w:t>
            </w:r>
          </w:p>
        </w:tc>
        <w:tc>
          <w:tcPr>
            <w:tcW w:w="766" w:type="dxa"/>
            <w:vAlign w:val="top"/>
          </w:tcPr>
          <w:p w14:paraId="212E9145">
            <w:pPr>
              <w:pStyle w:val="27"/>
              <w:spacing w:before="48" w:line="277" w:lineRule="auto"/>
              <w:ind w:left="391" w:leftChars="186" w:right="173" w:firstLine="107" w:firstLineChars="51"/>
              <w:jc w:val="left"/>
              <w:rPr>
                <w:rFonts w:hint="eastAsia"/>
                <w:color w:val="auto"/>
                <w:sz w:val="21"/>
                <w:szCs w:val="21"/>
                <w:lang w:val="en-US" w:eastAsia="zh-CN"/>
              </w:rPr>
            </w:pPr>
            <w:r>
              <w:rPr>
                <w:rFonts w:hint="eastAsia"/>
                <w:color w:val="auto"/>
                <w:sz w:val="21"/>
                <w:szCs w:val="21"/>
                <w:lang w:val="en-US" w:eastAsia="zh-CN"/>
              </w:rPr>
              <w:t>一单元北梯</w:t>
            </w:r>
          </w:p>
        </w:tc>
        <w:tc>
          <w:tcPr>
            <w:tcW w:w="4934" w:type="dxa"/>
            <w:vAlign w:val="top"/>
          </w:tcPr>
          <w:p w14:paraId="1368F766">
            <w:pPr>
              <w:pStyle w:val="27"/>
              <w:spacing w:before="1" w:line="274" w:lineRule="auto"/>
              <w:ind w:left="116" w:right="215" w:hanging="5"/>
              <w:jc w:val="left"/>
              <w:rPr>
                <w:rFonts w:hint="eastAsia" w:ascii="宋体" w:hAnsi="宋体" w:eastAsia="宋体" w:cs="宋体"/>
                <w:color w:val="auto"/>
                <w:spacing w:val="-3"/>
                <w:sz w:val="21"/>
                <w:szCs w:val="21"/>
                <w:lang w:val="en-US" w:eastAsia="zh-CN"/>
              </w:rPr>
            </w:pPr>
            <w:r>
              <w:rPr>
                <w:rFonts w:ascii="宋体" w:hAnsi="宋体" w:eastAsia="宋体" w:cs="宋体"/>
                <w:color w:val="auto"/>
                <w:spacing w:val="-3"/>
                <w:sz w:val="21"/>
                <w:szCs w:val="21"/>
              </w:rPr>
              <w:t>1、控制方式：</w:t>
            </w:r>
            <w:r>
              <w:rPr>
                <w:rFonts w:hint="eastAsia" w:cs="宋体"/>
                <w:color w:val="auto"/>
                <w:spacing w:val="-3"/>
                <w:sz w:val="21"/>
                <w:szCs w:val="21"/>
                <w:lang w:val="en-US" w:eastAsia="zh-CN"/>
              </w:rPr>
              <w:t>全集选</w:t>
            </w:r>
          </w:p>
          <w:p w14:paraId="406741E7">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额定载重（kg）：</w:t>
            </w:r>
            <w:r>
              <w:rPr>
                <w:rFonts w:hint="eastAsia" w:ascii="宋体" w:hAnsi="宋体" w:eastAsia="宋体" w:cs="宋体"/>
                <w:color w:val="auto"/>
                <w:spacing w:val="-3"/>
                <w:sz w:val="21"/>
                <w:szCs w:val="21"/>
                <w:lang w:val="en-US" w:eastAsia="zh-CN"/>
              </w:rPr>
              <w:t>800kg</w:t>
            </w:r>
          </w:p>
          <w:p w14:paraId="1A4E9239">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3、额定速度（m/s）：</w:t>
            </w:r>
            <w:r>
              <w:rPr>
                <w:rFonts w:hint="eastAsia" w:ascii="宋体" w:hAnsi="宋体" w:eastAsia="宋体" w:cs="宋体"/>
                <w:color w:val="auto"/>
                <w:spacing w:val="-3"/>
                <w:sz w:val="21"/>
                <w:szCs w:val="21"/>
                <w:lang w:val="en-US" w:eastAsia="zh-CN"/>
              </w:rPr>
              <w:t>1.5</w:t>
            </w:r>
          </w:p>
          <w:p w14:paraId="57BFD239">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4、层站门数：</w:t>
            </w:r>
            <w:r>
              <w:rPr>
                <w:rFonts w:hint="eastAsia" w:ascii="宋体" w:hAnsi="宋体" w:eastAsia="宋体" w:cs="宋体"/>
                <w:color w:val="auto"/>
                <w:spacing w:val="-3"/>
                <w:sz w:val="21"/>
                <w:szCs w:val="21"/>
                <w:lang w:val="en-US" w:eastAsia="zh-CN"/>
              </w:rPr>
              <w:t>18</w:t>
            </w:r>
          </w:p>
          <w:p w14:paraId="77012058">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5、层门显示：</w:t>
            </w:r>
            <w:r>
              <w:rPr>
                <w:rFonts w:hint="eastAsia" w:ascii="宋体" w:hAnsi="宋体" w:eastAsia="宋体" w:cs="宋体"/>
                <w:color w:val="auto"/>
                <w:spacing w:val="-3"/>
                <w:sz w:val="21"/>
                <w:szCs w:val="21"/>
                <w:lang w:val="en-US" w:eastAsia="zh-CN"/>
              </w:rPr>
              <w:t>-1~17</w:t>
            </w:r>
          </w:p>
          <w:p w14:paraId="09190E9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6、开门宽/高（mm）：800*2100</w:t>
            </w:r>
          </w:p>
          <w:p w14:paraId="45E885DC">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7、厅门材质：</w:t>
            </w:r>
            <w:r>
              <w:rPr>
                <w:rFonts w:hint="eastAsia" w:ascii="宋体" w:hAnsi="宋体" w:eastAsia="宋体" w:cs="宋体"/>
                <w:color w:val="auto"/>
                <w:spacing w:val="-3"/>
                <w:sz w:val="21"/>
                <w:szCs w:val="21"/>
                <w:lang w:val="en-US" w:eastAsia="zh-CN"/>
              </w:rPr>
              <w:t>一层发纹不锈钢，其余钢板喷涂</w:t>
            </w:r>
          </w:p>
          <w:p w14:paraId="49F71C45">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8、提升高度（m）：</w:t>
            </w:r>
            <w:r>
              <w:rPr>
                <w:rFonts w:hint="eastAsia" w:ascii="宋体" w:hAnsi="宋体" w:eastAsia="宋体" w:cs="宋体"/>
                <w:color w:val="auto"/>
                <w:spacing w:val="-3"/>
                <w:sz w:val="21"/>
                <w:szCs w:val="21"/>
                <w:lang w:val="en-US" w:eastAsia="zh-CN"/>
              </w:rPr>
              <w:t>52.5</w:t>
            </w:r>
          </w:p>
          <w:p w14:paraId="2485C389">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9、井道尺寸（宽*深）（mm）：</w:t>
            </w:r>
            <w:r>
              <w:rPr>
                <w:rFonts w:hint="eastAsia" w:ascii="宋体" w:hAnsi="宋体" w:eastAsia="宋体" w:cs="宋体"/>
                <w:color w:val="auto"/>
                <w:spacing w:val="-3"/>
                <w:sz w:val="21"/>
                <w:szCs w:val="21"/>
                <w:lang w:val="en-US" w:eastAsia="zh-CN"/>
              </w:rPr>
              <w:t>1950*2100</w:t>
            </w:r>
          </w:p>
          <w:p w14:paraId="7BDF2DBC">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10、顶层高度(mm)：</w:t>
            </w:r>
            <w:r>
              <w:rPr>
                <w:rFonts w:hint="eastAsia" w:ascii="宋体" w:hAnsi="宋体" w:eastAsia="宋体" w:cs="宋体"/>
                <w:color w:val="auto"/>
                <w:spacing w:val="-3"/>
                <w:sz w:val="21"/>
                <w:szCs w:val="21"/>
                <w:lang w:val="en-US" w:eastAsia="zh-CN"/>
              </w:rPr>
              <w:t>4600</w:t>
            </w:r>
          </w:p>
          <w:p w14:paraId="435A2B07">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11、底坑深度(mm)：</w:t>
            </w:r>
            <w:r>
              <w:rPr>
                <w:rFonts w:hint="eastAsia" w:ascii="宋体" w:hAnsi="宋体" w:eastAsia="宋体" w:cs="宋体"/>
                <w:color w:val="auto"/>
                <w:spacing w:val="-3"/>
                <w:sz w:val="21"/>
                <w:szCs w:val="21"/>
                <w:lang w:val="en-US" w:eastAsia="zh-CN"/>
              </w:rPr>
              <w:t>1700</w:t>
            </w:r>
          </w:p>
          <w:p w14:paraId="0523B23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12、特殊层高（mm）：</w:t>
            </w:r>
            <w:r>
              <w:rPr>
                <w:rFonts w:hint="eastAsia" w:ascii="宋体" w:hAnsi="宋体" w:eastAsia="宋体" w:cs="宋体"/>
                <w:color w:val="auto"/>
                <w:spacing w:val="-3"/>
                <w:sz w:val="21"/>
                <w:szCs w:val="21"/>
                <w:lang w:val="en-US" w:eastAsia="zh-CN"/>
              </w:rPr>
              <w:t>-</w:t>
            </w:r>
            <w:r>
              <w:rPr>
                <w:rFonts w:ascii="宋体" w:hAnsi="宋体" w:eastAsia="宋体" w:cs="宋体"/>
                <w:color w:val="auto"/>
                <w:spacing w:val="-3"/>
                <w:sz w:val="21"/>
                <w:szCs w:val="21"/>
              </w:rPr>
              <w:t>1~</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36</w:t>
            </w:r>
            <w:r>
              <w:rPr>
                <w:rFonts w:ascii="宋体" w:hAnsi="宋体" w:eastAsia="宋体" w:cs="宋体"/>
                <w:color w:val="auto"/>
                <w:spacing w:val="-3"/>
                <w:sz w:val="21"/>
                <w:szCs w:val="21"/>
              </w:rPr>
              <w:t>00、1~</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39</w:t>
            </w:r>
            <w:r>
              <w:rPr>
                <w:rFonts w:ascii="宋体" w:hAnsi="宋体" w:eastAsia="宋体" w:cs="宋体"/>
                <w:color w:val="auto"/>
                <w:spacing w:val="-3"/>
                <w:sz w:val="21"/>
                <w:szCs w:val="21"/>
              </w:rPr>
              <w:t>00</w:t>
            </w:r>
          </w:p>
          <w:p w14:paraId="359FF40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13、标准层高（mm）：3000</w:t>
            </w:r>
          </w:p>
          <w:p w14:paraId="2E705E2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14、电梯轿厢</w:t>
            </w:r>
            <w:r>
              <w:rPr>
                <w:rFonts w:hint="eastAsia" w:ascii="宋体" w:hAnsi="宋体" w:eastAsia="宋体" w:cs="宋体"/>
                <w:color w:val="auto"/>
                <w:spacing w:val="-3"/>
                <w:sz w:val="21"/>
                <w:szCs w:val="21"/>
                <w:lang w:val="en-US" w:eastAsia="zh-CN"/>
              </w:rPr>
              <w:t>净</w:t>
            </w:r>
            <w:r>
              <w:rPr>
                <w:rFonts w:ascii="宋体" w:hAnsi="宋体" w:eastAsia="宋体" w:cs="宋体"/>
                <w:color w:val="auto"/>
                <w:spacing w:val="-3"/>
                <w:sz w:val="21"/>
                <w:szCs w:val="21"/>
              </w:rPr>
              <w:t>高度:2.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m</w:t>
            </w:r>
          </w:p>
          <w:p w14:paraId="366BD7C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15、门厅信号装置:外召唤板采用发纹不锈钢面板，门厅楼层显示器与按钮装在统一标准的面板上，为LED显示，层层显示运行方向、电梯所在楼层等信息；</w:t>
            </w:r>
          </w:p>
          <w:p w14:paraId="19F3ED9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16、地板:PVC；</w:t>
            </w:r>
          </w:p>
          <w:p w14:paraId="5CED2E4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17、厅门及小门套:同原有电梯</w:t>
            </w:r>
            <w:r>
              <w:rPr>
                <w:rFonts w:hint="eastAsia" w:ascii="宋体" w:hAnsi="宋体" w:eastAsia="宋体" w:cs="宋体"/>
                <w:color w:val="auto"/>
                <w:spacing w:val="-3"/>
                <w:sz w:val="21"/>
                <w:szCs w:val="21"/>
                <w:lang w:val="en-US" w:eastAsia="zh-CN"/>
              </w:rPr>
              <w:t>一致（更换）</w:t>
            </w:r>
            <w:r>
              <w:rPr>
                <w:rFonts w:ascii="宋体" w:hAnsi="宋体" w:eastAsia="宋体" w:cs="宋体"/>
                <w:color w:val="auto"/>
                <w:spacing w:val="-3"/>
                <w:sz w:val="21"/>
                <w:szCs w:val="21"/>
              </w:rPr>
              <w:t>；</w:t>
            </w:r>
          </w:p>
          <w:p w14:paraId="38DFE0E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18、开门保护:配套光幕保护，要求有足够光束数交叉形成保护光幕，光幕上下端满至门顶和门底；</w:t>
            </w:r>
          </w:p>
          <w:p w14:paraId="6A2D6DD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19、称重启动:补偿电梯启动时需要的力矩，提高电梯的舒适感；</w:t>
            </w:r>
          </w:p>
          <w:p w14:paraId="3933F7DB">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0</w:t>
            </w:r>
            <w:r>
              <w:rPr>
                <w:rFonts w:ascii="宋体" w:hAnsi="宋体" w:eastAsia="宋体" w:cs="宋体"/>
                <w:color w:val="auto"/>
                <w:spacing w:val="-3"/>
                <w:sz w:val="21"/>
                <w:szCs w:val="21"/>
              </w:rPr>
              <w:t>、火警应急返回:基层站上开关或火灾传感器被启动时</w:t>
            </w:r>
            <w:r>
              <w:rPr>
                <w:rFonts w:ascii="宋体" w:hAnsi="宋体" w:eastAsia="宋体" w:cs="宋体"/>
                <w:color w:val="auto"/>
                <w:spacing w:val="-3"/>
                <w:sz w:val="21"/>
                <w:szCs w:val="21"/>
                <w:highlight w:val="none"/>
              </w:rPr>
              <w:t>,所有召唤均被取消，电梯立即驶往指定救援站层，停靠并打开门；</w:t>
            </w:r>
          </w:p>
          <w:p w14:paraId="542D0B17">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1</w:t>
            </w:r>
            <w:r>
              <w:rPr>
                <w:rFonts w:ascii="宋体" w:hAnsi="宋体" w:eastAsia="宋体" w:cs="宋体"/>
                <w:color w:val="auto"/>
                <w:spacing w:val="-3"/>
                <w:sz w:val="21"/>
                <w:szCs w:val="21"/>
                <w:highlight w:val="none"/>
              </w:rPr>
              <w:t>、</w:t>
            </w:r>
            <w:r>
              <w:rPr>
                <w:rFonts w:hint="eastAsia" w:ascii="宋体" w:hAnsi="宋体" w:eastAsia="宋体" w:cs="宋体"/>
                <w:color w:val="auto"/>
                <w:spacing w:val="-3"/>
                <w:sz w:val="21"/>
                <w:szCs w:val="21"/>
                <w:highlight w:val="none"/>
              </w:rPr>
              <w:t>次层停靠（或同等功能）：电梯到达目的层如果轿厢门无法完全开启，可自动关门运行至相邻层站，实现门完全开启后恢复正常运行。</w:t>
            </w:r>
          </w:p>
          <w:p w14:paraId="34BD2606">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2</w:t>
            </w:r>
            <w:r>
              <w:rPr>
                <w:rFonts w:ascii="宋体" w:hAnsi="宋体" w:eastAsia="宋体" w:cs="宋体"/>
                <w:color w:val="auto"/>
                <w:spacing w:val="-3"/>
                <w:sz w:val="21"/>
                <w:szCs w:val="21"/>
                <w:highlight w:val="none"/>
              </w:rPr>
              <w:t>、供电电压:电梯在供电电压380V，波动≤±20%，供电频率50Hz波动±5%时仍能正常工作；</w:t>
            </w:r>
          </w:p>
          <w:p w14:paraId="489DA4A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3</w:t>
            </w:r>
            <w:r>
              <w:rPr>
                <w:rFonts w:ascii="宋体" w:hAnsi="宋体" w:eastAsia="宋体" w:cs="宋体"/>
                <w:color w:val="auto"/>
                <w:spacing w:val="-3"/>
                <w:sz w:val="21"/>
                <w:szCs w:val="21"/>
                <w:highlight w:val="none"/>
              </w:rPr>
              <w:t>、制动要求（曳引系统）</w:t>
            </w:r>
            <w:r>
              <w:rPr>
                <w:rFonts w:ascii="宋体" w:hAnsi="宋体" w:eastAsia="宋体" w:cs="宋体"/>
                <w:color w:val="auto"/>
                <w:spacing w:val="-3"/>
                <w:sz w:val="21"/>
                <w:szCs w:val="21"/>
              </w:rPr>
              <w:t>：电梯采用永磁同步曳引机制动器，制动器性能经过≥1000万次测试合格；2</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、噪声平均值：符合国标；</w:t>
            </w:r>
          </w:p>
          <w:p w14:paraId="736DBDD3">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、平层精度：≤±10mm；</w:t>
            </w:r>
          </w:p>
          <w:p w14:paraId="1380142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6</w:t>
            </w:r>
            <w:r>
              <w:rPr>
                <w:rFonts w:ascii="宋体" w:hAnsi="宋体" w:eastAsia="宋体" w:cs="宋体"/>
                <w:color w:val="auto"/>
                <w:spacing w:val="-3"/>
                <w:sz w:val="21"/>
                <w:szCs w:val="21"/>
              </w:rPr>
              <w:t>、机房温度：机房内设备-10℃∽50℃时能够正常工作；</w:t>
            </w:r>
          </w:p>
          <w:p w14:paraId="263155A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7</w:t>
            </w:r>
            <w:r>
              <w:rPr>
                <w:rFonts w:ascii="宋体" w:hAnsi="宋体" w:eastAsia="宋体" w:cs="宋体"/>
                <w:color w:val="auto"/>
                <w:spacing w:val="-3"/>
                <w:sz w:val="21"/>
                <w:szCs w:val="21"/>
              </w:rPr>
              <w:t>、电梯五方对讲由施工负责安装并达到正常使用(</w:t>
            </w:r>
            <w:r>
              <w:rPr>
                <w:rFonts w:hint="eastAsia" w:ascii="宋体" w:hAnsi="宋体" w:eastAsia="宋体" w:cs="宋体"/>
                <w:color w:val="auto"/>
                <w:spacing w:val="-3"/>
                <w:sz w:val="21"/>
                <w:szCs w:val="21"/>
                <w:lang w:val="en-US" w:eastAsia="zh-CN"/>
              </w:rPr>
              <w:t>井道及机房部分</w:t>
            </w:r>
            <w:r>
              <w:rPr>
                <w:rFonts w:ascii="宋体" w:hAnsi="宋体" w:eastAsia="宋体" w:cs="宋体"/>
                <w:color w:val="auto"/>
                <w:spacing w:val="-3"/>
                <w:sz w:val="21"/>
                <w:szCs w:val="21"/>
              </w:rPr>
              <w:t>)；</w:t>
            </w:r>
          </w:p>
          <w:p w14:paraId="44FDECF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8</w:t>
            </w:r>
            <w:r>
              <w:rPr>
                <w:rFonts w:ascii="宋体" w:hAnsi="宋体" w:eastAsia="宋体" w:cs="宋体"/>
                <w:color w:val="auto"/>
                <w:spacing w:val="-3"/>
                <w:sz w:val="21"/>
                <w:szCs w:val="21"/>
              </w:rPr>
              <w:t>、误操作:具有按键消除误操作功能；</w:t>
            </w:r>
          </w:p>
          <w:p w14:paraId="54E7DD70">
            <w:pPr>
              <w:pStyle w:val="27"/>
              <w:spacing w:before="1" w:line="274" w:lineRule="auto"/>
              <w:ind w:left="116" w:right="215" w:hanging="5"/>
              <w:jc w:val="left"/>
              <w:rPr>
                <w:rFonts w:ascii="宋体" w:hAnsi="宋体" w:eastAsia="宋体" w:cs="宋体"/>
                <w:color w:val="auto"/>
                <w:spacing w:val="-3"/>
                <w:sz w:val="21"/>
                <w:szCs w:val="21"/>
              </w:rPr>
            </w:pPr>
            <w:r>
              <w:rPr>
                <w:rFonts w:hint="eastAsia" w:ascii="宋体" w:hAnsi="宋体" w:eastAsia="宋体" w:cs="宋体"/>
                <w:color w:val="auto"/>
                <w:spacing w:val="-3"/>
                <w:sz w:val="21"/>
                <w:szCs w:val="21"/>
                <w:lang w:val="en-US" w:eastAsia="zh-CN"/>
              </w:rPr>
              <w:t>29</w:t>
            </w:r>
            <w:r>
              <w:rPr>
                <w:rFonts w:ascii="宋体" w:hAnsi="宋体" w:eastAsia="宋体" w:cs="宋体"/>
                <w:color w:val="auto"/>
                <w:spacing w:val="-3"/>
                <w:sz w:val="21"/>
                <w:szCs w:val="21"/>
              </w:rPr>
              <w:t>、层门、轿门和轿厢</w:t>
            </w:r>
          </w:p>
          <w:p w14:paraId="02F7124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(1)层门和轿门的地坎、轿厢护脚板</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同原有电梯</w:t>
            </w:r>
            <w:r>
              <w:rPr>
                <w:rFonts w:hint="eastAsia" w:ascii="宋体" w:hAnsi="宋体" w:eastAsia="宋体" w:cs="宋体"/>
                <w:color w:val="auto"/>
                <w:spacing w:val="-3"/>
                <w:sz w:val="21"/>
                <w:szCs w:val="21"/>
                <w:lang w:val="en-US" w:eastAsia="zh-CN"/>
              </w:rPr>
              <w:t>一致（更换）</w:t>
            </w:r>
            <w:r>
              <w:rPr>
                <w:rFonts w:ascii="宋体" w:hAnsi="宋体" w:eastAsia="宋体" w:cs="宋体"/>
                <w:color w:val="auto"/>
                <w:spacing w:val="-3"/>
                <w:sz w:val="21"/>
                <w:szCs w:val="21"/>
              </w:rPr>
              <w:t>。</w:t>
            </w:r>
          </w:p>
          <w:p w14:paraId="7CD9BBB2">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(2)更新的金属层门、轿门和轿壁的面板材料至少由一层公称厚度不小于1.5㎜的单一金属板材构成；保留的金属层门，其金属材质面板公称厚度不小于1.2mm；保留层门的下部保持装置啮合深度不小于15mm。</w:t>
            </w:r>
          </w:p>
          <w:p w14:paraId="2381421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（3）电梯轿厢内部：操作盘面板采用发纹不锈钢面板，按钮采用树脂材料或不锈钢按钮。显示器为LED显示。</w:t>
            </w:r>
          </w:p>
          <w:p w14:paraId="26A63BD8">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（4）轿厢:轿厢使用材质不得低于发纹不锈钢钢板</w:t>
            </w:r>
            <w:r>
              <w:rPr>
                <w:rFonts w:hint="eastAsia" w:ascii="宋体" w:hAnsi="宋体" w:eastAsia="宋体" w:cs="宋体"/>
                <w:color w:val="auto"/>
                <w:spacing w:val="-3"/>
                <w:sz w:val="21"/>
                <w:szCs w:val="21"/>
                <w:lang w:eastAsia="zh-CN"/>
              </w:rPr>
              <w:t>，</w:t>
            </w:r>
            <w:r>
              <w:rPr>
                <w:rFonts w:hint="eastAsia" w:ascii="宋体" w:hAnsi="宋体" w:eastAsia="宋体" w:cs="宋体"/>
                <w:color w:val="auto"/>
                <w:spacing w:val="-3"/>
                <w:sz w:val="21"/>
                <w:szCs w:val="21"/>
                <w:lang w:val="en-US" w:eastAsia="zh-CN"/>
              </w:rPr>
              <w:t>后壁中间配置一块镜面不锈钢且加装不锈钢扶手。</w:t>
            </w:r>
          </w:p>
          <w:p w14:paraId="29C0283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（5）门系统:轿门不低于不锈钢材质、层门同原有电梯材质、门传动系统和门锁装置符合国家最新标准。</w:t>
            </w:r>
          </w:p>
          <w:p w14:paraId="711715E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0</w:t>
            </w:r>
            <w:r>
              <w:rPr>
                <w:rFonts w:ascii="宋体" w:hAnsi="宋体" w:eastAsia="宋体" w:cs="宋体"/>
                <w:color w:val="auto"/>
                <w:spacing w:val="-3"/>
                <w:sz w:val="21"/>
                <w:szCs w:val="21"/>
              </w:rPr>
              <w:t>、导轨及导向系统</w:t>
            </w:r>
          </w:p>
          <w:p w14:paraId="45BDDD32">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（1）导轨：配置安全钳的更新导轨及其连接板应当符合GB/T22562(含表2至表10)的要求，其中对于额定载重量大于630kg的电梯，其轿厢侧导轨宽度b1应当不小于89mm。</w:t>
            </w:r>
          </w:p>
          <w:p w14:paraId="39690C2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（2）导向系统：导靴、导轨及导轨支架、导向轮等材质要求符合国家标准。</w:t>
            </w:r>
          </w:p>
          <w:p w14:paraId="44D25F3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、悬挂系统</w:t>
            </w:r>
          </w:p>
          <w:p w14:paraId="1BBF936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正常使用条件下，悬挂钢丝绳使用年限不少于10年或者对应电梯驱动主机启动次数不少于200万次；包覆带使用年限不少于20年或者对应电梯驱动主机启动次数不少于400万次，未到其使用年限或者驱动主机启动次数而达到报废条件时，由制造单位予以免费更换；</w:t>
            </w:r>
          </w:p>
          <w:p w14:paraId="2CCD173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（2）采用包覆带作为悬挂装置的，应当在控制柜内永久性张贴包括防止水、砂尘和润滑油等介质影响包覆带曳引能力的日常检查和维护保养要求的标识；</w:t>
            </w:r>
          </w:p>
          <w:p w14:paraId="5F9CF0C3">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（3）对于采用非1:1悬挂比的电梯，当悬挂装置通过反绳轮与轿厢或者对重连接时，反绳轮及其固定部分应当设置防止轿厢或者对重与悬挂装置脱离或者反绳轮坠落的防护装置（需在相应位置设置指示标志）；</w:t>
            </w:r>
          </w:p>
          <w:p w14:paraId="30A2F7F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（4）反绳轮应当采用金属材质。</w:t>
            </w:r>
          </w:p>
          <w:p w14:paraId="70DDEBF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、缓冲器</w:t>
            </w:r>
          </w:p>
          <w:p w14:paraId="48AD47C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不得使用非金属材质非线性蓄能型缓冲器。</w:t>
            </w:r>
          </w:p>
          <w:p w14:paraId="210ED96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3</w:t>
            </w:r>
            <w:r>
              <w:rPr>
                <w:rFonts w:ascii="宋体" w:hAnsi="宋体" w:eastAsia="宋体" w:cs="宋体"/>
                <w:color w:val="auto"/>
                <w:spacing w:val="-3"/>
                <w:sz w:val="21"/>
                <w:szCs w:val="21"/>
              </w:rPr>
              <w:t>、对重块和轿厢配重</w:t>
            </w:r>
          </w:p>
          <w:p w14:paraId="17E3DF8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对重块和轿厢配重不得使用非金属材质。</w:t>
            </w:r>
          </w:p>
          <w:p w14:paraId="260E834C">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、电梯工作条件</w:t>
            </w:r>
          </w:p>
          <w:p w14:paraId="5DFC8C5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（1）正常使用条件：1）环境温度为-10℃∽50℃。</w:t>
            </w:r>
          </w:p>
          <w:p w14:paraId="2AC19473">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2）空气相对湿度在最高温度为50℃时不超过60%，平均温度为25℃时，最大相对湿度不超过95%。</w:t>
            </w:r>
          </w:p>
          <w:p w14:paraId="273E3BE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（2）电梯应满足30万次/年的使用频率。</w:t>
            </w:r>
          </w:p>
          <w:p w14:paraId="1ABCE6C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、电梯其他要求：</w:t>
            </w:r>
          </w:p>
          <w:p w14:paraId="4E10E83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（1）在安装单位实施限速器--安全钳联动试验、曳引能力试验、制动性能试验等载荷试验项目时，检验人员应当现场观察确认，相关音像记录应当清晰记录试验载荷、观察确认等情况，并长期保存。</w:t>
            </w:r>
          </w:p>
          <w:p w14:paraId="1010E08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（2）超载运行试验：轿厢内装载110%额定载重量的载荷，进行启动、全程运行、停止和正常开关门连续周期正常不停顿运行60次，检查电梯是否无故障发生。</w:t>
            </w:r>
          </w:p>
          <w:p w14:paraId="1D64FA0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（3）应配备节能装置和功能，至少包括节能照明、照明和风扇的节能控制。</w:t>
            </w:r>
          </w:p>
          <w:p w14:paraId="5364AF9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（4）应配置识别电动自行车进入轿厢的功能。在电动自行车进入轿厢后，该功能应使电梯保持开门状态。</w:t>
            </w:r>
          </w:p>
        </w:tc>
        <w:tc>
          <w:tcPr>
            <w:tcW w:w="755" w:type="dxa"/>
            <w:vAlign w:val="top"/>
          </w:tcPr>
          <w:p w14:paraId="5C1C23B2">
            <w:pPr>
              <w:pStyle w:val="27"/>
              <w:spacing w:before="79" w:line="241" w:lineRule="auto"/>
              <w:jc w:val="center"/>
              <w:rPr>
                <w:rFonts w:hint="eastAsia" w:eastAsia="宋体"/>
                <w:color w:val="auto"/>
                <w:sz w:val="21"/>
                <w:szCs w:val="21"/>
                <w:lang w:val="en-US" w:eastAsia="zh-CN"/>
              </w:rPr>
            </w:pPr>
            <w:r>
              <w:rPr>
                <w:rFonts w:hint="eastAsia"/>
                <w:color w:val="auto"/>
                <w:sz w:val="21"/>
                <w:szCs w:val="21"/>
                <w:lang w:val="en-US" w:eastAsia="zh-CN"/>
              </w:rPr>
              <w:t>1</w:t>
            </w:r>
          </w:p>
        </w:tc>
        <w:tc>
          <w:tcPr>
            <w:tcW w:w="654" w:type="dxa"/>
            <w:vAlign w:val="top"/>
          </w:tcPr>
          <w:p w14:paraId="5573B58F">
            <w:pPr>
              <w:pStyle w:val="27"/>
              <w:spacing w:before="49" w:line="220" w:lineRule="auto"/>
              <w:jc w:val="center"/>
              <w:rPr>
                <w:rFonts w:hint="eastAsia" w:eastAsia="宋体"/>
                <w:color w:val="auto"/>
                <w:sz w:val="21"/>
                <w:szCs w:val="21"/>
                <w:lang w:val="en-US" w:eastAsia="zh-CN"/>
              </w:rPr>
            </w:pPr>
            <w:r>
              <w:rPr>
                <w:rFonts w:hint="eastAsia"/>
                <w:color w:val="auto"/>
                <w:sz w:val="21"/>
                <w:szCs w:val="21"/>
                <w:lang w:val="en-US" w:eastAsia="zh-CN"/>
              </w:rPr>
              <w:t>有</w:t>
            </w:r>
          </w:p>
        </w:tc>
        <w:tc>
          <w:tcPr>
            <w:tcW w:w="782" w:type="dxa"/>
            <w:vAlign w:val="top"/>
          </w:tcPr>
          <w:p w14:paraId="409935E0">
            <w:pPr>
              <w:pStyle w:val="27"/>
              <w:spacing w:before="49" w:line="220" w:lineRule="auto"/>
              <w:jc w:val="center"/>
              <w:rPr>
                <w:rFonts w:hint="default"/>
                <w:color w:val="auto"/>
                <w:sz w:val="21"/>
                <w:szCs w:val="21"/>
                <w:lang w:val="en-US" w:eastAsia="zh-CN"/>
              </w:rPr>
            </w:pPr>
            <w:r>
              <w:rPr>
                <w:rFonts w:hint="eastAsia"/>
                <w:color w:val="auto"/>
                <w:sz w:val="21"/>
                <w:szCs w:val="21"/>
                <w:lang w:val="en-US" w:eastAsia="zh-CN"/>
              </w:rPr>
              <w:t>150000</w:t>
            </w:r>
          </w:p>
        </w:tc>
      </w:tr>
      <w:tr w14:paraId="1C791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4" w:hRule="atLeast"/>
          <w:jc w:val="center"/>
        </w:trPr>
        <w:tc>
          <w:tcPr>
            <w:tcW w:w="479" w:type="dxa"/>
            <w:vAlign w:val="top"/>
          </w:tcPr>
          <w:p w14:paraId="732887F3">
            <w:pPr>
              <w:pStyle w:val="27"/>
              <w:spacing w:before="79" w:line="241" w:lineRule="auto"/>
              <w:ind w:left="384"/>
              <w:jc w:val="both"/>
              <w:rPr>
                <w:rFonts w:hint="eastAsia" w:eastAsia="宋体"/>
                <w:color w:val="auto"/>
                <w:sz w:val="21"/>
                <w:szCs w:val="21"/>
                <w:lang w:val="en-US" w:eastAsia="zh-CN"/>
              </w:rPr>
            </w:pPr>
            <w:r>
              <w:rPr>
                <w:rFonts w:hint="eastAsia"/>
                <w:color w:val="auto"/>
                <w:sz w:val="21"/>
                <w:szCs w:val="21"/>
                <w:lang w:val="en-US" w:eastAsia="zh-CN"/>
              </w:rPr>
              <w:t>4</w:t>
            </w:r>
          </w:p>
        </w:tc>
        <w:tc>
          <w:tcPr>
            <w:tcW w:w="697" w:type="dxa"/>
            <w:vMerge w:val="continue"/>
            <w:vAlign w:val="top"/>
          </w:tcPr>
          <w:p w14:paraId="7B18EEBE">
            <w:pPr>
              <w:pStyle w:val="27"/>
              <w:spacing w:before="48" w:line="277" w:lineRule="auto"/>
              <w:ind w:left="176" w:right="175" w:firstLine="9"/>
              <w:jc w:val="both"/>
              <w:rPr>
                <w:rFonts w:hint="eastAsia"/>
                <w:color w:val="auto"/>
                <w:sz w:val="21"/>
                <w:szCs w:val="21"/>
                <w:lang w:val="en-US" w:eastAsia="zh-CN"/>
              </w:rPr>
            </w:pPr>
          </w:p>
        </w:tc>
        <w:tc>
          <w:tcPr>
            <w:tcW w:w="598" w:type="dxa"/>
            <w:vAlign w:val="top"/>
          </w:tcPr>
          <w:p w14:paraId="4CE83E80">
            <w:pPr>
              <w:pStyle w:val="27"/>
              <w:spacing w:before="49" w:line="222" w:lineRule="auto"/>
              <w:ind w:left="166"/>
              <w:jc w:val="both"/>
              <w:rPr>
                <w:rFonts w:hint="default"/>
                <w:color w:val="auto"/>
                <w:sz w:val="21"/>
                <w:szCs w:val="21"/>
                <w:lang w:val="en-US" w:eastAsia="zh-CN"/>
              </w:rPr>
            </w:pPr>
            <w:r>
              <w:rPr>
                <w:rFonts w:hint="eastAsia"/>
                <w:color w:val="auto"/>
                <w:sz w:val="21"/>
                <w:szCs w:val="21"/>
                <w:lang w:val="en-US" w:eastAsia="zh-CN"/>
              </w:rPr>
              <w:t>3号楼</w:t>
            </w:r>
          </w:p>
        </w:tc>
        <w:tc>
          <w:tcPr>
            <w:tcW w:w="766" w:type="dxa"/>
            <w:vAlign w:val="top"/>
          </w:tcPr>
          <w:p w14:paraId="1A8A1262">
            <w:pPr>
              <w:pStyle w:val="27"/>
              <w:spacing w:before="1" w:line="274" w:lineRule="auto"/>
              <w:ind w:left="116" w:right="215" w:hanging="5"/>
              <w:rPr>
                <w:rFonts w:hint="eastAsia" w:ascii="宋体" w:hAnsi="宋体" w:eastAsia="宋体" w:cs="宋体"/>
                <w:color w:val="auto"/>
                <w:spacing w:val="-3"/>
                <w:sz w:val="21"/>
                <w:szCs w:val="21"/>
                <w:lang w:val="en-US" w:eastAsia="zh-CN"/>
              </w:rPr>
            </w:pPr>
            <w:r>
              <w:rPr>
                <w:rFonts w:hint="eastAsia" w:ascii="宋体" w:hAnsi="宋体" w:eastAsia="宋体" w:cs="宋体"/>
                <w:color w:val="auto"/>
                <w:spacing w:val="-3"/>
                <w:sz w:val="21"/>
                <w:szCs w:val="21"/>
                <w:lang w:val="en-US" w:eastAsia="zh-CN"/>
              </w:rPr>
              <w:t>三单元北梯</w:t>
            </w:r>
          </w:p>
        </w:tc>
        <w:tc>
          <w:tcPr>
            <w:tcW w:w="4934" w:type="dxa"/>
            <w:vAlign w:val="top"/>
          </w:tcPr>
          <w:p w14:paraId="325F1311">
            <w:pPr>
              <w:pStyle w:val="27"/>
              <w:spacing w:before="1" w:line="274" w:lineRule="auto"/>
              <w:ind w:left="116" w:right="215" w:hanging="5"/>
              <w:jc w:val="left"/>
              <w:rPr>
                <w:rFonts w:hint="eastAsia" w:ascii="宋体" w:hAnsi="宋体" w:eastAsia="宋体" w:cs="宋体"/>
                <w:color w:val="auto"/>
                <w:spacing w:val="-3"/>
                <w:sz w:val="21"/>
                <w:szCs w:val="21"/>
                <w:lang w:val="en-US" w:eastAsia="zh-CN"/>
              </w:rPr>
            </w:pPr>
            <w:r>
              <w:rPr>
                <w:rFonts w:ascii="宋体" w:hAnsi="宋体" w:eastAsia="宋体" w:cs="宋体"/>
                <w:color w:val="auto"/>
                <w:spacing w:val="-3"/>
                <w:sz w:val="21"/>
                <w:szCs w:val="21"/>
              </w:rPr>
              <w:t>1、控制方式：</w:t>
            </w:r>
            <w:r>
              <w:rPr>
                <w:rFonts w:hint="eastAsia" w:cs="宋体"/>
                <w:color w:val="auto"/>
                <w:spacing w:val="-3"/>
                <w:sz w:val="21"/>
                <w:szCs w:val="21"/>
                <w:lang w:val="en-US" w:eastAsia="zh-CN"/>
              </w:rPr>
              <w:t>全集选</w:t>
            </w:r>
          </w:p>
          <w:p w14:paraId="3144218C">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额定载重（kg）：</w:t>
            </w:r>
            <w:r>
              <w:rPr>
                <w:rFonts w:hint="eastAsia" w:ascii="宋体" w:hAnsi="宋体" w:eastAsia="宋体" w:cs="宋体"/>
                <w:color w:val="auto"/>
                <w:spacing w:val="-3"/>
                <w:sz w:val="21"/>
                <w:szCs w:val="21"/>
                <w:lang w:val="en-US" w:eastAsia="zh-CN"/>
              </w:rPr>
              <w:t>800kg</w:t>
            </w:r>
          </w:p>
          <w:p w14:paraId="245A8C48">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3、额定速度（m/s）：</w:t>
            </w:r>
            <w:r>
              <w:rPr>
                <w:rFonts w:hint="eastAsia" w:ascii="宋体" w:hAnsi="宋体" w:eastAsia="宋体" w:cs="宋体"/>
                <w:color w:val="auto"/>
                <w:spacing w:val="-3"/>
                <w:sz w:val="21"/>
                <w:szCs w:val="21"/>
                <w:lang w:val="en-US" w:eastAsia="zh-CN"/>
              </w:rPr>
              <w:t>1.5</w:t>
            </w:r>
          </w:p>
          <w:p w14:paraId="5D309E26">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4、层站门数：</w:t>
            </w:r>
            <w:r>
              <w:rPr>
                <w:rFonts w:hint="eastAsia" w:ascii="宋体" w:hAnsi="宋体" w:eastAsia="宋体" w:cs="宋体"/>
                <w:color w:val="auto"/>
                <w:spacing w:val="-3"/>
                <w:sz w:val="21"/>
                <w:szCs w:val="21"/>
                <w:lang w:val="en-US" w:eastAsia="zh-CN"/>
              </w:rPr>
              <w:t>18</w:t>
            </w:r>
          </w:p>
          <w:p w14:paraId="538EC557">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5、层门显示：</w:t>
            </w:r>
            <w:r>
              <w:rPr>
                <w:rFonts w:hint="eastAsia" w:ascii="宋体" w:hAnsi="宋体" w:eastAsia="宋体" w:cs="宋体"/>
                <w:color w:val="auto"/>
                <w:spacing w:val="-3"/>
                <w:sz w:val="21"/>
                <w:szCs w:val="21"/>
                <w:lang w:val="en-US" w:eastAsia="zh-CN"/>
              </w:rPr>
              <w:t>-1~17</w:t>
            </w:r>
          </w:p>
          <w:p w14:paraId="6C3B49E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6、开门宽/高（mm）：800*2100</w:t>
            </w:r>
          </w:p>
          <w:p w14:paraId="1F2133D1">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7、厅门材质：</w:t>
            </w:r>
            <w:r>
              <w:rPr>
                <w:rFonts w:hint="eastAsia" w:ascii="宋体" w:hAnsi="宋体" w:eastAsia="宋体" w:cs="宋体"/>
                <w:color w:val="auto"/>
                <w:spacing w:val="-3"/>
                <w:sz w:val="21"/>
                <w:szCs w:val="21"/>
                <w:lang w:val="en-US" w:eastAsia="zh-CN"/>
              </w:rPr>
              <w:t>一层发纹不锈钢，其余钢板喷涂</w:t>
            </w:r>
          </w:p>
          <w:p w14:paraId="7E4E1E76">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8、提升高度（m）：</w:t>
            </w:r>
            <w:r>
              <w:rPr>
                <w:rFonts w:hint="eastAsia" w:ascii="宋体" w:hAnsi="宋体" w:eastAsia="宋体" w:cs="宋体"/>
                <w:color w:val="auto"/>
                <w:spacing w:val="-3"/>
                <w:sz w:val="21"/>
                <w:szCs w:val="21"/>
                <w:lang w:val="en-US" w:eastAsia="zh-CN"/>
              </w:rPr>
              <w:t>52.5</w:t>
            </w:r>
          </w:p>
          <w:p w14:paraId="02E9FF4B">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9、井道尺寸（宽*深）（mm）：</w:t>
            </w:r>
            <w:r>
              <w:rPr>
                <w:rFonts w:hint="eastAsia" w:ascii="宋体" w:hAnsi="宋体" w:eastAsia="宋体" w:cs="宋体"/>
                <w:color w:val="auto"/>
                <w:spacing w:val="-3"/>
                <w:sz w:val="21"/>
                <w:szCs w:val="21"/>
                <w:lang w:val="en-US" w:eastAsia="zh-CN"/>
              </w:rPr>
              <w:t>1950*2100</w:t>
            </w:r>
          </w:p>
          <w:p w14:paraId="2D9C43AB">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10、顶层高度(mm)：</w:t>
            </w:r>
            <w:r>
              <w:rPr>
                <w:rFonts w:hint="eastAsia" w:ascii="宋体" w:hAnsi="宋体" w:eastAsia="宋体" w:cs="宋体"/>
                <w:color w:val="auto"/>
                <w:spacing w:val="-3"/>
                <w:sz w:val="21"/>
                <w:szCs w:val="21"/>
                <w:lang w:val="en-US" w:eastAsia="zh-CN"/>
              </w:rPr>
              <w:t>4600</w:t>
            </w:r>
          </w:p>
          <w:p w14:paraId="127BEB36">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11、底坑深度(mm)：</w:t>
            </w:r>
            <w:r>
              <w:rPr>
                <w:rFonts w:hint="eastAsia" w:ascii="宋体" w:hAnsi="宋体" w:eastAsia="宋体" w:cs="宋体"/>
                <w:color w:val="auto"/>
                <w:spacing w:val="-3"/>
                <w:sz w:val="21"/>
                <w:szCs w:val="21"/>
                <w:lang w:val="en-US" w:eastAsia="zh-CN"/>
              </w:rPr>
              <w:t>1700</w:t>
            </w:r>
          </w:p>
          <w:p w14:paraId="1AC8BDA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12、特殊层高（mm）：</w:t>
            </w:r>
            <w:r>
              <w:rPr>
                <w:rFonts w:hint="eastAsia" w:ascii="宋体" w:hAnsi="宋体" w:eastAsia="宋体" w:cs="宋体"/>
                <w:color w:val="auto"/>
                <w:spacing w:val="-3"/>
                <w:sz w:val="21"/>
                <w:szCs w:val="21"/>
                <w:lang w:val="en-US" w:eastAsia="zh-CN"/>
              </w:rPr>
              <w:t>-</w:t>
            </w:r>
            <w:r>
              <w:rPr>
                <w:rFonts w:ascii="宋体" w:hAnsi="宋体" w:eastAsia="宋体" w:cs="宋体"/>
                <w:color w:val="auto"/>
                <w:spacing w:val="-3"/>
                <w:sz w:val="21"/>
                <w:szCs w:val="21"/>
              </w:rPr>
              <w:t>1~</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36</w:t>
            </w:r>
            <w:r>
              <w:rPr>
                <w:rFonts w:ascii="宋体" w:hAnsi="宋体" w:eastAsia="宋体" w:cs="宋体"/>
                <w:color w:val="auto"/>
                <w:spacing w:val="-3"/>
                <w:sz w:val="21"/>
                <w:szCs w:val="21"/>
              </w:rPr>
              <w:t>00、1~</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F</w:t>
            </w:r>
            <w:r>
              <w:rPr>
                <w:rFonts w:hint="eastAsia" w:ascii="宋体" w:hAnsi="宋体" w:eastAsia="宋体" w:cs="宋体"/>
                <w:color w:val="auto"/>
                <w:spacing w:val="-3"/>
                <w:sz w:val="21"/>
                <w:szCs w:val="21"/>
                <w:lang w:val="en-US" w:eastAsia="zh-CN"/>
              </w:rPr>
              <w:t>39</w:t>
            </w:r>
            <w:r>
              <w:rPr>
                <w:rFonts w:ascii="宋体" w:hAnsi="宋体" w:eastAsia="宋体" w:cs="宋体"/>
                <w:color w:val="auto"/>
                <w:spacing w:val="-3"/>
                <w:sz w:val="21"/>
                <w:szCs w:val="21"/>
              </w:rPr>
              <w:t>00</w:t>
            </w:r>
          </w:p>
          <w:p w14:paraId="6E40C40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13、标准层高（mm）：3000</w:t>
            </w:r>
          </w:p>
          <w:p w14:paraId="1D13654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14、电梯轿厢</w:t>
            </w:r>
            <w:r>
              <w:rPr>
                <w:rFonts w:hint="eastAsia" w:ascii="宋体" w:hAnsi="宋体" w:eastAsia="宋体" w:cs="宋体"/>
                <w:color w:val="auto"/>
                <w:spacing w:val="-3"/>
                <w:sz w:val="21"/>
                <w:szCs w:val="21"/>
                <w:lang w:val="en-US" w:eastAsia="zh-CN"/>
              </w:rPr>
              <w:t>净</w:t>
            </w:r>
            <w:r>
              <w:rPr>
                <w:rFonts w:ascii="宋体" w:hAnsi="宋体" w:eastAsia="宋体" w:cs="宋体"/>
                <w:color w:val="auto"/>
                <w:spacing w:val="-3"/>
                <w:sz w:val="21"/>
                <w:szCs w:val="21"/>
              </w:rPr>
              <w:t>高度:2.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m</w:t>
            </w:r>
          </w:p>
          <w:p w14:paraId="3957FBA1">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rPr>
              <w:t>15、门厅信号装置:外召唤板采用发纹不锈钢面板，门</w:t>
            </w:r>
            <w:r>
              <w:rPr>
                <w:rFonts w:ascii="宋体" w:hAnsi="宋体" w:eastAsia="宋体" w:cs="宋体"/>
                <w:color w:val="auto"/>
                <w:spacing w:val="-3"/>
                <w:sz w:val="21"/>
                <w:szCs w:val="21"/>
                <w:highlight w:val="none"/>
              </w:rPr>
              <w:t>厅楼层显示器与按钮装在统一标准的面板上，为LED显示，层层显示运行方向、电梯所在楼层等信息；</w:t>
            </w:r>
          </w:p>
          <w:p w14:paraId="18436C85">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16、地板:PVC；</w:t>
            </w:r>
          </w:p>
          <w:p w14:paraId="3B85598A">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17、厅门及小门套:同原有电梯</w:t>
            </w:r>
            <w:r>
              <w:rPr>
                <w:rFonts w:hint="eastAsia" w:ascii="宋体" w:hAnsi="宋体" w:eastAsia="宋体" w:cs="宋体"/>
                <w:color w:val="auto"/>
                <w:spacing w:val="-3"/>
                <w:sz w:val="21"/>
                <w:szCs w:val="21"/>
                <w:highlight w:val="none"/>
                <w:lang w:val="en-US" w:eastAsia="zh-CN"/>
              </w:rPr>
              <w:t>一致（更换）</w:t>
            </w:r>
            <w:r>
              <w:rPr>
                <w:rFonts w:ascii="宋体" w:hAnsi="宋体" w:eastAsia="宋体" w:cs="宋体"/>
                <w:color w:val="auto"/>
                <w:spacing w:val="-3"/>
                <w:sz w:val="21"/>
                <w:szCs w:val="21"/>
                <w:highlight w:val="none"/>
              </w:rPr>
              <w:t>；</w:t>
            </w:r>
          </w:p>
          <w:p w14:paraId="790A768E">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18、开门保护:配套光幕保护，要求有足够光束数交叉形成保护光幕，光幕上下端满至门顶和门底；</w:t>
            </w:r>
          </w:p>
          <w:p w14:paraId="49D52944">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19、称重启动:补偿电梯启动时需要的力矩，提高电梯的舒适感；</w:t>
            </w:r>
          </w:p>
          <w:p w14:paraId="3BBB0327">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0</w:t>
            </w:r>
            <w:r>
              <w:rPr>
                <w:rFonts w:ascii="宋体" w:hAnsi="宋体" w:eastAsia="宋体" w:cs="宋体"/>
                <w:color w:val="auto"/>
                <w:spacing w:val="-3"/>
                <w:sz w:val="21"/>
                <w:szCs w:val="21"/>
                <w:highlight w:val="none"/>
              </w:rPr>
              <w:t>、火警应急返回:基层站上开关或火灾传感器被启动时,所有召唤均被取消，电梯立即驶往指定救援站层，停靠并打开门；</w:t>
            </w:r>
          </w:p>
          <w:p w14:paraId="22CFA0A6">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1</w:t>
            </w:r>
            <w:r>
              <w:rPr>
                <w:rFonts w:ascii="宋体" w:hAnsi="宋体" w:eastAsia="宋体" w:cs="宋体"/>
                <w:color w:val="auto"/>
                <w:spacing w:val="-3"/>
                <w:sz w:val="21"/>
                <w:szCs w:val="21"/>
                <w:highlight w:val="none"/>
              </w:rPr>
              <w:t>、</w:t>
            </w:r>
            <w:r>
              <w:rPr>
                <w:rFonts w:hint="eastAsia" w:ascii="宋体" w:hAnsi="宋体" w:eastAsia="宋体" w:cs="宋体"/>
                <w:color w:val="auto"/>
                <w:spacing w:val="-3"/>
                <w:sz w:val="21"/>
                <w:szCs w:val="21"/>
                <w:highlight w:val="none"/>
              </w:rPr>
              <w:t>次层停靠（或同等功能）：电梯到达目的层如果轿厢门无法完全开启，可自动关门运行至相邻层站，实现门完全开启后恢复正常运行。</w:t>
            </w:r>
          </w:p>
          <w:p w14:paraId="66E1D1AB">
            <w:pPr>
              <w:pStyle w:val="27"/>
              <w:spacing w:before="1" w:line="274" w:lineRule="auto"/>
              <w:ind w:left="116" w:right="215" w:hanging="5"/>
              <w:jc w:val="left"/>
              <w:rPr>
                <w:rFonts w:ascii="宋体" w:hAnsi="宋体" w:eastAsia="宋体" w:cs="宋体"/>
                <w:color w:val="auto"/>
                <w:spacing w:val="-3"/>
                <w:sz w:val="21"/>
                <w:szCs w:val="21"/>
                <w:highlight w:val="none"/>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2</w:t>
            </w:r>
            <w:r>
              <w:rPr>
                <w:rFonts w:ascii="宋体" w:hAnsi="宋体" w:eastAsia="宋体" w:cs="宋体"/>
                <w:color w:val="auto"/>
                <w:spacing w:val="-3"/>
                <w:sz w:val="21"/>
                <w:szCs w:val="21"/>
                <w:highlight w:val="none"/>
              </w:rPr>
              <w:t>、供电电压:电梯在供电电压380V，波动≤±20%，供电频率50Hz波动±5%时仍能正常工作；</w:t>
            </w:r>
          </w:p>
          <w:p w14:paraId="5086E88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3</w:t>
            </w:r>
            <w:r>
              <w:rPr>
                <w:rFonts w:ascii="宋体" w:hAnsi="宋体" w:eastAsia="宋体" w:cs="宋体"/>
                <w:color w:val="auto"/>
                <w:spacing w:val="-3"/>
                <w:sz w:val="21"/>
                <w:szCs w:val="21"/>
                <w:highlight w:val="none"/>
              </w:rPr>
              <w:t>、制动要求（曳引系</w:t>
            </w:r>
            <w:r>
              <w:rPr>
                <w:rFonts w:ascii="宋体" w:hAnsi="宋体" w:eastAsia="宋体" w:cs="宋体"/>
                <w:color w:val="auto"/>
                <w:spacing w:val="-3"/>
                <w:sz w:val="21"/>
                <w:szCs w:val="21"/>
              </w:rPr>
              <w:t>统）：电梯采用永磁同步曳引机制动器，制动器性能经过≥1000万次测试合格；2</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、噪声平均值：符合国标；</w:t>
            </w:r>
          </w:p>
          <w:p w14:paraId="1E5FEE1E">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、平层精度：≤±10mm；</w:t>
            </w:r>
          </w:p>
          <w:p w14:paraId="10EACB1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6</w:t>
            </w:r>
            <w:r>
              <w:rPr>
                <w:rFonts w:ascii="宋体" w:hAnsi="宋体" w:eastAsia="宋体" w:cs="宋体"/>
                <w:color w:val="auto"/>
                <w:spacing w:val="-3"/>
                <w:sz w:val="21"/>
                <w:szCs w:val="21"/>
              </w:rPr>
              <w:t>、机房温度：机房内设备-10℃∽50℃时能够正常工作；</w:t>
            </w:r>
          </w:p>
          <w:p w14:paraId="22866EA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7</w:t>
            </w:r>
            <w:r>
              <w:rPr>
                <w:rFonts w:ascii="宋体" w:hAnsi="宋体" w:eastAsia="宋体" w:cs="宋体"/>
                <w:color w:val="auto"/>
                <w:spacing w:val="-3"/>
                <w:sz w:val="21"/>
                <w:szCs w:val="21"/>
              </w:rPr>
              <w:t>、电梯五方对讲由施工负责安装并达到正常使用(</w:t>
            </w:r>
            <w:r>
              <w:rPr>
                <w:rFonts w:hint="eastAsia" w:ascii="宋体" w:hAnsi="宋体" w:eastAsia="宋体" w:cs="宋体"/>
                <w:color w:val="auto"/>
                <w:spacing w:val="-3"/>
                <w:sz w:val="21"/>
                <w:szCs w:val="21"/>
                <w:lang w:val="en-US" w:eastAsia="zh-CN"/>
              </w:rPr>
              <w:t>井道及机房部分</w:t>
            </w:r>
            <w:r>
              <w:rPr>
                <w:rFonts w:ascii="宋体" w:hAnsi="宋体" w:eastAsia="宋体" w:cs="宋体"/>
                <w:color w:val="auto"/>
                <w:spacing w:val="-3"/>
                <w:sz w:val="21"/>
                <w:szCs w:val="21"/>
              </w:rPr>
              <w:t>)；</w:t>
            </w:r>
          </w:p>
          <w:p w14:paraId="4D5A1B1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w:t>
            </w:r>
            <w:r>
              <w:rPr>
                <w:rFonts w:hint="eastAsia" w:ascii="宋体" w:hAnsi="宋体" w:eastAsia="宋体" w:cs="宋体"/>
                <w:color w:val="auto"/>
                <w:spacing w:val="-3"/>
                <w:sz w:val="21"/>
                <w:szCs w:val="21"/>
                <w:lang w:val="en-US" w:eastAsia="zh-CN"/>
              </w:rPr>
              <w:t>8</w:t>
            </w:r>
            <w:r>
              <w:rPr>
                <w:rFonts w:ascii="宋体" w:hAnsi="宋体" w:eastAsia="宋体" w:cs="宋体"/>
                <w:color w:val="auto"/>
                <w:spacing w:val="-3"/>
                <w:sz w:val="21"/>
                <w:szCs w:val="21"/>
              </w:rPr>
              <w:t>、误操作:具有按键消除误操作功能；</w:t>
            </w:r>
          </w:p>
          <w:p w14:paraId="71915BDB">
            <w:pPr>
              <w:pStyle w:val="27"/>
              <w:spacing w:before="1" w:line="274" w:lineRule="auto"/>
              <w:ind w:left="116" w:right="215" w:hanging="5"/>
              <w:jc w:val="left"/>
              <w:rPr>
                <w:rFonts w:ascii="宋体" w:hAnsi="宋体" w:eastAsia="宋体" w:cs="宋体"/>
                <w:color w:val="auto"/>
                <w:spacing w:val="-3"/>
                <w:sz w:val="21"/>
                <w:szCs w:val="21"/>
              </w:rPr>
            </w:pPr>
            <w:r>
              <w:rPr>
                <w:rFonts w:hint="eastAsia" w:ascii="宋体" w:hAnsi="宋体" w:eastAsia="宋体" w:cs="宋体"/>
                <w:color w:val="auto"/>
                <w:spacing w:val="-3"/>
                <w:sz w:val="21"/>
                <w:szCs w:val="21"/>
                <w:lang w:val="en-US" w:eastAsia="zh-CN"/>
              </w:rPr>
              <w:t>29</w:t>
            </w:r>
            <w:r>
              <w:rPr>
                <w:rFonts w:ascii="宋体" w:hAnsi="宋体" w:eastAsia="宋体" w:cs="宋体"/>
                <w:color w:val="auto"/>
                <w:spacing w:val="-3"/>
                <w:sz w:val="21"/>
                <w:szCs w:val="21"/>
              </w:rPr>
              <w:t>、层门、轿门和轿厢</w:t>
            </w:r>
          </w:p>
          <w:p w14:paraId="7040FF7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(1)层门和轿门的地坎、轿厢护脚板</w:t>
            </w:r>
            <w:r>
              <w:rPr>
                <w:rFonts w:hint="eastAsia" w:ascii="宋体" w:hAnsi="宋体" w:eastAsia="宋体" w:cs="宋体"/>
                <w:color w:val="auto"/>
                <w:spacing w:val="-3"/>
                <w:sz w:val="21"/>
                <w:szCs w:val="21"/>
                <w:lang w:eastAsia="zh-CN"/>
              </w:rPr>
              <w:t>：</w:t>
            </w:r>
            <w:r>
              <w:rPr>
                <w:rFonts w:ascii="宋体" w:hAnsi="宋体" w:eastAsia="宋体" w:cs="宋体"/>
                <w:color w:val="auto"/>
                <w:spacing w:val="-3"/>
                <w:sz w:val="21"/>
                <w:szCs w:val="21"/>
              </w:rPr>
              <w:t>同原有电梯</w:t>
            </w:r>
            <w:r>
              <w:rPr>
                <w:rFonts w:hint="eastAsia" w:ascii="宋体" w:hAnsi="宋体" w:eastAsia="宋体" w:cs="宋体"/>
                <w:color w:val="auto"/>
                <w:spacing w:val="-3"/>
                <w:sz w:val="21"/>
                <w:szCs w:val="21"/>
                <w:lang w:val="en-US" w:eastAsia="zh-CN"/>
              </w:rPr>
              <w:t>一致（更换）</w:t>
            </w:r>
            <w:r>
              <w:rPr>
                <w:rFonts w:ascii="宋体" w:hAnsi="宋体" w:eastAsia="宋体" w:cs="宋体"/>
                <w:color w:val="auto"/>
                <w:spacing w:val="-3"/>
                <w:sz w:val="21"/>
                <w:szCs w:val="21"/>
              </w:rPr>
              <w:t>。</w:t>
            </w:r>
          </w:p>
          <w:p w14:paraId="47CE3E6E">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(2)更新的金属层门、轿门和轿壁的面板材料至少由一层公称厚度不小于1.5㎜的单一金属板材构成；保留的金属层门，其金属材质面板公称厚度不小于1.2mm；保留层门的下部保持装置啮合深度不小于15mm。</w:t>
            </w:r>
          </w:p>
          <w:p w14:paraId="19723CA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（3）电梯轿厢内部：操作盘面板采用发纹不锈钢面板，按钮采用树脂材料或不锈钢按钮。显示器为LED显示。</w:t>
            </w:r>
          </w:p>
          <w:p w14:paraId="158126ED">
            <w:pPr>
              <w:pStyle w:val="27"/>
              <w:spacing w:before="1" w:line="274" w:lineRule="auto"/>
              <w:ind w:left="116" w:right="215" w:hanging="5"/>
              <w:jc w:val="left"/>
              <w:rPr>
                <w:rFonts w:hint="default" w:ascii="宋体" w:hAnsi="宋体" w:eastAsia="宋体" w:cs="宋体"/>
                <w:color w:val="auto"/>
                <w:spacing w:val="-3"/>
                <w:sz w:val="21"/>
                <w:szCs w:val="21"/>
                <w:lang w:val="en-US" w:eastAsia="zh-CN"/>
              </w:rPr>
            </w:pPr>
            <w:r>
              <w:rPr>
                <w:rFonts w:ascii="宋体" w:hAnsi="宋体" w:eastAsia="宋体" w:cs="宋体"/>
                <w:color w:val="auto"/>
                <w:spacing w:val="-3"/>
                <w:sz w:val="21"/>
                <w:szCs w:val="21"/>
              </w:rPr>
              <w:t>（4）轿厢:轿厢使用材质不得低于发纹不锈钢钢板</w:t>
            </w:r>
            <w:r>
              <w:rPr>
                <w:rFonts w:hint="eastAsia" w:ascii="宋体" w:hAnsi="宋体" w:eastAsia="宋体" w:cs="宋体"/>
                <w:color w:val="auto"/>
                <w:spacing w:val="-3"/>
                <w:sz w:val="21"/>
                <w:szCs w:val="21"/>
                <w:lang w:eastAsia="zh-CN"/>
              </w:rPr>
              <w:t>，</w:t>
            </w:r>
            <w:r>
              <w:rPr>
                <w:rFonts w:hint="eastAsia" w:ascii="宋体" w:hAnsi="宋体" w:eastAsia="宋体" w:cs="宋体"/>
                <w:color w:val="auto"/>
                <w:spacing w:val="-3"/>
                <w:sz w:val="21"/>
                <w:szCs w:val="21"/>
                <w:lang w:val="en-US" w:eastAsia="zh-CN"/>
              </w:rPr>
              <w:t>后壁中间配置一块镜面不锈钢且加装不锈钢扶手。</w:t>
            </w:r>
          </w:p>
          <w:p w14:paraId="7CFCC52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（5）门系统:轿门不低于不锈钢材质、层门同原有电梯材质、门传动系统和门锁装置符合国家最新标准。</w:t>
            </w:r>
          </w:p>
          <w:p w14:paraId="78D607C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0</w:t>
            </w:r>
            <w:r>
              <w:rPr>
                <w:rFonts w:ascii="宋体" w:hAnsi="宋体" w:eastAsia="宋体" w:cs="宋体"/>
                <w:color w:val="auto"/>
                <w:spacing w:val="-3"/>
                <w:sz w:val="21"/>
                <w:szCs w:val="21"/>
              </w:rPr>
              <w:t>、导轨及导向系统</w:t>
            </w:r>
          </w:p>
          <w:p w14:paraId="1AF7BD7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（1）导轨：配置安全钳的更新导轨及其连接板应当符合GB/T22562(含表2至表10)的要求，其中对于额定载重量大于630kg的电梯，其轿厢侧导轨宽度b1应当不小于89mm。</w:t>
            </w:r>
          </w:p>
          <w:p w14:paraId="6E87DAD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（2）导向系统：导靴、导轨及导轨支架、导向轮等材质要求符合国家标准。</w:t>
            </w:r>
          </w:p>
          <w:p w14:paraId="213A72E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1</w:t>
            </w:r>
            <w:r>
              <w:rPr>
                <w:rFonts w:ascii="宋体" w:hAnsi="宋体" w:eastAsia="宋体" w:cs="宋体"/>
                <w:color w:val="auto"/>
                <w:spacing w:val="-3"/>
                <w:sz w:val="21"/>
                <w:szCs w:val="21"/>
              </w:rPr>
              <w:t>、悬挂系统</w:t>
            </w:r>
          </w:p>
          <w:p w14:paraId="47A7E6E4">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正常使用条件下，悬挂钢丝绳使用年限不少于10年或者对应电梯驱动主机启动次数不少于200万次；包覆带使用年限不少于20年或者对应电梯驱动主机启动次数不少于400万次，未到其使用年限或者驱动主机启动次数而达到报废条件时，由制造单位予以免费更换；</w:t>
            </w:r>
          </w:p>
          <w:p w14:paraId="3AB8594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（2）采用包覆带作为悬挂装置的，应当在控制柜内永久性张贴包括防止水、砂尘和润滑油等介质影响包覆带曳引能力的日常检查和维护保养要求的标识；</w:t>
            </w:r>
          </w:p>
          <w:p w14:paraId="495DC02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（3）对于采用非1:1悬挂比的电梯，当悬挂装置通过反绳轮与轿厢或者对重连接时，反绳轮及其固定部分应当设置防止轿厢或者对重与悬挂装置脱离或者反绳轮坠落的防护装置（需在相应位置设置指示标志）；</w:t>
            </w:r>
          </w:p>
          <w:p w14:paraId="5AD602C6">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（4）反绳轮应当采用金属材质。</w:t>
            </w:r>
          </w:p>
          <w:p w14:paraId="5722F8E7">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2</w:t>
            </w:r>
            <w:r>
              <w:rPr>
                <w:rFonts w:ascii="宋体" w:hAnsi="宋体" w:eastAsia="宋体" w:cs="宋体"/>
                <w:color w:val="auto"/>
                <w:spacing w:val="-3"/>
                <w:sz w:val="21"/>
                <w:szCs w:val="21"/>
              </w:rPr>
              <w:t>、缓冲器</w:t>
            </w:r>
          </w:p>
          <w:p w14:paraId="04141F8F">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不得使用非金属材质非线性蓄能型缓冲器。</w:t>
            </w:r>
          </w:p>
          <w:p w14:paraId="1D133AD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3</w:t>
            </w:r>
            <w:r>
              <w:rPr>
                <w:rFonts w:ascii="宋体" w:hAnsi="宋体" w:eastAsia="宋体" w:cs="宋体"/>
                <w:color w:val="auto"/>
                <w:spacing w:val="-3"/>
                <w:sz w:val="21"/>
                <w:szCs w:val="21"/>
              </w:rPr>
              <w:t>、对重块和轿厢配重</w:t>
            </w:r>
          </w:p>
          <w:p w14:paraId="09726F7D">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对重块和轿厢配重不得使用非金属材质。</w:t>
            </w:r>
          </w:p>
          <w:p w14:paraId="76283BB9">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4</w:t>
            </w:r>
            <w:r>
              <w:rPr>
                <w:rFonts w:ascii="宋体" w:hAnsi="宋体" w:eastAsia="宋体" w:cs="宋体"/>
                <w:color w:val="auto"/>
                <w:spacing w:val="-3"/>
                <w:sz w:val="21"/>
                <w:szCs w:val="21"/>
              </w:rPr>
              <w:t>、电梯工作条件</w:t>
            </w:r>
          </w:p>
          <w:p w14:paraId="00965228">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（1）正常使用条件：1）环境温度为-10℃∽50℃。</w:t>
            </w:r>
          </w:p>
          <w:p w14:paraId="031DAE9A">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2）空气相对湿度在最高温度为50℃时不超过60%，平均温度为25℃时，最大相对湿度不超过95%。</w:t>
            </w:r>
          </w:p>
          <w:p w14:paraId="6A479F2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（2）电梯应满足30万次/年的使用频率。</w:t>
            </w:r>
          </w:p>
          <w:p w14:paraId="48EEC3E0">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w:t>
            </w:r>
            <w:r>
              <w:rPr>
                <w:rFonts w:hint="eastAsia" w:ascii="宋体" w:hAnsi="宋体" w:eastAsia="宋体" w:cs="宋体"/>
                <w:color w:val="auto"/>
                <w:spacing w:val="-3"/>
                <w:sz w:val="21"/>
                <w:szCs w:val="21"/>
                <w:lang w:val="en-US" w:eastAsia="zh-CN"/>
              </w:rPr>
              <w:t>5</w:t>
            </w:r>
            <w:r>
              <w:rPr>
                <w:rFonts w:ascii="宋体" w:hAnsi="宋体" w:eastAsia="宋体" w:cs="宋体"/>
                <w:color w:val="auto"/>
                <w:spacing w:val="-3"/>
                <w:sz w:val="21"/>
                <w:szCs w:val="21"/>
              </w:rPr>
              <w:t>、电梯其他要求：</w:t>
            </w:r>
          </w:p>
          <w:p w14:paraId="5AA6E9B1">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（1）在安装单位实施限速器--安全钳联动试验、曳引能力试验、制动性能试验等载荷试验项目时，检验人员应当现场观察确认，相关音像记录应当清晰记录试验载荷、观察确认等情况，并长期保存。</w:t>
            </w:r>
          </w:p>
          <w:p w14:paraId="3FA027D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（2）超载运行试验：轿厢内装载110%额定载重量的载荷，进行启动、全程运行、停止和正常开关门连续周期正常不停顿运行60次，检查电梯是否无故障发生。</w:t>
            </w:r>
          </w:p>
          <w:p w14:paraId="5D135E05">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（3）应配备节能装置和功能，至少包括节能照明、照明和风扇的节能控制。</w:t>
            </w:r>
          </w:p>
          <w:p w14:paraId="6E9C099B">
            <w:pPr>
              <w:pStyle w:val="27"/>
              <w:spacing w:before="1" w:line="274" w:lineRule="auto"/>
              <w:ind w:left="116" w:right="215" w:hanging="5"/>
              <w:jc w:val="left"/>
              <w:rPr>
                <w:rFonts w:ascii="宋体" w:hAnsi="宋体" w:eastAsia="宋体" w:cs="宋体"/>
                <w:color w:val="auto"/>
                <w:spacing w:val="-3"/>
                <w:sz w:val="21"/>
                <w:szCs w:val="21"/>
              </w:rPr>
            </w:pPr>
            <w:r>
              <w:rPr>
                <w:rFonts w:ascii="宋体" w:hAnsi="宋体" w:eastAsia="宋体" w:cs="宋体"/>
                <w:color w:val="auto"/>
                <w:spacing w:val="-3"/>
                <w:sz w:val="21"/>
                <w:szCs w:val="21"/>
              </w:rPr>
              <w:t>（4）应配置识别电动自行车进入轿厢的功能。在电动自行车进入轿厢后，该功能应使电梯保持开门状态。</w:t>
            </w:r>
          </w:p>
        </w:tc>
        <w:tc>
          <w:tcPr>
            <w:tcW w:w="755" w:type="dxa"/>
            <w:vAlign w:val="top"/>
          </w:tcPr>
          <w:p w14:paraId="442978ED">
            <w:pPr>
              <w:pStyle w:val="27"/>
              <w:spacing w:before="79" w:line="241" w:lineRule="auto"/>
              <w:jc w:val="center"/>
              <w:rPr>
                <w:rFonts w:hint="eastAsia" w:eastAsia="宋体"/>
                <w:color w:val="auto"/>
                <w:sz w:val="21"/>
                <w:szCs w:val="21"/>
                <w:lang w:val="en-US" w:eastAsia="zh-CN"/>
              </w:rPr>
            </w:pPr>
            <w:r>
              <w:rPr>
                <w:rFonts w:hint="eastAsia"/>
                <w:color w:val="auto"/>
                <w:sz w:val="21"/>
                <w:szCs w:val="21"/>
                <w:lang w:val="en-US" w:eastAsia="zh-CN"/>
              </w:rPr>
              <w:t>1</w:t>
            </w:r>
          </w:p>
        </w:tc>
        <w:tc>
          <w:tcPr>
            <w:tcW w:w="654" w:type="dxa"/>
            <w:vAlign w:val="top"/>
          </w:tcPr>
          <w:p w14:paraId="174D1A4B">
            <w:pPr>
              <w:pStyle w:val="27"/>
              <w:spacing w:before="49" w:line="220" w:lineRule="auto"/>
              <w:jc w:val="center"/>
              <w:rPr>
                <w:rFonts w:hint="eastAsia" w:eastAsia="宋体"/>
                <w:color w:val="auto"/>
                <w:sz w:val="21"/>
                <w:szCs w:val="21"/>
                <w:lang w:val="en-US" w:eastAsia="zh-CN"/>
              </w:rPr>
            </w:pPr>
            <w:r>
              <w:rPr>
                <w:rFonts w:hint="eastAsia"/>
                <w:color w:val="auto"/>
                <w:sz w:val="21"/>
                <w:szCs w:val="21"/>
                <w:lang w:val="en-US" w:eastAsia="zh-CN"/>
              </w:rPr>
              <w:t>有</w:t>
            </w:r>
          </w:p>
        </w:tc>
        <w:tc>
          <w:tcPr>
            <w:tcW w:w="782" w:type="dxa"/>
            <w:vAlign w:val="top"/>
          </w:tcPr>
          <w:p w14:paraId="6795A81C">
            <w:pPr>
              <w:pStyle w:val="27"/>
              <w:spacing w:before="49" w:line="220" w:lineRule="auto"/>
              <w:jc w:val="center"/>
              <w:rPr>
                <w:rFonts w:hint="default"/>
                <w:color w:val="auto"/>
                <w:sz w:val="21"/>
                <w:szCs w:val="21"/>
                <w:lang w:val="en-US" w:eastAsia="zh-CN"/>
              </w:rPr>
            </w:pPr>
            <w:r>
              <w:rPr>
                <w:rFonts w:hint="eastAsia"/>
                <w:color w:val="auto"/>
                <w:sz w:val="21"/>
                <w:szCs w:val="21"/>
                <w:lang w:val="en-US" w:eastAsia="zh-CN"/>
              </w:rPr>
              <w:t>150000</w:t>
            </w:r>
          </w:p>
        </w:tc>
      </w:tr>
    </w:tbl>
    <w:p w14:paraId="75D11BBA">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黑体" w:cs="宋体" w:hAnsiTheme="minorHAnsi" w:eastAsiaTheme="minorEastAsia"/>
          <w:b/>
          <w:kern w:val="2"/>
          <w:sz w:val="28"/>
          <w:szCs w:val="28"/>
          <w:highlight w:val="none"/>
          <w:lang w:val="en-US" w:eastAsia="zh-CN" w:bidi="ar-SA"/>
        </w:rPr>
      </w:pPr>
    </w:p>
    <w:p w14:paraId="7F8ACC1B">
      <w:pPr>
        <w:spacing w:before="115" w:line="224" w:lineRule="auto"/>
        <w:rPr>
          <w:rFonts w:ascii="宋体" w:hAnsi="宋体" w:eastAsia="宋体" w:cs="宋体"/>
          <w:b/>
          <w:bCs/>
          <w:sz w:val="24"/>
          <w:szCs w:val="24"/>
        </w:rPr>
      </w:pPr>
      <w:r>
        <w:rPr>
          <w:rFonts w:hint="eastAsia" w:ascii="宋体" w:hAnsi="宋体" w:eastAsia="宋体" w:cs="宋体"/>
          <w:b/>
          <w:bCs/>
          <w:spacing w:val="-3"/>
          <w:sz w:val="24"/>
          <w:szCs w:val="24"/>
          <w:lang w:val="en-US" w:eastAsia="zh-CN"/>
        </w:rPr>
        <w:t>一、</w:t>
      </w:r>
      <w:r>
        <w:rPr>
          <w:rFonts w:ascii="宋体" w:hAnsi="宋体" w:eastAsia="宋体" w:cs="宋体"/>
          <w:b/>
          <w:bCs/>
          <w:spacing w:val="-3"/>
          <w:sz w:val="24"/>
          <w:szCs w:val="24"/>
        </w:rPr>
        <w:t>产品须符合以下电梯技术规范要求：</w:t>
      </w:r>
    </w:p>
    <w:p w14:paraId="0364E7D5">
      <w:pPr>
        <w:spacing w:before="228" w:line="354" w:lineRule="auto"/>
        <w:ind w:left="0" w:leftChars="0" w:right="-94" w:rightChars="0" w:firstLine="480" w:firstLineChars="0"/>
        <w:rPr>
          <w:rFonts w:ascii="宋体" w:hAnsi="宋体" w:eastAsia="宋体" w:cs="宋体"/>
          <w:spacing w:val="-1"/>
          <w:sz w:val="24"/>
          <w:szCs w:val="24"/>
        </w:rPr>
      </w:pPr>
      <w:r>
        <w:rPr>
          <w:rFonts w:ascii="宋体" w:hAnsi="宋体" w:eastAsia="宋体" w:cs="宋体"/>
          <w:spacing w:val="-1"/>
          <w:sz w:val="24"/>
          <w:szCs w:val="24"/>
        </w:rPr>
        <w:t>住宅老旧电梯更新后，更新设备部分应满足国家标准GB/T7588.1—2020《电梯制造与安装安全规范第1部分：乘客电梯和载货电梯》和安全技术规范的要求，监督检验时，严格执行《电梯监督检验和定期检验规则》(TSGT7001—2023)等安全技术规范的要求，确保电梯检验工作质量。技术标准不低于国家市场监督管理总局《关于进一步做好住宅老旧电梯更新有关工作的通知》(市监特设发【2025】52号)要求。所提供设备的验收应严格执行《电梯监督检验和定期检验规则》(TSGT7001—2023)等安全技术规范，本项目质量标准为优良等级。</w:t>
      </w:r>
    </w:p>
    <w:p w14:paraId="7603588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1、GB/T10058-2023《乘客电梯》</w:t>
      </w:r>
    </w:p>
    <w:p w14:paraId="4901CDF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2、GB/T7588.1-2020、GB/T7588.2-2020《电梯制造与安装安全规范》</w:t>
      </w:r>
    </w:p>
    <w:p w14:paraId="20316E0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3、GB/T10058-2023《电梯技术条件》</w:t>
      </w:r>
    </w:p>
    <w:p w14:paraId="7623F11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4、GB/T10059-2023《电梯试验方法》</w:t>
      </w:r>
    </w:p>
    <w:p w14:paraId="7C931C0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5、GB/T10060-2023《电梯安装验收规范》</w:t>
      </w:r>
    </w:p>
    <w:p w14:paraId="0510347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6、GB50310-2002《电梯工程施工质量验收规范》</w:t>
      </w:r>
    </w:p>
    <w:p w14:paraId="1801CC2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7、GB/T7025.1~.3-2023三部分</w:t>
      </w:r>
    </w:p>
    <w:p w14:paraId="70B9128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8、GB8903-2024《电梯用钢丝绳》</w:t>
      </w:r>
    </w:p>
    <w:p w14:paraId="23D54E8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9、GB/T24478-2023《电梯曳引机》</w:t>
      </w:r>
    </w:p>
    <w:p w14:paraId="419DDE7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10、《特种设备安全法》、(GB/T7588.1-2020TSGT7001-2023、市监特设发【2025】52号文附件1、附件2相关要求</w:t>
      </w:r>
    </w:p>
    <w:p w14:paraId="4CF12A8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11、DB41/T2408-2023《电梯按需维保安全管理规范》</w:t>
      </w:r>
    </w:p>
    <w:p w14:paraId="2B7C9B9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96" w:rightChars="0" w:firstLine="482" w:firstLineChars="0"/>
        <w:rPr>
          <w:rFonts w:ascii="宋体" w:hAnsi="宋体" w:eastAsia="宋体" w:cs="宋体"/>
          <w:spacing w:val="-1"/>
          <w:sz w:val="24"/>
          <w:szCs w:val="24"/>
        </w:rPr>
      </w:pPr>
      <w:r>
        <w:rPr>
          <w:rFonts w:ascii="宋体" w:hAnsi="宋体" w:eastAsia="宋体" w:cs="宋体"/>
          <w:spacing w:val="-1"/>
          <w:sz w:val="24"/>
          <w:szCs w:val="24"/>
        </w:rPr>
        <w:t>电梯产品不低于上述国家及地方现行标准及有关规定的最新要求。如其中有非现行法规、标准，应按相应现行法规、标准替代执行。</w:t>
      </w:r>
    </w:p>
    <w:p w14:paraId="232B934D">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黑体" w:cs="宋体" w:hAnsiTheme="minorHAnsi" w:eastAsiaTheme="minorEastAsia"/>
          <w:b/>
          <w:kern w:val="2"/>
          <w:sz w:val="28"/>
          <w:szCs w:val="28"/>
          <w:highlight w:val="none"/>
          <w:lang w:val="en-US" w:eastAsia="zh-CN" w:bidi="ar-SA"/>
        </w:rPr>
      </w:pPr>
    </w:p>
    <w:p w14:paraId="165CE2E1">
      <w:pPr>
        <w:numPr>
          <w:ilvl w:val="0"/>
          <w:numId w:val="0"/>
        </w:numPr>
        <w:spacing w:line="360" w:lineRule="auto"/>
        <w:jc w:val="center"/>
        <w:outlineLvl w:val="0"/>
        <w:rPr>
          <w:rFonts w:hint="eastAsia" w:ascii="黑体" w:cs="宋体" w:hAnsiTheme="minorHAnsi" w:eastAsiaTheme="minorEastAsia"/>
          <w:b/>
          <w:kern w:val="2"/>
          <w:sz w:val="28"/>
          <w:szCs w:val="28"/>
          <w:highlight w:val="none"/>
          <w:lang w:val="en-US" w:eastAsia="zh-CN" w:bidi="ar-SA"/>
        </w:rPr>
      </w:pPr>
    </w:p>
    <w:p w14:paraId="4E96B182">
      <w:pPr>
        <w:numPr>
          <w:ilvl w:val="0"/>
          <w:numId w:val="0"/>
        </w:numPr>
        <w:spacing w:line="360" w:lineRule="auto"/>
        <w:jc w:val="center"/>
        <w:outlineLvl w:val="0"/>
        <w:rPr>
          <w:rFonts w:hint="eastAsia" w:ascii="黑体" w:cs="宋体" w:hAnsiTheme="minorHAnsi" w:eastAsiaTheme="minorEastAsia"/>
          <w:b/>
          <w:kern w:val="2"/>
          <w:sz w:val="28"/>
          <w:szCs w:val="28"/>
          <w:highlight w:val="none"/>
          <w:lang w:val="en-US" w:eastAsia="zh-CN" w:bidi="ar-SA"/>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115"/>
    <w:bookmarkEnd w:id="116"/>
    <w:p w14:paraId="45A0B74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黑体" w:cs="宋体"/>
          <w:b/>
          <w:kern w:val="2"/>
          <w:sz w:val="24"/>
          <w:szCs w:val="24"/>
        </w:rPr>
      </w:pPr>
      <w:bookmarkStart w:id="119" w:name="_Toc23046"/>
      <w:r>
        <w:rPr>
          <w:rFonts w:hint="eastAsia" w:ascii="黑体" w:cs="宋体" w:hAnsiTheme="minorHAnsi" w:eastAsiaTheme="minorEastAsia"/>
          <w:b/>
          <w:kern w:val="2"/>
          <w:sz w:val="24"/>
          <w:szCs w:val="24"/>
          <w:lang w:val="en-US" w:eastAsia="zh-CN" w:bidi="ar-SA"/>
        </w:rPr>
        <w:t>第四章</w:t>
      </w:r>
      <w:r>
        <w:rPr>
          <w:rFonts w:hint="eastAsia" w:ascii="黑体" w:cs="宋体"/>
          <w:b/>
          <w:kern w:val="2"/>
          <w:sz w:val="24"/>
          <w:szCs w:val="24"/>
          <w:lang w:val="en-US" w:eastAsia="zh-CN" w:bidi="ar-SA"/>
        </w:rPr>
        <w:t xml:space="preserve">  </w:t>
      </w:r>
      <w:r>
        <w:rPr>
          <w:rFonts w:hint="eastAsia" w:ascii="黑体" w:cs="宋体"/>
          <w:b/>
          <w:kern w:val="2"/>
          <w:sz w:val="24"/>
          <w:szCs w:val="24"/>
        </w:rPr>
        <w:t>合同条款及格式</w:t>
      </w:r>
      <w:bookmarkEnd w:id="119"/>
    </w:p>
    <w:p w14:paraId="21411987">
      <w:pPr>
        <w:keepNext w:val="0"/>
        <w:keepLines w:val="0"/>
        <w:pageBreakBefore w:val="0"/>
        <w:widowControl w:val="0"/>
        <w:kinsoku/>
        <w:wordWrap w:val="0"/>
        <w:overflowPunct/>
        <w:topLinePunct/>
        <w:autoSpaceDE/>
        <w:autoSpaceDN/>
        <w:bidi w:val="0"/>
        <w:adjustRightInd/>
        <w:snapToGrid/>
        <w:spacing w:line="500" w:lineRule="exact"/>
        <w:ind w:left="-424" w:leftChars="-202" w:right="-624" w:rightChars="-297" w:firstLine="366" w:firstLineChars="152"/>
        <w:jc w:val="center"/>
        <w:textAlignment w:val="auto"/>
        <w:rPr>
          <w:rFonts w:hint="eastAsia"/>
          <w:b/>
          <w:color w:val="000000"/>
          <w:kern w:val="2"/>
          <w:sz w:val="24"/>
          <w:szCs w:val="24"/>
          <w:lang w:val="en-US" w:bidi="ar-SA"/>
        </w:rPr>
      </w:pPr>
      <w:bookmarkStart w:id="120" w:name="_Toc461977428"/>
      <w:bookmarkEnd w:id="120"/>
      <w:bookmarkStart w:id="121" w:name="_Toc316289951"/>
      <w:r>
        <w:rPr>
          <w:rFonts w:hint="eastAsia"/>
          <w:b/>
          <w:color w:val="000000"/>
          <w:kern w:val="2"/>
          <w:sz w:val="24"/>
          <w:szCs w:val="24"/>
          <w:lang w:val="en-US" w:bidi="ar-SA"/>
        </w:rPr>
        <w:t>（此合同范本仅供参考，具体以签订正式合同时为准）</w:t>
      </w:r>
      <w:bookmarkEnd w:id="121"/>
    </w:p>
    <w:p w14:paraId="12A3429D">
      <w:pPr>
        <w:keepNext w:val="0"/>
        <w:keepLines w:val="0"/>
        <w:pageBreakBefore w:val="0"/>
        <w:widowControl w:val="0"/>
        <w:kinsoku/>
        <w:wordWrap w:val="0"/>
        <w:overflowPunct/>
        <w:topLinePunct/>
        <w:autoSpaceDE/>
        <w:autoSpaceDN/>
        <w:bidi w:val="0"/>
        <w:adjustRightInd/>
        <w:snapToGrid/>
        <w:spacing w:line="500" w:lineRule="exact"/>
        <w:ind w:firstLine="645"/>
        <w:textAlignment w:val="auto"/>
        <w:rPr>
          <w:rFonts w:hint="eastAsia" w:ascii="宋体" w:hAnsi="宋体" w:cs="宋体"/>
          <w:color w:val="000000"/>
          <w:sz w:val="24"/>
          <w:highlight w:val="none"/>
          <w:lang w:val="zh-CN"/>
        </w:rPr>
      </w:pPr>
      <w:bookmarkStart w:id="122" w:name="_Toc4691"/>
      <w:r>
        <w:rPr>
          <w:rFonts w:hint="eastAsia" w:ascii="宋体" w:hAnsi="宋体" w:cs="宋体"/>
          <w:color w:val="000000"/>
          <w:sz w:val="24"/>
          <w:highlight w:val="none"/>
          <w:lang w:val="en-US" w:eastAsia="zh-CN"/>
        </w:rPr>
        <w:t>需方（采购人全称）</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en-US" w:eastAsia="zh-CN"/>
        </w:rPr>
        <w:t xml:space="preserve">                      </w:t>
      </w:r>
    </w:p>
    <w:p w14:paraId="3A49F536">
      <w:pPr>
        <w:keepNext w:val="0"/>
        <w:keepLines w:val="0"/>
        <w:pageBreakBefore w:val="0"/>
        <w:widowControl w:val="0"/>
        <w:kinsoku/>
        <w:wordWrap w:val="0"/>
        <w:overflowPunct/>
        <w:topLinePunct/>
        <w:autoSpaceDE/>
        <w:autoSpaceDN/>
        <w:bidi w:val="0"/>
        <w:adjustRightInd/>
        <w:snapToGrid/>
        <w:spacing w:line="500" w:lineRule="exact"/>
        <w:ind w:firstLine="645"/>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en-US" w:eastAsia="zh-CN"/>
        </w:rPr>
        <w:t>供方（成交供应商）</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en-US" w:eastAsia="zh-CN"/>
        </w:rPr>
        <w:t xml:space="preserve">                      </w:t>
      </w:r>
      <w:r>
        <w:rPr>
          <w:rFonts w:hint="eastAsia" w:ascii="宋体" w:hAnsi="宋体" w:cs="宋体"/>
          <w:color w:val="000000"/>
          <w:sz w:val="24"/>
          <w:highlight w:val="none"/>
          <w:lang w:val="zh-CN"/>
        </w:rPr>
        <w:tab/>
      </w:r>
    </w:p>
    <w:p w14:paraId="64F044A8">
      <w:pPr>
        <w:keepNext w:val="0"/>
        <w:keepLines w:val="0"/>
        <w:pageBreakBefore w:val="0"/>
        <w:widowControl w:val="0"/>
        <w:kinsoku/>
        <w:wordWrap w:val="0"/>
        <w:overflowPunct/>
        <w:topLinePunct/>
        <w:autoSpaceDE/>
        <w:autoSpaceDN/>
        <w:bidi w:val="0"/>
        <w:adjustRightInd/>
        <w:snapToGrid/>
        <w:spacing w:line="500" w:lineRule="exact"/>
        <w:ind w:firstLine="645"/>
        <w:jc w:val="left"/>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供</w:t>
      </w:r>
      <w:r>
        <w:rPr>
          <w:rFonts w:hint="eastAsia" w:ascii="宋体" w:hAnsi="宋体" w:cs="宋体"/>
          <w:color w:val="000000"/>
          <w:sz w:val="24"/>
          <w:highlight w:val="none"/>
          <w:lang w:val="zh-CN"/>
        </w:rPr>
        <w:t>方持成交通知书，根据竞争性磋商文件、投标</w:t>
      </w:r>
      <w:r>
        <w:rPr>
          <w:rFonts w:ascii="宋体" w:hAnsi="宋体" w:cs="宋体"/>
          <w:color w:val="000000"/>
          <w:sz w:val="24"/>
          <w:highlight w:val="none"/>
          <w:lang w:val="zh-CN"/>
        </w:rPr>
        <w:t>/</w:t>
      </w:r>
      <w:r>
        <w:rPr>
          <w:rFonts w:hint="eastAsia" w:ascii="宋体" w:hAnsi="宋体" w:cs="宋体"/>
          <w:color w:val="000000"/>
          <w:sz w:val="24"/>
          <w:highlight w:val="none"/>
          <w:lang w:val="zh-CN"/>
        </w:rPr>
        <w:t>报价等文件</w:t>
      </w:r>
      <w:r>
        <w:rPr>
          <w:rFonts w:ascii="宋体" w:hAnsi="宋体" w:cs="宋体"/>
          <w:color w:val="000000"/>
          <w:sz w:val="24"/>
          <w:highlight w:val="none"/>
          <w:lang w:val="zh-CN"/>
        </w:rPr>
        <w:t>[</w:t>
      </w:r>
      <w:r>
        <w:rPr>
          <w:rFonts w:hint="eastAsia" w:ascii="宋体" w:hAnsi="宋体" w:cs="宋体"/>
          <w:color w:val="000000"/>
          <w:sz w:val="24"/>
          <w:highlight w:val="none"/>
          <w:lang w:val="zh-CN"/>
        </w:rPr>
        <w:t>项目编号：</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，按照《政府采购法》、《民法典》等有关法律、法规，供需双方经协商一致，达成以下合同条款：</w:t>
      </w:r>
    </w:p>
    <w:p w14:paraId="7E7D8907">
      <w:pPr>
        <w:keepNext w:val="0"/>
        <w:keepLines w:val="0"/>
        <w:pageBreakBefore w:val="0"/>
        <w:kinsoku/>
        <w:wordWrap/>
        <w:overflowPunct/>
        <w:topLinePunct w:val="0"/>
        <w:autoSpaceDE w:val="0"/>
        <w:autoSpaceDN w:val="0"/>
        <w:bidi w:val="0"/>
        <w:spacing w:line="500" w:lineRule="exact"/>
        <w:ind w:firstLine="538"/>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一、本合同名称：</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w:t>
      </w:r>
    </w:p>
    <w:p w14:paraId="5DACAF65">
      <w:pPr>
        <w:keepNext w:val="0"/>
        <w:keepLines w:val="0"/>
        <w:pageBreakBefore w:val="0"/>
        <w:kinsoku/>
        <w:wordWrap/>
        <w:overflowPunct/>
        <w:topLinePunct w:val="0"/>
        <w:autoSpaceDE w:val="0"/>
        <w:autoSpaceDN w:val="0"/>
        <w:bidi w:val="0"/>
        <w:spacing w:line="500" w:lineRule="exact"/>
        <w:ind w:firstLine="538"/>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二、本合同总价为人民币</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元（大写：</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w:t>
      </w:r>
    </w:p>
    <w:p w14:paraId="12989AE5">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三、质量要求及供方对质量负责条件和期限：</w:t>
      </w:r>
    </w:p>
    <w:p w14:paraId="3F8D3A4C">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olor w:val="000000"/>
          <w:sz w:val="24"/>
          <w:highlight w:val="none"/>
        </w:rPr>
        <w:t>所供货物必须首先符合有关国家强制性规定、国家（行业）标准或相关法律法规要求</w:t>
      </w:r>
      <w:r>
        <w:rPr>
          <w:rFonts w:hint="eastAsia" w:ascii="宋体" w:hAnsi="宋体" w:cs="宋体"/>
          <w:color w:val="000000"/>
          <w:sz w:val="24"/>
          <w:highlight w:val="none"/>
          <w:lang w:val="zh-CN"/>
        </w:rPr>
        <w:t>，同时符合竞争性磋商文件规定的质量要求。供方应提供全新未拆封产品（包括零部件、附件、备品备件），如确需拆封的，应在供货前征得采购人同意，否则视为不能交货。供方保证全部按照合同规定的时间和方式向需方提供货物和服务，并负责可能的弥补缺陷。需方对货物规格、型号、质量有异议的应在收到货物后</w:t>
      </w:r>
      <w:r>
        <w:rPr>
          <w:rFonts w:ascii="宋体" w:hAnsi="宋体" w:cs="宋体"/>
          <w:color w:val="000000"/>
          <w:sz w:val="24"/>
          <w:highlight w:val="none"/>
          <w:lang w:val="zh-CN"/>
        </w:rPr>
        <w:t>15</w:t>
      </w:r>
      <w:r>
        <w:rPr>
          <w:rFonts w:hint="eastAsia" w:ascii="宋体" w:hAnsi="宋体" w:cs="宋体"/>
          <w:color w:val="000000"/>
          <w:sz w:val="24"/>
          <w:highlight w:val="none"/>
          <w:lang w:val="zh-CN"/>
        </w:rPr>
        <w:t>日内以书面形式向供方提出，需安装调试成套设备的提出异议的期限为</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日。</w:t>
      </w:r>
    </w:p>
    <w:p w14:paraId="1F71054E">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四、售后服务承诺：</w:t>
      </w:r>
    </w:p>
    <w:p w14:paraId="2A358C06">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售后服务响应时间：</w:t>
      </w:r>
    </w:p>
    <w:p w14:paraId="1A042A72">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解决问题时间：</w:t>
      </w:r>
    </w:p>
    <w:p w14:paraId="54D75BFA">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售后服务机构名称、地址及联系方式：</w:t>
      </w:r>
    </w:p>
    <w:p w14:paraId="13CB5C31">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其他服务承诺：</w:t>
      </w:r>
    </w:p>
    <w:p w14:paraId="39A72961">
      <w:pPr>
        <w:keepNext w:val="0"/>
        <w:keepLines w:val="0"/>
        <w:pageBreakBefore w:val="0"/>
        <w:kinsoku/>
        <w:wordWrap/>
        <w:overflowPunct/>
        <w:topLinePunct w:val="0"/>
        <w:autoSpaceDE w:val="0"/>
        <w:autoSpaceDN w:val="0"/>
        <w:bidi w:val="0"/>
        <w:adjustRightInd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五、合同履行地点及进度：合同生效后，供方应于</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年</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月</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日前按需方要求在</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w:t>
      </w:r>
      <w:r>
        <w:rPr>
          <w:rFonts w:hint="eastAsia" w:ascii="宋体" w:hAnsi="宋体" w:cs="宋体"/>
          <w:color w:val="000000"/>
          <w:sz w:val="24"/>
          <w:highlight w:val="none"/>
          <w:lang w:val="zh-CN"/>
        </w:rPr>
        <w:t>需方指定的地点）完成本项目的交货、安装、调试（或施工）。货物运送的费用由供方负责。需方应在货物到达指定地点后，提供符合安装条件的场地、电源、环境等。</w:t>
      </w:r>
    </w:p>
    <w:p w14:paraId="04D24F71">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六、供方在交付货物时应向需方提供货物的使用说明、合格证书及其它相关资料，否则按不能交货对待。</w:t>
      </w:r>
    </w:p>
    <w:p w14:paraId="3AB407AB">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en-US" w:eastAsia="zh-CN"/>
        </w:rPr>
        <w:t>七</w:t>
      </w:r>
      <w:r>
        <w:rPr>
          <w:rFonts w:hint="eastAsia" w:ascii="宋体" w:hAnsi="宋体" w:cs="宋体"/>
          <w:color w:val="000000"/>
          <w:sz w:val="24"/>
          <w:highlight w:val="none"/>
          <w:lang w:val="zh-CN"/>
        </w:rPr>
        <w:t>、验收要求。</w:t>
      </w:r>
    </w:p>
    <w:p w14:paraId="53FF3562">
      <w:pPr>
        <w:keepNext w:val="0"/>
        <w:keepLines w:val="0"/>
        <w:pageBreakBefore w:val="0"/>
        <w:kinsoku/>
        <w:wordWrap/>
        <w:overflowPunct/>
        <w:topLinePunct w:val="0"/>
        <w:autoSpaceDE w:val="0"/>
        <w:autoSpaceDN w:val="0"/>
        <w:bidi w:val="0"/>
        <w:spacing w:line="500" w:lineRule="exact"/>
        <w:ind w:firstLine="56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1、供方履约完毕及时向需方提出验收申请。</w:t>
      </w:r>
    </w:p>
    <w:p w14:paraId="367EA275">
      <w:pPr>
        <w:keepNext w:val="0"/>
        <w:keepLines w:val="0"/>
        <w:pageBreakBefore w:val="0"/>
        <w:kinsoku/>
        <w:wordWrap/>
        <w:overflowPunct/>
        <w:topLinePunct w:val="0"/>
        <w:autoSpaceDE w:val="0"/>
        <w:autoSpaceDN w:val="0"/>
        <w:bidi w:val="0"/>
        <w:spacing w:line="500" w:lineRule="exact"/>
        <w:ind w:firstLine="56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2、需方在收到供方验收申请后</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个工作日内组织验收。需方成立3人以上验收工作组，按照竞争性磋商文件规定、中标供应商响应性文件承诺，及国家有关规定认真组织验收工作。大型或者复杂的政府采购项目以及需方认为必要的项目，应当邀请国家认可的质量检测机构参加验收工作。如本项目属国家规定的强制性检测项目，需方必须委托国家认可的专业检测机构验收。</w:t>
      </w:r>
    </w:p>
    <w:p w14:paraId="501CA659">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八</w:t>
      </w:r>
      <w:r>
        <w:rPr>
          <w:rFonts w:hint="eastAsia" w:ascii="宋体" w:hAnsi="宋体" w:cs="宋体"/>
          <w:color w:val="000000"/>
          <w:sz w:val="24"/>
          <w:highlight w:val="none"/>
          <w:lang w:val="zh-CN"/>
        </w:rPr>
        <w:t>、付款程序、方式及期限：</w:t>
      </w:r>
    </w:p>
    <w:p w14:paraId="61C09B24">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ascii="宋体" w:hAnsi="宋体" w:cs="宋体"/>
          <w:color w:val="000000"/>
          <w:sz w:val="24"/>
          <w:highlight w:val="none"/>
          <w:lang w:val="zh-CN"/>
        </w:rPr>
        <w:t>1</w:t>
      </w:r>
      <w:r>
        <w:rPr>
          <w:rFonts w:hint="eastAsia" w:ascii="宋体" w:hAnsi="宋体" w:cs="宋体"/>
          <w:color w:val="000000"/>
          <w:sz w:val="24"/>
          <w:highlight w:val="none"/>
          <w:lang w:val="zh-CN"/>
        </w:rPr>
        <w:t>、供方开具以需方单位名称为抬头的发票。</w:t>
      </w:r>
    </w:p>
    <w:p w14:paraId="2766A1A3">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olor w:val="000000"/>
          <w:sz w:val="24"/>
          <w:highlight w:val="none"/>
        </w:rPr>
      </w:pPr>
      <w:r>
        <w:rPr>
          <w:rFonts w:ascii="宋体" w:hAnsi="宋体" w:cs="宋体"/>
          <w:color w:val="000000"/>
          <w:sz w:val="24"/>
          <w:highlight w:val="none"/>
          <w:lang w:val="zh-CN"/>
        </w:rPr>
        <w:t>2</w:t>
      </w:r>
      <w:r>
        <w:rPr>
          <w:rFonts w:hint="eastAsia" w:ascii="宋体" w:hAnsi="宋体" w:cs="宋体"/>
          <w:color w:val="000000"/>
          <w:sz w:val="24"/>
          <w:highlight w:val="none"/>
          <w:lang w:val="zh-CN"/>
        </w:rPr>
        <w:t>、需方验收完毕后</w:t>
      </w:r>
      <w:r>
        <w:rPr>
          <w:rFonts w:hint="eastAsia" w:ascii="宋体" w:hAnsi="宋体"/>
          <w:color w:val="000000"/>
          <w:sz w:val="24"/>
          <w:highlight w:val="none"/>
        </w:rPr>
        <w:t>到需方办理资金支付手续。</w:t>
      </w:r>
    </w:p>
    <w:p w14:paraId="7F31F1A2">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九</w:t>
      </w:r>
      <w:r>
        <w:rPr>
          <w:rFonts w:hint="eastAsia" w:ascii="宋体" w:hAnsi="宋体" w:cs="宋体"/>
          <w:color w:val="000000"/>
          <w:sz w:val="24"/>
          <w:highlight w:val="none"/>
          <w:lang w:val="zh-CN"/>
        </w:rPr>
        <w:t>、违约责任：</w:t>
      </w:r>
    </w:p>
    <w:p w14:paraId="63C148AF">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供方所交付的货物品种、型号、规格、质量不符合国家规定标准及合同要求的，或者供方不能交付货物的，供方应向需方支付合同金额总值</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的违约金，需方有权解除合同，并要求赔偿损失。供方如逾期完成的，每逾期一日供方应向需方支付合同金额的</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违约金。</w:t>
      </w:r>
    </w:p>
    <w:p w14:paraId="1A426695">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需方无正当理由拒收货物、拒付货款，需方应向供方偿付拒收拒付部分设备款总额</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的违约金；需方如逾期付款的，每逾期付款一日的需方应向供方偿付所欠合同金额</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w:t>
      </w:r>
    </w:p>
    <w:p w14:paraId="7FCC5BB6">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十、供需双方应严格遵守竞争性磋商文件要求，如有违反，按竞争性磋商文件的规定处理。</w:t>
      </w:r>
    </w:p>
    <w:p w14:paraId="13974B4D">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一</w:t>
      </w:r>
      <w:r>
        <w:rPr>
          <w:rFonts w:hint="eastAsia" w:ascii="宋体" w:hAnsi="宋体" w:cs="宋体"/>
          <w:color w:val="000000"/>
          <w:sz w:val="24"/>
          <w:highlight w:val="none"/>
          <w:lang w:val="zh-CN"/>
        </w:rPr>
        <w:t>、因货物的质量问题发生争议，由</w:t>
      </w:r>
      <w:r>
        <w:rPr>
          <w:rFonts w:hint="eastAsia" w:ascii="宋体" w:hAnsi="宋体" w:cs="宋体"/>
          <w:color w:val="000000"/>
          <w:sz w:val="24"/>
          <w:highlight w:val="none"/>
          <w:lang w:eastAsia="zh-CN"/>
        </w:rPr>
        <w:t>需方</w:t>
      </w:r>
      <w:r>
        <w:rPr>
          <w:rFonts w:hint="eastAsia" w:ascii="宋体" w:hAnsi="宋体" w:cs="宋体"/>
          <w:color w:val="000000"/>
          <w:sz w:val="24"/>
          <w:highlight w:val="none"/>
          <w:lang w:val="zh-CN"/>
        </w:rPr>
        <w:t>法定的质量检测机构进行质量检测或鉴定。</w:t>
      </w:r>
    </w:p>
    <w:p w14:paraId="2CE9C824">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二</w:t>
      </w:r>
      <w:r>
        <w:rPr>
          <w:rFonts w:hint="eastAsia" w:ascii="宋体" w:hAnsi="宋体" w:cs="宋体"/>
          <w:color w:val="000000"/>
          <w:sz w:val="24"/>
          <w:highlight w:val="none"/>
          <w:lang w:val="zh-CN"/>
        </w:rPr>
        <w:t>、项目竞争性磋商文件及其修改和澄清、及供方响应性文件、供方在投标中的有关承诺及声明均为本合同的组成部分。</w:t>
      </w:r>
    </w:p>
    <w:p w14:paraId="19BA9AD9">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三</w:t>
      </w:r>
      <w:r>
        <w:rPr>
          <w:rFonts w:hint="eastAsia" w:ascii="宋体" w:hAnsi="宋体" w:cs="宋体"/>
          <w:color w:val="000000"/>
          <w:sz w:val="24"/>
          <w:highlight w:val="none"/>
          <w:lang w:val="zh-CN"/>
        </w:rPr>
        <w:t>、本合同签订和履行适用中华人民共和国法律，因履行合同发生的争议，由供需双方友好协商解决，如协商不成的，任何一方均可向签订合同地人民法院提起诉讼。</w:t>
      </w:r>
    </w:p>
    <w:p w14:paraId="5591CB96">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四</w:t>
      </w:r>
      <w:r>
        <w:rPr>
          <w:rFonts w:hint="eastAsia" w:ascii="宋体" w:hAnsi="宋体" w:cs="宋体"/>
          <w:color w:val="000000"/>
          <w:sz w:val="24"/>
          <w:highlight w:val="none"/>
          <w:lang w:val="zh-CN"/>
        </w:rPr>
        <w:t>、本合同未尽事宜，供需双方可签订补充协议，与本合同具有同等法律效力，但不能违反竞争性磋商文件及供方的投标或报价文件所规定的实质性条款。</w:t>
      </w:r>
    </w:p>
    <w:p w14:paraId="77594375">
      <w:pPr>
        <w:keepNext w:val="0"/>
        <w:keepLines w:val="0"/>
        <w:pageBreakBefore w:val="0"/>
        <w:kinsoku/>
        <w:wordWrap/>
        <w:overflowPunct/>
        <w:topLinePunct w:val="0"/>
        <w:bidi w:val="0"/>
        <w:spacing w:line="50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十</w:t>
      </w:r>
      <w:r>
        <w:rPr>
          <w:rFonts w:hint="eastAsia" w:ascii="宋体" w:hAnsi="宋体"/>
          <w:color w:val="000000"/>
          <w:sz w:val="24"/>
          <w:highlight w:val="none"/>
          <w:lang w:val="en-US" w:eastAsia="zh-CN"/>
        </w:rPr>
        <w:t>五</w:t>
      </w:r>
      <w:r>
        <w:rPr>
          <w:rFonts w:hint="eastAsia" w:ascii="宋体" w:hAnsi="宋体"/>
          <w:color w:val="000000"/>
          <w:sz w:val="24"/>
          <w:highlight w:val="none"/>
        </w:rPr>
        <w:t>、知识产权：</w:t>
      </w:r>
    </w:p>
    <w:p w14:paraId="2B80AFAC">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olor w:val="000000"/>
          <w:sz w:val="24"/>
          <w:highlight w:val="none"/>
        </w:rPr>
        <w:t>供方须保障需方在使用该项目或其任何一部分时不受到第三方关于侵犯专利权、商标权或工业设计</w:t>
      </w:r>
      <w:r>
        <w:rPr>
          <w:rFonts w:hint="eastAsia" w:ascii="宋体" w:hAnsi="宋体" w:cs="宋体"/>
          <w:color w:val="000000"/>
          <w:sz w:val="24"/>
          <w:highlight w:val="none"/>
          <w:lang w:val="zh-CN"/>
        </w:rPr>
        <w:t>权的指控。如果任何第三方提出侵权指控，供方须与第三方交涉并承担可能发生的一切费用。如需方因此而遭致损失的，供方应赔偿该损失。</w:t>
      </w:r>
    </w:p>
    <w:p w14:paraId="18F9AD35">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六</w:t>
      </w:r>
      <w:r>
        <w:rPr>
          <w:rFonts w:hint="eastAsia" w:ascii="宋体" w:hAnsi="宋体" w:cs="宋体"/>
          <w:color w:val="000000"/>
          <w:sz w:val="24"/>
          <w:highlight w:val="none"/>
          <w:lang w:val="zh-CN"/>
        </w:rPr>
        <w:t>、合同生效、备案及其它</w:t>
      </w:r>
    </w:p>
    <w:p w14:paraId="3404A413">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1、本合同经双方代表签字并加盖公章后生效。</w:t>
      </w:r>
    </w:p>
    <w:p w14:paraId="0FA9C907">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s="宋体"/>
          <w:color w:val="000000"/>
          <w:sz w:val="24"/>
          <w:highlight w:val="none"/>
          <w:lang w:val="zh-CN"/>
        </w:rPr>
        <w:t>2、本合同一式六份，供需双方各持三份</w:t>
      </w:r>
      <w:r>
        <w:rPr>
          <w:rFonts w:hint="eastAsia" w:ascii="宋体" w:hAnsi="宋体"/>
          <w:color w:val="000000"/>
          <w:sz w:val="24"/>
          <w:highlight w:val="none"/>
        </w:rPr>
        <w:t>。</w:t>
      </w:r>
    </w:p>
    <w:p w14:paraId="5E53E82B">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供方（公章）：                          需方（公章）：</w:t>
      </w:r>
    </w:p>
    <w:p w14:paraId="77612091">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地址：                                  地址：</w:t>
      </w:r>
    </w:p>
    <w:p w14:paraId="213310D0">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 xml:space="preserve">法定代表人或授权委托人（签字）：        法定代表人或授权委托人（签字）：                 </w:t>
      </w:r>
    </w:p>
    <w:p w14:paraId="615C8AE0">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电话：                                  电话：</w:t>
      </w:r>
    </w:p>
    <w:p w14:paraId="0D6CA1D5">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开户银行：                              开户银行：</w:t>
      </w:r>
    </w:p>
    <w:p w14:paraId="0032D8D8">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账号：                                  账号:</w:t>
      </w:r>
    </w:p>
    <w:p w14:paraId="4DB561FA">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签约时间：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日</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签约时间：</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日</w:t>
      </w:r>
    </w:p>
    <w:p w14:paraId="3F4CC725">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p>
    <w:p w14:paraId="00D27D2C">
      <w:pPr>
        <w:autoSpaceDE w:val="0"/>
        <w:autoSpaceDN w:val="0"/>
        <w:spacing w:line="360" w:lineRule="auto"/>
        <w:ind w:firstLine="480" w:firstLineChars="200"/>
        <w:rPr>
          <w:rFonts w:hint="eastAsia" w:ascii="宋体" w:hAnsi="宋体" w:eastAsia="宋体" w:cs="宋体"/>
          <w:color w:val="000000"/>
          <w:sz w:val="24"/>
          <w:szCs w:val="24"/>
          <w:lang w:val="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000000"/>
          <w:sz w:val="24"/>
          <w:szCs w:val="24"/>
          <w:lang w:val="zh-CN"/>
        </w:rPr>
        <w:t xml:space="preserve"> </w:t>
      </w:r>
    </w:p>
    <w:p w14:paraId="46453E2B">
      <w:pPr>
        <w:keepNext/>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outlineLvl w:val="0"/>
        <w:rPr>
          <w:rFonts w:hint="eastAsia" w:ascii="宋体" w:hAnsi="宋体" w:cs="宋体"/>
          <w:b/>
          <w:kern w:val="2"/>
          <w:sz w:val="24"/>
          <w:szCs w:val="24"/>
        </w:rPr>
      </w:pPr>
      <w:bookmarkStart w:id="123" w:name="_Toc32261"/>
      <w:bookmarkStart w:id="124" w:name="_Toc3999"/>
      <w:r>
        <w:rPr>
          <w:rFonts w:hint="eastAsia" w:ascii="黑体" w:cs="宋体"/>
          <w:b/>
          <w:kern w:val="2"/>
          <w:sz w:val="24"/>
          <w:szCs w:val="24"/>
        </w:rPr>
        <w:t xml:space="preserve">第五章 </w:t>
      </w:r>
      <w:bookmarkEnd w:id="122"/>
      <w:r>
        <w:rPr>
          <w:rFonts w:hint="eastAsia" w:ascii="黑体" w:cs="宋体"/>
          <w:b/>
          <w:kern w:val="2"/>
          <w:sz w:val="24"/>
          <w:szCs w:val="24"/>
          <w:lang w:val="en-US" w:eastAsia="zh-CN"/>
        </w:rPr>
        <w:t>评标办法</w:t>
      </w:r>
      <w:bookmarkEnd w:id="123"/>
      <w:bookmarkEnd w:id="124"/>
    </w:p>
    <w:p w14:paraId="6515E0B3">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ascii="宋体" w:hAnsi="宋体" w:cs="宋体"/>
          <w:b/>
          <w:sz w:val="24"/>
          <w:szCs w:val="24"/>
        </w:rPr>
      </w:pPr>
      <w:r>
        <w:rPr>
          <w:rFonts w:hint="eastAsia" w:ascii="宋体" w:hAnsi="宋体" w:cs="宋体"/>
          <w:b/>
          <w:kern w:val="2"/>
          <w:sz w:val="24"/>
          <w:szCs w:val="24"/>
        </w:rPr>
        <w:t>评标办法前附表</w:t>
      </w:r>
    </w:p>
    <w:tbl>
      <w:tblPr>
        <w:tblStyle w:val="15"/>
        <w:tblW w:w="9401" w:type="dxa"/>
        <w:jc w:val="center"/>
        <w:tblLayout w:type="fixed"/>
        <w:tblCellMar>
          <w:top w:w="0" w:type="dxa"/>
          <w:left w:w="108" w:type="dxa"/>
          <w:bottom w:w="0" w:type="dxa"/>
          <w:right w:w="108" w:type="dxa"/>
        </w:tblCellMar>
      </w:tblPr>
      <w:tblGrid>
        <w:gridCol w:w="832"/>
        <w:gridCol w:w="855"/>
        <w:gridCol w:w="1656"/>
        <w:gridCol w:w="6058"/>
      </w:tblGrid>
      <w:tr w14:paraId="081CA3A4">
        <w:tblPrEx>
          <w:tblCellMar>
            <w:top w:w="0" w:type="dxa"/>
            <w:left w:w="108" w:type="dxa"/>
            <w:bottom w:w="0" w:type="dxa"/>
            <w:right w:w="108" w:type="dxa"/>
          </w:tblCellMar>
        </w:tblPrEx>
        <w:trPr>
          <w:trHeight w:val="476" w:hRule="atLeast"/>
          <w:jc w:val="center"/>
        </w:trPr>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2CA4F4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2.1初步评审</w:t>
            </w:r>
          </w:p>
        </w:tc>
        <w:tc>
          <w:tcPr>
            <w:tcW w:w="1656" w:type="dxa"/>
            <w:tcBorders>
              <w:top w:val="single" w:color="auto" w:sz="4" w:space="0"/>
              <w:left w:val="nil"/>
              <w:bottom w:val="single" w:color="auto" w:sz="4" w:space="0"/>
              <w:right w:val="single" w:color="auto" w:sz="4" w:space="0"/>
            </w:tcBorders>
            <w:noWrap w:val="0"/>
            <w:vAlign w:val="center"/>
          </w:tcPr>
          <w:p w14:paraId="1C6EF9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评审因素</w:t>
            </w:r>
          </w:p>
        </w:tc>
        <w:tc>
          <w:tcPr>
            <w:tcW w:w="6058" w:type="dxa"/>
            <w:tcBorders>
              <w:top w:val="single" w:color="auto" w:sz="4" w:space="0"/>
              <w:left w:val="nil"/>
              <w:bottom w:val="single" w:color="auto" w:sz="4" w:space="0"/>
              <w:right w:val="single" w:color="auto" w:sz="4" w:space="0"/>
            </w:tcBorders>
            <w:noWrap w:val="0"/>
            <w:vAlign w:val="center"/>
          </w:tcPr>
          <w:p w14:paraId="0E8D91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评审标准</w:t>
            </w:r>
          </w:p>
        </w:tc>
      </w:tr>
      <w:tr w14:paraId="76293E4D">
        <w:tblPrEx>
          <w:tblCellMar>
            <w:top w:w="0" w:type="dxa"/>
            <w:left w:w="108" w:type="dxa"/>
            <w:bottom w:w="0" w:type="dxa"/>
            <w:right w:w="108" w:type="dxa"/>
          </w:tblCellMar>
        </w:tblPrEx>
        <w:trPr>
          <w:trHeight w:val="1003" w:hRule="atLeast"/>
          <w:jc w:val="center"/>
        </w:trPr>
        <w:tc>
          <w:tcPr>
            <w:tcW w:w="832" w:type="dxa"/>
            <w:vMerge w:val="restart"/>
            <w:tcBorders>
              <w:top w:val="nil"/>
              <w:left w:val="single" w:color="auto" w:sz="4" w:space="0"/>
              <w:right w:val="single" w:color="auto" w:sz="4" w:space="0"/>
            </w:tcBorders>
            <w:noWrap w:val="0"/>
            <w:vAlign w:val="center"/>
          </w:tcPr>
          <w:p w14:paraId="170B05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2.1.1</w:t>
            </w:r>
          </w:p>
        </w:tc>
        <w:tc>
          <w:tcPr>
            <w:tcW w:w="855" w:type="dxa"/>
            <w:vMerge w:val="restart"/>
            <w:tcBorders>
              <w:top w:val="nil"/>
              <w:left w:val="nil"/>
              <w:right w:val="single" w:color="auto" w:sz="4" w:space="0"/>
            </w:tcBorders>
            <w:noWrap w:val="0"/>
            <w:vAlign w:val="center"/>
          </w:tcPr>
          <w:p w14:paraId="290EEE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资格评审标准</w:t>
            </w:r>
          </w:p>
        </w:tc>
        <w:tc>
          <w:tcPr>
            <w:tcW w:w="1656" w:type="dxa"/>
            <w:tcBorders>
              <w:top w:val="single" w:color="auto" w:sz="4" w:space="0"/>
              <w:left w:val="nil"/>
              <w:bottom w:val="single" w:color="auto" w:sz="4" w:space="0"/>
              <w:right w:val="single" w:color="auto" w:sz="4" w:space="0"/>
            </w:tcBorders>
            <w:noWrap w:val="0"/>
            <w:vAlign w:val="center"/>
          </w:tcPr>
          <w:p w14:paraId="7355FA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营业执照</w:t>
            </w:r>
            <w:r>
              <w:rPr>
                <w:rFonts w:hint="eastAsia" w:ascii="宋体" w:hAnsi="宋体" w:cs="宋体"/>
                <w:sz w:val="24"/>
                <w:szCs w:val="24"/>
              </w:rPr>
              <w:t>或其他证明材料</w:t>
            </w:r>
          </w:p>
        </w:tc>
        <w:tc>
          <w:tcPr>
            <w:tcW w:w="6058" w:type="dxa"/>
            <w:tcBorders>
              <w:top w:val="single" w:color="auto" w:sz="4" w:space="0"/>
              <w:left w:val="nil"/>
              <w:bottom w:val="single" w:color="auto" w:sz="4" w:space="0"/>
              <w:right w:val="single" w:color="auto" w:sz="4" w:space="0"/>
            </w:tcBorders>
            <w:noWrap w:val="0"/>
            <w:vAlign w:val="center"/>
          </w:tcPr>
          <w:p w14:paraId="4D2B4C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供应商须具有独立承担民事责任的能力，须提供有效的营业执照或其他证明材料</w:t>
            </w:r>
          </w:p>
        </w:tc>
      </w:tr>
      <w:tr w14:paraId="570A7EEE">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7A4BD5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75C5E9B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09F7A6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资质要求</w:t>
            </w:r>
          </w:p>
        </w:tc>
        <w:tc>
          <w:tcPr>
            <w:tcW w:w="6058" w:type="dxa"/>
            <w:tcBorders>
              <w:top w:val="single" w:color="auto" w:sz="4" w:space="0"/>
              <w:left w:val="nil"/>
              <w:bottom w:val="single" w:color="auto" w:sz="4" w:space="0"/>
              <w:right w:val="single" w:color="auto" w:sz="4" w:space="0"/>
            </w:tcBorders>
            <w:noWrap w:val="0"/>
            <w:vAlign w:val="center"/>
          </w:tcPr>
          <w:p w14:paraId="0D4E2D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1、供应商若为制造商，须具有《中华人民共和国特种设备生产许可证》，许可项目：电梯制造（含安装、修理、改造），许可子项目：曳引驱动乘客电梯(含消防员电梯)；</w:t>
            </w:r>
          </w:p>
          <w:p w14:paraId="388A0A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2、供应商若为经销商或代理商，须具有《中华人民共和国特种设备生产许可证》，许可项目：电梯安装（含修理），许可子项目：曳引驱动乘客电梯(含消防员电梯)；</w:t>
            </w:r>
          </w:p>
        </w:tc>
      </w:tr>
      <w:tr w14:paraId="7860DF05">
        <w:tblPrEx>
          <w:tblCellMar>
            <w:top w:w="0" w:type="dxa"/>
            <w:left w:w="108" w:type="dxa"/>
            <w:bottom w:w="0" w:type="dxa"/>
            <w:right w:w="108" w:type="dxa"/>
          </w:tblCellMar>
        </w:tblPrEx>
        <w:trPr>
          <w:trHeight w:val="1230" w:hRule="atLeast"/>
          <w:jc w:val="center"/>
        </w:trPr>
        <w:tc>
          <w:tcPr>
            <w:tcW w:w="832" w:type="dxa"/>
            <w:vMerge w:val="continue"/>
            <w:tcBorders>
              <w:left w:val="single" w:color="auto" w:sz="4" w:space="0"/>
              <w:right w:val="single" w:color="auto" w:sz="4" w:space="0"/>
            </w:tcBorders>
            <w:noWrap w:val="0"/>
            <w:vAlign w:val="center"/>
          </w:tcPr>
          <w:p w14:paraId="770077E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14676C21">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69B374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具有履行本项目所必需的设备和专业技术服务能力</w:t>
            </w:r>
          </w:p>
        </w:tc>
        <w:tc>
          <w:tcPr>
            <w:tcW w:w="6058" w:type="dxa"/>
            <w:tcBorders>
              <w:top w:val="single" w:color="auto" w:sz="4" w:space="0"/>
              <w:left w:val="nil"/>
              <w:bottom w:val="single" w:color="auto" w:sz="4" w:space="0"/>
              <w:right w:val="single" w:color="auto" w:sz="4" w:space="0"/>
            </w:tcBorders>
            <w:noWrap w:val="0"/>
            <w:vAlign w:val="center"/>
          </w:tcPr>
          <w:p w14:paraId="6F42D5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供应商具有履行本项目所必需的设备和专业技术服务能力；(提供证明材料或承诺书)</w:t>
            </w:r>
          </w:p>
        </w:tc>
      </w:tr>
      <w:tr w14:paraId="011ACC37">
        <w:tblPrEx>
          <w:tblCellMar>
            <w:top w:w="0" w:type="dxa"/>
            <w:left w:w="108" w:type="dxa"/>
            <w:bottom w:w="0" w:type="dxa"/>
            <w:right w:w="108" w:type="dxa"/>
          </w:tblCellMar>
        </w:tblPrEx>
        <w:trPr>
          <w:trHeight w:val="745" w:hRule="atLeast"/>
          <w:jc w:val="center"/>
        </w:trPr>
        <w:tc>
          <w:tcPr>
            <w:tcW w:w="832" w:type="dxa"/>
            <w:vMerge w:val="continue"/>
            <w:tcBorders>
              <w:left w:val="single" w:color="auto" w:sz="4" w:space="0"/>
              <w:right w:val="single" w:color="auto" w:sz="4" w:space="0"/>
            </w:tcBorders>
            <w:noWrap w:val="0"/>
            <w:vAlign w:val="center"/>
          </w:tcPr>
          <w:p w14:paraId="4274BEA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CB0921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1FCF6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项目负责人</w:t>
            </w:r>
          </w:p>
        </w:tc>
        <w:tc>
          <w:tcPr>
            <w:tcW w:w="6058" w:type="dxa"/>
            <w:tcBorders>
              <w:top w:val="single" w:color="auto" w:sz="4" w:space="0"/>
              <w:left w:val="nil"/>
              <w:bottom w:val="single" w:color="auto" w:sz="4" w:space="0"/>
              <w:right w:val="single" w:color="auto" w:sz="4" w:space="0"/>
            </w:tcBorders>
            <w:noWrap w:val="0"/>
            <w:vAlign w:val="center"/>
          </w:tcPr>
          <w:p w14:paraId="0F28BA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拟派项目负责人须具有《中华人民共和国特种设备安全管理和作业人员证》或机电工程专业二级及以上注册建造师证书，项目负责人须为本单位员工，需提供劳动合同及本单位为其缴纳的投标截止日前任意一个月社保缴纳证明；</w:t>
            </w:r>
          </w:p>
        </w:tc>
      </w:tr>
      <w:tr w14:paraId="0A7A4DFE">
        <w:tblPrEx>
          <w:tblCellMar>
            <w:top w:w="0" w:type="dxa"/>
            <w:left w:w="108" w:type="dxa"/>
            <w:bottom w:w="0" w:type="dxa"/>
            <w:right w:w="108" w:type="dxa"/>
          </w:tblCellMar>
        </w:tblPrEx>
        <w:trPr>
          <w:trHeight w:val="1230" w:hRule="atLeast"/>
          <w:jc w:val="center"/>
        </w:trPr>
        <w:tc>
          <w:tcPr>
            <w:tcW w:w="832" w:type="dxa"/>
            <w:vMerge w:val="continue"/>
            <w:tcBorders>
              <w:left w:val="single" w:color="auto" w:sz="4" w:space="0"/>
              <w:right w:val="single" w:color="auto" w:sz="4" w:space="0"/>
            </w:tcBorders>
            <w:noWrap w:val="0"/>
            <w:vAlign w:val="center"/>
          </w:tcPr>
          <w:p w14:paraId="6611E3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1059C06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5040A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财务状况</w:t>
            </w:r>
          </w:p>
        </w:tc>
        <w:tc>
          <w:tcPr>
            <w:tcW w:w="6058" w:type="dxa"/>
            <w:tcBorders>
              <w:top w:val="single" w:color="auto" w:sz="4" w:space="0"/>
              <w:left w:val="nil"/>
              <w:bottom w:val="single" w:color="auto" w:sz="4" w:space="0"/>
              <w:right w:val="single" w:color="auto" w:sz="4" w:space="0"/>
            </w:tcBorders>
            <w:noWrap w:val="0"/>
            <w:vAlign w:val="center"/>
          </w:tcPr>
          <w:p w14:paraId="1D5C70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良好的商业信誉和健全的财务会计制度，提供近三年&lt;2023-2025年&gt;任意一年经会计师事务所或审计机构出具的年度财务审计报告或财务报表（利润表、负债表、现金流量表）；公司成立不足一年无审计报告应附最新的财务报表说明；</w:t>
            </w:r>
          </w:p>
        </w:tc>
      </w:tr>
      <w:tr w14:paraId="7F8AE846">
        <w:tblPrEx>
          <w:tblCellMar>
            <w:top w:w="0" w:type="dxa"/>
            <w:left w:w="108" w:type="dxa"/>
            <w:bottom w:w="0" w:type="dxa"/>
            <w:right w:w="108" w:type="dxa"/>
          </w:tblCellMar>
        </w:tblPrEx>
        <w:trPr>
          <w:trHeight w:val="433" w:hRule="atLeast"/>
          <w:jc w:val="center"/>
        </w:trPr>
        <w:tc>
          <w:tcPr>
            <w:tcW w:w="832" w:type="dxa"/>
            <w:vMerge w:val="continue"/>
            <w:tcBorders>
              <w:left w:val="single" w:color="auto" w:sz="4" w:space="0"/>
              <w:right w:val="single" w:color="auto" w:sz="4" w:space="0"/>
            </w:tcBorders>
            <w:noWrap w:val="0"/>
            <w:vAlign w:val="center"/>
          </w:tcPr>
          <w:p w14:paraId="32E98D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52C2BC1D">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38B27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依法缴纳税收和社会保障资金</w:t>
            </w:r>
          </w:p>
        </w:tc>
        <w:tc>
          <w:tcPr>
            <w:tcW w:w="6058" w:type="dxa"/>
            <w:tcBorders>
              <w:top w:val="single" w:color="auto" w:sz="4" w:space="0"/>
              <w:left w:val="nil"/>
              <w:bottom w:val="single" w:color="auto" w:sz="4" w:space="0"/>
              <w:right w:val="single" w:color="auto" w:sz="4" w:space="0"/>
            </w:tcBorders>
            <w:noWrap w:val="0"/>
            <w:vAlign w:val="center"/>
          </w:tcPr>
          <w:p w14:paraId="5AB070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具有依法缴纳税收和社会保障资金的良好记录，提供投标截止日前任意一个月依法缴纳税收和社会保障资金的证明材料或自行承诺；</w:t>
            </w:r>
          </w:p>
        </w:tc>
      </w:tr>
      <w:tr w14:paraId="489D0113">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0D02264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4E537BA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CB7E9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cs="宋体"/>
                <w:sz w:val="24"/>
                <w:szCs w:val="24"/>
              </w:rPr>
              <w:t>无行贿犯罪</w:t>
            </w:r>
          </w:p>
          <w:p w14:paraId="749DF2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cs="宋体"/>
                <w:sz w:val="24"/>
                <w:szCs w:val="24"/>
              </w:rPr>
              <w:t>记录</w:t>
            </w:r>
          </w:p>
        </w:tc>
        <w:tc>
          <w:tcPr>
            <w:tcW w:w="6058" w:type="dxa"/>
            <w:tcBorders>
              <w:top w:val="single" w:color="auto" w:sz="4" w:space="0"/>
              <w:left w:val="nil"/>
              <w:bottom w:val="single" w:color="auto" w:sz="4" w:space="0"/>
              <w:right w:val="single" w:color="auto" w:sz="4" w:space="0"/>
            </w:tcBorders>
            <w:noWrap w:val="0"/>
            <w:vAlign w:val="center"/>
          </w:tcPr>
          <w:p w14:paraId="43AF99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参加政府采购活动前3年内无行贿犯罪记录，供应商出具的无行贿犯罪记录在《中国裁判文书网》自行查询或自行承诺（查询/承诺对象：“企业、法定代表人、项目负责人”）</w:t>
            </w:r>
          </w:p>
        </w:tc>
      </w:tr>
      <w:tr w14:paraId="6D4846A8">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48E5FBB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9D888A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0D71B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无商业贿赂、不正当竞争行为、骗取中标、严重违约及重大工程质量等问题</w:t>
            </w:r>
          </w:p>
        </w:tc>
        <w:tc>
          <w:tcPr>
            <w:tcW w:w="6058" w:type="dxa"/>
            <w:tcBorders>
              <w:top w:val="single" w:color="auto" w:sz="4" w:space="0"/>
              <w:left w:val="nil"/>
              <w:bottom w:val="single" w:color="auto" w:sz="4" w:space="0"/>
              <w:right w:val="single" w:color="auto" w:sz="4" w:space="0"/>
            </w:tcBorders>
            <w:noWrap w:val="0"/>
            <w:vAlign w:val="center"/>
          </w:tcPr>
          <w:p w14:paraId="15CD0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参加政府采购活动前3年内无商业贿赂、不正当竞争行为、骗取中标、严重违约及重大工程质量等问题</w:t>
            </w:r>
            <w:r>
              <w:rPr>
                <w:rFonts w:hint="eastAsia" w:ascii="宋体" w:hAnsi="宋体" w:cs="宋体"/>
                <w:sz w:val="24"/>
                <w:szCs w:val="24"/>
                <w:lang w:eastAsia="zh-CN"/>
              </w:rPr>
              <w:t>（</w:t>
            </w:r>
            <w:r>
              <w:rPr>
                <w:rFonts w:hint="eastAsia" w:ascii="宋体" w:hAnsi="宋体" w:cs="宋体"/>
                <w:sz w:val="24"/>
                <w:szCs w:val="24"/>
                <w:lang w:val="en-US" w:eastAsia="zh-CN"/>
              </w:rPr>
              <w:t>提供</w:t>
            </w:r>
            <w:r>
              <w:rPr>
                <w:rFonts w:hint="eastAsia" w:ascii="宋体" w:hAnsi="宋体" w:cs="宋体"/>
                <w:sz w:val="24"/>
                <w:szCs w:val="24"/>
                <w:lang w:eastAsia="zh-CN"/>
              </w:rPr>
              <w:t>承诺书，</w:t>
            </w:r>
            <w:r>
              <w:rPr>
                <w:rFonts w:hint="eastAsia" w:ascii="宋体" w:hAnsi="宋体" w:cs="宋体"/>
                <w:sz w:val="24"/>
                <w:szCs w:val="24"/>
                <w:lang w:val="en-US" w:eastAsia="zh-CN"/>
              </w:rPr>
              <w:t>格式自拟</w:t>
            </w:r>
            <w:r>
              <w:rPr>
                <w:rFonts w:hint="eastAsia" w:ascii="宋体" w:hAnsi="宋体" w:cs="宋体"/>
                <w:sz w:val="24"/>
                <w:szCs w:val="24"/>
                <w:lang w:eastAsia="zh-CN"/>
              </w:rPr>
              <w:t>）</w:t>
            </w:r>
          </w:p>
        </w:tc>
      </w:tr>
      <w:tr w14:paraId="161F1AF7">
        <w:tblPrEx>
          <w:tblCellMar>
            <w:top w:w="0" w:type="dxa"/>
            <w:left w:w="108" w:type="dxa"/>
            <w:bottom w:w="0" w:type="dxa"/>
            <w:right w:w="108" w:type="dxa"/>
          </w:tblCellMar>
        </w:tblPrEx>
        <w:trPr>
          <w:trHeight w:val="2980" w:hRule="atLeast"/>
          <w:jc w:val="center"/>
        </w:trPr>
        <w:tc>
          <w:tcPr>
            <w:tcW w:w="832" w:type="dxa"/>
            <w:vMerge w:val="continue"/>
            <w:tcBorders>
              <w:left w:val="single" w:color="auto" w:sz="4" w:space="0"/>
              <w:right w:val="single" w:color="auto" w:sz="4" w:space="0"/>
            </w:tcBorders>
            <w:noWrap w:val="0"/>
            <w:vAlign w:val="center"/>
          </w:tcPr>
          <w:p w14:paraId="42EDC0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7F9704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3010D2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cs="宋体"/>
                <w:sz w:val="24"/>
                <w:szCs w:val="24"/>
              </w:rPr>
              <w:t>信用</w:t>
            </w:r>
            <w:r>
              <w:rPr>
                <w:rFonts w:hint="eastAsia" w:ascii="宋体" w:hAnsi="宋体" w:cs="宋体"/>
                <w:sz w:val="24"/>
                <w:szCs w:val="24"/>
                <w:lang w:eastAsia="zh-CN"/>
              </w:rPr>
              <w:t>查询</w:t>
            </w:r>
          </w:p>
        </w:tc>
        <w:tc>
          <w:tcPr>
            <w:tcW w:w="6058" w:type="dxa"/>
            <w:tcBorders>
              <w:top w:val="single" w:color="auto" w:sz="4" w:space="0"/>
              <w:left w:val="nil"/>
              <w:bottom w:val="single" w:color="auto" w:sz="4" w:space="0"/>
              <w:right w:val="single" w:color="auto" w:sz="4" w:space="0"/>
            </w:tcBorders>
            <w:noWrap w:val="0"/>
            <w:vAlign w:val="center"/>
          </w:tcPr>
          <w:p w14:paraId="469D72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hint="eastAsia" w:ascii="宋体" w:hAnsi="宋体" w:cs="宋体"/>
                <w:sz w:val="24"/>
                <w:szCs w:val="24"/>
                <w:lang w:val="en-US" w:eastAsia="zh-CN"/>
              </w:rPr>
              <w:t>根据《关于在政府采购活动中查询及使用信用记录有关问题的通知》(财库[2016]125号) 和豫财购【2016】15号的规定，企业没有被列入“信用中国”网站的“失信被执行人”、“重大税收违法失信主体”、“政府采购严重违法失信行为记录名单”及“中国政府采购网”网站的“政府采购严重违法失信行为信息记录”的投标人；（查询渠道：“信用中国”网站（www.creditchina.gov.cn）、中国政府采购网（www.ccgp.gov.cn）(注：査询时间必须是公告发布之后开标之前，查询结果清晰可见)</w:t>
            </w:r>
          </w:p>
        </w:tc>
      </w:tr>
      <w:tr w14:paraId="35E26C0A">
        <w:tblPrEx>
          <w:tblCellMar>
            <w:top w:w="0" w:type="dxa"/>
            <w:left w:w="108" w:type="dxa"/>
            <w:bottom w:w="0" w:type="dxa"/>
            <w:right w:w="108" w:type="dxa"/>
          </w:tblCellMar>
        </w:tblPrEx>
        <w:trPr>
          <w:trHeight w:val="631" w:hRule="atLeast"/>
          <w:jc w:val="center"/>
        </w:trPr>
        <w:tc>
          <w:tcPr>
            <w:tcW w:w="832" w:type="dxa"/>
            <w:vMerge w:val="continue"/>
            <w:tcBorders>
              <w:left w:val="single" w:color="auto" w:sz="4" w:space="0"/>
              <w:right w:val="single" w:color="auto" w:sz="4" w:space="0"/>
            </w:tcBorders>
            <w:noWrap w:val="0"/>
            <w:vAlign w:val="center"/>
          </w:tcPr>
          <w:p w14:paraId="204822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ABBF4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1656" w:type="dxa"/>
            <w:tcBorders>
              <w:top w:val="single" w:color="auto" w:sz="4" w:space="0"/>
              <w:left w:val="single" w:color="auto" w:sz="4" w:space="0"/>
              <w:right w:val="single" w:color="auto" w:sz="4" w:space="0"/>
            </w:tcBorders>
            <w:noWrap w:val="0"/>
            <w:vAlign w:val="center"/>
          </w:tcPr>
          <w:p w14:paraId="73720D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eastAsiaTheme="minorEastAsia"/>
                <w:sz w:val="24"/>
                <w:szCs w:val="24"/>
                <w:lang w:val="en-US" w:eastAsia="zh-CN"/>
              </w:rPr>
            </w:pPr>
            <w:r>
              <w:rPr>
                <w:rFonts w:hint="eastAsia" w:ascii="宋体" w:hAnsi="宋体" w:cs="宋体"/>
                <w:sz w:val="24"/>
                <w:szCs w:val="24"/>
              </w:rPr>
              <w:t>控股、管理关系</w:t>
            </w:r>
            <w:r>
              <w:rPr>
                <w:rFonts w:hint="eastAsia" w:ascii="宋体" w:hAnsi="宋体" w:cs="宋体"/>
                <w:sz w:val="24"/>
                <w:szCs w:val="24"/>
                <w:lang w:val="en-US" w:eastAsia="zh-CN"/>
              </w:rPr>
              <w:t>查询</w:t>
            </w:r>
          </w:p>
        </w:tc>
        <w:tc>
          <w:tcPr>
            <w:tcW w:w="6058" w:type="dxa"/>
            <w:tcBorders>
              <w:top w:val="single" w:color="auto" w:sz="4" w:space="0"/>
              <w:left w:val="nil"/>
              <w:bottom w:val="single" w:color="auto" w:sz="4" w:space="0"/>
              <w:right w:val="single" w:color="auto" w:sz="4" w:space="0"/>
            </w:tcBorders>
            <w:noWrap w:val="0"/>
            <w:vAlign w:val="center"/>
          </w:tcPr>
          <w:p w14:paraId="106D52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hint="eastAsia" w:ascii="宋体" w:hAnsi="宋体" w:cs="宋体"/>
                <w:sz w:val="24"/>
                <w:szCs w:val="24"/>
              </w:rPr>
              <w:t>单位负责人为同一人或者存在控股、管理关系的不同单位，不得参加同一合同项下的采购活动（提供“国家企业信用信息公示系统”中公示的公司基础信息、股东或投资人信息，査询时间须是本项目</w:t>
            </w:r>
            <w:r>
              <w:rPr>
                <w:rFonts w:hint="eastAsia" w:ascii="宋体" w:hAnsi="宋体" w:cs="宋体"/>
                <w:sz w:val="24"/>
                <w:szCs w:val="24"/>
                <w:lang w:val="en-US" w:eastAsia="zh-CN"/>
              </w:rPr>
              <w:t>磋商</w:t>
            </w:r>
            <w:r>
              <w:rPr>
                <w:rFonts w:hint="eastAsia" w:ascii="宋体" w:hAnsi="宋体" w:cs="宋体"/>
                <w:sz w:val="24"/>
                <w:szCs w:val="24"/>
              </w:rPr>
              <w:t>公告发布之后至开标截止时间之前，查询结果清晰可见）</w:t>
            </w:r>
          </w:p>
        </w:tc>
      </w:tr>
      <w:tr w14:paraId="579F2279">
        <w:tblPrEx>
          <w:tblCellMar>
            <w:top w:w="0" w:type="dxa"/>
            <w:left w:w="108" w:type="dxa"/>
            <w:bottom w:w="0" w:type="dxa"/>
            <w:right w:w="108" w:type="dxa"/>
          </w:tblCellMar>
        </w:tblPrEx>
        <w:trPr>
          <w:trHeight w:val="646"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214B8B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855" w:type="dxa"/>
            <w:vMerge w:val="continue"/>
            <w:tcBorders>
              <w:left w:val="nil"/>
              <w:bottom w:val="single" w:color="auto" w:sz="4" w:space="0"/>
              <w:right w:val="single" w:color="auto" w:sz="4" w:space="0"/>
            </w:tcBorders>
            <w:noWrap w:val="0"/>
            <w:vAlign w:val="center"/>
          </w:tcPr>
          <w:p w14:paraId="1CB9B6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130F5A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cs="宋体"/>
                <w:sz w:val="24"/>
                <w:szCs w:val="24"/>
              </w:rPr>
              <w:t>其他</w:t>
            </w:r>
            <w:r>
              <w:rPr>
                <w:rFonts w:hint="eastAsia" w:ascii="宋体" w:hAnsi="宋体" w:cs="宋体"/>
                <w:sz w:val="24"/>
                <w:szCs w:val="24"/>
                <w:lang w:val="en-US" w:eastAsia="zh-CN"/>
              </w:rPr>
              <w:t>承诺</w:t>
            </w:r>
          </w:p>
        </w:tc>
        <w:tc>
          <w:tcPr>
            <w:tcW w:w="6058" w:type="dxa"/>
            <w:tcBorders>
              <w:top w:val="single" w:color="auto" w:sz="4" w:space="0"/>
              <w:left w:val="nil"/>
              <w:bottom w:val="single" w:color="auto" w:sz="4" w:space="0"/>
              <w:right w:val="single" w:color="auto" w:sz="4" w:space="0"/>
            </w:tcBorders>
            <w:noWrap w:val="0"/>
            <w:vAlign w:val="center"/>
          </w:tcPr>
          <w:p w14:paraId="40B5C78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、本项目不接受联合体</w:t>
            </w:r>
            <w:r>
              <w:rPr>
                <w:rFonts w:hint="eastAsia" w:ascii="宋体" w:hAnsi="宋体" w:cs="宋体"/>
                <w:sz w:val="24"/>
                <w:szCs w:val="24"/>
                <w:lang w:val="en-US" w:eastAsia="zh-CN"/>
              </w:rPr>
              <w:t>磋商</w:t>
            </w:r>
            <w:r>
              <w:rPr>
                <w:rFonts w:hint="eastAsia" w:ascii="宋体" w:hAnsi="宋体" w:cs="宋体"/>
                <w:sz w:val="24"/>
                <w:szCs w:val="24"/>
              </w:rPr>
              <w:t>；</w:t>
            </w:r>
          </w:p>
          <w:p w14:paraId="31C4A01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、本</w:t>
            </w:r>
            <w:r>
              <w:rPr>
                <w:rFonts w:hint="eastAsia" w:ascii="宋体" w:hAnsi="宋体" w:cs="宋体"/>
                <w:sz w:val="24"/>
                <w:szCs w:val="24"/>
                <w:lang w:val="en-US" w:eastAsia="zh-CN"/>
              </w:rPr>
              <w:t>项目</w:t>
            </w:r>
            <w:r>
              <w:rPr>
                <w:rFonts w:hint="eastAsia" w:ascii="宋体" w:hAnsi="宋体" w:cs="宋体"/>
                <w:sz w:val="24"/>
                <w:szCs w:val="24"/>
              </w:rPr>
              <w:t>实行资格后审</w:t>
            </w:r>
            <w:r>
              <w:rPr>
                <w:rFonts w:hint="eastAsia" w:ascii="宋体" w:hAnsi="宋体" w:cs="宋体"/>
                <w:sz w:val="24"/>
                <w:szCs w:val="24"/>
                <w:lang w:eastAsia="zh-CN"/>
              </w:rPr>
              <w:t>。</w:t>
            </w:r>
          </w:p>
        </w:tc>
      </w:tr>
      <w:tr w14:paraId="05F5B9CC">
        <w:tblPrEx>
          <w:tblCellMar>
            <w:top w:w="0" w:type="dxa"/>
            <w:left w:w="108" w:type="dxa"/>
            <w:bottom w:w="0" w:type="dxa"/>
            <w:right w:w="108" w:type="dxa"/>
          </w:tblCellMar>
        </w:tblPrEx>
        <w:trPr>
          <w:trHeight w:val="620" w:hRule="atLeast"/>
          <w:jc w:val="center"/>
        </w:trPr>
        <w:tc>
          <w:tcPr>
            <w:tcW w:w="832" w:type="dxa"/>
            <w:vMerge w:val="restart"/>
            <w:tcBorders>
              <w:top w:val="single" w:color="auto" w:sz="4" w:space="0"/>
              <w:left w:val="single" w:color="auto" w:sz="4" w:space="0"/>
              <w:right w:val="single" w:color="auto" w:sz="4" w:space="0"/>
            </w:tcBorders>
            <w:noWrap w:val="0"/>
            <w:vAlign w:val="center"/>
          </w:tcPr>
          <w:p w14:paraId="078142C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ascii="宋体" w:hAnsi="宋体" w:cs="宋体"/>
                <w:sz w:val="24"/>
                <w:szCs w:val="24"/>
              </w:rPr>
              <w:t>2.1.2</w:t>
            </w:r>
          </w:p>
        </w:tc>
        <w:tc>
          <w:tcPr>
            <w:tcW w:w="855" w:type="dxa"/>
            <w:vMerge w:val="restart"/>
            <w:tcBorders>
              <w:top w:val="single" w:color="auto" w:sz="4" w:space="0"/>
              <w:left w:val="single" w:color="auto" w:sz="4" w:space="0"/>
              <w:right w:val="single" w:color="auto" w:sz="4" w:space="0"/>
            </w:tcBorders>
            <w:noWrap w:val="0"/>
            <w:vAlign w:val="center"/>
          </w:tcPr>
          <w:p w14:paraId="6118D8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响应</w:t>
            </w:r>
            <w:r>
              <w:rPr>
                <w:rFonts w:ascii="宋体" w:hAnsi="宋体" w:cs="宋体"/>
                <w:sz w:val="24"/>
                <w:szCs w:val="24"/>
              </w:rPr>
              <w:t>性审查</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04CA4A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eastAsia="宋体" w:cs="宋体"/>
                <w:sz w:val="24"/>
                <w:szCs w:val="24"/>
                <w:lang w:eastAsia="zh-CN"/>
              </w:rPr>
              <w:t>交货地点</w:t>
            </w:r>
          </w:p>
        </w:tc>
        <w:tc>
          <w:tcPr>
            <w:tcW w:w="6058" w:type="dxa"/>
            <w:tcBorders>
              <w:top w:val="single" w:color="auto" w:sz="4" w:space="0"/>
              <w:left w:val="nil"/>
              <w:bottom w:val="single" w:color="auto" w:sz="4" w:space="0"/>
              <w:right w:val="single" w:color="auto" w:sz="4" w:space="0"/>
            </w:tcBorders>
            <w:noWrap w:val="0"/>
            <w:vAlign w:val="center"/>
          </w:tcPr>
          <w:p w14:paraId="4A4442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卢氏</w:t>
            </w:r>
            <w:r>
              <w:rPr>
                <w:rFonts w:hint="eastAsia" w:ascii="宋体" w:hAnsi="宋体" w:eastAsia="宋体" w:cs="宋体"/>
                <w:sz w:val="24"/>
                <w:szCs w:val="24"/>
                <w:lang w:val="en-US" w:eastAsia="zh-CN"/>
              </w:rPr>
              <w:t>县</w:t>
            </w:r>
            <w:r>
              <w:rPr>
                <w:rFonts w:hint="eastAsia" w:ascii="宋体" w:hAnsi="宋体" w:eastAsia="宋体" w:cs="宋体"/>
                <w:sz w:val="24"/>
                <w:szCs w:val="24"/>
                <w:lang w:eastAsia="zh-CN"/>
              </w:rPr>
              <w:t>聚贤花园</w:t>
            </w:r>
          </w:p>
        </w:tc>
      </w:tr>
      <w:tr w14:paraId="10E59B1E">
        <w:tblPrEx>
          <w:tblCellMar>
            <w:top w:w="0" w:type="dxa"/>
            <w:left w:w="108" w:type="dxa"/>
            <w:bottom w:w="0" w:type="dxa"/>
            <w:right w:w="108" w:type="dxa"/>
          </w:tblCellMar>
        </w:tblPrEx>
        <w:trPr>
          <w:trHeight w:val="599" w:hRule="atLeast"/>
          <w:jc w:val="center"/>
        </w:trPr>
        <w:tc>
          <w:tcPr>
            <w:tcW w:w="832" w:type="dxa"/>
            <w:vMerge w:val="continue"/>
            <w:tcBorders>
              <w:left w:val="single" w:color="auto" w:sz="4" w:space="0"/>
              <w:right w:val="single" w:color="auto" w:sz="4" w:space="0"/>
            </w:tcBorders>
            <w:noWrap w:val="0"/>
            <w:vAlign w:val="center"/>
          </w:tcPr>
          <w:p w14:paraId="0F47B7C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236FBF4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481928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en-US" w:eastAsia="zh-CN"/>
              </w:rPr>
              <w:t>交货期限</w:t>
            </w:r>
          </w:p>
        </w:tc>
        <w:tc>
          <w:tcPr>
            <w:tcW w:w="6058" w:type="dxa"/>
            <w:tcBorders>
              <w:top w:val="single" w:color="auto" w:sz="4" w:space="0"/>
              <w:left w:val="nil"/>
              <w:bottom w:val="single" w:color="auto" w:sz="4" w:space="0"/>
              <w:right w:val="single" w:color="auto" w:sz="4" w:space="0"/>
            </w:tcBorders>
            <w:noWrap w:val="0"/>
            <w:vAlign w:val="center"/>
          </w:tcPr>
          <w:p w14:paraId="52E62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合同签订后</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0日历天完成供货、安装及调试</w:t>
            </w:r>
          </w:p>
        </w:tc>
      </w:tr>
      <w:tr w14:paraId="083D7AF5">
        <w:tblPrEx>
          <w:tblCellMar>
            <w:top w:w="0" w:type="dxa"/>
            <w:left w:w="108" w:type="dxa"/>
            <w:bottom w:w="0" w:type="dxa"/>
            <w:right w:w="108" w:type="dxa"/>
          </w:tblCellMar>
        </w:tblPrEx>
        <w:trPr>
          <w:trHeight w:val="564" w:hRule="atLeast"/>
          <w:jc w:val="center"/>
        </w:trPr>
        <w:tc>
          <w:tcPr>
            <w:tcW w:w="832" w:type="dxa"/>
            <w:vMerge w:val="continue"/>
            <w:tcBorders>
              <w:left w:val="single" w:color="auto" w:sz="4" w:space="0"/>
              <w:right w:val="single" w:color="auto" w:sz="4" w:space="0"/>
            </w:tcBorders>
            <w:noWrap w:val="0"/>
            <w:vAlign w:val="center"/>
          </w:tcPr>
          <w:p w14:paraId="6C605A2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220B62F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4F902B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质量要求</w:t>
            </w:r>
          </w:p>
        </w:tc>
        <w:tc>
          <w:tcPr>
            <w:tcW w:w="6058" w:type="dxa"/>
            <w:tcBorders>
              <w:top w:val="single" w:color="auto" w:sz="4" w:space="0"/>
              <w:left w:val="nil"/>
              <w:bottom w:val="single" w:color="auto" w:sz="4" w:space="0"/>
              <w:right w:val="single" w:color="auto" w:sz="4" w:space="0"/>
            </w:tcBorders>
            <w:noWrap w:val="0"/>
            <w:vAlign w:val="center"/>
          </w:tcPr>
          <w:p w14:paraId="55C678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符合国家及行业标准，并满足采购人要求</w:t>
            </w:r>
          </w:p>
        </w:tc>
      </w:tr>
      <w:tr w14:paraId="19C653C8">
        <w:tblPrEx>
          <w:tblCellMar>
            <w:top w:w="0" w:type="dxa"/>
            <w:left w:w="108" w:type="dxa"/>
            <w:bottom w:w="0" w:type="dxa"/>
            <w:right w:w="108" w:type="dxa"/>
          </w:tblCellMar>
        </w:tblPrEx>
        <w:trPr>
          <w:trHeight w:val="526" w:hRule="atLeast"/>
          <w:jc w:val="center"/>
        </w:trPr>
        <w:tc>
          <w:tcPr>
            <w:tcW w:w="832" w:type="dxa"/>
            <w:vMerge w:val="continue"/>
            <w:tcBorders>
              <w:left w:val="single" w:color="auto" w:sz="4" w:space="0"/>
              <w:right w:val="single" w:color="auto" w:sz="4" w:space="0"/>
            </w:tcBorders>
            <w:noWrap w:val="0"/>
            <w:vAlign w:val="center"/>
          </w:tcPr>
          <w:p w14:paraId="113B01E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670F54B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1DD77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质保期</w:t>
            </w:r>
          </w:p>
        </w:tc>
        <w:tc>
          <w:tcPr>
            <w:tcW w:w="6058" w:type="dxa"/>
            <w:tcBorders>
              <w:top w:val="single" w:color="auto" w:sz="4" w:space="0"/>
              <w:left w:val="nil"/>
              <w:bottom w:val="single" w:color="auto" w:sz="4" w:space="0"/>
              <w:right w:val="single" w:color="auto" w:sz="4" w:space="0"/>
            </w:tcBorders>
            <w:noWrap w:val="0"/>
            <w:vAlign w:val="center"/>
          </w:tcPr>
          <w:p w14:paraId="293CF3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lang w:val="en-US" w:eastAsia="zh-CN"/>
              </w:rPr>
              <w:t>整机两年，核心部件五年，满足国债更换电梯要求；</w:t>
            </w:r>
          </w:p>
        </w:tc>
      </w:tr>
      <w:tr w14:paraId="5DABF112">
        <w:tblPrEx>
          <w:tblCellMar>
            <w:top w:w="0" w:type="dxa"/>
            <w:left w:w="108" w:type="dxa"/>
            <w:bottom w:w="0" w:type="dxa"/>
            <w:right w:w="108" w:type="dxa"/>
          </w:tblCellMar>
        </w:tblPrEx>
        <w:trPr>
          <w:trHeight w:val="606" w:hRule="atLeast"/>
          <w:jc w:val="center"/>
        </w:trPr>
        <w:tc>
          <w:tcPr>
            <w:tcW w:w="832" w:type="dxa"/>
            <w:vMerge w:val="continue"/>
            <w:tcBorders>
              <w:left w:val="single" w:color="auto" w:sz="4" w:space="0"/>
              <w:right w:val="single" w:color="auto" w:sz="4" w:space="0"/>
            </w:tcBorders>
            <w:noWrap w:val="0"/>
            <w:vAlign w:val="center"/>
          </w:tcPr>
          <w:p w14:paraId="4BD389C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4057439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65D39B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磋商有效期</w:t>
            </w:r>
          </w:p>
        </w:tc>
        <w:tc>
          <w:tcPr>
            <w:tcW w:w="6058" w:type="dxa"/>
            <w:tcBorders>
              <w:top w:val="single" w:color="auto" w:sz="4" w:space="0"/>
              <w:left w:val="nil"/>
              <w:bottom w:val="single" w:color="auto" w:sz="4" w:space="0"/>
              <w:right w:val="single" w:color="auto" w:sz="4" w:space="0"/>
            </w:tcBorders>
            <w:noWrap w:val="0"/>
            <w:vAlign w:val="center"/>
          </w:tcPr>
          <w:p w14:paraId="3F9654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符合磋商文件要求</w:t>
            </w:r>
          </w:p>
        </w:tc>
      </w:tr>
      <w:tr w14:paraId="752E2550">
        <w:tblPrEx>
          <w:tblCellMar>
            <w:top w:w="0" w:type="dxa"/>
            <w:left w:w="108" w:type="dxa"/>
            <w:bottom w:w="0" w:type="dxa"/>
            <w:right w:w="108" w:type="dxa"/>
          </w:tblCellMar>
        </w:tblPrEx>
        <w:trPr>
          <w:trHeight w:val="471" w:hRule="atLeast"/>
          <w:jc w:val="center"/>
        </w:trPr>
        <w:tc>
          <w:tcPr>
            <w:tcW w:w="832" w:type="dxa"/>
            <w:vMerge w:val="continue"/>
            <w:tcBorders>
              <w:left w:val="single" w:color="auto" w:sz="4" w:space="0"/>
              <w:right w:val="single" w:color="auto" w:sz="4" w:space="0"/>
            </w:tcBorders>
            <w:noWrap w:val="0"/>
            <w:vAlign w:val="center"/>
          </w:tcPr>
          <w:p w14:paraId="6897A5A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76777DF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3BD1E6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w:t>
            </w:r>
            <w:r>
              <w:rPr>
                <w:rFonts w:hint="eastAsia" w:ascii="宋体" w:hAnsi="宋体" w:cs="宋体"/>
                <w:sz w:val="24"/>
                <w:szCs w:val="24"/>
              </w:rPr>
              <w:t>承诺函</w:t>
            </w:r>
          </w:p>
        </w:tc>
        <w:tc>
          <w:tcPr>
            <w:tcW w:w="6058" w:type="dxa"/>
            <w:tcBorders>
              <w:top w:val="single" w:color="auto" w:sz="4" w:space="0"/>
              <w:left w:val="nil"/>
              <w:bottom w:val="single" w:color="auto" w:sz="4" w:space="0"/>
              <w:right w:val="single" w:color="auto" w:sz="4" w:space="0"/>
            </w:tcBorders>
            <w:noWrap w:val="0"/>
            <w:vAlign w:val="center"/>
          </w:tcPr>
          <w:p w14:paraId="34706B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按照磋商文件要求提交</w:t>
            </w:r>
          </w:p>
        </w:tc>
      </w:tr>
      <w:tr w14:paraId="4B948BEB">
        <w:tblPrEx>
          <w:tblCellMar>
            <w:top w:w="0" w:type="dxa"/>
            <w:left w:w="108" w:type="dxa"/>
            <w:bottom w:w="0" w:type="dxa"/>
            <w:right w:w="108" w:type="dxa"/>
          </w:tblCellMar>
        </w:tblPrEx>
        <w:trPr>
          <w:trHeight w:val="872"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5580842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bottom w:val="single" w:color="auto" w:sz="4" w:space="0"/>
              <w:right w:val="single" w:color="auto" w:sz="4" w:space="0"/>
            </w:tcBorders>
            <w:noWrap w:val="0"/>
            <w:vAlign w:val="center"/>
          </w:tcPr>
          <w:p w14:paraId="222B93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3D38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磋商报价</w:t>
            </w:r>
          </w:p>
        </w:tc>
        <w:tc>
          <w:tcPr>
            <w:tcW w:w="6058" w:type="dxa"/>
            <w:tcBorders>
              <w:top w:val="single" w:color="auto" w:sz="4" w:space="0"/>
              <w:left w:val="nil"/>
              <w:bottom w:val="single" w:color="auto" w:sz="4" w:space="0"/>
              <w:right w:val="single" w:color="auto" w:sz="4" w:space="0"/>
            </w:tcBorders>
            <w:noWrap w:val="0"/>
            <w:vAlign w:val="center"/>
          </w:tcPr>
          <w:p w14:paraId="426FCE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ascii="宋体" w:hAnsi="宋体" w:cs="宋体"/>
                <w:sz w:val="24"/>
                <w:szCs w:val="24"/>
              </w:rPr>
              <w:t>磋商供应商的报价不能超出磋商预算价</w:t>
            </w:r>
            <w:r>
              <w:rPr>
                <w:rFonts w:hint="eastAsia" w:ascii="宋体" w:hAnsi="宋体" w:cs="宋体"/>
                <w:sz w:val="24"/>
                <w:szCs w:val="24"/>
              </w:rPr>
              <w:t>（超出按废标处理）</w:t>
            </w:r>
          </w:p>
        </w:tc>
      </w:tr>
      <w:tr w14:paraId="2AD39470">
        <w:tblPrEx>
          <w:tblCellMar>
            <w:top w:w="0" w:type="dxa"/>
            <w:left w:w="108" w:type="dxa"/>
            <w:bottom w:w="0" w:type="dxa"/>
            <w:right w:w="108" w:type="dxa"/>
          </w:tblCellMar>
        </w:tblPrEx>
        <w:trPr>
          <w:trHeight w:val="767" w:hRule="atLeast"/>
          <w:jc w:val="center"/>
        </w:trPr>
        <w:tc>
          <w:tcPr>
            <w:tcW w:w="832" w:type="dxa"/>
            <w:vMerge w:val="restart"/>
            <w:tcBorders>
              <w:top w:val="single" w:color="auto" w:sz="4" w:space="0"/>
              <w:left w:val="single" w:color="auto" w:sz="4" w:space="0"/>
              <w:right w:val="single" w:color="auto" w:sz="4" w:space="0"/>
            </w:tcBorders>
            <w:noWrap w:val="0"/>
            <w:vAlign w:val="center"/>
          </w:tcPr>
          <w:p w14:paraId="33EF020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hint="eastAsia" w:ascii="宋体" w:hAnsi="宋体" w:cs="宋体"/>
                <w:sz w:val="24"/>
                <w:szCs w:val="24"/>
              </w:rPr>
              <w:t>2.1.3</w:t>
            </w:r>
          </w:p>
        </w:tc>
        <w:tc>
          <w:tcPr>
            <w:tcW w:w="855" w:type="dxa"/>
            <w:vMerge w:val="restart"/>
            <w:tcBorders>
              <w:top w:val="single" w:color="auto" w:sz="4" w:space="0"/>
              <w:left w:val="single" w:color="auto" w:sz="4" w:space="0"/>
              <w:right w:val="single" w:color="auto" w:sz="4" w:space="0"/>
            </w:tcBorders>
            <w:noWrap w:val="0"/>
            <w:vAlign w:val="center"/>
          </w:tcPr>
          <w:p w14:paraId="2F7909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符合性</w:t>
            </w:r>
            <w:r>
              <w:rPr>
                <w:rFonts w:hint="eastAsia" w:ascii="宋体" w:hAnsi="宋体" w:cs="宋体"/>
                <w:sz w:val="24"/>
                <w:szCs w:val="24"/>
                <w:lang w:val="zh-CN"/>
              </w:rPr>
              <w:t>评审标准</w:t>
            </w:r>
          </w:p>
        </w:tc>
        <w:tc>
          <w:tcPr>
            <w:tcW w:w="1656" w:type="dxa"/>
            <w:tcBorders>
              <w:top w:val="single" w:color="auto" w:sz="4" w:space="0"/>
              <w:left w:val="nil"/>
              <w:bottom w:val="single" w:color="auto" w:sz="4" w:space="0"/>
              <w:right w:val="single" w:color="auto" w:sz="4" w:space="0"/>
            </w:tcBorders>
            <w:noWrap w:val="0"/>
            <w:vAlign w:val="center"/>
          </w:tcPr>
          <w:p w14:paraId="1718A0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lang w:val="zh-CN"/>
              </w:rPr>
            </w:pPr>
            <w:r>
              <w:rPr>
                <w:rFonts w:hint="eastAsia" w:ascii="宋体" w:hAnsi="宋体" w:cs="宋体"/>
                <w:sz w:val="24"/>
                <w:szCs w:val="24"/>
                <w:lang w:val="zh-CN"/>
              </w:rPr>
              <w:t>供应商名称</w:t>
            </w:r>
          </w:p>
        </w:tc>
        <w:tc>
          <w:tcPr>
            <w:tcW w:w="6058" w:type="dxa"/>
            <w:tcBorders>
              <w:top w:val="single" w:color="auto" w:sz="4" w:space="0"/>
              <w:left w:val="nil"/>
              <w:bottom w:val="single" w:color="auto" w:sz="4" w:space="0"/>
              <w:right w:val="single" w:color="auto" w:sz="4" w:space="0"/>
            </w:tcBorders>
            <w:noWrap w:val="0"/>
            <w:vAlign w:val="center"/>
          </w:tcPr>
          <w:p w14:paraId="109ECC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lang w:val="zh-CN"/>
              </w:rPr>
            </w:pPr>
            <w:r>
              <w:rPr>
                <w:rFonts w:hint="eastAsia" w:ascii="宋体" w:hAnsi="宋体" w:cs="宋体"/>
                <w:sz w:val="24"/>
                <w:szCs w:val="24"/>
                <w:lang w:val="zh-CN"/>
              </w:rPr>
              <w:t>与营业执照等一致</w:t>
            </w:r>
          </w:p>
        </w:tc>
      </w:tr>
      <w:tr w14:paraId="79D61A2A">
        <w:tblPrEx>
          <w:tblCellMar>
            <w:top w:w="0" w:type="dxa"/>
            <w:left w:w="108" w:type="dxa"/>
            <w:bottom w:w="0" w:type="dxa"/>
            <w:right w:w="108" w:type="dxa"/>
          </w:tblCellMar>
        </w:tblPrEx>
        <w:trPr>
          <w:trHeight w:val="597" w:hRule="atLeast"/>
          <w:jc w:val="center"/>
        </w:trPr>
        <w:tc>
          <w:tcPr>
            <w:tcW w:w="832" w:type="dxa"/>
            <w:vMerge w:val="continue"/>
            <w:tcBorders>
              <w:left w:val="single" w:color="auto" w:sz="4" w:space="0"/>
              <w:right w:val="single" w:color="auto" w:sz="4" w:space="0"/>
            </w:tcBorders>
            <w:noWrap w:val="0"/>
            <w:vAlign w:val="center"/>
          </w:tcPr>
          <w:p w14:paraId="3A41435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06E1BA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51E4CF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lang w:val="zh-CN"/>
              </w:rPr>
            </w:pPr>
            <w:r>
              <w:rPr>
                <w:rFonts w:hint="eastAsia" w:ascii="宋体" w:hAnsi="宋体" w:cs="宋体"/>
                <w:sz w:val="24"/>
                <w:szCs w:val="24"/>
                <w:lang w:val="zh-CN"/>
              </w:rPr>
              <w:t>签字或盖章</w:t>
            </w:r>
          </w:p>
        </w:tc>
        <w:tc>
          <w:tcPr>
            <w:tcW w:w="6058" w:type="dxa"/>
            <w:tcBorders>
              <w:top w:val="single" w:color="auto" w:sz="4" w:space="0"/>
              <w:left w:val="nil"/>
              <w:bottom w:val="single" w:color="auto" w:sz="4" w:space="0"/>
              <w:right w:val="single" w:color="auto" w:sz="4" w:space="0"/>
            </w:tcBorders>
            <w:noWrap w:val="0"/>
            <w:vAlign w:val="center"/>
          </w:tcPr>
          <w:p w14:paraId="65F26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cs="宋体"/>
                <w:sz w:val="24"/>
                <w:szCs w:val="24"/>
                <w:lang w:val="zh-CN"/>
              </w:rPr>
              <w:t>符合竞争性磋商文件要求的签字或盖章</w:t>
            </w:r>
            <w:r>
              <w:rPr>
                <w:rFonts w:hint="eastAsia" w:ascii="宋体" w:hAnsi="宋体" w:cs="宋体"/>
                <w:sz w:val="24"/>
                <w:szCs w:val="24"/>
                <w:lang w:val="en-US" w:eastAsia="zh-CN"/>
              </w:rPr>
              <w:t>要求</w:t>
            </w:r>
          </w:p>
        </w:tc>
      </w:tr>
      <w:tr w14:paraId="16F34DC3">
        <w:tblPrEx>
          <w:tblCellMar>
            <w:top w:w="0" w:type="dxa"/>
            <w:left w:w="108" w:type="dxa"/>
            <w:bottom w:w="0" w:type="dxa"/>
            <w:right w:w="108" w:type="dxa"/>
          </w:tblCellMar>
        </w:tblPrEx>
        <w:trPr>
          <w:trHeight w:val="826" w:hRule="atLeast"/>
          <w:jc w:val="center"/>
        </w:trPr>
        <w:tc>
          <w:tcPr>
            <w:tcW w:w="832" w:type="dxa"/>
            <w:vMerge w:val="continue"/>
            <w:tcBorders>
              <w:left w:val="single" w:color="auto" w:sz="4" w:space="0"/>
              <w:right w:val="single" w:color="auto" w:sz="4" w:space="0"/>
            </w:tcBorders>
            <w:noWrap w:val="0"/>
            <w:vAlign w:val="center"/>
          </w:tcPr>
          <w:p w14:paraId="6974F8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30AE10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6ACA5C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zh-CN"/>
              </w:rPr>
              <w:t>响应文件内容及格式</w:t>
            </w:r>
          </w:p>
        </w:tc>
        <w:tc>
          <w:tcPr>
            <w:tcW w:w="6058" w:type="dxa"/>
            <w:tcBorders>
              <w:top w:val="single" w:color="auto" w:sz="4" w:space="0"/>
              <w:left w:val="nil"/>
              <w:bottom w:val="single" w:color="auto" w:sz="4" w:space="0"/>
              <w:right w:val="single" w:color="auto" w:sz="4" w:space="0"/>
            </w:tcBorders>
            <w:noWrap w:val="0"/>
            <w:vAlign w:val="center"/>
          </w:tcPr>
          <w:p w14:paraId="23A7CF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zh-CN"/>
              </w:rPr>
              <w:t>符合第六章“响应文件内容及格式”要求</w:t>
            </w:r>
          </w:p>
        </w:tc>
      </w:tr>
      <w:tr w14:paraId="0798E98B">
        <w:tblPrEx>
          <w:tblCellMar>
            <w:top w:w="0" w:type="dxa"/>
            <w:left w:w="108" w:type="dxa"/>
            <w:bottom w:w="0" w:type="dxa"/>
            <w:right w:w="108" w:type="dxa"/>
          </w:tblCellMar>
        </w:tblPrEx>
        <w:trPr>
          <w:trHeight w:val="577"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744054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bottom w:val="single" w:color="auto" w:sz="4" w:space="0"/>
              <w:right w:val="single" w:color="auto" w:sz="4" w:space="0"/>
            </w:tcBorders>
            <w:noWrap w:val="0"/>
            <w:vAlign w:val="center"/>
          </w:tcPr>
          <w:p w14:paraId="6C208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044524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zh-CN"/>
              </w:rPr>
              <w:t>报价唯一</w:t>
            </w:r>
          </w:p>
        </w:tc>
        <w:tc>
          <w:tcPr>
            <w:tcW w:w="6058" w:type="dxa"/>
            <w:tcBorders>
              <w:top w:val="single" w:color="auto" w:sz="4" w:space="0"/>
              <w:left w:val="nil"/>
              <w:bottom w:val="single" w:color="auto" w:sz="4" w:space="0"/>
              <w:right w:val="single" w:color="auto" w:sz="4" w:space="0"/>
            </w:tcBorders>
            <w:noWrap w:val="0"/>
            <w:vAlign w:val="center"/>
          </w:tcPr>
          <w:p w14:paraId="2B157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cs="宋体"/>
                <w:sz w:val="24"/>
                <w:szCs w:val="24"/>
              </w:rPr>
              <w:t>只能有一个有效报价，且投标报价不超过预算</w:t>
            </w:r>
            <w:r>
              <w:rPr>
                <w:rFonts w:hint="eastAsia" w:ascii="宋体" w:hAnsi="宋体" w:cs="宋体"/>
                <w:sz w:val="24"/>
                <w:szCs w:val="24"/>
                <w:lang w:val="en-US" w:eastAsia="zh-CN"/>
              </w:rPr>
              <w:t>金额</w:t>
            </w:r>
          </w:p>
        </w:tc>
      </w:tr>
    </w:tbl>
    <w:p w14:paraId="06FE21AE">
      <w:pPr>
        <w:widowControl w:val="0"/>
        <w:spacing w:line="360" w:lineRule="auto"/>
        <w:jc w:val="both"/>
        <w:rPr>
          <w:sz w:val="24"/>
          <w:szCs w:val="24"/>
        </w:rPr>
      </w:pPr>
      <w:r>
        <w:rPr>
          <w:rFonts w:hint="eastAsia"/>
          <w:kern w:val="2"/>
          <w:sz w:val="24"/>
          <w:szCs w:val="24"/>
        </w:rPr>
        <w:t xml:space="preserve"> </w:t>
      </w:r>
      <w:r>
        <w:rPr>
          <w:rFonts w:hint="eastAsia" w:ascii="宋体" w:hAnsi="宋体" w:cs="宋体"/>
          <w:b/>
          <w:sz w:val="24"/>
          <w:szCs w:val="24"/>
        </w:rPr>
        <w:t>1. 磋商文件的评审、比较和否决</w:t>
      </w:r>
    </w:p>
    <w:p w14:paraId="0B63107C">
      <w:pPr>
        <w:spacing w:line="360" w:lineRule="auto"/>
        <w:ind w:firstLine="480"/>
        <w:jc w:val="both"/>
        <w:rPr>
          <w:sz w:val="24"/>
          <w:szCs w:val="24"/>
        </w:rPr>
      </w:pPr>
      <w:r>
        <w:rPr>
          <w:rFonts w:hint="eastAsia" w:ascii="宋体" w:hAnsi="宋体" w:cs="宋体"/>
          <w:b/>
          <w:sz w:val="24"/>
          <w:szCs w:val="24"/>
        </w:rPr>
        <w:t>1.1</w:t>
      </w:r>
      <w:r>
        <w:rPr>
          <w:rFonts w:hint="eastAsia" w:ascii="宋体" w:hAnsi="宋体" w:cs="宋体"/>
          <w:sz w:val="24"/>
          <w:szCs w:val="24"/>
        </w:rPr>
        <w:t>磋商小组将按照竞争性磋商文件的规定，仅对在实质上响应竞争性磋商文件要求的磋商文件进行评估和比较。</w:t>
      </w:r>
    </w:p>
    <w:p w14:paraId="12465302">
      <w:pPr>
        <w:spacing w:line="360" w:lineRule="auto"/>
        <w:ind w:firstLine="480"/>
        <w:jc w:val="both"/>
        <w:rPr>
          <w:sz w:val="24"/>
          <w:szCs w:val="24"/>
        </w:rPr>
      </w:pPr>
      <w:r>
        <w:rPr>
          <w:rFonts w:hint="eastAsia" w:ascii="宋体" w:hAnsi="宋体" w:cs="宋体"/>
          <w:b/>
          <w:sz w:val="24"/>
          <w:szCs w:val="24"/>
        </w:rPr>
        <w:t>1.2</w:t>
      </w:r>
      <w:r>
        <w:rPr>
          <w:rFonts w:hint="eastAsia" w:ascii="宋体" w:hAnsi="宋体" w:cs="宋体"/>
          <w:sz w:val="24"/>
          <w:szCs w:val="24"/>
        </w:rPr>
        <w:t>根据相关法律法规及有关磋商文件规定，结合本项目具体情况，制定本次采购评标办法。并按照“公平、公正、科学、择优”的原则进行评标。采用百分制综合评估法进行评比。</w:t>
      </w:r>
    </w:p>
    <w:p w14:paraId="0123E241">
      <w:pPr>
        <w:spacing w:line="360" w:lineRule="auto"/>
        <w:ind w:firstLine="480"/>
        <w:jc w:val="both"/>
        <w:rPr>
          <w:rFonts w:hint="eastAsia" w:ascii="宋体" w:hAnsi="宋体" w:eastAsia="宋体" w:cs="宋体"/>
          <w:sz w:val="24"/>
          <w:szCs w:val="24"/>
        </w:rPr>
      </w:pPr>
      <w:r>
        <w:rPr>
          <w:rFonts w:hint="eastAsia" w:ascii="宋体" w:hAnsi="宋体" w:cs="宋体"/>
          <w:b/>
          <w:sz w:val="24"/>
          <w:szCs w:val="24"/>
        </w:rPr>
        <w:t>1.3</w:t>
      </w:r>
      <w:r>
        <w:rPr>
          <w:rFonts w:hint="eastAsia" w:ascii="宋体" w:hAnsi="宋体" w:eastAsia="宋体" w:cs="宋体"/>
          <w:sz w:val="24"/>
          <w:szCs w:val="24"/>
        </w:rPr>
        <w:t>在评审过程中，磋商小组可以以书面形式要求磋商供应商就磋商文件中含义不明确的内容进行书面说明并提供相关材料；凡遇到竞争性磋商文件中无界定或界定不清、前后不一致使磋商小组成员意见有分歧且又难于协商一致的问题，均由磋商小组予以表决，获半数以上同意的即为通过，未获半数同意的即为否决。</w:t>
      </w:r>
    </w:p>
    <w:p w14:paraId="2E14C2AC">
      <w:pPr>
        <w:spacing w:line="360" w:lineRule="auto"/>
        <w:ind w:firstLine="480"/>
        <w:jc w:val="both"/>
        <w:rPr>
          <w:sz w:val="24"/>
          <w:szCs w:val="24"/>
        </w:rPr>
      </w:pPr>
      <w:r>
        <w:rPr>
          <w:rFonts w:hint="eastAsia" w:ascii="宋体" w:hAnsi="宋体" w:cs="宋体"/>
          <w:b/>
          <w:sz w:val="24"/>
          <w:szCs w:val="24"/>
        </w:rPr>
        <w:t>1.4</w:t>
      </w:r>
      <w:r>
        <w:rPr>
          <w:rFonts w:hint="eastAsia" w:ascii="宋体" w:hAnsi="宋体" w:cs="宋体"/>
          <w:sz w:val="24"/>
          <w:szCs w:val="24"/>
        </w:rPr>
        <w:t>评标时，磋商报价是评标的重要依据，但不是唯一依据，采购人不承诺将合同授予报价最低或最高的磋商供应商。</w:t>
      </w:r>
    </w:p>
    <w:p w14:paraId="5E0ED521">
      <w:pPr>
        <w:spacing w:line="360" w:lineRule="auto"/>
        <w:ind w:firstLine="480"/>
        <w:jc w:val="both"/>
        <w:rPr>
          <w:rFonts w:hint="eastAsia" w:ascii="宋体" w:hAnsi="宋体" w:cs="宋体"/>
          <w:sz w:val="24"/>
          <w:szCs w:val="24"/>
        </w:rPr>
      </w:pPr>
      <w:r>
        <w:rPr>
          <w:rFonts w:hint="eastAsia" w:ascii="宋体" w:hAnsi="宋体" w:cs="宋体"/>
          <w:b/>
          <w:sz w:val="24"/>
          <w:szCs w:val="24"/>
        </w:rPr>
        <w:t>1.5</w:t>
      </w:r>
      <w:r>
        <w:rPr>
          <w:rFonts w:hint="eastAsia" w:ascii="宋体" w:hAnsi="宋体" w:cs="宋体"/>
          <w:sz w:val="24"/>
          <w:szCs w:val="24"/>
        </w:rPr>
        <w:t>磋商小组依据竞争性磋商文件中规定的评标标准和方法，对磋商文件进行评审和比较，向采购人提出书面评标报告，并推荐合格的</w:t>
      </w:r>
      <w:r>
        <w:rPr>
          <w:rFonts w:hint="eastAsia" w:ascii="宋体" w:hAnsi="宋体" w:cs="宋体"/>
          <w:sz w:val="24"/>
          <w:szCs w:val="24"/>
          <w:lang w:eastAsia="zh-CN"/>
        </w:rPr>
        <w:t>成交</w:t>
      </w:r>
      <w:r>
        <w:rPr>
          <w:rFonts w:hint="eastAsia" w:ascii="宋体" w:hAnsi="宋体" w:cs="宋体"/>
          <w:sz w:val="24"/>
          <w:szCs w:val="24"/>
        </w:rPr>
        <w:t>候选人。采购人根据磋商小组提出的书面评标报告和推荐的</w:t>
      </w:r>
      <w:r>
        <w:rPr>
          <w:rFonts w:hint="eastAsia" w:ascii="宋体" w:hAnsi="宋体" w:cs="宋体"/>
          <w:sz w:val="24"/>
          <w:szCs w:val="24"/>
          <w:lang w:eastAsia="zh-CN"/>
        </w:rPr>
        <w:t>成交</w:t>
      </w:r>
      <w:r>
        <w:rPr>
          <w:rFonts w:hint="eastAsia" w:ascii="宋体" w:hAnsi="宋体" w:cs="宋体"/>
          <w:sz w:val="24"/>
          <w:szCs w:val="24"/>
        </w:rPr>
        <w:t>候选人按序确定</w:t>
      </w:r>
      <w:r>
        <w:rPr>
          <w:rFonts w:hint="eastAsia" w:ascii="宋体" w:hAnsi="宋体" w:cs="宋体"/>
          <w:sz w:val="24"/>
          <w:szCs w:val="24"/>
          <w:lang w:eastAsia="zh-CN"/>
        </w:rPr>
        <w:t>成交</w:t>
      </w:r>
      <w:r>
        <w:rPr>
          <w:rFonts w:hint="eastAsia" w:ascii="宋体" w:hAnsi="宋体" w:cs="宋体"/>
          <w:sz w:val="24"/>
          <w:szCs w:val="24"/>
        </w:rPr>
        <w:t>人。</w:t>
      </w:r>
    </w:p>
    <w:p w14:paraId="1E0819E8">
      <w:pPr>
        <w:spacing w:line="360" w:lineRule="auto"/>
        <w:ind w:firstLine="480"/>
        <w:jc w:val="both"/>
        <w:rPr>
          <w:rFonts w:hint="eastAsia" w:ascii="宋体" w:hAnsi="宋体" w:cs="宋体"/>
          <w:b/>
          <w:bCs/>
          <w:sz w:val="24"/>
          <w:szCs w:val="24"/>
        </w:rPr>
      </w:pPr>
      <w:r>
        <w:rPr>
          <w:rFonts w:hint="eastAsia" w:ascii="宋体" w:hAnsi="宋体" w:cs="宋体"/>
          <w:b/>
          <w:bCs/>
          <w:sz w:val="24"/>
          <w:szCs w:val="24"/>
          <w:lang w:val="en-US" w:eastAsia="zh-CN"/>
        </w:rPr>
        <w:t xml:space="preserve">1.6 </w:t>
      </w:r>
      <w:r>
        <w:rPr>
          <w:rFonts w:hint="eastAsia" w:ascii="宋体" w:hAnsi="宋体" w:cs="宋体"/>
          <w:b/>
          <w:bCs/>
          <w:sz w:val="24"/>
          <w:szCs w:val="24"/>
        </w:rPr>
        <w:t>同品牌产品投标</w:t>
      </w:r>
    </w:p>
    <w:p w14:paraId="7EF9B020">
      <w:pPr>
        <w:spacing w:line="360" w:lineRule="auto"/>
        <w:ind w:firstLine="480"/>
        <w:jc w:val="both"/>
        <w:rPr>
          <w:rFonts w:hint="eastAsia" w:ascii="宋体" w:hAnsi="宋体" w:cs="宋体"/>
          <w:b/>
          <w:bCs/>
          <w:sz w:val="24"/>
          <w:szCs w:val="24"/>
        </w:rPr>
      </w:pPr>
      <w:r>
        <w:rPr>
          <w:rFonts w:hint="eastAsia" w:ascii="宋体" w:hAnsi="宋体" w:cs="宋体"/>
          <w:b/>
          <w:bCs/>
          <w:sz w:val="24"/>
          <w:szCs w:val="24"/>
        </w:rPr>
        <w:t>采用最低评标价法的采购项目，提供相同品牌产品的不同</w:t>
      </w:r>
      <w:r>
        <w:rPr>
          <w:rFonts w:hint="eastAsia" w:ascii="宋体" w:hAnsi="宋体" w:cs="宋体"/>
          <w:b/>
          <w:bCs/>
          <w:sz w:val="24"/>
          <w:szCs w:val="24"/>
          <w:lang w:val="en-US" w:eastAsia="zh-CN"/>
        </w:rPr>
        <w:t>供应商</w:t>
      </w:r>
      <w:r>
        <w:rPr>
          <w:rFonts w:hint="eastAsia" w:ascii="宋体" w:hAnsi="宋体" w:cs="宋体"/>
          <w:b/>
          <w:bCs/>
          <w:sz w:val="24"/>
          <w:szCs w:val="24"/>
        </w:rPr>
        <w:t>参加同一合同项下投标的，以其中通过资格审查、符合性审查且报价最低的参加评标；报价相同的，由采购人或者采购人委托</w:t>
      </w:r>
      <w:r>
        <w:rPr>
          <w:rFonts w:hint="eastAsia" w:ascii="宋体" w:hAnsi="宋体" w:cs="宋体"/>
          <w:b/>
          <w:bCs/>
          <w:sz w:val="24"/>
          <w:szCs w:val="24"/>
          <w:lang w:val="en-US" w:eastAsia="zh-CN"/>
        </w:rPr>
        <w:t>磋商小组</w:t>
      </w:r>
      <w:r>
        <w:rPr>
          <w:rFonts w:hint="eastAsia" w:ascii="宋体" w:hAnsi="宋体" w:cs="宋体"/>
          <w:b/>
          <w:bCs/>
          <w:sz w:val="24"/>
          <w:szCs w:val="24"/>
        </w:rPr>
        <w:t>按照</w:t>
      </w:r>
      <w:r>
        <w:rPr>
          <w:rFonts w:hint="eastAsia" w:ascii="宋体" w:hAnsi="宋体" w:cs="宋体"/>
          <w:b/>
          <w:bCs/>
          <w:sz w:val="24"/>
          <w:szCs w:val="24"/>
          <w:lang w:val="en-US" w:eastAsia="zh-CN"/>
        </w:rPr>
        <w:t>磋商</w:t>
      </w:r>
      <w:r>
        <w:rPr>
          <w:rFonts w:hint="eastAsia" w:ascii="宋体" w:hAnsi="宋体" w:cs="宋体"/>
          <w:b/>
          <w:bCs/>
          <w:sz w:val="24"/>
          <w:szCs w:val="24"/>
        </w:rPr>
        <w:t>文件规定的方式确定一个参加评标的</w:t>
      </w:r>
      <w:r>
        <w:rPr>
          <w:rFonts w:hint="eastAsia" w:ascii="宋体" w:hAnsi="宋体" w:cs="宋体"/>
          <w:b/>
          <w:bCs/>
          <w:sz w:val="24"/>
          <w:szCs w:val="24"/>
          <w:lang w:val="en-US" w:eastAsia="zh-CN"/>
        </w:rPr>
        <w:t>供应商</w:t>
      </w:r>
      <w:r>
        <w:rPr>
          <w:rFonts w:hint="eastAsia" w:ascii="宋体" w:hAnsi="宋体" w:cs="宋体"/>
          <w:b/>
          <w:bCs/>
          <w:sz w:val="24"/>
          <w:szCs w:val="24"/>
        </w:rPr>
        <w:t>，</w:t>
      </w:r>
      <w:r>
        <w:rPr>
          <w:rFonts w:hint="eastAsia" w:ascii="宋体" w:hAnsi="宋体" w:cs="宋体"/>
          <w:b/>
          <w:bCs/>
          <w:sz w:val="24"/>
          <w:szCs w:val="24"/>
          <w:lang w:val="en-US" w:eastAsia="zh-CN"/>
        </w:rPr>
        <w:t>磋商</w:t>
      </w:r>
      <w:r>
        <w:rPr>
          <w:rFonts w:hint="eastAsia" w:ascii="宋体" w:hAnsi="宋体" w:cs="宋体"/>
          <w:b/>
          <w:bCs/>
          <w:sz w:val="24"/>
          <w:szCs w:val="24"/>
        </w:rPr>
        <w:t>文件未规定的采取随机抽取方式确定，其他投标无效。</w:t>
      </w:r>
    </w:p>
    <w:p w14:paraId="7EBD52EC">
      <w:pPr>
        <w:spacing w:line="360" w:lineRule="auto"/>
        <w:ind w:firstLine="480"/>
        <w:jc w:val="both"/>
        <w:rPr>
          <w:rFonts w:hint="eastAsia" w:ascii="宋体" w:hAnsi="宋体" w:cs="宋体"/>
          <w:b/>
          <w:bCs/>
          <w:sz w:val="24"/>
          <w:szCs w:val="24"/>
        </w:rPr>
      </w:pPr>
      <w:r>
        <w:rPr>
          <w:rFonts w:hint="eastAsia" w:ascii="宋体" w:hAnsi="宋体" w:cs="宋体"/>
          <w:b/>
          <w:bCs/>
          <w:sz w:val="24"/>
          <w:szCs w:val="24"/>
        </w:rPr>
        <w:t>使用综合评分法的采购项目，提供相同品牌产品且通过资格审查、符合性审查的不同</w:t>
      </w:r>
      <w:r>
        <w:rPr>
          <w:rFonts w:hint="eastAsia" w:ascii="宋体" w:hAnsi="宋体" w:cs="宋体"/>
          <w:b/>
          <w:bCs/>
          <w:sz w:val="24"/>
          <w:szCs w:val="24"/>
          <w:lang w:val="en-US" w:eastAsia="zh-CN"/>
        </w:rPr>
        <w:t>供应商</w:t>
      </w:r>
      <w:r>
        <w:rPr>
          <w:rFonts w:hint="eastAsia" w:ascii="宋体" w:hAnsi="宋体" w:cs="宋体"/>
          <w:b/>
          <w:bCs/>
          <w:sz w:val="24"/>
          <w:szCs w:val="24"/>
        </w:rPr>
        <w:t>参加同一合同项下投标的，按一家投标人计算，评审后得分最高的同品牌</w:t>
      </w:r>
      <w:r>
        <w:rPr>
          <w:rFonts w:hint="eastAsia" w:ascii="宋体" w:hAnsi="宋体" w:cs="宋体"/>
          <w:b/>
          <w:bCs/>
          <w:sz w:val="24"/>
          <w:szCs w:val="24"/>
          <w:lang w:val="en-US" w:eastAsia="zh-CN"/>
        </w:rPr>
        <w:t>供应商</w:t>
      </w:r>
      <w:r>
        <w:rPr>
          <w:rFonts w:hint="eastAsia" w:ascii="宋体" w:hAnsi="宋体" w:cs="宋体"/>
          <w:b/>
          <w:bCs/>
          <w:sz w:val="24"/>
          <w:szCs w:val="24"/>
        </w:rPr>
        <w:t>获得</w:t>
      </w:r>
      <w:r>
        <w:rPr>
          <w:rFonts w:hint="eastAsia" w:ascii="宋体" w:hAnsi="宋体" w:cs="宋体"/>
          <w:b/>
          <w:bCs/>
          <w:sz w:val="24"/>
          <w:szCs w:val="24"/>
          <w:lang w:val="en-US" w:eastAsia="zh-CN"/>
        </w:rPr>
        <w:t>成交</w:t>
      </w:r>
      <w:r>
        <w:rPr>
          <w:rFonts w:hint="eastAsia" w:ascii="宋体" w:hAnsi="宋体" w:cs="宋体"/>
          <w:b/>
          <w:bCs/>
          <w:sz w:val="24"/>
          <w:szCs w:val="24"/>
        </w:rPr>
        <w:t>人推荐资格；评审得分相同的，由采购人或者采购人委托</w:t>
      </w:r>
      <w:r>
        <w:rPr>
          <w:rFonts w:hint="eastAsia" w:ascii="宋体" w:hAnsi="宋体" w:cs="宋体"/>
          <w:b/>
          <w:bCs/>
          <w:sz w:val="24"/>
          <w:szCs w:val="24"/>
          <w:lang w:val="en-US" w:eastAsia="zh-CN"/>
        </w:rPr>
        <w:t>磋商小组</w:t>
      </w:r>
      <w:r>
        <w:rPr>
          <w:rFonts w:hint="eastAsia" w:ascii="宋体" w:hAnsi="宋体" w:cs="宋体"/>
          <w:b/>
          <w:bCs/>
          <w:sz w:val="24"/>
          <w:szCs w:val="24"/>
        </w:rPr>
        <w:t>按照</w:t>
      </w:r>
      <w:r>
        <w:rPr>
          <w:rFonts w:hint="eastAsia" w:ascii="宋体" w:hAnsi="宋体" w:cs="宋体"/>
          <w:b/>
          <w:bCs/>
          <w:sz w:val="24"/>
          <w:szCs w:val="24"/>
          <w:lang w:val="en-US" w:eastAsia="zh-CN"/>
        </w:rPr>
        <w:t>磋商</w:t>
      </w:r>
      <w:r>
        <w:rPr>
          <w:rFonts w:hint="eastAsia" w:ascii="宋体" w:hAnsi="宋体" w:cs="宋体"/>
          <w:b/>
          <w:bCs/>
          <w:sz w:val="24"/>
          <w:szCs w:val="24"/>
        </w:rPr>
        <w:t>文件规定的方式确定一个</w:t>
      </w:r>
      <w:r>
        <w:rPr>
          <w:rFonts w:hint="eastAsia" w:ascii="宋体" w:hAnsi="宋体" w:cs="宋体"/>
          <w:b/>
          <w:bCs/>
          <w:sz w:val="24"/>
          <w:szCs w:val="24"/>
          <w:lang w:val="en-US" w:eastAsia="zh-CN"/>
        </w:rPr>
        <w:t>供应商</w:t>
      </w:r>
      <w:r>
        <w:rPr>
          <w:rFonts w:hint="eastAsia" w:ascii="宋体" w:hAnsi="宋体" w:cs="宋体"/>
          <w:b/>
          <w:bCs/>
          <w:sz w:val="24"/>
          <w:szCs w:val="24"/>
        </w:rPr>
        <w:t>获得</w:t>
      </w:r>
      <w:r>
        <w:rPr>
          <w:rFonts w:hint="eastAsia" w:ascii="宋体" w:hAnsi="宋体" w:cs="宋体"/>
          <w:b/>
          <w:bCs/>
          <w:sz w:val="24"/>
          <w:szCs w:val="24"/>
          <w:lang w:val="en-US" w:eastAsia="zh-CN"/>
        </w:rPr>
        <w:t>成交</w:t>
      </w:r>
      <w:r>
        <w:rPr>
          <w:rFonts w:hint="eastAsia" w:ascii="宋体" w:hAnsi="宋体" w:cs="宋体"/>
          <w:b/>
          <w:bCs/>
          <w:sz w:val="24"/>
          <w:szCs w:val="24"/>
        </w:rPr>
        <w:t>人推荐资格，</w:t>
      </w:r>
      <w:r>
        <w:rPr>
          <w:rFonts w:hint="eastAsia" w:ascii="宋体" w:hAnsi="宋体" w:cs="宋体"/>
          <w:b/>
          <w:bCs/>
          <w:sz w:val="24"/>
          <w:szCs w:val="24"/>
          <w:lang w:val="en-US" w:eastAsia="zh-CN"/>
        </w:rPr>
        <w:t>磋商</w:t>
      </w:r>
      <w:r>
        <w:rPr>
          <w:rFonts w:hint="eastAsia" w:ascii="宋体" w:hAnsi="宋体" w:cs="宋体"/>
          <w:b/>
          <w:bCs/>
          <w:sz w:val="24"/>
          <w:szCs w:val="24"/>
        </w:rPr>
        <w:t>文件未规定的采取随机抽取方式确定，其他同品牌投标人不作为</w:t>
      </w:r>
      <w:r>
        <w:rPr>
          <w:rFonts w:hint="eastAsia" w:ascii="宋体" w:hAnsi="宋体" w:cs="宋体"/>
          <w:b/>
          <w:bCs/>
          <w:sz w:val="24"/>
          <w:szCs w:val="24"/>
          <w:lang w:val="en-US" w:eastAsia="zh-CN"/>
        </w:rPr>
        <w:t>成交</w:t>
      </w:r>
      <w:r>
        <w:rPr>
          <w:rFonts w:hint="eastAsia" w:ascii="宋体" w:hAnsi="宋体" w:cs="宋体"/>
          <w:b/>
          <w:bCs/>
          <w:sz w:val="24"/>
          <w:szCs w:val="24"/>
        </w:rPr>
        <w:t>候选人。</w:t>
      </w:r>
    </w:p>
    <w:p w14:paraId="38EC978E">
      <w:pPr>
        <w:spacing w:line="360" w:lineRule="auto"/>
        <w:ind w:firstLine="480"/>
        <w:jc w:val="both"/>
        <w:rPr>
          <w:rFonts w:hint="eastAsia" w:ascii="宋体" w:hAnsi="宋体" w:cs="宋体"/>
          <w:b/>
          <w:bCs/>
          <w:sz w:val="24"/>
          <w:szCs w:val="24"/>
        </w:rPr>
      </w:pPr>
      <w:r>
        <w:rPr>
          <w:rFonts w:hint="eastAsia" w:ascii="宋体" w:hAnsi="宋体" w:cs="宋体"/>
          <w:b/>
          <w:bCs/>
          <w:sz w:val="24"/>
          <w:szCs w:val="24"/>
        </w:rPr>
        <w:t>非单一产品采购项目，采购人应当根据采购项目技术构成、产品价格比重等合理确定核心产品，并在招标文件中载明。多家投标人提供的核心产品品牌相同的，按前两款规定处理。</w:t>
      </w:r>
    </w:p>
    <w:p w14:paraId="42D8E42D">
      <w:pPr>
        <w:spacing w:line="360" w:lineRule="auto"/>
        <w:ind w:firstLine="480"/>
        <w:jc w:val="both"/>
        <w:rPr>
          <w:sz w:val="24"/>
          <w:szCs w:val="24"/>
        </w:rPr>
      </w:pPr>
      <w:r>
        <w:rPr>
          <w:rFonts w:hint="eastAsia" w:ascii="宋体" w:hAnsi="宋体" w:cs="宋体"/>
          <w:b/>
          <w:sz w:val="24"/>
          <w:szCs w:val="24"/>
        </w:rPr>
        <w:t>2. 评审程序</w:t>
      </w:r>
    </w:p>
    <w:p w14:paraId="4C87E522">
      <w:pPr>
        <w:spacing w:line="360" w:lineRule="auto"/>
        <w:ind w:firstLine="480"/>
        <w:jc w:val="both"/>
        <w:rPr>
          <w:sz w:val="24"/>
          <w:szCs w:val="24"/>
        </w:rPr>
      </w:pPr>
      <w:r>
        <w:rPr>
          <w:rFonts w:hint="eastAsia" w:ascii="宋体" w:hAnsi="宋体" w:cs="宋体"/>
          <w:sz w:val="24"/>
          <w:szCs w:val="24"/>
        </w:rPr>
        <w:t>2.1 资格审查</w:t>
      </w:r>
    </w:p>
    <w:p w14:paraId="5FD48309">
      <w:pPr>
        <w:spacing w:line="360" w:lineRule="auto"/>
        <w:ind w:firstLine="480"/>
        <w:jc w:val="both"/>
        <w:rPr>
          <w:sz w:val="24"/>
          <w:szCs w:val="24"/>
        </w:rPr>
      </w:pPr>
      <w:r>
        <w:rPr>
          <w:rFonts w:hint="eastAsia" w:ascii="宋体" w:hAnsi="宋体" w:cs="宋体"/>
          <w:sz w:val="24"/>
          <w:szCs w:val="24"/>
        </w:rPr>
        <w:t>本项目采用资格后审</w:t>
      </w:r>
    </w:p>
    <w:p w14:paraId="56E30086">
      <w:pPr>
        <w:spacing w:line="360" w:lineRule="auto"/>
        <w:ind w:firstLine="480"/>
        <w:jc w:val="both"/>
        <w:rPr>
          <w:sz w:val="24"/>
          <w:szCs w:val="24"/>
        </w:rPr>
      </w:pPr>
      <w:r>
        <w:rPr>
          <w:rFonts w:hint="eastAsia" w:ascii="宋体" w:hAnsi="宋体" w:cs="宋体"/>
          <w:sz w:val="24"/>
          <w:szCs w:val="24"/>
        </w:rPr>
        <w:t>磋商小组按照竞争性磋商文件供应商资格要求，对磋商供应商的磋商文件进行初步评审，有一项不符合的，视为未通过初步审查，按废标处理，符合的进入下一评标程序。</w:t>
      </w:r>
    </w:p>
    <w:p w14:paraId="3A5AFC2B">
      <w:pPr>
        <w:spacing w:line="360" w:lineRule="auto"/>
        <w:ind w:firstLine="472" w:firstLineChars="196"/>
        <w:rPr>
          <w:rFonts w:ascii="宋体" w:hAnsi="宋体" w:cs="宋体"/>
          <w:b/>
          <w:sz w:val="24"/>
          <w:szCs w:val="24"/>
        </w:rPr>
      </w:pPr>
      <w:r>
        <w:rPr>
          <w:rFonts w:hint="eastAsia" w:ascii="宋体" w:hAnsi="宋体" w:cs="宋体"/>
          <w:b/>
          <w:sz w:val="24"/>
          <w:szCs w:val="24"/>
        </w:rPr>
        <w:t>3.评标具体方法和标准</w:t>
      </w:r>
    </w:p>
    <w:p w14:paraId="7BFDCF1C">
      <w:pPr>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磋商小组根据评标原则和办法对所有磋商文件进行集中审核，分别评价。</w:t>
      </w:r>
    </w:p>
    <w:p w14:paraId="50B4E3D5">
      <w:pPr>
        <w:spacing w:line="360" w:lineRule="auto"/>
        <w:ind w:firstLine="480"/>
        <w:jc w:val="both"/>
        <w:rPr>
          <w:rFonts w:hint="eastAsia" w:ascii="宋体" w:hAnsi="宋体" w:eastAsia="宋体" w:cs="宋体"/>
          <w:b/>
          <w:bCs/>
          <w:sz w:val="24"/>
          <w:szCs w:val="24"/>
        </w:rPr>
      </w:pPr>
      <w:r>
        <w:rPr>
          <w:rFonts w:hint="eastAsia" w:ascii="宋体" w:hAnsi="宋体" w:eastAsia="宋体" w:cs="宋体"/>
          <w:sz w:val="24"/>
          <w:szCs w:val="24"/>
        </w:rPr>
        <w:t>评审因素：首先应对</w:t>
      </w:r>
      <w:r>
        <w:rPr>
          <w:rFonts w:hint="eastAsia" w:ascii="宋体" w:hAnsi="宋体" w:eastAsia="宋体" w:cs="宋体"/>
          <w:sz w:val="24"/>
          <w:szCs w:val="24"/>
          <w:lang w:eastAsia="zh-CN"/>
        </w:rPr>
        <w:t>响应供应商</w:t>
      </w:r>
      <w:r>
        <w:rPr>
          <w:rFonts w:hint="eastAsia" w:ascii="宋体" w:hAnsi="宋体" w:eastAsia="宋体" w:cs="宋体"/>
          <w:sz w:val="24"/>
          <w:szCs w:val="24"/>
        </w:rPr>
        <w:t>的资格文件进行审查，不能通过初步审查的，其</w:t>
      </w:r>
      <w:r>
        <w:rPr>
          <w:rFonts w:hint="eastAsia" w:ascii="宋体" w:hAnsi="宋体" w:eastAsia="宋体" w:cs="宋体"/>
          <w:sz w:val="24"/>
          <w:szCs w:val="24"/>
          <w:lang w:eastAsia="zh-CN"/>
        </w:rPr>
        <w:t>响应</w:t>
      </w:r>
      <w:r>
        <w:rPr>
          <w:rFonts w:hint="eastAsia" w:ascii="宋体" w:hAnsi="宋体" w:eastAsia="宋体" w:cs="宋体"/>
          <w:sz w:val="24"/>
          <w:szCs w:val="24"/>
        </w:rPr>
        <w:t>文件不再评审，通过初步审查的，其投标进入以下评标程序。</w:t>
      </w:r>
    </w:p>
    <w:p w14:paraId="6FCFB19F">
      <w:pPr>
        <w:spacing w:line="360" w:lineRule="auto"/>
        <w:ind w:firstLine="480"/>
        <w:jc w:val="center"/>
        <w:rPr>
          <w:rFonts w:hint="eastAsia" w:ascii="宋体" w:cs="宋体"/>
          <w:b/>
          <w:bCs/>
          <w:spacing w:val="-4"/>
          <w:sz w:val="24"/>
          <w:szCs w:val="24"/>
        </w:rPr>
      </w:pPr>
      <w:r>
        <w:rPr>
          <w:rFonts w:hint="eastAsia" w:ascii="宋体" w:hAnsi="宋体" w:eastAsia="宋体" w:cs="宋体"/>
          <w:b/>
          <w:bCs/>
          <w:sz w:val="24"/>
          <w:szCs w:val="24"/>
        </w:rPr>
        <w:t>评标办法</w:t>
      </w:r>
      <w:r>
        <w:rPr>
          <w:rFonts w:hint="eastAsia" w:ascii="宋体" w:hAnsi="宋体" w:eastAsia="宋体" w:cs="宋体"/>
          <w:b/>
          <w:bCs/>
          <w:sz w:val="24"/>
          <w:szCs w:val="24"/>
          <w:lang w:eastAsia="zh-CN"/>
        </w:rPr>
        <w:t>（</w:t>
      </w:r>
      <w:r>
        <w:rPr>
          <w:rFonts w:hint="eastAsia" w:ascii="宋体" w:hAnsi="宋体" w:eastAsia="宋体" w:cs="宋体"/>
          <w:b/>
          <w:bCs/>
          <w:sz w:val="24"/>
          <w:szCs w:val="24"/>
        </w:rPr>
        <w:t>综合评分法</w:t>
      </w:r>
      <w:r>
        <w:rPr>
          <w:rFonts w:hint="eastAsia" w:ascii="宋体" w:hAnsi="宋体" w:eastAsia="宋体" w:cs="宋体"/>
          <w:b/>
          <w:bCs/>
          <w:sz w:val="24"/>
          <w:szCs w:val="24"/>
          <w:lang w:eastAsia="zh-CN"/>
        </w:rPr>
        <w:t>）</w:t>
      </w:r>
    </w:p>
    <w:tbl>
      <w:tblPr>
        <w:tblStyle w:val="15"/>
        <w:tblW w:w="9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420"/>
        <w:gridCol w:w="6866"/>
      </w:tblGrid>
      <w:tr w14:paraId="15A0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6D7050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rPr>
            </w:pPr>
            <w:r>
              <w:rPr>
                <w:rFonts w:hint="eastAsia" w:ascii="宋体" w:hAnsi="宋体"/>
                <w:kern w:val="0"/>
                <w:sz w:val="24"/>
                <w:szCs w:val="24"/>
              </w:rPr>
              <w:t>条款内容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5FC1EB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kern w:val="0"/>
                <w:sz w:val="24"/>
                <w:szCs w:val="24"/>
              </w:rPr>
            </w:pPr>
            <w:r>
              <w:rPr>
                <w:rFonts w:hint="eastAsia" w:ascii="宋体" w:hAnsi="宋体"/>
                <w:kern w:val="0"/>
                <w:sz w:val="24"/>
                <w:szCs w:val="24"/>
              </w:rPr>
              <w:t>编列内容</w:t>
            </w:r>
          </w:p>
        </w:tc>
      </w:tr>
      <w:tr w14:paraId="247D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24C2E342">
            <w:pPr>
              <w:spacing w:line="360" w:lineRule="auto"/>
              <w:jc w:val="center"/>
              <w:rPr>
                <w:rFonts w:hint="eastAsia" w:ascii="宋体" w:hAnsi="宋体"/>
                <w:kern w:val="0"/>
                <w:sz w:val="24"/>
                <w:szCs w:val="24"/>
              </w:rPr>
            </w:pPr>
            <w:r>
              <w:rPr>
                <w:rFonts w:hint="eastAsia" w:ascii="宋体" w:hAnsi="宋体"/>
                <w:kern w:val="0"/>
                <w:sz w:val="24"/>
                <w:szCs w:val="24"/>
              </w:rPr>
              <w:t>分值构成</w:t>
            </w:r>
          </w:p>
          <w:p w14:paraId="3240FA34">
            <w:pPr>
              <w:spacing w:line="360" w:lineRule="auto"/>
              <w:jc w:val="center"/>
              <w:rPr>
                <w:rFonts w:hint="eastAsia" w:ascii="宋体" w:hAnsi="宋体"/>
                <w:kern w:val="0"/>
                <w:sz w:val="24"/>
                <w:szCs w:val="24"/>
              </w:rPr>
            </w:pPr>
            <w:r>
              <w:rPr>
                <w:rFonts w:hint="eastAsia" w:ascii="宋体" w:hAnsi="宋体"/>
                <w:kern w:val="0"/>
                <w:sz w:val="24"/>
                <w:szCs w:val="24"/>
              </w:rPr>
              <w:t>（总分100分）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977C3E4">
            <w:pPr>
              <w:spacing w:line="360" w:lineRule="auto"/>
              <w:jc w:val="center"/>
              <w:rPr>
                <w:rFonts w:hint="eastAsia" w:ascii="宋体" w:hAnsi="宋体"/>
                <w:kern w:val="0"/>
                <w:sz w:val="24"/>
                <w:szCs w:val="24"/>
              </w:rPr>
            </w:pPr>
            <w:r>
              <w:rPr>
                <w:rFonts w:hint="eastAsia" w:ascii="宋体" w:hAnsi="宋体"/>
                <w:kern w:val="0"/>
                <w:sz w:val="24"/>
                <w:szCs w:val="24"/>
              </w:rPr>
              <w:t>报价</w:t>
            </w:r>
            <w:r>
              <w:rPr>
                <w:rFonts w:hint="eastAsia" w:ascii="宋体" w:hAnsi="宋体"/>
                <w:kern w:val="0"/>
                <w:sz w:val="24"/>
                <w:szCs w:val="24"/>
                <w:lang w:val="en-US" w:eastAsia="zh-CN"/>
              </w:rPr>
              <w:t>部分</w:t>
            </w:r>
            <w:r>
              <w:rPr>
                <w:rFonts w:hint="eastAsia" w:ascii="宋体" w:hAnsi="宋体"/>
                <w:kern w:val="0"/>
                <w:sz w:val="24"/>
                <w:szCs w:val="24"/>
              </w:rPr>
              <w:t>：</w:t>
            </w:r>
            <w:r>
              <w:rPr>
                <w:rFonts w:hint="eastAsia" w:ascii="宋体" w:hAnsi="宋体"/>
                <w:kern w:val="0"/>
                <w:sz w:val="24"/>
                <w:szCs w:val="24"/>
                <w:lang w:val="en-US" w:eastAsia="zh-CN"/>
              </w:rPr>
              <w:t>30</w:t>
            </w:r>
            <w:r>
              <w:rPr>
                <w:rFonts w:hint="eastAsia" w:ascii="宋体" w:hAnsi="宋体"/>
                <w:kern w:val="0"/>
                <w:sz w:val="24"/>
                <w:szCs w:val="24"/>
              </w:rPr>
              <w:t>分</w:t>
            </w:r>
          </w:p>
          <w:p w14:paraId="72285FE8">
            <w:pPr>
              <w:spacing w:line="360" w:lineRule="auto"/>
              <w:jc w:val="center"/>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lang w:val="en-US" w:eastAsia="zh-CN"/>
              </w:rPr>
              <w:t>50</w:t>
            </w:r>
            <w:r>
              <w:rPr>
                <w:rFonts w:hint="eastAsia" w:ascii="宋体" w:hAnsi="宋体"/>
                <w:kern w:val="0"/>
                <w:sz w:val="24"/>
                <w:szCs w:val="24"/>
              </w:rPr>
              <w:t>分</w:t>
            </w:r>
          </w:p>
          <w:p w14:paraId="1666F3A5">
            <w:pPr>
              <w:spacing w:line="360" w:lineRule="auto"/>
              <w:jc w:val="center"/>
              <w:rPr>
                <w:rFonts w:hint="eastAsia" w:ascii="宋体" w:hAnsi="宋体"/>
                <w:kern w:val="0"/>
                <w:sz w:val="24"/>
                <w:szCs w:val="24"/>
              </w:rPr>
            </w:pPr>
            <w:r>
              <w:rPr>
                <w:rFonts w:hint="eastAsia" w:ascii="宋体" w:hAnsi="宋体"/>
                <w:kern w:val="0"/>
                <w:sz w:val="24"/>
                <w:szCs w:val="24"/>
                <w:lang w:val="en-US" w:eastAsia="zh-CN"/>
              </w:rPr>
              <w:t>商务</w:t>
            </w:r>
            <w:r>
              <w:rPr>
                <w:rFonts w:hint="eastAsia" w:ascii="宋体" w:hAnsi="宋体"/>
                <w:kern w:val="0"/>
                <w:sz w:val="24"/>
                <w:szCs w:val="24"/>
              </w:rPr>
              <w:t>部分：</w:t>
            </w:r>
            <w:r>
              <w:rPr>
                <w:rFonts w:hint="eastAsia" w:ascii="宋体" w:hAnsi="宋体"/>
                <w:kern w:val="0"/>
                <w:sz w:val="24"/>
                <w:szCs w:val="24"/>
                <w:lang w:val="en-US" w:eastAsia="zh-CN"/>
              </w:rPr>
              <w:t>20</w:t>
            </w:r>
            <w:r>
              <w:rPr>
                <w:rFonts w:hint="eastAsia" w:ascii="宋体" w:hAnsi="宋体"/>
                <w:kern w:val="0"/>
                <w:sz w:val="24"/>
                <w:szCs w:val="24"/>
              </w:rPr>
              <w:t>分</w:t>
            </w:r>
          </w:p>
        </w:tc>
      </w:tr>
      <w:tr w14:paraId="4F4B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1A193FB3">
            <w:pPr>
              <w:spacing w:line="192" w:lineRule="auto"/>
              <w:jc w:val="center"/>
              <w:rPr>
                <w:rFonts w:hint="eastAsia" w:ascii="宋体" w:hAnsi="宋体" w:eastAsia="宋体" w:cs="宋体"/>
                <w:b/>
                <w:bCs/>
                <w:sz w:val="24"/>
                <w:szCs w:val="24"/>
                <w:lang w:eastAsia="zh-CN"/>
              </w:rPr>
            </w:pPr>
            <w:r>
              <w:rPr>
                <w:rFonts w:hint="eastAsia" w:ascii="宋体" w:hAnsi="宋体" w:cs="宋体"/>
                <w:b/>
                <w:bCs/>
                <w:sz w:val="24"/>
                <w:szCs w:val="24"/>
                <w:lang w:eastAsia="zh-CN"/>
              </w:rPr>
              <w:t>评审项</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66526A8">
            <w:pPr>
              <w:spacing w:line="192" w:lineRule="auto"/>
              <w:jc w:val="center"/>
              <w:rPr>
                <w:rFonts w:ascii="宋体" w:hAnsi="宋体" w:cs="宋体"/>
                <w:b/>
                <w:bCs/>
                <w:sz w:val="24"/>
                <w:szCs w:val="24"/>
              </w:rPr>
            </w:pPr>
            <w:r>
              <w:rPr>
                <w:rFonts w:hint="eastAsia" w:ascii="宋体" w:hAnsi="宋体" w:cs="宋体"/>
                <w:b/>
                <w:bCs/>
                <w:sz w:val="24"/>
                <w:szCs w:val="24"/>
              </w:rPr>
              <w:t>编列内容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339B1210">
            <w:pPr>
              <w:spacing w:line="192" w:lineRule="auto"/>
              <w:ind w:firstLine="542"/>
              <w:jc w:val="center"/>
              <w:rPr>
                <w:rFonts w:ascii="宋体" w:hAnsi="宋体" w:cs="宋体"/>
                <w:b/>
                <w:bCs/>
                <w:sz w:val="24"/>
                <w:szCs w:val="24"/>
              </w:rPr>
            </w:pPr>
            <w:r>
              <w:rPr>
                <w:rFonts w:hint="eastAsia" w:ascii="宋体" w:hAnsi="宋体" w:cs="宋体"/>
                <w:b/>
                <w:bCs/>
                <w:sz w:val="24"/>
                <w:szCs w:val="24"/>
              </w:rPr>
              <w:t>评分标准</w:t>
            </w:r>
          </w:p>
        </w:tc>
      </w:tr>
      <w:tr w14:paraId="0022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0C0E6F75">
            <w:pPr>
              <w:numPr>
                <w:ilvl w:val="0"/>
                <w:numId w:val="0"/>
              </w:numPr>
              <w:spacing w:line="36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报价部分（30分）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573DD08">
            <w:pPr>
              <w:numPr>
                <w:ilvl w:val="0"/>
                <w:numId w:val="0"/>
              </w:numPr>
              <w:spacing w:line="360" w:lineRule="exact"/>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投标报价</w:t>
            </w:r>
          </w:p>
          <w:p w14:paraId="26BB0809">
            <w:pPr>
              <w:numPr>
                <w:ilvl w:val="0"/>
                <w:numId w:val="0"/>
              </w:numPr>
              <w:spacing w:line="360" w:lineRule="exact"/>
              <w:jc w:val="center"/>
            </w:pPr>
            <w:r>
              <w:rPr>
                <w:rFonts w:hint="eastAsia" w:ascii="宋体" w:hAnsi="宋体" w:eastAsia="宋体" w:cs="宋体"/>
                <w:b/>
                <w:bCs/>
                <w:color w:val="auto"/>
                <w:sz w:val="24"/>
                <w:szCs w:val="24"/>
                <w:lang w:val="en-US" w:eastAsia="zh-CN"/>
              </w:rPr>
              <w:t>（30分）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16403EF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价格分采用低价优先法计算，即满足竞争性磋商文件要求通过初步评审且投标价格最低的投标报价为评标基准价，其价格得分为满分30分。</w:t>
            </w:r>
          </w:p>
          <w:p w14:paraId="03794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2、其他响应人的价格分统一按照下列公式计算：</w:t>
            </w:r>
          </w:p>
          <w:p w14:paraId="3B5864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投标报价得分=(评标基准价／投标报价)*30%*100</w:t>
            </w:r>
          </w:p>
          <w:p w14:paraId="610628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价格扣除：（1）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号）的规定提供《中小企业声明函》（中小企业划型标准详见《关于印发中小企业划型标准规定的通知》工信部联企业〔2011〕300号）。投标供应商为大型企业的不适用本款规定。</w:t>
            </w:r>
          </w:p>
          <w:p w14:paraId="6EC0A7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根据财政部司法部《关于政府采购支持监狱企业发展有关问题的通知》（财库〔2014〕68号）规定，本项目对监狱企业作为投标供应商所提供的本企业生产的产品的价格给予20%的扣除。监狱企业，应当提供由省级以上监狱管理局、戒毒管理局（含新疆生产建设兵团）出具的属于监狱企业的证明文件。</w:t>
            </w:r>
          </w:p>
          <w:p w14:paraId="0F8295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5、参加政府采购活动的残疾人福利性单位应当提供《残疾人福利性单位声明函》，未填写残疾人福利性单位声明函的在开标过程中不予认可。</w:t>
            </w:r>
          </w:p>
          <w:p w14:paraId="55CF680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6、同一投标供应商，小微企业产品、监狱企业产品、残疾人福利性单位产品的价格扣除优惠只享受一次，不得重复享受。</w:t>
            </w:r>
          </w:p>
          <w:p w14:paraId="75901505">
            <w:pPr>
              <w:spacing w:line="360" w:lineRule="auto"/>
              <w:rPr>
                <w:rFonts w:hint="eastAsia" w:ascii="宋体" w:hAnsi="宋体" w:eastAsia="宋体" w:cs="宋体"/>
                <w:color w:val="000000" w:themeColor="text1"/>
                <w:kern w:val="0"/>
                <w:sz w:val="24"/>
                <w:szCs w:val="24"/>
                <w:highlight w:val="none"/>
                <w:lang w:val="en-US" w:eastAsia="en-US" w:bidi="ar-SA"/>
                <w14:textFill>
                  <w14:solidFill>
                    <w14:schemeClr w14:val="tx1"/>
                  </w14:solidFill>
                </w14:textFill>
              </w:rPr>
            </w:pPr>
            <w:r>
              <w:rPr>
                <w:rFonts w:hint="eastAsia" w:ascii="宋体" w:hAnsi="宋体" w:cs="宋体"/>
                <w:b/>
                <w:color w:val="000000"/>
                <w:sz w:val="24"/>
                <w:highlight w:val="none"/>
              </w:rPr>
              <w:t>7、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对供应商所出具的《声明函》完整性、准确性进行审查。符合澄清补正情形的，应以书面形式要求供应商澄清补正，澄清补正后仍不符合要求的，不享受价格评审优惠。当涉及政府采购政策叠加适用，统一在原投标报价的基础上进行价格扣除。</w:t>
            </w:r>
          </w:p>
          <w:p w14:paraId="67BFAD21">
            <w:pPr>
              <w:spacing w:line="360" w:lineRule="auto"/>
              <w:rPr>
                <w:rFonts w:hint="eastAsia" w:ascii="宋体" w:hAnsi="宋体" w:eastAsia="宋体" w:cs="宋体"/>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en-US" w:bidi="ar-SA"/>
                <w14:textFill>
                  <w14:solidFill>
                    <w14:schemeClr w14:val="tx1"/>
                  </w14:solidFill>
                </w14:textFill>
              </w:rPr>
              <w:t>例：所投小微企业产品报价=所投小微企业产品报价合计×（1-20%）</w:t>
            </w:r>
          </w:p>
          <w:p w14:paraId="741F887C">
            <w:pPr>
              <w:adjustRightInd w:val="0"/>
              <w:snapToGrid w:val="0"/>
              <w:spacing w:line="360" w:lineRule="auto"/>
              <w:rPr>
                <w:rFonts w:hint="eastAsia" w:ascii="宋体" w:hAnsi="宋体" w:eastAsia="宋体" w:cs="宋体"/>
                <w:color w:val="000000" w:themeColor="text1"/>
                <w:kern w:val="0"/>
                <w:sz w:val="24"/>
                <w:szCs w:val="24"/>
                <w:highlight w:val="none"/>
                <w:lang w:val="en-US" w:eastAsia="en-US" w:bidi="ar-SA"/>
                <w14:textFill>
                  <w14:solidFill>
                    <w14:schemeClr w14:val="tx1"/>
                  </w14:solidFill>
                </w14:textFill>
              </w:rPr>
            </w:pPr>
            <w:r>
              <w:rPr>
                <w:rFonts w:hint="eastAsia" w:ascii="宋体" w:hAnsi="宋体" w:cs="宋体"/>
                <w:bCs/>
                <w:color w:val="000000"/>
                <w:sz w:val="24"/>
                <w:highlight w:val="none"/>
              </w:rPr>
              <w:t>所投本国产品报价=所本国产品报价合计×（1-20%）</w:t>
            </w:r>
          </w:p>
          <w:p w14:paraId="454F3A3A">
            <w:pPr>
              <w:spacing w:line="360" w:lineRule="auto"/>
              <w:rPr>
                <w:rFonts w:hint="eastAsia" w:ascii="宋体" w:hAnsi="宋体" w:cs="宋体" w:eastAsiaTheme="minorEastAsia"/>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bCs/>
                <w:color w:val="000000"/>
                <w:sz w:val="24"/>
                <w:highlight w:val="none"/>
              </w:rPr>
              <w:t>‌‌政府‌叠加政策说明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若供应商同时符合‌小微企业‌等扶持政策，且项目非专门面向中小企业，本国产品优惠与小微企业优惠可‌叠加‌，但均基于‌原始报价‌分别计算，而非累加扣除比例</w:t>
            </w:r>
            <w:r>
              <w:rPr>
                <w:rFonts w:hint="eastAsia" w:ascii="宋体" w:hAnsi="宋体" w:cs="宋体"/>
                <w:bCs/>
                <w:color w:val="000000"/>
                <w:sz w:val="24"/>
                <w:highlight w:val="none"/>
                <w:lang w:eastAsia="zh-CN"/>
              </w:rPr>
              <w:t>。</w:t>
            </w:r>
          </w:p>
          <w:p w14:paraId="3EBE66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价格分计算保留小数点后二位。在评标过程中，磋商小组认为供应商的报价明显低于成本价或明显低于其他通过初步审查供应商的报价，有可能影响产品质量或者不能诚信履约的，磋商小组可向该供应商提出询问，要求其在评标现场合理的时间内提供书面说明，必要时提交相关证明材料；供应商不能证明其报价合理性及不能提供相关证明材料的，磋商小组认定该供应商以低于成本价恶意竞标，其投标做废标处理。</w:t>
            </w:r>
          </w:p>
        </w:tc>
      </w:tr>
      <w:tr w14:paraId="2107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restart"/>
            <w:tcBorders>
              <w:left w:val="single" w:color="auto" w:sz="4" w:space="0"/>
              <w:right w:val="single" w:color="auto" w:sz="4" w:space="0"/>
            </w:tcBorders>
            <w:noWrap w:val="0"/>
            <w:vAlign w:val="center"/>
          </w:tcPr>
          <w:p w14:paraId="5B337A37">
            <w:pPr>
              <w:spacing w:line="360" w:lineRule="auto"/>
              <w:jc w:val="center"/>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highlight w:val="none"/>
                <w:lang w:val="en-US" w:eastAsia="zh-CN"/>
              </w:rPr>
              <w:t>50</w:t>
            </w:r>
            <w:r>
              <w:rPr>
                <w:rFonts w:hint="eastAsia" w:ascii="宋体" w:hAnsi="宋体"/>
                <w:kern w:val="0"/>
                <w:sz w:val="24"/>
                <w:szCs w:val="24"/>
              </w:rPr>
              <w:t>分）</w:t>
            </w: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A0DBCC">
            <w:pPr>
              <w:autoSpaceDE w:val="0"/>
              <w:autoSpaceDN w:val="0"/>
              <w:adjustRightInd w:val="0"/>
              <w:spacing w:line="360" w:lineRule="auto"/>
              <w:jc w:val="center"/>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技术参数</w:t>
            </w:r>
          </w:p>
          <w:p w14:paraId="3A31043D">
            <w:pPr>
              <w:autoSpaceDE w:val="0"/>
              <w:autoSpaceDN w:val="0"/>
              <w:adjustRightInd w:val="0"/>
              <w:spacing w:line="360" w:lineRule="auto"/>
              <w:jc w:val="center"/>
              <w:textAlignment w:val="baseline"/>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906B48">
            <w:pPr>
              <w:autoSpaceDE w:val="0"/>
              <w:autoSpaceDN w:val="0"/>
              <w:adjustRightInd w:val="0"/>
              <w:spacing w:line="360" w:lineRule="auto"/>
              <w:jc w:val="both"/>
              <w:textAlignment w:val="baseline"/>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供应商所投产品的技术参数能够全部满足磋商文件要求的为无偏离，得12分，优于磋商文件要求的为正偏离，每有一项正偏离得1分，最多加3分；不满足磋商文件要求的为负偏离，则得0分。</w:t>
            </w:r>
          </w:p>
        </w:tc>
      </w:tr>
      <w:tr w14:paraId="5E9F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B602B59">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7CDA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kern w:val="2"/>
                <w:sz w:val="24"/>
                <w:szCs w:val="24"/>
                <w:highlight w:val="yellow"/>
                <w:lang w:val="en-US" w:eastAsia="zh-CN" w:bidi="ar-SA"/>
              </w:rPr>
            </w:pPr>
            <w:r>
              <w:rPr>
                <w:rFonts w:hint="eastAsia" w:ascii="宋体" w:hAnsi="宋体" w:eastAsia="宋体" w:cs="宋体"/>
                <w:sz w:val="24"/>
                <w:szCs w:val="24"/>
                <w:lang w:val="en-US" w:eastAsia="zh-CN" w:bidi="ar-SA"/>
              </w:rPr>
              <w:t>实施方案（11分）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144D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针对本项目制定实施方案（包括工作进度安排、人员安排、运输计划、供货、安装、调试、培训等方面）：</w:t>
            </w:r>
          </w:p>
          <w:p w14:paraId="0E48F8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1、实施方案逻辑清晰，对各环节步骤描述详细完善，方案内容合理全面，实用性和可行性高，完全满足项目需求，得11分；</w:t>
            </w:r>
          </w:p>
          <w:p w14:paraId="22525D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2、实施方案逻辑基本清晰，对各环节步骤描述大致详细、无明显纰漏，方案内容大致合理、但局部细节需完善，具有一定的实用性和可行性，基本满足项目需求，得8分；</w:t>
            </w:r>
          </w:p>
          <w:p w14:paraId="3A5B83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3、实施方案逻辑不够清晰，对各环节步骤描述不够详细，方案内容尚且合理、但局部细节略有不足，实用性和可行性有限，勉强满足项目需求，得5分；</w:t>
            </w:r>
          </w:p>
          <w:p w14:paraId="3DA7BE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yellow"/>
                <w:lang w:val="en-US" w:eastAsia="zh-CN" w:bidi="ar-SA"/>
              </w:rPr>
            </w:pPr>
            <w:r>
              <w:rPr>
                <w:rFonts w:hint="eastAsia" w:ascii="宋体" w:hAnsi="宋体" w:eastAsia="宋体" w:cs="宋体"/>
                <w:sz w:val="24"/>
                <w:szCs w:val="24"/>
                <w:lang w:val="en-US" w:eastAsia="zh-CN" w:bidi="ar-SA"/>
              </w:rPr>
              <w:t>4、不提供则不得分。</w:t>
            </w:r>
          </w:p>
        </w:tc>
      </w:tr>
      <w:tr w14:paraId="2D7A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C248769">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9D722C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质量保证</w:t>
            </w:r>
          </w:p>
          <w:p w14:paraId="6B0F6F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措施</w:t>
            </w:r>
          </w:p>
          <w:p w14:paraId="13670E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FEF59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措施全面完善、可行性高、保障性强，完全符合本项目相关标准和技术要求，得6分；</w:t>
            </w:r>
          </w:p>
          <w:p w14:paraId="2FB70C4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措施大致全面、</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rPr>
              <w:t>具备一定的可行性和保障性</w:t>
            </w:r>
            <w:r>
              <w:rPr>
                <w:rFonts w:hint="eastAsia" w:ascii="宋体" w:hAnsi="宋体" w:eastAsia="宋体" w:cs="宋体"/>
                <w:sz w:val="24"/>
                <w:szCs w:val="24"/>
                <w:highlight w:val="none"/>
                <w:lang w:val="en-US" w:eastAsia="zh-CN" w:bidi="ar-SA"/>
              </w:rPr>
              <w:t>，大致符合本项目相关标准和技术要求，得4.5分；</w:t>
            </w:r>
          </w:p>
          <w:p w14:paraId="79E4906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措施不够完善、</w:t>
            </w:r>
            <w:r>
              <w:rPr>
                <w:rFonts w:hint="eastAsia" w:ascii="宋体" w:hAnsi="宋体" w:eastAsia="宋体" w:cs="宋体"/>
                <w:sz w:val="24"/>
                <w:szCs w:val="24"/>
                <w:lang w:val="en-US" w:eastAsia="zh-CN"/>
              </w:rPr>
              <w:t>局部待优化</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rPr>
              <w:t>可行性及保障性有限</w:t>
            </w:r>
            <w:r>
              <w:rPr>
                <w:rFonts w:hint="eastAsia" w:ascii="宋体" w:hAnsi="宋体" w:eastAsia="宋体" w:cs="宋体"/>
                <w:sz w:val="24"/>
                <w:szCs w:val="24"/>
                <w:highlight w:val="none"/>
                <w:lang w:val="en-US" w:eastAsia="zh-CN" w:bidi="ar-SA"/>
              </w:rPr>
              <w:t>，勉强符合本项目相关标准和技术要求，得3分；</w:t>
            </w:r>
          </w:p>
          <w:p w14:paraId="689E85D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highlight w:val="none"/>
                <w:lang w:val="en-US" w:eastAsia="zh-CN" w:bidi="ar-SA"/>
              </w:rPr>
              <w:t>4、不提供则不得分。</w:t>
            </w:r>
          </w:p>
        </w:tc>
      </w:tr>
      <w:tr w14:paraId="4850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71FCC86E">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4CD8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运输安全保障措施</w:t>
            </w:r>
          </w:p>
          <w:p w14:paraId="75A68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z w:val="24"/>
                <w:szCs w:val="24"/>
                <w:highlight w:val="none"/>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4646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highlight w:val="none"/>
                <w:lang w:val="en-US" w:eastAsia="zh-CN" w:bidi="ar-SA"/>
              </w:rPr>
              <w:t>运输安全保障措施合理详细、切实可行、保障性强，得6分；</w:t>
            </w:r>
          </w:p>
          <w:p w14:paraId="4CA9A5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highlight w:val="none"/>
                <w:lang w:val="en-US" w:eastAsia="zh-CN" w:bidi="ar-SA"/>
              </w:rPr>
              <w:t>运输安全保障措施大致合理、</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highlight w:val="none"/>
                <w:lang w:val="en-US" w:eastAsia="zh-CN" w:bidi="ar-SA"/>
              </w:rPr>
              <w:t>，</w:t>
            </w:r>
            <w:r>
              <w:rPr>
                <w:rFonts w:hint="eastAsia" w:ascii="宋体" w:hAnsi="宋体" w:eastAsia="宋体" w:cs="宋体"/>
                <w:color w:val="auto"/>
                <w:sz w:val="24"/>
                <w:szCs w:val="24"/>
                <w:highlight w:val="none"/>
                <w:lang w:val="en-US" w:eastAsia="zh-CN"/>
              </w:rPr>
              <w:t>基本切合实际、具备一定的可行性，</w:t>
            </w:r>
            <w:r>
              <w:rPr>
                <w:rFonts w:hint="eastAsia" w:ascii="宋体" w:hAnsi="宋体" w:eastAsia="宋体" w:cs="宋体"/>
                <w:sz w:val="24"/>
                <w:szCs w:val="24"/>
                <w:highlight w:val="none"/>
                <w:lang w:val="en-US" w:eastAsia="zh-CN" w:bidi="ar-SA"/>
              </w:rPr>
              <w:t>保障性尚可，得4.5分；</w:t>
            </w:r>
          </w:p>
          <w:p w14:paraId="482B50A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highlight w:val="none"/>
                <w:lang w:val="en-US" w:eastAsia="zh-CN" w:bidi="ar-SA"/>
              </w:rPr>
              <w:t>运输安全保障措施略有不合理、内容不够详细，</w:t>
            </w:r>
            <w:r>
              <w:rPr>
                <w:rFonts w:hint="eastAsia" w:ascii="宋体" w:hAnsi="宋体" w:eastAsia="宋体" w:cs="宋体"/>
                <w:sz w:val="24"/>
                <w:szCs w:val="24"/>
                <w:lang w:val="en-US" w:eastAsia="zh-CN" w:bidi="ar-SA"/>
              </w:rPr>
              <w:t>勉强切合实际，</w:t>
            </w:r>
            <w:r>
              <w:rPr>
                <w:rFonts w:hint="eastAsia" w:ascii="宋体" w:hAnsi="宋体" w:eastAsia="宋体" w:cs="宋体"/>
                <w:sz w:val="24"/>
                <w:szCs w:val="24"/>
                <w:lang w:val="en-US" w:eastAsia="zh-CN"/>
              </w:rPr>
              <w:t>可行程度和保障程度有限</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zh-CN"/>
              </w:rPr>
              <w:t>需完善的地方较多，得3分；</w:t>
            </w:r>
          </w:p>
          <w:p w14:paraId="526C1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bidi="ar-SA"/>
              </w:rPr>
              <w:t>4、不提供则不得分。</w:t>
            </w:r>
          </w:p>
        </w:tc>
      </w:tr>
      <w:tr w14:paraId="5D3D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29DB1AF">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D0DBC3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应急预案及处置措施</w:t>
            </w:r>
          </w:p>
          <w:p w14:paraId="256E987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DD0B0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针对本项目制订突发事件应急预案及处置措施：</w:t>
            </w:r>
          </w:p>
          <w:p w14:paraId="6E2200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全面详尽，</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针对性强、科学合理、可操作性高，得6分； </w:t>
            </w:r>
          </w:p>
          <w:p w14:paraId="15044BB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基本全面</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具有一定针对性、大致合理、具有基本的可操作性，得4.5分； </w:t>
            </w:r>
          </w:p>
          <w:p w14:paraId="278950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针对性不足、不够合理、可操作性有限，得3分； </w:t>
            </w:r>
          </w:p>
          <w:p w14:paraId="69163B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ascii="宋体" w:hAnsi="宋体" w:eastAsia="宋体" w:cs="宋体"/>
                <w:sz w:val="24"/>
                <w:szCs w:val="24"/>
                <w:lang w:val="en-US" w:eastAsia="zh-CN" w:bidi="ar-SA"/>
              </w:rPr>
              <w:t xml:space="preserve">4、不提供则不得分。 </w:t>
            </w:r>
          </w:p>
        </w:tc>
      </w:tr>
      <w:tr w14:paraId="320C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A30B22F">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CCF4FF">
            <w:p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售后服务</w:t>
            </w:r>
          </w:p>
          <w:p w14:paraId="116D630F">
            <w:pPr>
              <w:spacing w:line="36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计划</w:t>
            </w:r>
          </w:p>
          <w:p w14:paraId="345D3028">
            <w:pPr>
              <w:spacing w:line="36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35B9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针对本项目提供售后</w:t>
            </w:r>
            <w:r>
              <w:rPr>
                <w:rFonts w:hint="eastAsia" w:ascii="宋体" w:hAnsi="宋体" w:eastAsia="宋体" w:cs="宋体"/>
                <w:sz w:val="24"/>
                <w:szCs w:val="24"/>
                <w:highlight w:val="none"/>
                <w:lang w:val="en-US" w:eastAsia="zh-CN" w:bidi="ar-SA"/>
              </w:rPr>
              <w:t>服务范围及期限，</w:t>
            </w:r>
            <w:r>
              <w:rPr>
                <w:rFonts w:hint="eastAsia" w:ascii="宋体" w:hAnsi="宋体" w:eastAsia="宋体" w:cs="宋体"/>
                <w:sz w:val="24"/>
                <w:szCs w:val="24"/>
                <w:lang w:val="en-US" w:eastAsia="zh-CN" w:bidi="ar-SA"/>
              </w:rPr>
              <w:t>制定售后服务计划：</w:t>
            </w:r>
          </w:p>
          <w:p w14:paraId="061B0AD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服务范围全面周到，</w:t>
            </w:r>
            <w:r>
              <w:rPr>
                <w:rFonts w:hint="eastAsia" w:ascii="宋体" w:hAnsi="宋体" w:eastAsia="宋体" w:cs="宋体"/>
                <w:sz w:val="24"/>
                <w:szCs w:val="24"/>
                <w:lang w:val="en-US" w:eastAsia="zh-CN" w:bidi="ar-SA"/>
              </w:rPr>
              <w:t>售后服务计划详细合理、保障性强，完全能够提供及时、专业化后续服务，得6分；</w:t>
            </w:r>
          </w:p>
          <w:p w14:paraId="4A17F18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服务范围大致全面，</w:t>
            </w:r>
            <w:r>
              <w:rPr>
                <w:rFonts w:hint="eastAsia" w:ascii="宋体" w:hAnsi="宋体" w:eastAsia="宋体" w:cs="宋体"/>
                <w:sz w:val="24"/>
                <w:szCs w:val="24"/>
                <w:lang w:val="en-US" w:eastAsia="zh-CN" w:bidi="ar-SA"/>
              </w:rPr>
              <w:t>售后服务计划基本合理、无明显纰漏，保障性尚可，基本能够提供及时、专业化后续服务，得4.5分；</w:t>
            </w:r>
          </w:p>
          <w:p w14:paraId="3611ED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售后服务计划欠合理、考虑不周、保障性不足，勉强能够提供及时、专业化后续服务得3分；</w:t>
            </w:r>
          </w:p>
          <w:p w14:paraId="545C65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w:t>
            </w:r>
            <w:r>
              <w:rPr>
                <w:rFonts w:hint="eastAsia" w:ascii="宋体" w:hAnsi="宋体" w:eastAsia="宋体" w:cs="宋体"/>
                <w:sz w:val="24"/>
                <w:szCs w:val="24"/>
                <w:lang w:val="en-US" w:eastAsia="zh-CN" w:bidi="ar-SA"/>
              </w:rPr>
              <w:t>不提供则不得分。</w:t>
            </w:r>
          </w:p>
        </w:tc>
      </w:tr>
      <w:tr w14:paraId="6D6D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261" w:type="dxa"/>
            <w:vMerge w:val="restart"/>
            <w:tcBorders>
              <w:top w:val="single" w:color="auto" w:sz="4" w:space="0"/>
              <w:left w:val="single" w:color="auto" w:sz="4" w:space="0"/>
              <w:right w:val="single" w:color="auto" w:sz="4" w:space="0"/>
            </w:tcBorders>
            <w:noWrap w:val="0"/>
            <w:vAlign w:val="center"/>
          </w:tcPr>
          <w:p w14:paraId="26F28C01">
            <w:pPr>
              <w:pStyle w:val="2"/>
              <w:jc w:val="center"/>
              <w:outlineLvl w:val="1"/>
              <w:rPr>
                <w:rFonts w:ascii="宋体" w:hAnsi="宋体"/>
                <w:kern w:val="0"/>
                <w:sz w:val="24"/>
                <w:szCs w:val="24"/>
                <w:lang w:val="en-US" w:eastAsia="zh-CN"/>
              </w:rPr>
            </w:pPr>
            <w:r>
              <w:rPr>
                <w:rFonts w:hint="eastAsia" w:ascii="宋体" w:hAnsi="宋体" w:eastAsia="宋体" w:cs="宋体"/>
                <w:b w:val="0"/>
                <w:bCs w:val="0"/>
                <w:kern w:val="0"/>
                <w:sz w:val="24"/>
                <w:szCs w:val="24"/>
                <w:lang w:val="en-US" w:eastAsia="zh-CN"/>
              </w:rPr>
              <w:t>商务</w:t>
            </w:r>
            <w:r>
              <w:rPr>
                <w:rFonts w:hint="eastAsia" w:ascii="宋体" w:hAnsi="宋体" w:eastAsia="宋体" w:cs="宋体"/>
                <w:b w:val="0"/>
                <w:bCs w:val="0"/>
                <w:kern w:val="0"/>
                <w:sz w:val="24"/>
                <w:szCs w:val="24"/>
                <w:highlight w:val="none"/>
                <w:lang w:val="en-US" w:eastAsia="zh-CN"/>
              </w:rPr>
              <w:t>部分（20分）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33BB21D">
            <w:pPr>
              <w:spacing w:line="36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类似项目</w:t>
            </w:r>
          </w:p>
          <w:p w14:paraId="4AAA7B22">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业绩</w:t>
            </w:r>
          </w:p>
          <w:p w14:paraId="1BF56FEF">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771C21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提供近三年（自2023年01月01日）以来承担过类似旧电梯更新及更换项目业绩，每提供一项业绩得3分，该项最多得9分，不提供则不得分；（注：须提供中标网上公示截图、中标通知书、合同、验收报告（扫描件），不提供或未按要求提供的不得分；以合同签订时间为准）</w:t>
            </w:r>
          </w:p>
        </w:tc>
      </w:tr>
      <w:tr w14:paraId="2E60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284E30EB">
            <w:pPr>
              <w:spacing w:line="360" w:lineRule="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7113C">
            <w:pPr>
              <w:spacing w:line="36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服务承诺</w:t>
            </w:r>
          </w:p>
          <w:p w14:paraId="4401E756">
            <w:pPr>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E62A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1、应急到场承诺(不可抗力因素除外)（4分）</w:t>
            </w:r>
          </w:p>
          <w:p w14:paraId="165CC6A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供应商设置免费服务电话并承诺为业主提供24小时紧急维修服务及长期的免费技术支持，在质保期内电梯运行发生故障，供应商应免费提供咨询、更换损坏的零件和维修服务。</w:t>
            </w:r>
          </w:p>
          <w:p w14:paraId="17DFD42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发生人员困人险情：接到通知10分钟内维保人员抵达现场实施救援；电梯整机停运、无法正常使用故障：接到报修30分钟内维修人员到达现场排查抢修（紧急情况如：发生夹人、关人等易造成乘客伤亡事故的，不超过10分钟到达现场），一般故障不超过40分钟到达现场，3小时内修复；零星功能故障(按钮、门机异响、显示异常等电梯尚可运行)：接到报修1小时内维修人员到场处置。能达到并承诺响应时间，到达现场时间，处理完毕时间的得4分。</w:t>
            </w:r>
          </w:p>
          <w:p w14:paraId="01678A1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发生人员困人险情：接到通知30分钟内维保人员抵达现场实施救援；电梯整机停运、无法正常使用故障：接到报修60分钟内维修人员到达现场排查抢修（紧急情况如：发生夹人、关人等易造成乘客伤亡事故的，不超过20分钟到达现场），一般故障不超过6小时；零星功能故障(按钮、门机异响、显示异常等电梯尚可运行)：接到报修2小时内维修人员到场处置。能达到并承诺响应时间，到达现场时间，处理完毕时间的得1分。</w:t>
            </w:r>
          </w:p>
          <w:p w14:paraId="43D6AB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（3）超出时间或未提供均不得分。</w:t>
            </w:r>
          </w:p>
          <w:p w14:paraId="23E15167">
            <w:pPr>
              <w:pStyle w:val="32"/>
              <w:widowControl/>
              <w:spacing w:line="360" w:lineRule="auto"/>
              <w:ind w:left="0" w:leftChars="0" w:firstLine="0"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根据供应商提供的售后服务方案，包括但不限于①维护保养方案：供应商须在响应文件中详细说明维修保养计划、维修保养及检测内容，详细说明保修期满后全保内容②售后服务期限③售后服务机构设置、人员配备情况（4分）</w:t>
            </w:r>
          </w:p>
          <w:p w14:paraId="310FCF11">
            <w:pPr>
              <w:pStyle w:val="32"/>
              <w:widowControl/>
              <w:spacing w:line="360" w:lineRule="auto"/>
              <w:ind w:left="0" w:leftChars="0" w:firstLine="0"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（1）售后服务方案内容全面、具体、清晰、安排规划合理，对项目有针对性和实操性强的得4分；</w:t>
            </w:r>
          </w:p>
          <w:p w14:paraId="44B741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（2）售后服务方案全面、具体、清晰、安排规划合理，但缺乏对项目针对性和实操性得1分，未提供不得分。</w:t>
            </w:r>
          </w:p>
        </w:tc>
      </w:tr>
      <w:tr w14:paraId="0D98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4053460C">
            <w:pPr>
              <w:spacing w:line="360" w:lineRule="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1B75FE">
            <w:pPr>
              <w:spacing w:line="360" w:lineRule="auto"/>
              <w:jc w:val="center"/>
              <w:rPr>
                <w:rFonts w:hint="eastAsia" w:ascii="宋体" w:hAnsi="宋体" w:eastAsia="宋体" w:cs="宋体"/>
                <w:b/>
                <w:bCs/>
                <w:kern w:val="2"/>
                <w:sz w:val="24"/>
                <w:szCs w:val="24"/>
                <w:lang w:val="en-US" w:eastAsia="zh-CN" w:bidi="ar-SA"/>
              </w:rPr>
            </w:pPr>
            <w:r>
              <w:rPr>
                <w:rFonts w:hint="eastAsia" w:ascii="宋体" w:hAnsi="宋体" w:eastAsia="宋体" w:cs="宋体"/>
                <w:kern w:val="2"/>
                <w:sz w:val="24"/>
                <w:szCs w:val="24"/>
                <w:lang w:val="en-US" w:eastAsia="zh-CN" w:bidi="ar-SA"/>
              </w:rPr>
              <w:t>培训方案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9E4F0F">
            <w:pPr>
              <w:pStyle w:val="32"/>
              <w:widowControl/>
              <w:spacing w:line="360" w:lineRule="auto"/>
              <w:ind w:left="0" w:leftChars="0" w:firstLine="0"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供应商应结合电梯的安装、调试及试运行过程，有计划无偿地对采购人派出的管理、维护保养人员进行电梯基本知识、使用、维护保养技术等内容的现场培训，以保证售后电梯的良好运行状态，并承担一切由此产生的一切费用。承诺内容全面、具体、清晰、安排规划合理，对项目有针对性和实操性强的得3分；内容全面、具体、清晰、安排规划合理，但缺乏对项目针对性和实操性得1分，未提供不得分。</w:t>
            </w:r>
          </w:p>
        </w:tc>
      </w:tr>
      <w:tr w14:paraId="29E2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547" w:type="dxa"/>
            <w:gridSpan w:val="3"/>
            <w:tcBorders>
              <w:left w:val="single" w:color="auto" w:sz="4" w:space="0"/>
              <w:right w:val="single" w:color="auto" w:sz="4" w:space="0"/>
            </w:tcBorders>
            <w:noWrap w:val="0"/>
            <w:vAlign w:val="center"/>
          </w:tcPr>
          <w:p w14:paraId="21D3682A">
            <w:pPr>
              <w:spacing w:line="360" w:lineRule="auto"/>
              <w:rPr>
                <w:rFonts w:hint="eastAsia" w:ascii="宋体" w:hAnsi="宋体"/>
                <w:kern w:val="0"/>
                <w:sz w:val="24"/>
                <w:szCs w:val="24"/>
              </w:rPr>
            </w:pPr>
            <w:r>
              <w:rPr>
                <w:rFonts w:hint="eastAsia" w:ascii="宋体" w:hAnsi="宋体"/>
                <w:kern w:val="0"/>
                <w:sz w:val="24"/>
                <w:szCs w:val="24"/>
              </w:rPr>
              <w:t>综合得分=报价得分＋技术标得分＋</w:t>
            </w:r>
            <w:r>
              <w:rPr>
                <w:rFonts w:hint="eastAsia" w:ascii="宋体" w:hAnsi="宋体"/>
                <w:kern w:val="0"/>
                <w:sz w:val="24"/>
                <w:szCs w:val="24"/>
                <w:lang w:val="en-US" w:eastAsia="zh-CN"/>
              </w:rPr>
              <w:t>商务</w:t>
            </w:r>
            <w:r>
              <w:rPr>
                <w:rFonts w:hint="eastAsia" w:ascii="宋体" w:hAnsi="宋体"/>
                <w:kern w:val="0"/>
                <w:sz w:val="24"/>
                <w:szCs w:val="24"/>
              </w:rPr>
              <w:t>标得分。</w:t>
            </w:r>
          </w:p>
          <w:p w14:paraId="36E81BC4">
            <w:pPr>
              <w:spacing w:line="360" w:lineRule="auto"/>
              <w:rPr>
                <w:rFonts w:hint="eastAsia" w:ascii="宋体" w:hAnsi="宋体"/>
                <w:kern w:val="0"/>
                <w:sz w:val="24"/>
                <w:szCs w:val="24"/>
              </w:rPr>
            </w:pPr>
            <w:r>
              <w:rPr>
                <w:rFonts w:hint="eastAsia" w:ascii="宋体" w:hAnsi="宋体"/>
                <w:kern w:val="0"/>
                <w:sz w:val="24"/>
                <w:szCs w:val="24"/>
              </w:rPr>
              <w:t>磋商小组完成对技术标、报价标和</w:t>
            </w:r>
            <w:r>
              <w:rPr>
                <w:rFonts w:hint="eastAsia" w:ascii="宋体" w:hAnsi="宋体"/>
                <w:kern w:val="0"/>
                <w:sz w:val="24"/>
                <w:szCs w:val="24"/>
                <w:lang w:val="en-US" w:eastAsia="zh-CN"/>
              </w:rPr>
              <w:t>商务</w:t>
            </w:r>
            <w:r>
              <w:rPr>
                <w:rFonts w:hint="eastAsia" w:ascii="宋体" w:hAnsi="宋体"/>
                <w:kern w:val="0"/>
                <w:sz w:val="24"/>
                <w:szCs w:val="24"/>
              </w:rPr>
              <w:t>标的汇总后取平均值作为该响应人的最终得分。</w:t>
            </w:r>
          </w:p>
          <w:p w14:paraId="44291B77">
            <w:pPr>
              <w:spacing w:line="360" w:lineRule="auto"/>
              <w:rPr>
                <w:rFonts w:hint="eastAsia" w:ascii="宋体" w:hAnsi="宋体"/>
                <w:kern w:val="0"/>
                <w:sz w:val="24"/>
                <w:szCs w:val="24"/>
              </w:rPr>
            </w:pPr>
            <w:r>
              <w:rPr>
                <w:rFonts w:hint="eastAsia" w:ascii="宋体" w:hAnsi="宋体"/>
                <w:kern w:val="0"/>
                <w:sz w:val="24"/>
                <w:szCs w:val="24"/>
              </w:rPr>
              <w:t>本</w:t>
            </w:r>
            <w:r>
              <w:rPr>
                <w:rFonts w:hint="eastAsia" w:ascii="宋体" w:hAnsi="宋体"/>
                <w:kern w:val="0"/>
                <w:sz w:val="24"/>
                <w:szCs w:val="24"/>
                <w:lang w:val="en-US" w:eastAsia="zh-CN"/>
              </w:rPr>
              <w:t>评标</w:t>
            </w:r>
            <w:r>
              <w:rPr>
                <w:rFonts w:hint="eastAsia" w:ascii="宋体" w:hAnsi="宋体"/>
                <w:kern w:val="0"/>
                <w:sz w:val="24"/>
                <w:szCs w:val="24"/>
              </w:rPr>
              <w:t>办法计算过程中分值按四舍五入保留两位小数，结果按四舍五入保留两位小数。 供应商的报价应包含所承诺的应达到的质量标准及其他承诺应达到的标准所包含的所有费用。</w:t>
            </w:r>
          </w:p>
          <w:p w14:paraId="7DD6C15D">
            <w:pPr>
              <w:spacing w:line="360" w:lineRule="auto"/>
              <w:rPr>
                <w:rFonts w:hint="eastAsia" w:ascii="宋体" w:hAnsi="宋体"/>
                <w:kern w:val="0"/>
                <w:sz w:val="24"/>
                <w:szCs w:val="24"/>
              </w:rPr>
            </w:pPr>
            <w:r>
              <w:rPr>
                <w:rFonts w:hint="eastAsia" w:ascii="宋体" w:hAnsi="宋体"/>
                <w:kern w:val="0"/>
                <w:sz w:val="24"/>
                <w:szCs w:val="24"/>
              </w:rPr>
              <w:t>注：1、评标过程中涉及到资格审查、人员证明、企业业绩等计分部分时，以供应商自行上传</w:t>
            </w:r>
            <w:r>
              <w:rPr>
                <w:rFonts w:hint="eastAsia" w:ascii="宋体" w:hAnsi="宋体"/>
                <w:kern w:val="0"/>
                <w:sz w:val="24"/>
                <w:szCs w:val="24"/>
                <w:lang w:eastAsia="zh-CN"/>
              </w:rPr>
              <w:t>到响应</w:t>
            </w:r>
            <w:r>
              <w:rPr>
                <w:rFonts w:hint="eastAsia" w:ascii="宋体" w:hAnsi="宋体"/>
                <w:kern w:val="0"/>
                <w:sz w:val="24"/>
                <w:szCs w:val="24"/>
              </w:rPr>
              <w:t>文件中的相应内容为准。</w:t>
            </w:r>
          </w:p>
          <w:p w14:paraId="6676B771">
            <w:pPr>
              <w:spacing w:line="360" w:lineRule="auto"/>
              <w:rPr>
                <w:rFonts w:hint="eastAsia" w:ascii="宋体" w:hAnsi="宋体"/>
                <w:kern w:val="0"/>
                <w:sz w:val="24"/>
                <w:szCs w:val="24"/>
              </w:rPr>
            </w:pPr>
            <w:r>
              <w:rPr>
                <w:rFonts w:hint="eastAsia" w:ascii="宋体" w:hAnsi="宋体"/>
                <w:kern w:val="0"/>
                <w:sz w:val="24"/>
                <w:szCs w:val="24"/>
              </w:rPr>
              <w:t>2、评标开始后，不再接受任何补充材料。</w:t>
            </w:r>
          </w:p>
        </w:tc>
      </w:tr>
    </w:tbl>
    <w:p w14:paraId="080994D0">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1.评标方法</w:t>
      </w:r>
    </w:p>
    <w:p w14:paraId="19801647">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本次评标先进行资格审查。通过</w:t>
      </w:r>
      <w:r>
        <w:rPr>
          <w:rFonts w:hint="eastAsia" w:ascii="宋体" w:hAnsi="宋体" w:cs="宋体"/>
          <w:sz w:val="24"/>
          <w:szCs w:val="24"/>
          <w:lang w:val="en-US" w:eastAsia="zh-CN"/>
        </w:rPr>
        <w:t>初步</w:t>
      </w:r>
      <w:r>
        <w:rPr>
          <w:rFonts w:hint="eastAsia" w:ascii="宋体" w:hAnsi="宋体" w:cs="宋体"/>
          <w:sz w:val="24"/>
          <w:szCs w:val="24"/>
        </w:rPr>
        <w:t>审查的</w:t>
      </w:r>
      <w:r>
        <w:rPr>
          <w:rFonts w:hint="eastAsia" w:ascii="宋体" w:hAnsi="宋体" w:cs="宋体"/>
          <w:sz w:val="24"/>
          <w:szCs w:val="24"/>
          <w:lang w:val="en-US" w:eastAsia="zh-CN"/>
        </w:rPr>
        <w:t>供应商</w:t>
      </w:r>
      <w:r>
        <w:rPr>
          <w:rFonts w:hint="eastAsia" w:ascii="宋体" w:hAnsi="宋体" w:cs="宋体"/>
          <w:sz w:val="24"/>
          <w:szCs w:val="24"/>
        </w:rPr>
        <w:t>进行下一步的综合得分评审。资格评审、响应性评审、符合性评审未合格的按无效标处理。</w:t>
      </w:r>
    </w:p>
    <w:p w14:paraId="1078ABFD">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bCs/>
          <w:sz w:val="24"/>
          <w:szCs w:val="24"/>
        </w:rPr>
      </w:pPr>
      <w:r>
        <w:rPr>
          <w:rFonts w:hint="eastAsia" w:ascii="宋体" w:hAnsi="宋体" w:cs="宋体"/>
          <w:sz w:val="24"/>
          <w:szCs w:val="24"/>
        </w:rPr>
        <w:t>本次评标采用综合评</w:t>
      </w:r>
      <w:r>
        <w:rPr>
          <w:rFonts w:hint="eastAsia" w:ascii="宋体" w:hAnsi="宋体" w:cs="宋体"/>
          <w:sz w:val="24"/>
          <w:szCs w:val="24"/>
          <w:lang w:eastAsia="zh-CN"/>
        </w:rPr>
        <w:t>分</w:t>
      </w:r>
      <w:r>
        <w:rPr>
          <w:rFonts w:hint="eastAsia" w:ascii="宋体" w:hAnsi="宋体" w:cs="宋体"/>
          <w:sz w:val="24"/>
          <w:szCs w:val="24"/>
        </w:rPr>
        <w:t>法。竞争性磋商小组对满足磋商文件实质性要求的响应文件，按照本章第2.2款规定的评分标准进行打分，并按得分由高到低顺序推荐成交候选人，或根据采购人授权直接确定成交响应人，但报价低于国家规定的除外。</w:t>
      </w:r>
      <w:r>
        <w:rPr>
          <w:rFonts w:hint="eastAsia" w:ascii="宋体" w:hAnsi="宋体" w:cs="宋体"/>
          <w:bCs/>
          <w:sz w:val="24"/>
          <w:szCs w:val="24"/>
        </w:rPr>
        <w:t xml:space="preserve">最终评分相等时，以最终报价低的优先；最终报价也相等的，由采购人自行确定。 </w:t>
      </w:r>
    </w:p>
    <w:p w14:paraId="1BF6FEA6">
      <w:pPr>
        <w:snapToGrid w:val="0"/>
        <w:spacing w:line="440" w:lineRule="exact"/>
        <w:ind w:right="31" w:rightChars="15" w:firstLine="482" w:firstLineChars="200"/>
        <w:rPr>
          <w:rFonts w:hint="eastAsia" w:ascii="宋体" w:hAnsi="宋体" w:cs="宋体"/>
          <w:b/>
          <w:sz w:val="24"/>
          <w:szCs w:val="24"/>
        </w:rPr>
      </w:pPr>
      <w:bookmarkStart w:id="125" w:name="_Toc449367501"/>
      <w:r>
        <w:rPr>
          <w:rFonts w:hint="eastAsia" w:ascii="宋体" w:hAnsi="宋体" w:cs="宋体"/>
          <w:b/>
          <w:sz w:val="24"/>
          <w:szCs w:val="24"/>
        </w:rPr>
        <w:t>2. 评审标准</w:t>
      </w:r>
      <w:bookmarkEnd w:id="125"/>
    </w:p>
    <w:p w14:paraId="3E17F3A5">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2.1 初步评审标准 </w:t>
      </w:r>
    </w:p>
    <w:p w14:paraId="0A38401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2.1.1 资格评审标准：见评标办法前附表。</w:t>
      </w:r>
    </w:p>
    <w:p w14:paraId="6F7A9CE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2.1.2 响应性评审标准：见评标办法前附表。</w:t>
      </w:r>
    </w:p>
    <w:p w14:paraId="3B78416E">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 xml:space="preserve">2.1.3 符合性评审标准：见评标办法前附表。 </w:t>
      </w:r>
    </w:p>
    <w:p w14:paraId="565F40E4">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2.2 分值构成与评分标准 </w:t>
      </w:r>
    </w:p>
    <w:p w14:paraId="088CDD9F">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2.2.1 分值构成</w:t>
      </w:r>
    </w:p>
    <w:p w14:paraId="26C79F31">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074AB2C6">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A8A1EA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60C631DB">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w:t>
      </w:r>
      <w:r>
        <w:rPr>
          <w:rFonts w:hint="eastAsia" w:ascii="宋体" w:hAnsi="宋体" w:cs="宋体"/>
          <w:b/>
          <w:sz w:val="24"/>
          <w:szCs w:val="24"/>
          <w:lang w:val="en-US" w:eastAsia="zh-CN"/>
        </w:rPr>
        <w:t>2</w:t>
      </w:r>
      <w:r>
        <w:rPr>
          <w:rFonts w:hint="eastAsia" w:ascii="宋体" w:hAnsi="宋体" w:cs="宋体"/>
          <w:b/>
          <w:sz w:val="24"/>
          <w:szCs w:val="24"/>
        </w:rPr>
        <w:t>评分标准</w:t>
      </w:r>
    </w:p>
    <w:p w14:paraId="4A1F5E8A">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72C18544">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3581CE2">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10D18DC7">
      <w:pPr>
        <w:snapToGrid w:val="0"/>
        <w:spacing w:line="440" w:lineRule="exact"/>
        <w:ind w:right="31" w:rightChars="15" w:firstLine="482" w:firstLineChars="200"/>
        <w:rPr>
          <w:rFonts w:hint="eastAsia" w:ascii="宋体" w:hAnsi="宋体" w:cs="宋体"/>
          <w:b/>
          <w:sz w:val="24"/>
          <w:szCs w:val="24"/>
        </w:rPr>
      </w:pPr>
      <w:bookmarkStart w:id="126" w:name="_Toc449367502"/>
      <w:r>
        <w:rPr>
          <w:rFonts w:hint="eastAsia" w:ascii="宋体" w:hAnsi="宋体" w:cs="宋体"/>
          <w:b/>
          <w:sz w:val="24"/>
          <w:szCs w:val="24"/>
        </w:rPr>
        <w:t>3.评标程序</w:t>
      </w:r>
      <w:bookmarkEnd w:id="126"/>
    </w:p>
    <w:p w14:paraId="71107D93">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3.1 初步评审 </w:t>
      </w:r>
    </w:p>
    <w:p w14:paraId="70B8D5B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3.1.1竞争性磋商小组依据本章第 2.1项规定的评审标准对响应文件进行初步评审。有一项不符合评审标准的，作废标处理。</w:t>
      </w:r>
    </w:p>
    <w:p w14:paraId="4FC9F7B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3.1.2 响应人有以下情形之一的，其投标作废标处理：</w:t>
      </w:r>
    </w:p>
    <w:p w14:paraId="024649E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（1）串通投标或弄虚作假或有其他违法行为的；</w:t>
      </w:r>
    </w:p>
    <w:p w14:paraId="3F21AA74">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（2）不按竞争性磋商小组要求澄清、说明或补正的。</w:t>
      </w:r>
    </w:p>
    <w:p w14:paraId="1CF9B49D">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3.1.3投标报价有算术错误的，竞争性磋商小组按以下原则对报价进行修正，修正的价格经响应人书面确认后具有约束力。响应人不接受修正价格的，其投标作废标处理。响应文件中填报的投标报价、</w:t>
      </w:r>
      <w:r>
        <w:rPr>
          <w:rFonts w:hint="eastAsia" w:ascii="宋体" w:hAnsi="宋体" w:cs="宋体"/>
          <w:sz w:val="24"/>
          <w:szCs w:val="24"/>
          <w:lang w:val="en-US" w:eastAsia="zh-CN"/>
        </w:rPr>
        <w:t>交货期限</w:t>
      </w:r>
      <w:r>
        <w:rPr>
          <w:rFonts w:hint="eastAsia" w:ascii="宋体" w:hAnsi="宋体" w:cs="宋体"/>
          <w:sz w:val="24"/>
          <w:szCs w:val="24"/>
        </w:rPr>
        <w:t>、质量</w:t>
      </w:r>
      <w:r>
        <w:rPr>
          <w:rFonts w:hint="eastAsia" w:ascii="宋体" w:hAnsi="宋体" w:cs="宋体"/>
          <w:sz w:val="24"/>
          <w:szCs w:val="24"/>
          <w:lang w:eastAsia="zh-CN"/>
        </w:rPr>
        <w:t>要求</w:t>
      </w:r>
      <w:r>
        <w:rPr>
          <w:rFonts w:hint="eastAsia" w:ascii="宋体" w:hAnsi="宋体" w:cs="宋体"/>
          <w:sz w:val="24"/>
          <w:szCs w:val="24"/>
        </w:rPr>
        <w:t>前后不一致时，以磋商</w:t>
      </w:r>
      <w:r>
        <w:rPr>
          <w:rFonts w:hint="eastAsia" w:ascii="宋体" w:hAnsi="宋体" w:cs="宋体"/>
          <w:sz w:val="24"/>
          <w:szCs w:val="24"/>
          <w:lang w:val="en-US" w:eastAsia="zh-CN"/>
        </w:rPr>
        <w:t>函及</w:t>
      </w:r>
      <w:r>
        <w:rPr>
          <w:rFonts w:hint="eastAsia" w:ascii="宋体" w:hAnsi="宋体" w:cs="宋体"/>
          <w:sz w:val="24"/>
          <w:szCs w:val="24"/>
        </w:rPr>
        <w:t>磋商</w:t>
      </w:r>
      <w:r>
        <w:rPr>
          <w:rFonts w:hint="eastAsia" w:ascii="宋体" w:hAnsi="宋体" w:cs="宋体"/>
          <w:sz w:val="24"/>
          <w:szCs w:val="24"/>
          <w:lang w:val="en-US" w:eastAsia="zh-CN"/>
        </w:rPr>
        <w:t>函附录</w:t>
      </w:r>
      <w:r>
        <w:rPr>
          <w:rFonts w:hint="eastAsia" w:ascii="宋体" w:hAnsi="宋体" w:cs="宋体"/>
          <w:sz w:val="24"/>
          <w:szCs w:val="24"/>
        </w:rPr>
        <w:t>中填报的相应内容为准。</w:t>
      </w:r>
    </w:p>
    <w:p w14:paraId="3F889364">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(1）响应文件中的大写金额与小写金额不一致的，以大写金额为准；</w:t>
      </w:r>
    </w:p>
    <w:p w14:paraId="03166DC9">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(2）总价金额与依据单价计算出的结果不一致的，以单价金额为准修正总价，但单价金额小数点有明显错误的除外。</w:t>
      </w:r>
    </w:p>
    <w:p w14:paraId="602A7B2B">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2" w:firstLineChars="200"/>
        <w:textAlignment w:val="auto"/>
        <w:rPr>
          <w:rFonts w:hint="eastAsia" w:ascii="宋体" w:hAnsi="宋体" w:cs="宋体"/>
          <w:b/>
          <w:sz w:val="24"/>
          <w:szCs w:val="24"/>
        </w:rPr>
      </w:pPr>
      <w:r>
        <w:rPr>
          <w:rFonts w:hint="eastAsia" w:ascii="宋体" w:hAnsi="宋体" w:cs="宋体"/>
          <w:b/>
          <w:sz w:val="24"/>
          <w:szCs w:val="24"/>
        </w:rPr>
        <w:t xml:space="preserve">3.2 详细评审 </w:t>
      </w:r>
    </w:p>
    <w:p w14:paraId="35939619">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3.2.1 竞争性磋商小组按本章第 2.2款规定的量化因素和分值进行打分，并计算出综合评估得分。</w:t>
      </w:r>
      <w:r>
        <w:rPr>
          <w:rFonts w:hint="eastAsia" w:ascii="宋体" w:hAnsi="宋体" w:cs="宋体"/>
          <w:b/>
          <w:sz w:val="24"/>
          <w:szCs w:val="24"/>
        </w:rPr>
        <w:t>每个响应人最终得分为各评委打分的算术平均值。</w:t>
      </w:r>
    </w:p>
    <w:p w14:paraId="4916FDCF">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(1）按本章第2.2.</w:t>
      </w:r>
      <w:r>
        <w:rPr>
          <w:rFonts w:hint="eastAsia" w:ascii="宋体" w:hAnsi="宋体" w:cs="宋体"/>
          <w:sz w:val="24"/>
          <w:szCs w:val="24"/>
          <w:lang w:val="en-US" w:eastAsia="zh-CN"/>
        </w:rPr>
        <w:t>2</w:t>
      </w:r>
      <w:r>
        <w:rPr>
          <w:rFonts w:hint="eastAsia" w:ascii="宋体" w:hAnsi="宋体" w:cs="宋体"/>
          <w:sz w:val="24"/>
          <w:szCs w:val="24"/>
        </w:rPr>
        <w:t>(1）目规定的评审因素和分值对报价部分计算出得分A；</w:t>
      </w:r>
    </w:p>
    <w:p w14:paraId="6ADB4C1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(2）按本章第2.2.</w:t>
      </w:r>
      <w:r>
        <w:rPr>
          <w:rFonts w:hint="eastAsia" w:ascii="宋体" w:hAnsi="宋体" w:cs="宋体"/>
          <w:sz w:val="24"/>
          <w:szCs w:val="24"/>
          <w:lang w:val="en-US" w:eastAsia="zh-CN"/>
        </w:rPr>
        <w:t>2</w:t>
      </w:r>
      <w:r>
        <w:rPr>
          <w:rFonts w:hint="eastAsia" w:ascii="宋体" w:hAnsi="宋体" w:cs="宋体"/>
          <w:sz w:val="24"/>
          <w:szCs w:val="24"/>
        </w:rPr>
        <w:t>(2）目规定的评审因素和分值对技术部分计算出得分B；</w:t>
      </w:r>
    </w:p>
    <w:p w14:paraId="1322A3DC">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(3）按本章第2.2.</w:t>
      </w:r>
      <w:r>
        <w:rPr>
          <w:rFonts w:hint="eastAsia" w:ascii="宋体" w:hAnsi="宋体" w:cs="宋体"/>
          <w:sz w:val="24"/>
          <w:szCs w:val="24"/>
          <w:lang w:val="en-US" w:eastAsia="zh-CN"/>
        </w:rPr>
        <w:t>2</w:t>
      </w:r>
      <w:r>
        <w:rPr>
          <w:rFonts w:hint="eastAsia" w:ascii="宋体" w:hAnsi="宋体" w:cs="宋体"/>
          <w:sz w:val="24"/>
          <w:szCs w:val="24"/>
        </w:rPr>
        <w:t>(3）目规定的评审因素和分值对</w:t>
      </w:r>
      <w:r>
        <w:rPr>
          <w:rFonts w:hint="eastAsia" w:ascii="宋体" w:hAnsi="宋体" w:cs="宋体"/>
          <w:sz w:val="24"/>
          <w:szCs w:val="24"/>
          <w:lang w:val="en-US" w:eastAsia="zh-CN"/>
        </w:rPr>
        <w:t>商务</w:t>
      </w:r>
      <w:r>
        <w:rPr>
          <w:rFonts w:hint="eastAsia" w:ascii="宋体" w:hAnsi="宋体" w:cs="宋体"/>
          <w:sz w:val="24"/>
          <w:szCs w:val="24"/>
        </w:rPr>
        <w:t>部分计算出得分C；</w:t>
      </w:r>
    </w:p>
    <w:p w14:paraId="6F70FA4B">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3.2.2 评分分值计算保留小数点后两位，小数点后第三位“四舍五入”。</w:t>
      </w:r>
    </w:p>
    <w:p w14:paraId="04960E6E">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3.2.3 响应人得分=A十B十C。</w:t>
      </w:r>
    </w:p>
    <w:p w14:paraId="1881E43E">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3.2.4 竞争性磋商小组发现响应人的报价明显低于其他投标报价，或者在设有拦标价时明显低于拦标价，使得其投标报价可能低于其个别成本的，应当要求该响应人作出书面说明并提供相应的证明材料。响应人不能合理说明或者不能提供相应证明材料的，由竞争性磋商小组认定该响应人以低于成本报价竞标，其投标作废标处理。 </w:t>
      </w:r>
    </w:p>
    <w:p w14:paraId="33576DB3">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3.2.5</w:t>
      </w:r>
      <w:r>
        <w:rPr>
          <w:rFonts w:ascii="宋体" w:hAnsi="宋体" w:eastAsia="宋体" w:cs="宋体"/>
          <w:sz w:val="24"/>
          <w:szCs w:val="24"/>
          <w:highlight w:val="none"/>
        </w:rPr>
        <w:t>评审中出现下列情形之一的，由</w:t>
      </w:r>
      <w:r>
        <w:rPr>
          <w:rFonts w:hint="eastAsia" w:ascii="宋体" w:hAnsi="宋体" w:eastAsia="宋体" w:cs="宋体"/>
          <w:sz w:val="24"/>
          <w:szCs w:val="24"/>
          <w:highlight w:val="none"/>
        </w:rPr>
        <w:t>磋商小组</w:t>
      </w:r>
      <w:r>
        <w:rPr>
          <w:rFonts w:ascii="宋体" w:hAnsi="宋体" w:eastAsia="宋体" w:cs="宋体"/>
          <w:sz w:val="24"/>
          <w:szCs w:val="24"/>
          <w:highlight w:val="none"/>
        </w:rPr>
        <w:t>启动异常低价投标（响应）审查程序：</w:t>
      </w:r>
    </w:p>
    <w:p w14:paraId="4B97804D">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投标（响应）报价低于全部通过符合性审查供应商投标（响应）报价平均值50%的，即投标（响应）报价&lt;全部通过符合性审查供应商投标（响应）报价平均值×50%；</w:t>
      </w:r>
      <w:r>
        <w:rPr>
          <w:rFonts w:hint="eastAsia" w:ascii="宋体" w:hAnsi="宋体" w:eastAsia="宋体" w:cs="宋体"/>
          <w:sz w:val="24"/>
          <w:szCs w:val="24"/>
          <w:highlight w:val="none"/>
          <w:lang w:val="en-US" w:eastAsia="zh-CN"/>
        </w:rPr>
        <w:t xml:space="preserve"> </w:t>
      </w:r>
    </w:p>
    <w:p w14:paraId="71D3EBC8">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投标（响应）报价低于通过符合性审查的次低报价供应商投标（响应）报价50%的，即投标（响应）报价&lt;通过符合性审查的次低报价供应商投标（响应）报价×50%；</w:t>
      </w:r>
    </w:p>
    <w:p w14:paraId="5781BB5B">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 xml:space="preserve">投标（响应）报价低于采购项目最高限价45%的，即投标（响应）报价&lt;采购项目最高限价×45%； </w:t>
      </w:r>
    </w:p>
    <w:p w14:paraId="5AD56F34">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磋商小组</w:t>
      </w:r>
      <w:r>
        <w:rPr>
          <w:rFonts w:ascii="宋体" w:hAnsi="宋体" w:eastAsia="宋体" w:cs="宋体"/>
          <w:sz w:val="24"/>
          <w:szCs w:val="24"/>
          <w:highlight w:val="none"/>
        </w:rPr>
        <w:t>基于专业判断，认为供应商报价过低，有可能影响产品质量或者不能诚信履约的其他情形。</w:t>
      </w:r>
    </w:p>
    <w:p w14:paraId="34046181">
      <w:pPr>
        <w:widowControl/>
        <w:spacing w:line="480" w:lineRule="atLeast"/>
        <w:ind w:firstLine="480" w:firstLineChars="200"/>
        <w:rPr>
          <w:rFonts w:ascii="Calibri" w:hAnsi="Calibri" w:cs="Calibri"/>
          <w:szCs w:val="21"/>
        </w:rPr>
      </w:pPr>
      <w:r>
        <w:rPr>
          <w:rFonts w:hint="eastAsia" w:ascii="宋体" w:hAnsi="宋体" w:cs="宋体"/>
          <w:kern w:val="0"/>
          <w:sz w:val="24"/>
          <w:shd w:val="clear" w:color="auto" w:fill="FFFFFF"/>
          <w:lang w:val="en-US" w:eastAsia="zh-CN" w:bidi="ar"/>
        </w:rPr>
        <w:t>5、</w:t>
      </w:r>
      <w:r>
        <w:rPr>
          <w:rFonts w:hint="eastAsia" w:ascii="宋体" w:hAnsi="宋体" w:cs="宋体"/>
          <w:kern w:val="0"/>
          <w:sz w:val="24"/>
          <w:shd w:val="clear" w:color="auto" w:fill="FFFFFF"/>
          <w:lang w:bidi="ar"/>
        </w:rPr>
        <w:t>采购人可以结合具体项目实际情况，提高上述第1项至第3项中启动异常低价响应审查的数值标准，但是最高不得超过65%。相关法律法规对供应商报价有规定的，从其规定。</w:t>
      </w:r>
    </w:p>
    <w:p w14:paraId="606D7433">
      <w:pPr>
        <w:pStyle w:val="32"/>
        <w:widowControl/>
        <w:spacing w:line="360" w:lineRule="auto"/>
        <w:ind w:firstLine="480"/>
        <w:rPr>
          <w:rFonts w:ascii="宋体" w:hAnsi="宋体" w:cs="宋体"/>
          <w:sz w:val="24"/>
        </w:rPr>
      </w:pPr>
      <w:r>
        <w:rPr>
          <w:rFonts w:hint="eastAsia" w:ascii="宋体" w:hAnsi="宋体" w:cs="宋体"/>
          <w:kern w:val="0"/>
          <w:sz w:val="24"/>
          <w:shd w:val="clear" w:color="auto" w:fill="FFFFFF"/>
          <w:lang w:val="en-US" w:eastAsia="zh-CN" w:bidi="ar"/>
        </w:rPr>
        <w:t>6、</w:t>
      </w:r>
      <w:r>
        <w:rPr>
          <w:rFonts w:hint="eastAsia" w:ascii="宋体" w:hAnsi="宋体" w:cs="宋体"/>
          <w:kern w:val="0"/>
          <w:sz w:val="24"/>
          <w:shd w:val="clear" w:color="auto" w:fill="FFFFFF"/>
          <w:lang w:bidi="ar"/>
        </w:rPr>
        <w:t>评标委员会启动异常低价响应审查后，属于</w:t>
      </w:r>
      <w:r>
        <w:rPr>
          <w:rFonts w:hint="eastAsia" w:ascii="宋体" w:hAnsi="宋体" w:cs="宋体"/>
          <w:kern w:val="0"/>
          <w:sz w:val="24"/>
          <w:shd w:val="clear" w:color="auto" w:fill="FFFFFF"/>
          <w:lang w:val="en-US" w:eastAsia="zh-CN" w:bidi="ar"/>
        </w:rPr>
        <w:t>1</w:t>
      </w:r>
      <w:r>
        <w:rPr>
          <w:rFonts w:hint="eastAsia" w:ascii="宋体" w:hAnsi="宋体" w:cs="宋体"/>
          <w:kern w:val="0"/>
          <w:sz w:val="24"/>
          <w:shd w:val="clear" w:color="auto" w:fill="FFFFFF"/>
          <w:lang w:bidi="ar"/>
        </w:rPr>
        <w:t>至4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3项情形，供应商已随投标文件一并提交相关书面说明及必要的证明材料的，在评审现场可不再重复提交。</w:t>
      </w:r>
    </w:p>
    <w:p w14:paraId="779F52F5">
      <w:pPr>
        <w:widowControl/>
        <w:spacing w:line="480" w:lineRule="atLeast"/>
        <w:ind w:firstLine="640"/>
        <w:rPr>
          <w:rFonts w:ascii="宋体" w:hAnsi="宋体" w:cs="宋体"/>
          <w:sz w:val="24"/>
        </w:rPr>
      </w:pPr>
      <w:r>
        <w:rPr>
          <w:rFonts w:hint="eastAsia" w:ascii="宋体" w:hAnsi="宋体" w:cs="宋体"/>
          <w:sz w:val="24"/>
          <w:lang w:val="en-US" w:eastAsia="zh-CN"/>
        </w:rPr>
        <w:t>7、</w:t>
      </w:r>
      <w:r>
        <w:rPr>
          <w:rFonts w:hint="eastAsia" w:ascii="宋体" w:hAnsi="宋体" w:cs="宋体"/>
          <w:kern w:val="0"/>
          <w:sz w:val="24"/>
          <w:shd w:val="clear" w:color="auto" w:fill="FFFFFF"/>
          <w:lang w:bidi="ar"/>
        </w:rPr>
        <w:t>异常低价响应审查的启动原因、审查意见和审查结果应当在评审报告中记录，并随供应商提供的相关书面说明及证明材料，以及评标委员会有关互联网浏览、查询历史一并归档。</w:t>
      </w:r>
    </w:p>
    <w:p w14:paraId="1C4F98F1">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3.3 响应文件的澄清和补正 </w:t>
      </w:r>
    </w:p>
    <w:p w14:paraId="2C816788">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3.3.1 在评标过程中，竞争性磋商小组可以书面形式要求响应人对所提交响应文件中不明确的内容进行书面澄清或说明，或者对细微偏差进行补正。竞争性磋商小组不接受响应人主动提出的澄清、说明或补正。</w:t>
      </w:r>
    </w:p>
    <w:p w14:paraId="1681509C">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3.3.2澄清、说明和补正不得改变响应文件的实质性内容（算术性错误修正的除外）。响应人的书面澄清、说明和补正属于响应文件的组成部分。 </w:t>
      </w:r>
    </w:p>
    <w:p w14:paraId="1F42BC7F">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3.3.3 竞争性磋商小组对响应人提交的澄清、说明或补正有疑问的，可以要求响应人进一步澄清、说明或补正，直至满足竞争性磋商小组的要求。</w:t>
      </w:r>
    </w:p>
    <w:p w14:paraId="7CEAC022">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3.4定标办法</w:t>
      </w:r>
    </w:p>
    <w:p w14:paraId="76526A27">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3.4.1 竞争性磋商小组按照上述办法打分，最后按照各响应人最终得分从高到低排序。</w:t>
      </w:r>
    </w:p>
    <w:p w14:paraId="299BFC84">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3.4.2竞争性磋商小组完成评标后，应当向采购人提交书面评标报告。向采购人推荐3名成交候选人，得分最高的响应人为第一成交候选人，得分第二的响应人为第二成交候选人，得分第三的响应人为第三成交候选人。</w:t>
      </w:r>
    </w:p>
    <w:p w14:paraId="3A339CB3">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3.4.3按响应人得分由高到低排序，采购人应当确定排名第一的成交候选人为成交人。排名第一的成交候选人放弃中</w:t>
      </w:r>
      <w:r>
        <w:rPr>
          <w:rFonts w:hint="eastAsia" w:ascii="宋体" w:hAnsi="宋体" w:cs="宋体"/>
          <w:sz w:val="24"/>
          <w:szCs w:val="24"/>
          <w:lang w:eastAsia="zh-CN"/>
        </w:rPr>
        <w:t>成交</w:t>
      </w:r>
      <w:r>
        <w:rPr>
          <w:rFonts w:hint="eastAsia" w:ascii="宋体" w:hAnsi="宋体" w:cs="宋体"/>
          <w:sz w:val="24"/>
          <w:szCs w:val="24"/>
        </w:rPr>
        <w:t>、因不可抗力提出不能履行合同或者磋商文件规定应当提交履约响应人而在规定的期限内未能提交的，采购人可按照推荐顺序依次确定另一名成交候选人为成交人。</w:t>
      </w:r>
    </w:p>
    <w:p w14:paraId="708675E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3.4.4 成交人确定后，</w:t>
      </w:r>
      <w:r>
        <w:rPr>
          <w:rFonts w:hint="eastAsia" w:ascii="宋体" w:hAnsi="宋体" w:cs="宋体"/>
          <w:sz w:val="24"/>
          <w:szCs w:val="24"/>
          <w:lang w:val="en-US" w:eastAsia="zh-CN"/>
        </w:rPr>
        <w:t>在发布磋商公告同一媒介发布结果公示</w:t>
      </w:r>
      <w:r>
        <w:rPr>
          <w:rFonts w:hint="eastAsia" w:ascii="宋体" w:hAnsi="宋体" w:cs="宋体"/>
          <w:sz w:val="24"/>
          <w:szCs w:val="24"/>
        </w:rPr>
        <w:t>，公示期为1个工作日，采购人向成交响应人签发成交通知书，采购人与成交响应人应自成交通知书签发之日起</w:t>
      </w:r>
      <w:r>
        <w:rPr>
          <w:rFonts w:hint="eastAsia" w:ascii="宋体" w:hAnsi="宋体" w:cs="宋体"/>
          <w:sz w:val="24"/>
          <w:szCs w:val="24"/>
          <w:lang w:val="en-US" w:eastAsia="zh-CN"/>
        </w:rPr>
        <w:t>1</w:t>
      </w:r>
      <w:r>
        <w:rPr>
          <w:rFonts w:hint="eastAsia" w:ascii="宋体" w:hAnsi="宋体" w:cs="宋体"/>
          <w:sz w:val="24"/>
          <w:szCs w:val="24"/>
        </w:rPr>
        <w:t>个工作日内签定合同。</w:t>
      </w:r>
    </w:p>
    <w:p w14:paraId="51586868">
      <w:pPr>
        <w:snapToGrid w:val="0"/>
        <w:spacing w:line="440" w:lineRule="exact"/>
        <w:ind w:right="31" w:rightChars="15" w:firstLine="482" w:firstLineChars="200"/>
        <w:rPr>
          <w:rFonts w:hint="eastAsia" w:ascii="宋体" w:hAnsi="宋体" w:cs="宋体"/>
          <w:b/>
          <w:sz w:val="24"/>
          <w:szCs w:val="24"/>
        </w:rPr>
      </w:pPr>
      <w:bookmarkStart w:id="127" w:name="_Toc449367503"/>
      <w:r>
        <w:rPr>
          <w:rFonts w:hint="eastAsia" w:ascii="宋体" w:hAnsi="宋体" w:cs="宋体"/>
          <w:b/>
          <w:sz w:val="24"/>
          <w:szCs w:val="24"/>
        </w:rPr>
        <w:t>4. 评标注意事项</w:t>
      </w:r>
      <w:bookmarkEnd w:id="127"/>
    </w:p>
    <w:p w14:paraId="18D34CCB">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竞争性磋商小组应按下列原则进行评分汇总统计：</w:t>
      </w:r>
    </w:p>
    <w:p w14:paraId="29FD9DA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1、分数计算过程中，保留两位小数，小数点后第三位四舍五入。</w:t>
      </w:r>
    </w:p>
    <w:p w14:paraId="2CB76739">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2、分数汇总时，将所有评委打分取算术平均值作为该响应人的最终得分。</w:t>
      </w:r>
    </w:p>
    <w:p w14:paraId="2D06FFFE">
      <w:pPr>
        <w:snapToGrid w:val="0"/>
        <w:spacing w:line="420" w:lineRule="exact"/>
        <w:ind w:right="31" w:rightChars="15" w:firstLine="482" w:firstLineChars="200"/>
        <w:rPr>
          <w:rFonts w:hint="eastAsia" w:ascii="宋体" w:hAnsi="宋体" w:cs="宋体"/>
          <w:b/>
          <w:sz w:val="24"/>
          <w:szCs w:val="24"/>
        </w:rPr>
      </w:pPr>
      <w:bookmarkStart w:id="128" w:name="_Toc449367504"/>
      <w:r>
        <w:rPr>
          <w:rFonts w:hint="eastAsia" w:ascii="宋体" w:hAnsi="宋体" w:cs="宋体"/>
          <w:b/>
          <w:sz w:val="24"/>
          <w:szCs w:val="24"/>
        </w:rPr>
        <w:t>5.评标报告</w:t>
      </w:r>
      <w:bookmarkEnd w:id="128"/>
    </w:p>
    <w:p w14:paraId="30109D5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竞争性磋商小组根据</w:t>
      </w:r>
      <w:r>
        <w:rPr>
          <w:rFonts w:hint="eastAsia" w:ascii="宋体" w:hAnsi="宋体" w:cs="宋体"/>
          <w:sz w:val="24"/>
          <w:szCs w:val="24"/>
          <w:lang w:eastAsia="zh-CN"/>
        </w:rPr>
        <w:t>供应商</w:t>
      </w:r>
      <w:r>
        <w:rPr>
          <w:rFonts w:hint="eastAsia" w:ascii="宋体" w:hAnsi="宋体" w:cs="宋体"/>
          <w:sz w:val="24"/>
          <w:szCs w:val="24"/>
        </w:rPr>
        <w:t>须知前附表的规定向采购人提交评标报告。评标报告应当由全体竞争性磋商小组成员签字，并于评标结束后抄送有关行政监督部门。</w:t>
      </w:r>
    </w:p>
    <w:p w14:paraId="6EBE0EED">
      <w:pPr>
        <w:snapToGrid w:val="0"/>
        <w:spacing w:line="440" w:lineRule="exact"/>
        <w:ind w:right="31" w:rightChars="15" w:firstLine="480" w:firstLineChars="200"/>
        <w:rPr>
          <w:rFonts w:hint="eastAsia" w:ascii="宋体" w:hAnsi="宋体" w:cs="宋体"/>
          <w:b/>
          <w:bCs/>
          <w:sz w:val="24"/>
          <w:szCs w:val="24"/>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 w:val="24"/>
          <w:szCs w:val="24"/>
        </w:rPr>
        <w:t xml:space="preserve"> 对评标结论具有异议的，竞争性磋商小组成员可以书面方式阐述其不同意见和理由。竞争性磋商小组成员拒绝在评标报告上签字且不陈述其不同意见和理由的，视为同意评标结论。竞争性磋商小组应当对此作出书面说明并记录在案。</w:t>
      </w:r>
    </w:p>
    <w:p w14:paraId="48C46BBD">
      <w:pPr>
        <w:keepNext/>
        <w:widowControl w:val="0"/>
        <w:spacing w:before="100" w:beforeAutospacing="1" w:after="100" w:afterAutospacing="1" w:line="360" w:lineRule="auto"/>
        <w:jc w:val="center"/>
        <w:outlineLvl w:val="0"/>
        <w:rPr>
          <w:rFonts w:ascii="宋体" w:hAnsi="宋体" w:cs="黑体"/>
          <w:b/>
          <w:sz w:val="24"/>
          <w:szCs w:val="24"/>
        </w:rPr>
      </w:pPr>
      <w:bookmarkStart w:id="129" w:name="_Toc22229"/>
      <w:bookmarkStart w:id="130" w:name="_Toc4719"/>
      <w:bookmarkStart w:id="131" w:name="_Toc18426"/>
      <w:r>
        <w:rPr>
          <w:rFonts w:hint="eastAsia" w:ascii="宋体" w:hAnsi="宋体" w:cs="宋体"/>
          <w:b/>
          <w:kern w:val="2"/>
          <w:sz w:val="24"/>
          <w:szCs w:val="24"/>
        </w:rPr>
        <w:t xml:space="preserve">第六章  </w:t>
      </w:r>
      <w:r>
        <w:rPr>
          <w:rFonts w:hint="eastAsia" w:ascii="宋体" w:hAnsi="宋体" w:cs="宋体"/>
          <w:b/>
          <w:kern w:val="2"/>
          <w:sz w:val="24"/>
          <w:szCs w:val="24"/>
          <w:lang w:eastAsia="zh-CN"/>
        </w:rPr>
        <w:t>响应</w:t>
      </w:r>
      <w:r>
        <w:rPr>
          <w:rFonts w:hint="eastAsia" w:ascii="宋体" w:hAnsi="宋体" w:cs="宋体"/>
          <w:b/>
          <w:kern w:val="2"/>
          <w:sz w:val="24"/>
          <w:szCs w:val="24"/>
        </w:rPr>
        <w:t>文件</w:t>
      </w:r>
      <w:r>
        <w:rPr>
          <w:rFonts w:hint="eastAsia" w:ascii="宋体" w:hAnsi="宋体" w:cs="宋体"/>
          <w:b/>
          <w:kern w:val="2"/>
          <w:sz w:val="24"/>
          <w:szCs w:val="24"/>
          <w:lang w:eastAsia="zh-CN"/>
        </w:rPr>
        <w:t>内容及</w:t>
      </w:r>
      <w:r>
        <w:rPr>
          <w:rFonts w:hint="eastAsia" w:ascii="宋体" w:hAnsi="宋体" w:cs="宋体"/>
          <w:b/>
          <w:kern w:val="2"/>
          <w:sz w:val="24"/>
          <w:szCs w:val="24"/>
        </w:rPr>
        <w:t>格式</w:t>
      </w:r>
      <w:bookmarkEnd w:id="129"/>
      <w:bookmarkEnd w:id="130"/>
      <w:bookmarkEnd w:id="131"/>
    </w:p>
    <w:p w14:paraId="0BB4F114">
      <w:pPr>
        <w:widowControl w:val="0"/>
        <w:spacing w:line="360" w:lineRule="auto"/>
        <w:ind w:firstLine="952" w:firstLineChars="395"/>
        <w:jc w:val="center"/>
        <w:rPr>
          <w:rFonts w:ascii="宋体" w:hAnsi="宋体" w:cs="宋体"/>
          <w:b/>
          <w:kern w:val="2"/>
          <w:sz w:val="24"/>
          <w:szCs w:val="24"/>
          <w:u w:val="single"/>
        </w:rPr>
      </w:pPr>
    </w:p>
    <w:p w14:paraId="21B82993">
      <w:pPr>
        <w:widowControl w:val="0"/>
        <w:spacing w:line="360" w:lineRule="auto"/>
        <w:jc w:val="center"/>
        <w:rPr>
          <w:rFonts w:hint="eastAsia" w:ascii="宋体" w:hAnsi="宋体" w:eastAsia="宋体"/>
          <w:b w:val="0"/>
          <w:bCs/>
          <w:sz w:val="24"/>
          <w:szCs w:val="24"/>
          <w:lang w:eastAsia="zh-CN"/>
        </w:rPr>
      </w:pPr>
      <w:r>
        <w:rPr>
          <w:rFonts w:hint="eastAsia" w:ascii="宋体" w:hAnsi="宋体" w:cs="宋体"/>
          <w:b w:val="0"/>
          <w:bCs/>
          <w:kern w:val="2"/>
          <w:sz w:val="24"/>
          <w:szCs w:val="24"/>
          <w:u w:val="single"/>
          <w:lang w:val="en-US" w:eastAsia="zh-CN"/>
        </w:rPr>
        <w:t xml:space="preserve">                   </w:t>
      </w:r>
      <w:r>
        <w:rPr>
          <w:rFonts w:hint="eastAsia" w:ascii="宋体" w:hAnsi="宋体" w:cs="宋体"/>
          <w:b w:val="0"/>
          <w:bCs/>
          <w:kern w:val="2"/>
          <w:sz w:val="24"/>
          <w:szCs w:val="24"/>
          <w:u w:val="single"/>
          <w:lang w:eastAsia="zh-CN"/>
        </w:rPr>
        <w:t>（</w:t>
      </w:r>
      <w:r>
        <w:rPr>
          <w:rFonts w:hint="eastAsia" w:ascii="宋体" w:hAnsi="宋体" w:cs="宋体"/>
          <w:b w:val="0"/>
          <w:bCs/>
          <w:kern w:val="2"/>
          <w:sz w:val="24"/>
          <w:szCs w:val="24"/>
        </w:rPr>
        <w:t>项目名称</w:t>
      </w:r>
      <w:r>
        <w:rPr>
          <w:rFonts w:hint="eastAsia" w:ascii="宋体" w:hAnsi="宋体" w:cs="宋体"/>
          <w:b w:val="0"/>
          <w:bCs/>
          <w:kern w:val="2"/>
          <w:sz w:val="24"/>
          <w:szCs w:val="24"/>
          <w:lang w:eastAsia="zh-CN"/>
        </w:rPr>
        <w:t>）</w:t>
      </w:r>
    </w:p>
    <w:p w14:paraId="58C81866">
      <w:pPr>
        <w:widowControl w:val="0"/>
        <w:spacing w:line="360" w:lineRule="auto"/>
        <w:ind w:firstLine="948" w:firstLineChars="39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138803CA">
      <w:pPr>
        <w:widowControl w:val="0"/>
        <w:spacing w:line="360" w:lineRule="auto"/>
        <w:ind w:firstLine="948" w:firstLineChars="395"/>
        <w:jc w:val="both"/>
        <w:rPr>
          <w:rFonts w:hint="eastAsia" w:ascii="宋体" w:hAnsi="宋体"/>
          <w:b w:val="0"/>
          <w:bCs/>
          <w:kern w:val="2"/>
          <w:sz w:val="24"/>
          <w:szCs w:val="24"/>
        </w:rPr>
      </w:pPr>
    </w:p>
    <w:p w14:paraId="6F6B1330">
      <w:pPr>
        <w:widowControl w:val="0"/>
        <w:spacing w:line="360" w:lineRule="auto"/>
        <w:ind w:firstLine="948" w:firstLineChars="395"/>
        <w:jc w:val="both"/>
        <w:rPr>
          <w:rFonts w:hint="eastAsia" w:ascii="宋体" w:hAnsi="宋体"/>
          <w:b w:val="0"/>
          <w:bCs/>
          <w:kern w:val="2"/>
          <w:sz w:val="24"/>
          <w:szCs w:val="24"/>
        </w:rPr>
      </w:pPr>
    </w:p>
    <w:p w14:paraId="068192FF">
      <w:pPr>
        <w:widowControl w:val="0"/>
        <w:spacing w:line="360" w:lineRule="auto"/>
        <w:ind w:firstLine="948" w:firstLineChars="395"/>
        <w:jc w:val="both"/>
        <w:rPr>
          <w:rFonts w:hint="eastAsia" w:ascii="宋体" w:hAnsi="宋体"/>
          <w:b w:val="0"/>
          <w:bCs/>
          <w:kern w:val="2"/>
          <w:sz w:val="24"/>
          <w:szCs w:val="24"/>
        </w:rPr>
      </w:pPr>
    </w:p>
    <w:p w14:paraId="5151C95C">
      <w:pPr>
        <w:widowControl w:val="0"/>
        <w:spacing w:line="360" w:lineRule="auto"/>
        <w:jc w:val="center"/>
        <w:rPr>
          <w:rFonts w:ascii="宋体" w:hAnsi="宋体"/>
          <w:b w:val="0"/>
          <w:bCs/>
          <w:sz w:val="24"/>
          <w:szCs w:val="24"/>
        </w:rPr>
      </w:pPr>
      <w:bookmarkStart w:id="132" w:name="_Toc453139657"/>
      <w:bookmarkEnd w:id="132"/>
      <w:r>
        <w:rPr>
          <w:rFonts w:hint="eastAsia" w:ascii="宋体" w:hAnsi="宋体" w:cs="宋体"/>
          <w:b w:val="0"/>
          <w:bCs/>
          <w:kern w:val="2"/>
          <w:sz w:val="24"/>
          <w:szCs w:val="24"/>
        </w:rPr>
        <w:t>响应文件</w:t>
      </w:r>
    </w:p>
    <w:p w14:paraId="3DB43CB7">
      <w:pPr>
        <w:widowControl w:val="0"/>
        <w:spacing w:line="360" w:lineRule="auto"/>
        <w:ind w:firstLine="1068" w:firstLineChars="44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472B97BD">
      <w:pPr>
        <w:widowControl w:val="0"/>
        <w:spacing w:line="360" w:lineRule="auto"/>
        <w:ind w:firstLine="1068" w:firstLineChars="445"/>
        <w:jc w:val="both"/>
        <w:rPr>
          <w:rFonts w:hint="eastAsia" w:ascii="宋体" w:hAnsi="宋体"/>
          <w:b w:val="0"/>
          <w:bCs/>
          <w:kern w:val="2"/>
          <w:sz w:val="24"/>
          <w:szCs w:val="24"/>
        </w:rPr>
      </w:pPr>
    </w:p>
    <w:p w14:paraId="5124BDBA">
      <w:pPr>
        <w:widowControl w:val="0"/>
        <w:spacing w:line="360" w:lineRule="auto"/>
        <w:ind w:firstLine="1068" w:firstLineChars="445"/>
        <w:jc w:val="both"/>
        <w:rPr>
          <w:rFonts w:hint="eastAsia" w:ascii="宋体" w:hAnsi="宋体"/>
          <w:b w:val="0"/>
          <w:bCs/>
          <w:kern w:val="2"/>
          <w:sz w:val="24"/>
          <w:szCs w:val="24"/>
        </w:rPr>
      </w:pPr>
    </w:p>
    <w:p w14:paraId="68C638B2">
      <w:pPr>
        <w:widowControl w:val="0"/>
        <w:spacing w:line="360" w:lineRule="auto"/>
        <w:ind w:firstLine="1068" w:firstLineChars="445"/>
        <w:jc w:val="both"/>
        <w:rPr>
          <w:rFonts w:ascii="宋体" w:hAnsi="宋体"/>
          <w:b w:val="0"/>
          <w:bCs/>
          <w:sz w:val="24"/>
          <w:szCs w:val="24"/>
        </w:rPr>
      </w:pPr>
      <w:r>
        <w:rPr>
          <w:rFonts w:hint="eastAsia" w:ascii="宋体" w:hAnsi="宋体"/>
          <w:b w:val="0"/>
          <w:bCs/>
          <w:kern w:val="2"/>
          <w:sz w:val="24"/>
          <w:szCs w:val="24"/>
        </w:rPr>
        <w:t xml:space="preserve"> </w:t>
      </w:r>
    </w:p>
    <w:p w14:paraId="5EE57922">
      <w:pPr>
        <w:widowControl w:val="0"/>
        <w:spacing w:line="360" w:lineRule="auto"/>
        <w:ind w:firstLine="2880" w:firstLineChars="1200"/>
        <w:jc w:val="both"/>
        <w:rPr>
          <w:rFonts w:ascii="宋体" w:hAnsi="宋体"/>
          <w:b w:val="0"/>
          <w:bCs/>
          <w:sz w:val="24"/>
          <w:szCs w:val="24"/>
        </w:rPr>
      </w:pPr>
      <w:r>
        <w:rPr>
          <w:rFonts w:hint="eastAsia" w:ascii="宋体" w:hAnsi="宋体" w:cs="宋体"/>
          <w:b w:val="0"/>
          <w:bCs/>
          <w:kern w:val="2"/>
          <w:sz w:val="24"/>
          <w:szCs w:val="24"/>
        </w:rPr>
        <w:t>项目编号：</w:t>
      </w:r>
      <w:r>
        <w:rPr>
          <w:rFonts w:hint="eastAsia" w:ascii="宋体" w:hAnsi="宋体"/>
          <w:b w:val="0"/>
          <w:bCs/>
          <w:sz w:val="24"/>
          <w:szCs w:val="24"/>
          <w:u w:val="single"/>
          <w:lang w:val="en-US" w:eastAsia="zh-CN"/>
        </w:rPr>
        <w:t xml:space="preserve">           </w:t>
      </w:r>
      <w:r>
        <w:rPr>
          <w:rFonts w:hint="eastAsia" w:ascii="宋体" w:hAnsi="宋体"/>
          <w:b w:val="0"/>
          <w:bCs/>
          <w:kern w:val="2"/>
          <w:sz w:val="24"/>
          <w:szCs w:val="24"/>
        </w:rPr>
        <w:t xml:space="preserve"> </w:t>
      </w:r>
    </w:p>
    <w:p w14:paraId="72B1FE0A">
      <w:pPr>
        <w:widowControl w:val="0"/>
        <w:spacing w:line="360" w:lineRule="auto"/>
        <w:jc w:val="both"/>
        <w:rPr>
          <w:rFonts w:ascii="宋体" w:hAnsi="宋体"/>
          <w:sz w:val="24"/>
          <w:szCs w:val="24"/>
        </w:rPr>
      </w:pPr>
      <w:r>
        <w:rPr>
          <w:rFonts w:hint="eastAsia" w:ascii="宋体" w:hAnsi="宋体"/>
          <w:kern w:val="2"/>
          <w:sz w:val="24"/>
          <w:szCs w:val="24"/>
        </w:rPr>
        <w:t xml:space="preserve"> </w:t>
      </w:r>
    </w:p>
    <w:p w14:paraId="3623FF5A">
      <w:pPr>
        <w:widowControl w:val="0"/>
        <w:spacing w:line="360" w:lineRule="auto"/>
        <w:jc w:val="both"/>
        <w:rPr>
          <w:rFonts w:hint="eastAsia" w:ascii="宋体" w:hAnsi="宋体"/>
          <w:kern w:val="2"/>
          <w:sz w:val="24"/>
          <w:szCs w:val="24"/>
        </w:rPr>
      </w:pPr>
      <w:r>
        <w:rPr>
          <w:rFonts w:hint="eastAsia" w:ascii="宋体" w:hAnsi="宋体"/>
          <w:kern w:val="2"/>
          <w:sz w:val="24"/>
          <w:szCs w:val="24"/>
        </w:rPr>
        <w:t xml:space="preserve"> </w:t>
      </w:r>
    </w:p>
    <w:p w14:paraId="2710BFC3">
      <w:pPr>
        <w:pStyle w:val="14"/>
        <w:ind w:left="400" w:firstLine="480"/>
        <w:rPr>
          <w:rFonts w:hint="eastAsia" w:ascii="宋体" w:hAnsi="宋体"/>
          <w:kern w:val="2"/>
          <w:sz w:val="24"/>
          <w:szCs w:val="24"/>
        </w:rPr>
      </w:pPr>
    </w:p>
    <w:p w14:paraId="40828E31">
      <w:pPr>
        <w:pStyle w:val="11"/>
        <w:bidi w:val="0"/>
        <w:rPr>
          <w:rFonts w:hint="eastAsia"/>
        </w:rPr>
      </w:pPr>
    </w:p>
    <w:p w14:paraId="46BC258D">
      <w:pPr>
        <w:widowControl w:val="0"/>
        <w:spacing w:line="360" w:lineRule="auto"/>
        <w:jc w:val="both"/>
        <w:rPr>
          <w:rFonts w:hint="eastAsia" w:ascii="宋体" w:hAnsi="宋体"/>
          <w:kern w:val="2"/>
          <w:sz w:val="24"/>
          <w:szCs w:val="24"/>
        </w:rPr>
      </w:pPr>
    </w:p>
    <w:p w14:paraId="09E4C393">
      <w:pPr>
        <w:pStyle w:val="14"/>
        <w:ind w:left="400" w:firstLine="480"/>
        <w:rPr>
          <w:rFonts w:hint="eastAsia" w:ascii="宋体" w:hAnsi="宋体"/>
          <w:kern w:val="2"/>
          <w:sz w:val="24"/>
          <w:szCs w:val="24"/>
        </w:rPr>
      </w:pPr>
    </w:p>
    <w:p w14:paraId="7206451F">
      <w:pPr>
        <w:pStyle w:val="6"/>
        <w:bidi w:val="0"/>
      </w:pPr>
    </w:p>
    <w:p w14:paraId="191E082C">
      <w:pPr>
        <w:widowControl w:val="0"/>
        <w:spacing w:line="360" w:lineRule="auto"/>
        <w:jc w:val="both"/>
        <w:rPr>
          <w:rFonts w:ascii="宋体" w:hAnsi="宋体"/>
          <w:sz w:val="24"/>
          <w:szCs w:val="24"/>
        </w:rPr>
      </w:pPr>
      <w:r>
        <w:rPr>
          <w:rFonts w:hint="eastAsia" w:ascii="宋体" w:hAnsi="宋体"/>
          <w:kern w:val="2"/>
          <w:sz w:val="24"/>
          <w:szCs w:val="24"/>
        </w:rPr>
        <w:t xml:space="preserve"> </w:t>
      </w:r>
    </w:p>
    <w:p w14:paraId="03935B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bookmarkStart w:id="133" w:name="_Toc453139658"/>
      <w:bookmarkEnd w:id="133"/>
      <w:r>
        <w:rPr>
          <w:rFonts w:hint="eastAsia" w:ascii="宋体" w:hAnsi="宋体" w:cs="宋体"/>
          <w:kern w:val="2"/>
          <w:sz w:val="24"/>
          <w:szCs w:val="24"/>
          <w:lang w:val="en-US" w:eastAsia="zh-CN"/>
        </w:rPr>
        <w:t xml:space="preserve">     </w:t>
      </w:r>
      <w:r>
        <w:rPr>
          <w:rFonts w:hint="eastAsia" w:ascii="宋体" w:hAnsi="宋体" w:cs="宋体"/>
          <w:kern w:val="2"/>
          <w:sz w:val="24"/>
          <w:szCs w:val="24"/>
        </w:rPr>
        <w:t>供应商名称：</w:t>
      </w:r>
      <w:r>
        <w:rPr>
          <w:rFonts w:hint="eastAsia" w:ascii="宋体" w:hAnsi="宋体"/>
          <w:kern w:val="2"/>
          <w:sz w:val="24"/>
          <w:szCs w:val="24"/>
          <w:u w:val="single"/>
          <w:lang w:val="en-US" w:eastAsia="zh-CN"/>
        </w:rPr>
        <w:t xml:space="preserve">       </w:t>
      </w:r>
      <w:r>
        <w:rPr>
          <w:rFonts w:hint="eastAsia" w:ascii="宋体" w:hAnsi="宋体" w:cs="宋体"/>
          <w:kern w:val="2"/>
          <w:sz w:val="24"/>
          <w:szCs w:val="24"/>
        </w:rPr>
        <w:t>（</w:t>
      </w:r>
      <w:r>
        <w:rPr>
          <w:rFonts w:hint="eastAsia" w:ascii="宋体" w:hAnsi="宋体" w:cs="宋体"/>
          <w:kern w:val="2"/>
          <w:sz w:val="24"/>
          <w:szCs w:val="24"/>
          <w:lang w:eastAsia="zh-CN"/>
        </w:rPr>
        <w:t>公章电子</w:t>
      </w:r>
      <w:r>
        <w:rPr>
          <w:rFonts w:hint="eastAsia" w:ascii="宋体" w:hAnsi="宋体" w:eastAsia="宋体" w:cs="宋体"/>
          <w:color w:val="auto"/>
          <w:sz w:val="24"/>
          <w:szCs w:val="24"/>
        </w:rPr>
        <w:t>签章</w:t>
      </w:r>
      <w:r>
        <w:rPr>
          <w:rFonts w:hint="eastAsia" w:ascii="宋体" w:hAnsi="宋体" w:cs="宋体"/>
          <w:kern w:val="2"/>
          <w:sz w:val="24"/>
          <w:szCs w:val="24"/>
        </w:rPr>
        <w:t>）</w:t>
      </w:r>
    </w:p>
    <w:p w14:paraId="7F0BB0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bookmarkStart w:id="134" w:name="_Toc453139660"/>
      <w:bookmarkEnd w:id="134"/>
      <w:r>
        <w:rPr>
          <w:rFonts w:hint="eastAsia" w:ascii="宋体" w:hAnsi="宋体" w:cs="宋体"/>
          <w:kern w:val="2"/>
          <w:sz w:val="24"/>
          <w:szCs w:val="24"/>
          <w:lang w:val="en-US" w:eastAsia="zh-CN"/>
        </w:rPr>
        <w:t xml:space="preserve">     </w:t>
      </w:r>
      <w:r>
        <w:rPr>
          <w:rFonts w:hint="eastAsia" w:ascii="宋体" w:hAnsi="宋体" w:cs="宋体"/>
          <w:kern w:val="2"/>
          <w:sz w:val="24"/>
          <w:szCs w:val="24"/>
        </w:rPr>
        <w:t>法定代表人：</w:t>
      </w:r>
      <w:r>
        <w:rPr>
          <w:rFonts w:hint="eastAsia" w:ascii="宋体" w:hAnsi="宋体"/>
          <w:kern w:val="2"/>
          <w:sz w:val="24"/>
          <w:szCs w:val="24"/>
          <w:u w:val="single"/>
          <w:lang w:val="en-US" w:eastAsia="zh-CN"/>
        </w:rPr>
        <w:t xml:space="preserve">       </w:t>
      </w:r>
      <w:r>
        <w:rPr>
          <w:rFonts w:hint="eastAsia" w:ascii="宋体" w:hAnsi="宋体"/>
          <w:kern w:val="2"/>
          <w:sz w:val="24"/>
          <w:szCs w:val="24"/>
        </w:rPr>
        <w:t>（法人</w:t>
      </w:r>
      <w:r>
        <w:rPr>
          <w:rFonts w:hint="eastAsia" w:ascii="宋体" w:hAnsi="宋体"/>
          <w:kern w:val="2"/>
          <w:sz w:val="24"/>
          <w:szCs w:val="24"/>
          <w:lang w:eastAsia="zh-CN"/>
        </w:rPr>
        <w:t>电子</w:t>
      </w:r>
      <w:r>
        <w:rPr>
          <w:rFonts w:hint="eastAsia" w:ascii="宋体" w:hAnsi="宋体"/>
          <w:kern w:val="2"/>
          <w:sz w:val="24"/>
          <w:szCs w:val="24"/>
        </w:rPr>
        <w:t>签章</w:t>
      </w:r>
      <w:r>
        <w:rPr>
          <w:rFonts w:hint="eastAsia" w:ascii="宋体" w:hAnsi="宋体" w:cs="宋体"/>
          <w:kern w:val="2"/>
          <w:sz w:val="24"/>
          <w:szCs w:val="24"/>
        </w:rPr>
        <w:t>）</w:t>
      </w:r>
    </w:p>
    <w:p w14:paraId="16688A63">
      <w:pPr>
        <w:keepNext w:val="0"/>
        <w:keepLines w:val="0"/>
        <w:pageBreakBefore w:val="0"/>
        <w:widowControl w:val="0"/>
        <w:kinsoku/>
        <w:wordWrap/>
        <w:overflowPunct/>
        <w:topLinePunct w:val="0"/>
        <w:autoSpaceDE/>
        <w:autoSpaceDN/>
        <w:bidi w:val="0"/>
        <w:adjustRightInd/>
        <w:snapToGrid/>
        <w:spacing w:line="500" w:lineRule="exact"/>
        <w:ind w:left="0" w:leftChars="0" w:firstLine="2798" w:firstLineChars="1166"/>
        <w:jc w:val="both"/>
        <w:textAlignment w:val="auto"/>
        <w:rPr>
          <w:rFonts w:hint="default" w:ascii="宋体" w:hAnsi="宋体" w:eastAsia="宋体"/>
          <w:sz w:val="24"/>
          <w:szCs w:val="24"/>
          <w:lang w:val="en-US" w:eastAsia="zh-CN"/>
        </w:rPr>
      </w:pPr>
      <w:bookmarkStart w:id="135" w:name="_Toc453139662"/>
      <w:bookmarkEnd w:id="135"/>
      <w:r>
        <w:rPr>
          <w:rFonts w:hint="eastAsia" w:ascii="宋体" w:hAnsi="宋体" w:cs="宋体"/>
          <w:kern w:val="2"/>
          <w:sz w:val="24"/>
          <w:szCs w:val="24"/>
        </w:rPr>
        <w:t>日</w:t>
      </w:r>
      <w:r>
        <w:rPr>
          <w:rFonts w:hint="eastAsia" w:ascii="宋体" w:hAnsi="宋体"/>
          <w:kern w:val="2"/>
          <w:sz w:val="24"/>
          <w:szCs w:val="24"/>
        </w:rPr>
        <w:t xml:space="preserve">    </w:t>
      </w:r>
      <w:r>
        <w:rPr>
          <w:rFonts w:hint="eastAsia" w:ascii="宋体" w:hAnsi="宋体"/>
          <w:kern w:val="2"/>
          <w:sz w:val="24"/>
          <w:szCs w:val="24"/>
          <w:lang w:val="en-US" w:eastAsia="zh-CN"/>
        </w:rPr>
        <w:t xml:space="preserve"> </w:t>
      </w:r>
      <w:r>
        <w:rPr>
          <w:rFonts w:hint="eastAsia" w:ascii="宋体" w:hAnsi="宋体"/>
          <w:kern w:val="2"/>
          <w:sz w:val="24"/>
          <w:szCs w:val="24"/>
        </w:rPr>
        <w:t xml:space="preserve"> </w:t>
      </w:r>
      <w:r>
        <w:rPr>
          <w:rFonts w:hint="eastAsia" w:ascii="宋体" w:hAnsi="宋体" w:cs="宋体"/>
          <w:kern w:val="2"/>
          <w:sz w:val="24"/>
          <w:szCs w:val="24"/>
        </w:rPr>
        <w:t>期：</w:t>
      </w:r>
      <w:r>
        <w:rPr>
          <w:rFonts w:hint="eastAsia" w:ascii="宋体" w:hAnsi="宋体" w:cs="宋体"/>
          <w:kern w:val="2"/>
          <w:sz w:val="24"/>
          <w:szCs w:val="24"/>
          <w:lang w:val="en-US" w:eastAsia="zh-CN"/>
        </w:rPr>
        <w:t xml:space="preserve">   年    月    日</w:t>
      </w:r>
    </w:p>
    <w:p w14:paraId="727A64A7">
      <w:pPr>
        <w:widowControl w:val="0"/>
        <w:spacing w:line="360" w:lineRule="auto"/>
        <w:jc w:val="both"/>
        <w:rPr>
          <w:rFonts w:ascii="宋体" w:hAnsi="宋体"/>
          <w:kern w:val="2"/>
          <w:sz w:val="24"/>
          <w:szCs w:val="24"/>
        </w:rPr>
      </w:pPr>
      <w:r>
        <w:rPr>
          <w:rFonts w:hint="eastAsia" w:ascii="宋体" w:hAnsi="宋体"/>
          <w:kern w:val="2"/>
          <w:sz w:val="24"/>
          <w:szCs w:val="24"/>
        </w:rPr>
        <w:t xml:space="preserve"> </w:t>
      </w:r>
    </w:p>
    <w:p w14:paraId="5213DE22">
      <w:pPr>
        <w:widowControl w:val="0"/>
        <w:spacing w:line="360" w:lineRule="auto"/>
        <w:jc w:val="both"/>
        <w:rPr>
          <w:rFonts w:ascii="宋体" w:hAnsi="宋体"/>
          <w:kern w:val="2"/>
          <w:sz w:val="24"/>
          <w:szCs w:val="24"/>
        </w:rPr>
      </w:pPr>
    </w:p>
    <w:p w14:paraId="155A7AEA">
      <w:pPr>
        <w:widowControl w:val="0"/>
        <w:spacing w:line="360" w:lineRule="auto"/>
        <w:jc w:val="both"/>
        <w:rPr>
          <w:rFonts w:ascii="宋体" w:hAnsi="宋体"/>
          <w:kern w:val="2"/>
          <w:sz w:val="24"/>
          <w:szCs w:val="24"/>
        </w:rPr>
      </w:pPr>
    </w:p>
    <w:p w14:paraId="0627D6AB">
      <w:pPr>
        <w:widowControl w:val="0"/>
        <w:spacing w:line="360" w:lineRule="auto"/>
        <w:jc w:val="both"/>
        <w:rPr>
          <w:rFonts w:ascii="宋体" w:hAnsi="宋体"/>
          <w:kern w:val="2"/>
          <w:sz w:val="24"/>
          <w:szCs w:val="24"/>
        </w:rPr>
      </w:pPr>
    </w:p>
    <w:p w14:paraId="25CAE33F">
      <w:pPr>
        <w:spacing w:line="360" w:lineRule="auto"/>
        <w:jc w:val="center"/>
        <w:rPr>
          <w:rFonts w:hint="eastAsia" w:ascii="宋体" w:hAnsi="宋体" w:cs="宋体"/>
          <w:b/>
          <w:sz w:val="36"/>
          <w:szCs w:val="36"/>
        </w:rPr>
      </w:pPr>
      <w:r>
        <w:rPr>
          <w:rFonts w:hint="eastAsia" w:ascii="宋体" w:hAnsi="宋体" w:cs="宋体"/>
          <w:b/>
          <w:sz w:val="36"/>
          <w:szCs w:val="36"/>
        </w:rPr>
        <w:t>目</w:t>
      </w:r>
      <w:r>
        <w:rPr>
          <w:rFonts w:hint="eastAsia" w:ascii="宋体" w:hAnsi="宋体" w:cs="宋体"/>
          <w:b/>
          <w:sz w:val="36"/>
          <w:szCs w:val="36"/>
          <w:lang w:val="en-US" w:eastAsia="zh-CN"/>
        </w:rPr>
        <w:t xml:space="preserve"> </w:t>
      </w:r>
      <w:r>
        <w:rPr>
          <w:rFonts w:hint="eastAsia" w:ascii="宋体" w:hAnsi="宋体" w:cs="宋体"/>
          <w:b/>
          <w:sz w:val="36"/>
          <w:szCs w:val="36"/>
        </w:rPr>
        <w:t>录</w:t>
      </w:r>
    </w:p>
    <w:p w14:paraId="0C60A17C">
      <w:pPr>
        <w:numPr>
          <w:ilvl w:val="0"/>
          <w:numId w:val="4"/>
        </w:numPr>
        <w:spacing w:line="480" w:lineRule="exact"/>
        <w:jc w:val="left"/>
        <w:outlineLvl w:val="0"/>
        <w:rPr>
          <w:rFonts w:hint="eastAsia" w:ascii="宋体" w:hAnsi="宋体" w:cs="宋体"/>
          <w:color w:val="auto"/>
          <w:sz w:val="28"/>
          <w:szCs w:val="28"/>
          <w:lang w:val="en-US" w:eastAsia="zh-CN"/>
        </w:rPr>
      </w:pPr>
      <w:bookmarkStart w:id="136" w:name="_Toc8129"/>
      <w:bookmarkStart w:id="137" w:name="_Toc13408"/>
      <w:r>
        <w:rPr>
          <w:rFonts w:hint="eastAsia" w:ascii="宋体" w:hAnsi="宋体" w:eastAsia="宋体" w:cs="宋体"/>
          <w:color w:val="auto"/>
          <w:sz w:val="28"/>
          <w:szCs w:val="28"/>
        </w:rPr>
        <w:t>磋商函及磋商函</w:t>
      </w:r>
      <w:r>
        <w:rPr>
          <w:rFonts w:hint="eastAsia" w:ascii="宋体" w:hAnsi="宋体" w:cs="宋体"/>
          <w:color w:val="auto"/>
          <w:sz w:val="28"/>
          <w:szCs w:val="28"/>
          <w:lang w:val="en-US" w:eastAsia="zh-CN"/>
        </w:rPr>
        <w:t>附录</w:t>
      </w:r>
      <w:bookmarkEnd w:id="136"/>
      <w:bookmarkEnd w:id="137"/>
    </w:p>
    <w:p w14:paraId="67A5885F">
      <w:pPr>
        <w:numPr>
          <w:ilvl w:val="0"/>
          <w:numId w:val="4"/>
        </w:numPr>
        <w:spacing w:line="480" w:lineRule="exact"/>
        <w:jc w:val="left"/>
        <w:outlineLvl w:val="0"/>
        <w:rPr>
          <w:rFonts w:hint="eastAsia" w:ascii="宋体" w:hAnsi="宋体" w:eastAsia="宋体" w:cs="宋体"/>
          <w:color w:val="auto"/>
          <w:sz w:val="28"/>
          <w:szCs w:val="28"/>
        </w:rPr>
      </w:pPr>
      <w:bookmarkStart w:id="138" w:name="_Toc3150"/>
      <w:bookmarkStart w:id="139" w:name="_Toc168"/>
      <w:r>
        <w:rPr>
          <w:rFonts w:hint="eastAsia" w:ascii="宋体" w:hAnsi="宋体" w:eastAsia="宋体" w:cs="宋体"/>
          <w:color w:val="auto"/>
          <w:sz w:val="28"/>
          <w:szCs w:val="28"/>
        </w:rPr>
        <w:t>法定代表人身份证明</w:t>
      </w:r>
      <w:bookmarkEnd w:id="138"/>
      <w:bookmarkEnd w:id="139"/>
    </w:p>
    <w:p w14:paraId="5E86C911">
      <w:pPr>
        <w:spacing w:line="480" w:lineRule="exact"/>
        <w:jc w:val="left"/>
        <w:outlineLvl w:val="0"/>
        <w:rPr>
          <w:rFonts w:hint="eastAsia" w:ascii="宋体" w:hAnsi="宋体" w:eastAsia="宋体" w:cs="宋体"/>
          <w:color w:val="auto"/>
          <w:sz w:val="28"/>
          <w:szCs w:val="28"/>
        </w:rPr>
      </w:pPr>
      <w:bookmarkStart w:id="140" w:name="_Toc27792"/>
      <w:bookmarkStart w:id="141" w:name="_Toc12742"/>
      <w:r>
        <w:rPr>
          <w:rFonts w:hint="eastAsia" w:ascii="宋体" w:hAnsi="宋体" w:eastAsia="宋体" w:cs="宋体"/>
          <w:color w:val="auto"/>
          <w:sz w:val="28"/>
          <w:szCs w:val="28"/>
        </w:rPr>
        <w:t>三、</w:t>
      </w:r>
      <w:r>
        <w:rPr>
          <w:rFonts w:hint="eastAsia" w:ascii="宋体" w:hAnsi="宋体" w:cs="宋体"/>
          <w:color w:val="auto"/>
          <w:sz w:val="28"/>
          <w:szCs w:val="28"/>
          <w:lang w:val="en-US" w:eastAsia="zh-CN"/>
        </w:rPr>
        <w:t>法人</w:t>
      </w:r>
      <w:r>
        <w:rPr>
          <w:rFonts w:hint="eastAsia" w:ascii="宋体" w:hAnsi="宋体" w:eastAsia="宋体" w:cs="宋体"/>
          <w:color w:val="auto"/>
          <w:sz w:val="28"/>
          <w:szCs w:val="28"/>
        </w:rPr>
        <w:t>授权委托书</w:t>
      </w:r>
      <w:bookmarkEnd w:id="140"/>
      <w:bookmarkEnd w:id="141"/>
    </w:p>
    <w:p w14:paraId="5703191E">
      <w:pPr>
        <w:spacing w:line="480" w:lineRule="exact"/>
        <w:jc w:val="left"/>
        <w:outlineLvl w:val="0"/>
        <w:rPr>
          <w:rFonts w:hint="eastAsia" w:ascii="宋体" w:hAnsi="宋体" w:eastAsia="宋体" w:cs="宋体"/>
          <w:color w:val="auto"/>
          <w:sz w:val="28"/>
          <w:szCs w:val="28"/>
        </w:rPr>
      </w:pPr>
      <w:bookmarkStart w:id="142" w:name="_Toc28605"/>
      <w:bookmarkStart w:id="143" w:name="_Toc20095"/>
      <w:r>
        <w:rPr>
          <w:rFonts w:hint="eastAsia" w:ascii="宋体" w:hAnsi="宋体" w:eastAsia="宋体" w:cs="宋体"/>
          <w:color w:val="auto"/>
          <w:sz w:val="28"/>
          <w:szCs w:val="28"/>
        </w:rPr>
        <w:t>四、磋商承诺函</w:t>
      </w:r>
      <w:bookmarkEnd w:id="142"/>
      <w:bookmarkEnd w:id="143"/>
    </w:p>
    <w:p w14:paraId="625C07AE">
      <w:pPr>
        <w:spacing w:line="480" w:lineRule="exact"/>
        <w:jc w:val="left"/>
        <w:outlineLvl w:val="0"/>
        <w:rPr>
          <w:rFonts w:hint="eastAsia" w:ascii="宋体" w:hAnsi="宋体" w:eastAsia="宋体" w:cs="宋体"/>
          <w:color w:val="auto"/>
          <w:sz w:val="28"/>
          <w:szCs w:val="28"/>
          <w:lang w:eastAsia="zh-CN"/>
        </w:rPr>
      </w:pPr>
      <w:bookmarkStart w:id="144" w:name="_Toc31053"/>
      <w:bookmarkStart w:id="145" w:name="_Toc21061"/>
      <w:r>
        <w:rPr>
          <w:rFonts w:hint="eastAsia" w:ascii="宋体" w:hAnsi="宋体" w:eastAsia="宋体" w:cs="宋体"/>
          <w:color w:val="auto"/>
          <w:sz w:val="28"/>
          <w:szCs w:val="28"/>
        </w:rPr>
        <w:t>五、</w:t>
      </w:r>
      <w:r>
        <w:rPr>
          <w:rFonts w:hint="eastAsia" w:ascii="宋体" w:hAnsi="宋体" w:cs="宋体"/>
          <w:color w:val="auto"/>
          <w:sz w:val="28"/>
          <w:szCs w:val="28"/>
          <w:lang w:eastAsia="zh-CN"/>
        </w:rPr>
        <w:t>资格审查资料</w:t>
      </w:r>
      <w:bookmarkEnd w:id="144"/>
      <w:bookmarkEnd w:id="145"/>
    </w:p>
    <w:p w14:paraId="7F85DDE4">
      <w:pPr>
        <w:spacing w:line="480" w:lineRule="exact"/>
        <w:jc w:val="left"/>
        <w:outlineLvl w:val="0"/>
        <w:rPr>
          <w:rFonts w:hint="eastAsia" w:ascii="宋体" w:hAnsi="宋体" w:eastAsia="宋体" w:cs="宋体"/>
          <w:color w:val="auto"/>
          <w:sz w:val="28"/>
          <w:szCs w:val="28"/>
          <w:lang w:eastAsia="zh-CN"/>
        </w:rPr>
      </w:pPr>
      <w:bookmarkStart w:id="146" w:name="_Toc26247"/>
      <w:bookmarkStart w:id="147" w:name="_Toc14991"/>
      <w:r>
        <w:rPr>
          <w:rFonts w:hint="eastAsia" w:ascii="宋体" w:hAnsi="宋体" w:eastAsia="宋体" w:cs="宋体"/>
          <w:color w:val="auto"/>
          <w:sz w:val="28"/>
          <w:szCs w:val="28"/>
        </w:rPr>
        <w:t>六、</w:t>
      </w:r>
      <w:r>
        <w:rPr>
          <w:rFonts w:hint="eastAsia" w:ascii="宋体" w:hAnsi="宋体" w:cs="宋体"/>
          <w:color w:val="auto"/>
          <w:sz w:val="28"/>
          <w:szCs w:val="28"/>
          <w:lang w:eastAsia="zh-CN"/>
        </w:rPr>
        <w:t>技术部分</w:t>
      </w:r>
      <w:bookmarkEnd w:id="146"/>
      <w:bookmarkEnd w:id="147"/>
    </w:p>
    <w:p w14:paraId="5A7C4044">
      <w:pPr>
        <w:spacing w:line="480" w:lineRule="exact"/>
        <w:jc w:val="left"/>
        <w:outlineLvl w:val="0"/>
        <w:rPr>
          <w:rFonts w:hint="eastAsia" w:ascii="宋体" w:hAnsi="宋体" w:eastAsia="宋体" w:cs="宋体"/>
          <w:color w:val="auto"/>
          <w:sz w:val="28"/>
          <w:szCs w:val="28"/>
          <w:lang w:eastAsia="zh-CN"/>
        </w:rPr>
      </w:pPr>
      <w:bookmarkStart w:id="148" w:name="_Toc30601"/>
      <w:bookmarkStart w:id="149" w:name="_Toc25233"/>
      <w:r>
        <w:rPr>
          <w:rFonts w:hint="eastAsia" w:ascii="宋体" w:hAnsi="宋体" w:eastAsia="宋体" w:cs="宋体"/>
          <w:color w:val="auto"/>
          <w:sz w:val="28"/>
          <w:szCs w:val="28"/>
        </w:rPr>
        <w:t>七、</w:t>
      </w:r>
      <w:r>
        <w:rPr>
          <w:rFonts w:hint="eastAsia" w:ascii="宋体" w:hAnsi="宋体" w:cs="宋体"/>
          <w:color w:val="auto"/>
          <w:sz w:val="28"/>
          <w:szCs w:val="28"/>
          <w:lang w:eastAsia="zh-CN"/>
        </w:rPr>
        <w:t>商务部分</w:t>
      </w:r>
      <w:bookmarkEnd w:id="148"/>
      <w:bookmarkEnd w:id="149"/>
    </w:p>
    <w:p w14:paraId="671E3E5D">
      <w:pPr>
        <w:spacing w:line="480" w:lineRule="exact"/>
        <w:jc w:val="left"/>
        <w:outlineLvl w:val="0"/>
        <w:rPr>
          <w:rFonts w:hint="eastAsia" w:ascii="宋体" w:hAnsi="宋体" w:eastAsia="宋体" w:cs="宋体"/>
          <w:color w:val="auto"/>
          <w:sz w:val="28"/>
          <w:szCs w:val="28"/>
        </w:rPr>
      </w:pPr>
      <w:bookmarkStart w:id="150" w:name="_Toc5924"/>
      <w:bookmarkStart w:id="151" w:name="_Toc21726"/>
      <w:r>
        <w:rPr>
          <w:rFonts w:hint="eastAsia" w:ascii="宋体" w:hAnsi="宋体" w:eastAsia="宋体" w:cs="宋体"/>
          <w:color w:val="auto"/>
          <w:sz w:val="28"/>
          <w:szCs w:val="28"/>
        </w:rPr>
        <w:t>八、其他资料</w:t>
      </w:r>
      <w:bookmarkEnd w:id="150"/>
      <w:bookmarkEnd w:id="151"/>
    </w:p>
    <w:p w14:paraId="69389097">
      <w:pPr>
        <w:pStyle w:val="14"/>
        <w:ind w:left="400" w:firstLine="482"/>
        <w:rPr>
          <w:rFonts w:hint="eastAsia" w:ascii="宋体" w:hAnsi="宋体" w:cs="宋体"/>
          <w:b/>
          <w:sz w:val="24"/>
          <w:szCs w:val="24"/>
        </w:rPr>
      </w:pPr>
    </w:p>
    <w:p w14:paraId="5DD7E098">
      <w:pPr>
        <w:rPr>
          <w:rFonts w:hint="eastAsia" w:ascii="宋体" w:hAnsi="宋体" w:cs="宋体"/>
          <w:b/>
          <w:sz w:val="24"/>
          <w:szCs w:val="24"/>
        </w:rPr>
      </w:pPr>
    </w:p>
    <w:p w14:paraId="49A448F4">
      <w:pPr>
        <w:pStyle w:val="14"/>
        <w:ind w:left="400" w:firstLine="482"/>
        <w:rPr>
          <w:rFonts w:hint="eastAsia" w:ascii="宋体" w:hAnsi="宋体" w:cs="宋体"/>
          <w:b/>
          <w:sz w:val="24"/>
          <w:szCs w:val="24"/>
        </w:rPr>
      </w:pPr>
    </w:p>
    <w:p w14:paraId="0D4541D6">
      <w:pPr>
        <w:rPr>
          <w:rFonts w:hint="eastAsia" w:ascii="宋体" w:hAnsi="宋体" w:cs="宋体"/>
          <w:b/>
          <w:sz w:val="24"/>
          <w:szCs w:val="24"/>
        </w:rPr>
      </w:pPr>
    </w:p>
    <w:p w14:paraId="0805562B">
      <w:pPr>
        <w:pStyle w:val="14"/>
        <w:ind w:left="400" w:firstLine="400"/>
        <w:rPr>
          <w:rFonts w:hint="eastAsia"/>
        </w:rPr>
      </w:pPr>
    </w:p>
    <w:p w14:paraId="1CBAECCB">
      <w:pPr>
        <w:rPr>
          <w:rFonts w:hint="eastAsia" w:ascii="宋体" w:hAnsi="宋体" w:cs="宋体"/>
          <w:b/>
          <w:sz w:val="24"/>
          <w:szCs w:val="24"/>
        </w:rPr>
      </w:pPr>
    </w:p>
    <w:p w14:paraId="4729FE58">
      <w:pPr>
        <w:pStyle w:val="14"/>
        <w:ind w:left="400" w:firstLine="482"/>
        <w:rPr>
          <w:rFonts w:hint="eastAsia" w:ascii="宋体" w:hAnsi="宋体" w:cs="宋体"/>
          <w:b/>
          <w:sz w:val="24"/>
          <w:szCs w:val="24"/>
        </w:rPr>
      </w:pPr>
    </w:p>
    <w:p w14:paraId="53EE3252">
      <w:pPr>
        <w:rPr>
          <w:rFonts w:hint="eastAsia" w:ascii="宋体" w:hAnsi="宋体" w:cs="宋体"/>
          <w:b/>
          <w:sz w:val="24"/>
          <w:szCs w:val="24"/>
        </w:rPr>
      </w:pPr>
    </w:p>
    <w:p w14:paraId="44BB8984">
      <w:pPr>
        <w:pStyle w:val="14"/>
        <w:ind w:left="400" w:firstLine="482"/>
        <w:rPr>
          <w:rFonts w:hint="eastAsia" w:ascii="宋体" w:hAnsi="宋体" w:cs="宋体"/>
          <w:b/>
          <w:sz w:val="24"/>
          <w:szCs w:val="24"/>
        </w:rPr>
      </w:pPr>
    </w:p>
    <w:p w14:paraId="3544C298">
      <w:pPr>
        <w:rPr>
          <w:rFonts w:hint="eastAsia" w:ascii="宋体" w:hAnsi="宋体" w:cs="宋体"/>
          <w:b/>
          <w:sz w:val="24"/>
          <w:szCs w:val="24"/>
        </w:rPr>
      </w:pPr>
    </w:p>
    <w:p w14:paraId="53E03FC3">
      <w:pPr>
        <w:pStyle w:val="14"/>
        <w:ind w:left="400" w:firstLine="400"/>
        <w:rPr>
          <w:rFonts w:hint="eastAsia"/>
        </w:rPr>
      </w:pPr>
    </w:p>
    <w:p w14:paraId="6A4D29DB">
      <w:pPr>
        <w:spacing w:line="360" w:lineRule="auto"/>
        <w:jc w:val="center"/>
        <w:rPr>
          <w:rFonts w:hint="eastAsia" w:ascii="宋体" w:hAnsi="宋体" w:cs="宋体"/>
          <w:b/>
          <w:sz w:val="24"/>
          <w:szCs w:val="24"/>
        </w:rPr>
      </w:pPr>
    </w:p>
    <w:p w14:paraId="10D6679B">
      <w:pPr>
        <w:spacing w:line="360" w:lineRule="auto"/>
        <w:jc w:val="center"/>
        <w:rPr>
          <w:rFonts w:hint="eastAsia" w:ascii="宋体" w:hAnsi="宋体" w:cs="宋体"/>
          <w:b/>
          <w:sz w:val="24"/>
          <w:szCs w:val="24"/>
        </w:rPr>
      </w:pPr>
    </w:p>
    <w:p w14:paraId="2052E7D0">
      <w:pPr>
        <w:spacing w:line="360" w:lineRule="auto"/>
        <w:jc w:val="center"/>
        <w:rPr>
          <w:rFonts w:hint="eastAsia" w:ascii="宋体" w:hAnsi="宋体" w:cs="宋体"/>
          <w:b/>
          <w:sz w:val="24"/>
          <w:szCs w:val="24"/>
        </w:rPr>
      </w:pPr>
    </w:p>
    <w:p w14:paraId="7CEB2BA9">
      <w:pPr>
        <w:spacing w:line="360" w:lineRule="auto"/>
        <w:jc w:val="center"/>
        <w:rPr>
          <w:rFonts w:hint="eastAsia" w:ascii="宋体" w:hAnsi="宋体" w:cs="宋体"/>
          <w:b/>
          <w:sz w:val="24"/>
          <w:szCs w:val="24"/>
        </w:rPr>
      </w:pPr>
    </w:p>
    <w:p w14:paraId="5F7E9FA9">
      <w:pPr>
        <w:spacing w:line="360" w:lineRule="auto"/>
        <w:jc w:val="center"/>
        <w:rPr>
          <w:rFonts w:hint="eastAsia" w:ascii="宋体" w:hAnsi="宋体" w:cs="宋体"/>
          <w:b/>
          <w:sz w:val="24"/>
          <w:szCs w:val="24"/>
        </w:rPr>
      </w:pPr>
    </w:p>
    <w:p w14:paraId="36975967">
      <w:pPr>
        <w:spacing w:line="360" w:lineRule="auto"/>
        <w:jc w:val="center"/>
        <w:rPr>
          <w:rFonts w:hint="eastAsia" w:ascii="宋体" w:hAnsi="宋体" w:cs="宋体"/>
          <w:b/>
          <w:sz w:val="24"/>
          <w:szCs w:val="24"/>
        </w:rPr>
      </w:pPr>
    </w:p>
    <w:p w14:paraId="322B7DE1">
      <w:pPr>
        <w:spacing w:line="360" w:lineRule="auto"/>
        <w:jc w:val="center"/>
        <w:rPr>
          <w:rFonts w:hint="eastAsia" w:ascii="宋体" w:hAnsi="宋体" w:cs="宋体"/>
          <w:b/>
          <w:sz w:val="24"/>
          <w:szCs w:val="24"/>
        </w:rPr>
      </w:pPr>
    </w:p>
    <w:p w14:paraId="49138126">
      <w:pPr>
        <w:spacing w:line="360" w:lineRule="auto"/>
        <w:jc w:val="center"/>
        <w:rPr>
          <w:rFonts w:hint="eastAsia" w:ascii="宋体" w:hAnsi="宋体" w:cs="宋体"/>
          <w:b/>
          <w:sz w:val="24"/>
          <w:szCs w:val="24"/>
        </w:rPr>
      </w:pPr>
    </w:p>
    <w:p w14:paraId="733ABF3B">
      <w:pPr>
        <w:spacing w:line="360" w:lineRule="auto"/>
        <w:jc w:val="center"/>
        <w:rPr>
          <w:rFonts w:hint="eastAsia" w:ascii="宋体" w:hAnsi="宋体" w:cs="宋体"/>
          <w:b/>
          <w:sz w:val="24"/>
          <w:szCs w:val="24"/>
        </w:rPr>
      </w:pPr>
    </w:p>
    <w:p w14:paraId="43A29304">
      <w:pPr>
        <w:spacing w:line="360" w:lineRule="auto"/>
        <w:jc w:val="center"/>
        <w:rPr>
          <w:rFonts w:hint="eastAsia" w:ascii="宋体" w:hAnsi="宋体" w:cs="宋体"/>
          <w:b/>
          <w:sz w:val="24"/>
          <w:szCs w:val="24"/>
        </w:rPr>
      </w:pPr>
    </w:p>
    <w:p w14:paraId="0AF89423">
      <w:pPr>
        <w:spacing w:line="360" w:lineRule="auto"/>
        <w:jc w:val="center"/>
        <w:rPr>
          <w:rFonts w:hint="eastAsia" w:ascii="宋体" w:hAnsi="宋体" w:cs="宋体"/>
          <w:b/>
          <w:sz w:val="24"/>
          <w:szCs w:val="24"/>
        </w:rPr>
      </w:pPr>
    </w:p>
    <w:p w14:paraId="0D2AC600">
      <w:pPr>
        <w:spacing w:line="360" w:lineRule="auto"/>
        <w:jc w:val="center"/>
        <w:rPr>
          <w:rFonts w:hint="eastAsia" w:ascii="宋体" w:hAnsi="宋体" w:cs="宋体"/>
          <w:b/>
          <w:sz w:val="24"/>
          <w:szCs w:val="24"/>
        </w:rPr>
      </w:pPr>
    </w:p>
    <w:p w14:paraId="0272F15D">
      <w:pPr>
        <w:spacing w:line="360" w:lineRule="auto"/>
        <w:jc w:val="center"/>
        <w:rPr>
          <w:rFonts w:hint="eastAsia" w:ascii="宋体" w:hAnsi="宋体" w:cs="宋体"/>
          <w:b/>
          <w:sz w:val="24"/>
          <w:szCs w:val="24"/>
        </w:rPr>
      </w:pPr>
    </w:p>
    <w:p w14:paraId="52FD9DF2">
      <w:pPr>
        <w:numPr>
          <w:ilvl w:val="0"/>
          <w:numId w:val="0"/>
        </w:numPr>
        <w:spacing w:line="360" w:lineRule="auto"/>
        <w:jc w:val="center"/>
        <w:rPr>
          <w:rFonts w:hint="eastAsia" w:ascii="宋体" w:hAnsi="宋体"/>
          <w:b/>
          <w:bCs/>
          <w:kern w:val="0"/>
          <w:sz w:val="28"/>
          <w:szCs w:val="28"/>
        </w:rPr>
      </w:pPr>
      <w:r>
        <w:rPr>
          <w:rFonts w:hint="eastAsia" w:ascii="宋体" w:hAnsi="宋体" w:eastAsiaTheme="minorEastAsia" w:cstheme="minorBidi"/>
          <w:b/>
          <w:bCs/>
          <w:kern w:val="0"/>
          <w:sz w:val="28"/>
          <w:szCs w:val="28"/>
          <w:lang w:val="en-US" w:eastAsia="zh-CN" w:bidi="ar-SA"/>
        </w:rPr>
        <w:t>一、</w:t>
      </w:r>
      <w:r>
        <w:rPr>
          <w:rFonts w:hint="eastAsia" w:ascii="宋体" w:hAnsi="宋体"/>
          <w:b/>
          <w:bCs/>
          <w:kern w:val="0"/>
          <w:sz w:val="28"/>
          <w:szCs w:val="28"/>
        </w:rPr>
        <w:t>磋商函及磋商函附</w:t>
      </w:r>
      <w:r>
        <w:rPr>
          <w:rFonts w:hint="eastAsia" w:ascii="宋体" w:hAnsi="宋体"/>
          <w:b/>
          <w:bCs/>
          <w:kern w:val="0"/>
          <w:sz w:val="28"/>
          <w:szCs w:val="28"/>
          <w:lang w:eastAsia="zh-CN"/>
        </w:rPr>
        <w:t>录</w:t>
      </w:r>
    </w:p>
    <w:p w14:paraId="566DBAE9">
      <w:pPr>
        <w:numPr>
          <w:ilvl w:val="0"/>
          <w:numId w:val="0"/>
        </w:numPr>
        <w:spacing w:line="360" w:lineRule="auto"/>
        <w:jc w:val="center"/>
        <w:rPr>
          <w:rFonts w:hint="eastAsia" w:ascii="宋体" w:hAnsi="宋体"/>
          <w:b/>
          <w:bCs/>
          <w:kern w:val="0"/>
          <w:sz w:val="28"/>
          <w:szCs w:val="28"/>
        </w:rPr>
      </w:pPr>
      <w:r>
        <w:rPr>
          <w:rFonts w:hint="eastAsia" w:ascii="宋体" w:hAnsi="宋体"/>
          <w:b/>
          <w:bCs/>
          <w:kern w:val="0"/>
          <w:sz w:val="28"/>
          <w:szCs w:val="28"/>
        </w:rPr>
        <w:t>（一）磋商函</w:t>
      </w:r>
    </w:p>
    <w:p w14:paraId="699B71F2">
      <w:pPr>
        <w:keepNext w:val="0"/>
        <w:keepLines w:val="0"/>
        <w:pageBreakBefore w:val="0"/>
        <w:widowControl w:val="0"/>
        <w:kinsoku/>
        <w:wordWrap w:val="0"/>
        <w:overflowPunct/>
        <w:topLinePunct/>
        <w:autoSpaceDE/>
        <w:autoSpaceDN/>
        <w:bidi w:val="0"/>
        <w:adjustRightInd/>
        <w:snapToGrid/>
        <w:spacing w:line="500" w:lineRule="exact"/>
        <w:jc w:val="left"/>
        <w:textAlignment w:val="auto"/>
        <w:rPr>
          <w:rFonts w:hint="eastAsia" w:ascii="宋体" w:hAnsi="宋体" w:eastAsia="宋体" w:cs="宋体"/>
          <w:color w:val="auto"/>
          <w:kern w:val="0"/>
          <w:sz w:val="24"/>
        </w:rPr>
      </w:pPr>
      <w:bookmarkStart w:id="152" w:name="OLE_LINK11"/>
      <w:bookmarkEnd w:id="152"/>
      <w:bookmarkStart w:id="153" w:name="OLE_LINK7"/>
      <w:r>
        <w:rPr>
          <w:rFonts w:hint="eastAsia" w:ascii="宋体" w:hAnsi="宋体" w:eastAsia="宋体" w:cs="宋体"/>
          <w:color w:val="auto"/>
          <w:spacing w:val="46"/>
          <w:kern w:val="0"/>
          <w:sz w:val="24"/>
        </w:rPr>
        <w:t>致</w:t>
      </w:r>
      <w:bookmarkEnd w:id="153"/>
      <w:r>
        <w:rPr>
          <w:rFonts w:hint="eastAsia" w:ascii="宋体" w:hAnsi="宋体" w:eastAsia="宋体" w:cs="宋体"/>
          <w:color w:val="auto"/>
          <w:spacing w:val="46"/>
          <w:kern w:val="0"/>
          <w:sz w:val="24"/>
          <w:u w:val="single"/>
        </w:rPr>
        <w:t xml:space="preserve"> （采购人） </w:t>
      </w:r>
      <w:r>
        <w:rPr>
          <w:rFonts w:hint="eastAsia" w:ascii="宋体" w:hAnsi="宋体" w:eastAsia="宋体" w:cs="宋体"/>
          <w:color w:val="auto"/>
          <w:spacing w:val="46"/>
          <w:kern w:val="0"/>
          <w:sz w:val="24"/>
        </w:rPr>
        <w:t>：</w:t>
      </w:r>
    </w:p>
    <w:p w14:paraId="732A7E74">
      <w:pPr>
        <w:keepNext w:val="0"/>
        <w:keepLines w:val="0"/>
        <w:pageBreakBefore w:val="0"/>
        <w:widowControl w:val="0"/>
        <w:kinsoku/>
        <w:wordWrap w:val="0"/>
        <w:overflowPunct/>
        <w:topLinePunct/>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根据已收到贵方</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（项目名称）（项目编号：</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）磋商文件的全部内容，遵照《中华人民共和国政府采购法》等有关规定，我单位经研究上述磋商文件及其它有关文件后，我方愿以人民币（大写）</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（小写：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元）的</w:t>
      </w:r>
      <w:r>
        <w:rPr>
          <w:rFonts w:hint="eastAsia" w:ascii="宋体" w:hAnsi="宋体" w:cs="宋体"/>
          <w:color w:val="auto"/>
          <w:kern w:val="0"/>
          <w:sz w:val="24"/>
          <w:lang w:eastAsia="zh-CN"/>
        </w:rPr>
        <w:t>磋商</w:t>
      </w:r>
      <w:r>
        <w:rPr>
          <w:rFonts w:hint="eastAsia" w:ascii="宋体" w:hAnsi="宋体" w:cs="宋体"/>
          <w:color w:val="auto"/>
          <w:kern w:val="0"/>
          <w:sz w:val="24"/>
          <w:lang w:val="en-US" w:eastAsia="zh-CN"/>
        </w:rPr>
        <w:t>总</w:t>
      </w:r>
      <w:r>
        <w:rPr>
          <w:rFonts w:hint="eastAsia" w:ascii="宋体" w:hAnsi="宋体" w:eastAsia="宋体" w:cs="宋体"/>
          <w:color w:val="auto"/>
          <w:kern w:val="0"/>
          <w:sz w:val="24"/>
        </w:rPr>
        <w:t>报价承包上述项目。</w:t>
      </w:r>
    </w:p>
    <w:p w14:paraId="74B3B315">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1、 我方已详细审阅全部</w:t>
      </w:r>
      <w:r>
        <w:rPr>
          <w:rFonts w:hint="eastAsia" w:ascii="宋体" w:hAnsi="宋体" w:eastAsia="宋体" w:cs="宋体"/>
          <w:color w:val="auto"/>
          <w:kern w:val="0"/>
          <w:sz w:val="24"/>
          <w:lang w:eastAsia="zh-CN"/>
        </w:rPr>
        <w:t>磋商</w:t>
      </w:r>
      <w:r>
        <w:rPr>
          <w:rFonts w:hint="eastAsia" w:ascii="宋体" w:hAnsi="宋体" w:eastAsia="宋体" w:cs="宋体"/>
          <w:color w:val="auto"/>
          <w:kern w:val="0"/>
          <w:sz w:val="24"/>
        </w:rPr>
        <w:t>文件，包括修改文件（如有）及有关附件，我方完全知道必须放弃提出含糊不清或误解的权力。</w:t>
      </w:r>
    </w:p>
    <w:p w14:paraId="7FFE9549">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2、 一旦我方中标，我们将按照</w:t>
      </w:r>
      <w:r>
        <w:rPr>
          <w:rFonts w:hint="eastAsia" w:ascii="宋体" w:hAnsi="宋体" w:cs="宋体"/>
          <w:color w:val="auto"/>
          <w:kern w:val="0"/>
          <w:sz w:val="24"/>
          <w:lang w:eastAsia="zh-CN"/>
        </w:rPr>
        <w:t>措施</w:t>
      </w:r>
      <w:r>
        <w:rPr>
          <w:rFonts w:hint="eastAsia" w:ascii="宋体" w:hAnsi="宋体" w:eastAsia="宋体" w:cs="宋体"/>
          <w:color w:val="auto"/>
          <w:kern w:val="0"/>
          <w:sz w:val="24"/>
        </w:rPr>
        <w:t>文件中规定的各项要求和我们的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文件中的表述和承诺，按期、按质、按量完成中标义务。</w:t>
      </w:r>
    </w:p>
    <w:p w14:paraId="3A87DF1A">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3、 我方愿在中标后向代理机构交纳代理</w:t>
      </w:r>
      <w:r>
        <w:rPr>
          <w:rFonts w:hint="eastAsia" w:ascii="宋体" w:hAnsi="宋体" w:cs="宋体"/>
          <w:color w:val="auto"/>
          <w:kern w:val="0"/>
          <w:sz w:val="24"/>
          <w:lang w:eastAsia="zh-CN"/>
        </w:rPr>
        <w:t>服务</w:t>
      </w:r>
      <w:r>
        <w:rPr>
          <w:rFonts w:hint="eastAsia" w:ascii="宋体" w:hAnsi="宋体" w:eastAsia="宋体" w:cs="宋体"/>
          <w:color w:val="auto"/>
          <w:kern w:val="0"/>
          <w:sz w:val="24"/>
        </w:rPr>
        <w:t>费以及相关费用。</w:t>
      </w:r>
    </w:p>
    <w:p w14:paraId="0C75C9CF">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4、 我方同意所递交的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文件在规定的</w:t>
      </w:r>
      <w:r>
        <w:rPr>
          <w:rFonts w:hint="eastAsia" w:ascii="宋体" w:hAnsi="宋体" w:eastAsia="宋体" w:cs="宋体"/>
          <w:color w:val="auto"/>
          <w:kern w:val="0"/>
          <w:sz w:val="24"/>
          <w:lang w:val="en-US" w:eastAsia="zh-CN"/>
        </w:rPr>
        <w:t>磋商</w:t>
      </w:r>
      <w:r>
        <w:rPr>
          <w:rFonts w:hint="eastAsia" w:ascii="宋体" w:hAnsi="宋体" w:eastAsia="宋体" w:cs="宋体"/>
          <w:color w:val="auto"/>
          <w:kern w:val="0"/>
          <w:sz w:val="24"/>
        </w:rPr>
        <w:t>有效期</w:t>
      </w:r>
      <w:r>
        <w:rPr>
          <w:rFonts w:hint="eastAsia" w:ascii="宋体" w:hAnsi="宋体" w:eastAsia="宋体" w:cs="宋体"/>
          <w:color w:val="auto"/>
          <w:kern w:val="0"/>
          <w:sz w:val="24"/>
          <w:u w:val="single"/>
          <w:lang w:val="en-US" w:eastAsia="zh-CN"/>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rPr>
        <w:t>日历天内有效，在此期间我方投标有可能中标，我方将受此约束。</w:t>
      </w:r>
    </w:p>
    <w:p w14:paraId="01DF309B">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5、除非另外达成协议并生效，贵方的中标通知书和本</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文件将构成约束我们双方的合同。</w:t>
      </w:r>
    </w:p>
    <w:p w14:paraId="0F6790B1">
      <w:pPr>
        <w:spacing w:line="360" w:lineRule="auto"/>
        <w:jc w:val="right"/>
        <w:rPr>
          <w:rFonts w:hint="eastAsia" w:ascii="宋体" w:hAnsi="宋体" w:cs="宋体"/>
          <w:sz w:val="24"/>
          <w:szCs w:val="24"/>
        </w:rPr>
      </w:pPr>
    </w:p>
    <w:p w14:paraId="5D2F7FB1">
      <w:pPr>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kern w:val="2"/>
          <w:sz w:val="24"/>
          <w:szCs w:val="24"/>
          <w:u w:val="single"/>
          <w:lang w:val="en-US" w:eastAsia="zh-CN"/>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 xml:space="preserve">签章） </w:t>
      </w:r>
    </w:p>
    <w:p w14:paraId="779DB51E">
      <w:pPr>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szCs w:val="24"/>
        </w:rPr>
        <w:t>（法人</w:t>
      </w:r>
      <w:r>
        <w:rPr>
          <w:rFonts w:hint="eastAsia" w:ascii="宋体" w:hAnsi="宋体" w:cs="宋体"/>
          <w:sz w:val="24"/>
          <w:szCs w:val="24"/>
          <w:lang w:eastAsia="zh-CN"/>
        </w:rPr>
        <w:t>电子</w:t>
      </w:r>
      <w:r>
        <w:rPr>
          <w:rFonts w:hint="eastAsia" w:ascii="宋体" w:hAnsi="宋体" w:cs="宋体"/>
          <w:sz w:val="24"/>
          <w:szCs w:val="24"/>
        </w:rPr>
        <w:t>签章）</w:t>
      </w:r>
    </w:p>
    <w:p w14:paraId="05B06B72">
      <w:pPr>
        <w:wordWrap w:val="0"/>
        <w:spacing w:line="360" w:lineRule="auto"/>
        <w:ind w:right="420"/>
        <w:jc w:val="center"/>
        <w:rPr>
          <w:rFonts w:hint="default" w:ascii="宋体" w:hAnsi="宋体" w:eastAsia="宋体" w:cs="宋体"/>
          <w:sz w:val="24"/>
          <w:szCs w:val="24"/>
          <w:u w:val="none"/>
          <w:lang w:val="en-US" w:eastAsia="zh-CN"/>
        </w:rPr>
      </w:pPr>
      <w:r>
        <w:rPr>
          <w:rFonts w:hint="eastAsia" w:ascii="宋体" w:hAnsi="宋体" w:cs="宋体"/>
          <w:sz w:val="24"/>
          <w:szCs w:val="24"/>
          <w:lang w:val="en-US" w:eastAsia="zh-CN"/>
        </w:rPr>
        <w:t xml:space="preserve">                              </w:t>
      </w:r>
      <w:r>
        <w:rPr>
          <w:rFonts w:hint="eastAsia" w:ascii="宋体" w:hAnsi="宋体" w:cs="宋体"/>
          <w:sz w:val="24"/>
          <w:szCs w:val="24"/>
        </w:rPr>
        <w:t>日 期：</w:t>
      </w:r>
      <w:r>
        <w:rPr>
          <w:rFonts w:hint="eastAsia" w:ascii="宋体" w:hAnsi="宋体" w:cs="宋体"/>
          <w:sz w:val="24"/>
          <w:szCs w:val="24"/>
          <w:lang w:val="en-US" w:eastAsia="zh-CN"/>
        </w:rPr>
        <w:t xml:space="preserve">   年 </w:t>
      </w:r>
      <w:r>
        <w:rPr>
          <w:rFonts w:hint="eastAsia" w:ascii="宋体" w:hAnsi="宋体" w:cs="宋体"/>
          <w:sz w:val="24"/>
          <w:szCs w:val="24"/>
          <w:u w:val="none"/>
          <w:lang w:val="en-US" w:eastAsia="zh-CN"/>
        </w:rPr>
        <w:t xml:space="preserve">  月   日</w:t>
      </w:r>
    </w:p>
    <w:p w14:paraId="562C0EAD">
      <w:pPr>
        <w:pStyle w:val="6"/>
        <w:bidi w:val="0"/>
      </w:pPr>
    </w:p>
    <w:p w14:paraId="4D461F4D">
      <w:pPr>
        <w:pStyle w:val="6"/>
        <w:bidi w:val="0"/>
      </w:pPr>
    </w:p>
    <w:p w14:paraId="6E8C9C9A">
      <w:pPr>
        <w:pStyle w:val="6"/>
        <w:bidi w:val="0"/>
      </w:pPr>
    </w:p>
    <w:p w14:paraId="2E8C3784">
      <w:pPr>
        <w:pStyle w:val="6"/>
        <w:bidi w:val="0"/>
      </w:pPr>
    </w:p>
    <w:p w14:paraId="4DA3DDA2">
      <w:pPr>
        <w:pStyle w:val="6"/>
        <w:bidi w:val="0"/>
      </w:pPr>
    </w:p>
    <w:p w14:paraId="5EFB0E3A">
      <w:pPr>
        <w:pStyle w:val="6"/>
        <w:bidi w:val="0"/>
      </w:pPr>
    </w:p>
    <w:p w14:paraId="55FF7DAE">
      <w:pPr>
        <w:pStyle w:val="6"/>
      </w:pPr>
    </w:p>
    <w:p w14:paraId="47D8A4A8">
      <w:pPr>
        <w:spacing w:after="156" w:afterLines="50" w:line="360" w:lineRule="auto"/>
        <w:jc w:val="center"/>
        <w:outlineLvl w:val="0"/>
        <w:rPr>
          <w:rFonts w:hint="eastAsia" w:ascii="宋体" w:hAnsi="宋体" w:cs="宋体"/>
          <w:b/>
          <w:sz w:val="24"/>
          <w:szCs w:val="24"/>
          <w:lang w:eastAsia="zh-CN"/>
        </w:rPr>
      </w:pPr>
      <w:bookmarkStart w:id="154" w:name="_Toc13281"/>
      <w:bookmarkStart w:id="155" w:name="_Toc18215"/>
    </w:p>
    <w:p w14:paraId="16255EDA">
      <w:pPr>
        <w:spacing w:after="156" w:afterLines="50" w:line="360" w:lineRule="auto"/>
        <w:jc w:val="center"/>
        <w:outlineLvl w:val="0"/>
        <w:rPr>
          <w:rFonts w:hint="eastAsia" w:ascii="宋体" w:hAnsi="宋体" w:cs="宋体"/>
          <w:b/>
          <w:sz w:val="24"/>
          <w:szCs w:val="24"/>
          <w:lang w:eastAsia="zh-CN"/>
        </w:rPr>
      </w:pPr>
    </w:p>
    <w:p w14:paraId="7A8E6EB7">
      <w:pPr>
        <w:spacing w:after="156" w:afterLines="50" w:line="360" w:lineRule="auto"/>
        <w:jc w:val="center"/>
        <w:outlineLvl w:val="0"/>
        <w:rPr>
          <w:rFonts w:hint="eastAsia" w:ascii="宋体" w:hAnsi="宋体" w:cs="宋体"/>
          <w:b/>
          <w:sz w:val="24"/>
          <w:szCs w:val="24"/>
          <w:lang w:eastAsia="zh-CN"/>
        </w:rPr>
      </w:pPr>
    </w:p>
    <w:p w14:paraId="6818DFB3">
      <w:pPr>
        <w:spacing w:after="156" w:afterLines="50" w:line="360" w:lineRule="auto"/>
        <w:jc w:val="center"/>
        <w:outlineLvl w:val="0"/>
        <w:rPr>
          <w:rFonts w:ascii="宋体" w:hAnsi="宋体" w:cs="宋体"/>
          <w:sz w:val="24"/>
          <w:szCs w:val="24"/>
        </w:rPr>
      </w:pPr>
      <w:bookmarkStart w:id="156" w:name="_Toc22570"/>
      <w:bookmarkStart w:id="157" w:name="_Toc27231"/>
      <w:r>
        <w:rPr>
          <w:rFonts w:hint="eastAsia" w:ascii="宋体" w:hAnsi="宋体" w:cs="宋体"/>
          <w:b/>
          <w:sz w:val="24"/>
          <w:szCs w:val="24"/>
          <w:lang w:eastAsia="zh-CN"/>
        </w:rPr>
        <w:t>（</w:t>
      </w:r>
      <w:r>
        <w:rPr>
          <w:rFonts w:hint="eastAsia" w:ascii="宋体" w:hAnsi="宋体" w:cs="宋体"/>
          <w:b/>
          <w:sz w:val="24"/>
          <w:szCs w:val="24"/>
        </w:rPr>
        <w:t>二</w:t>
      </w:r>
      <w:r>
        <w:rPr>
          <w:rFonts w:hint="eastAsia" w:ascii="宋体" w:hAnsi="宋体" w:cs="宋体"/>
          <w:b/>
          <w:sz w:val="24"/>
          <w:szCs w:val="24"/>
          <w:lang w:eastAsia="zh-CN"/>
        </w:rPr>
        <w:t>）</w:t>
      </w:r>
      <w:r>
        <w:rPr>
          <w:rFonts w:hint="eastAsia" w:ascii="宋体" w:hAnsi="宋体" w:cs="宋体"/>
          <w:b/>
          <w:sz w:val="24"/>
          <w:szCs w:val="24"/>
        </w:rPr>
        <w:t>磋商函附录</w:t>
      </w:r>
      <w:bookmarkEnd w:id="154"/>
      <w:bookmarkEnd w:id="155"/>
      <w:bookmarkEnd w:id="156"/>
      <w:bookmarkEnd w:id="157"/>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7"/>
        <w:gridCol w:w="5772"/>
      </w:tblGrid>
      <w:tr w14:paraId="3964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47" w:type="dxa"/>
            <w:noWrap w:val="0"/>
            <w:vAlign w:val="bottom"/>
          </w:tcPr>
          <w:p w14:paraId="2CE4266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项目名称</w:t>
            </w:r>
          </w:p>
        </w:tc>
        <w:tc>
          <w:tcPr>
            <w:tcW w:w="5772" w:type="dxa"/>
            <w:noWrap w:val="0"/>
            <w:vAlign w:val="center"/>
          </w:tcPr>
          <w:p w14:paraId="1A1AD405">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75D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347" w:type="dxa"/>
            <w:noWrap w:val="0"/>
            <w:vAlign w:val="bottom"/>
          </w:tcPr>
          <w:p w14:paraId="75A75C6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z w:val="24"/>
                <w:szCs w:val="24"/>
              </w:rPr>
              <w:t>项目编号</w:t>
            </w:r>
          </w:p>
        </w:tc>
        <w:tc>
          <w:tcPr>
            <w:tcW w:w="5772" w:type="dxa"/>
            <w:noWrap w:val="0"/>
            <w:vAlign w:val="center"/>
          </w:tcPr>
          <w:p w14:paraId="6298E85A">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947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67E9A6F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供应商名称</w:t>
            </w:r>
          </w:p>
        </w:tc>
        <w:tc>
          <w:tcPr>
            <w:tcW w:w="5772" w:type="dxa"/>
            <w:noWrap w:val="0"/>
            <w:vAlign w:val="center"/>
          </w:tcPr>
          <w:p w14:paraId="207E743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0412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476B04C5">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法定代表人</w:t>
            </w:r>
          </w:p>
        </w:tc>
        <w:tc>
          <w:tcPr>
            <w:tcW w:w="5772" w:type="dxa"/>
            <w:noWrap w:val="0"/>
            <w:vAlign w:val="center"/>
          </w:tcPr>
          <w:p w14:paraId="61886D91">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F64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2D399B3A">
            <w:pPr>
              <w:widowControl w:val="0"/>
              <w:autoSpaceDE w:val="0"/>
              <w:autoSpaceDN w:val="0"/>
              <w:adjustRightInd w:val="0"/>
              <w:spacing w:line="360" w:lineRule="auto"/>
              <w:jc w:val="center"/>
              <w:rPr>
                <w:rFonts w:hint="eastAsia" w:ascii="宋体" w:hAnsi="宋体" w:cs="宋体"/>
                <w:spacing w:val="-1"/>
                <w:sz w:val="24"/>
              </w:rPr>
            </w:pPr>
            <w:r>
              <w:rPr>
                <w:rFonts w:hint="eastAsia" w:ascii="宋体" w:hAnsi="宋体" w:cs="宋体"/>
                <w:spacing w:val="10"/>
                <w:sz w:val="24"/>
                <w:szCs w:val="24"/>
              </w:rPr>
              <w:t>供应商地址</w:t>
            </w:r>
          </w:p>
        </w:tc>
        <w:tc>
          <w:tcPr>
            <w:tcW w:w="5772" w:type="dxa"/>
            <w:noWrap w:val="0"/>
            <w:vAlign w:val="center"/>
          </w:tcPr>
          <w:p w14:paraId="22911A3B">
            <w:pPr>
              <w:widowControl w:val="0"/>
              <w:autoSpaceDE w:val="0"/>
              <w:autoSpaceDN w:val="0"/>
              <w:adjustRightInd w:val="0"/>
              <w:spacing w:line="360" w:lineRule="auto"/>
              <w:ind w:firstLine="520" w:firstLineChars="200"/>
              <w:rPr>
                <w:rFonts w:ascii="宋体" w:hAnsi="宋体" w:cs="宋体"/>
                <w:spacing w:val="10"/>
                <w:sz w:val="24"/>
                <w:szCs w:val="24"/>
              </w:rPr>
            </w:pPr>
          </w:p>
        </w:tc>
      </w:tr>
      <w:tr w14:paraId="21F3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306AA63C">
            <w:pPr>
              <w:widowControl w:val="0"/>
              <w:autoSpaceDE w:val="0"/>
              <w:autoSpaceDN w:val="0"/>
              <w:adjustRightInd w:val="0"/>
              <w:spacing w:line="360" w:lineRule="auto"/>
              <w:jc w:val="center"/>
              <w:rPr>
                <w:rFonts w:hint="eastAsia" w:ascii="宋体" w:hAnsi="宋体" w:cs="宋体"/>
                <w:spacing w:val="10"/>
                <w:sz w:val="24"/>
                <w:szCs w:val="24"/>
                <w:lang w:val="en-US" w:eastAsia="zh-CN"/>
              </w:rPr>
            </w:pPr>
            <w:r>
              <w:rPr>
                <w:rFonts w:hint="eastAsia" w:ascii="宋体" w:hAnsi="宋体" w:cs="宋体"/>
                <w:spacing w:val="-1"/>
                <w:sz w:val="24"/>
                <w:lang w:val="en-US" w:eastAsia="zh-CN"/>
              </w:rPr>
              <w:t>统一社会信用</w:t>
            </w:r>
            <w:r>
              <w:rPr>
                <w:rFonts w:hint="eastAsia" w:ascii="宋体" w:hAnsi="宋体" w:cs="宋体"/>
                <w:spacing w:val="-1"/>
                <w:sz w:val="24"/>
              </w:rPr>
              <w:t>代码</w:t>
            </w:r>
          </w:p>
        </w:tc>
        <w:tc>
          <w:tcPr>
            <w:tcW w:w="5772" w:type="dxa"/>
            <w:noWrap w:val="0"/>
            <w:vAlign w:val="center"/>
          </w:tcPr>
          <w:p w14:paraId="164D22D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4639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347" w:type="dxa"/>
            <w:noWrap w:val="0"/>
            <w:vAlign w:val="center"/>
          </w:tcPr>
          <w:p w14:paraId="20FFEDE5">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磋商报价</w:t>
            </w:r>
          </w:p>
          <w:p w14:paraId="7B9B4E08">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（元）</w:t>
            </w:r>
          </w:p>
        </w:tc>
        <w:tc>
          <w:tcPr>
            <w:tcW w:w="5772" w:type="dxa"/>
            <w:noWrap w:val="0"/>
            <w:vAlign w:val="bottom"/>
          </w:tcPr>
          <w:p w14:paraId="2CD7ACD7">
            <w:pPr>
              <w:widowControl w:val="0"/>
              <w:autoSpaceDE w:val="0"/>
              <w:autoSpaceDN w:val="0"/>
              <w:adjustRightInd w:val="0"/>
              <w:spacing w:line="360" w:lineRule="auto"/>
              <w:jc w:val="both"/>
              <w:rPr>
                <w:rFonts w:hint="eastAsia" w:ascii="宋体" w:hAnsi="宋体" w:cs="宋体"/>
                <w:spacing w:val="10"/>
                <w:sz w:val="24"/>
                <w:szCs w:val="24"/>
              </w:rPr>
            </w:pPr>
            <w:r>
              <w:rPr>
                <w:rFonts w:hint="eastAsia" w:ascii="宋体" w:hAnsi="宋体" w:cs="宋体"/>
                <w:spacing w:val="10"/>
                <w:sz w:val="24"/>
                <w:szCs w:val="24"/>
                <w:lang w:eastAsia="zh-CN"/>
              </w:rPr>
              <w:t>大</w:t>
            </w:r>
            <w:r>
              <w:rPr>
                <w:rFonts w:hint="eastAsia" w:ascii="宋体" w:hAnsi="宋体" w:cs="宋体"/>
                <w:spacing w:val="10"/>
                <w:sz w:val="24"/>
                <w:szCs w:val="24"/>
              </w:rPr>
              <w:t>写：</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p w14:paraId="1FD8A234">
            <w:pPr>
              <w:widowControl w:val="0"/>
              <w:autoSpaceDE w:val="0"/>
              <w:autoSpaceDN w:val="0"/>
              <w:adjustRightInd w:val="0"/>
              <w:spacing w:line="360" w:lineRule="auto"/>
              <w:jc w:val="both"/>
              <w:rPr>
                <w:rFonts w:hint="eastAsia" w:ascii="宋体" w:hAnsi="宋体" w:cs="宋体"/>
                <w:spacing w:val="10"/>
                <w:sz w:val="24"/>
                <w:szCs w:val="24"/>
              </w:rPr>
            </w:pPr>
            <w:r>
              <w:rPr>
                <w:rFonts w:hint="eastAsia" w:ascii="宋体" w:hAnsi="宋体" w:cs="宋体"/>
                <w:spacing w:val="10"/>
                <w:sz w:val="24"/>
                <w:szCs w:val="24"/>
                <w:lang w:eastAsia="zh-CN"/>
              </w:rPr>
              <w:t>小</w:t>
            </w:r>
            <w:r>
              <w:rPr>
                <w:rFonts w:hint="eastAsia" w:ascii="宋体" w:hAnsi="宋体" w:cs="宋体"/>
                <w:spacing w:val="10"/>
                <w:sz w:val="24"/>
                <w:szCs w:val="24"/>
              </w:rPr>
              <w:t>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w:t>
            </w:r>
          </w:p>
          <w:p w14:paraId="4F5DD9BE">
            <w:pPr>
              <w:widowControl w:val="0"/>
              <w:autoSpaceDE w:val="0"/>
              <w:autoSpaceDN w:val="0"/>
              <w:adjustRightInd w:val="0"/>
              <w:spacing w:line="360" w:lineRule="auto"/>
              <w:jc w:val="both"/>
            </w:pPr>
            <w:r>
              <w:rPr>
                <w:rFonts w:hint="default" w:ascii="宋体" w:hAnsi="宋体" w:eastAsia="宋体" w:cs="宋体"/>
                <w:spacing w:val="10"/>
                <w:sz w:val="24"/>
                <w:szCs w:val="24"/>
                <w:lang w:val="en-US" w:eastAsia="zh-CN"/>
              </w:rPr>
              <w:t>（供应商应在此填第一次报价，但以供应商最后一次的磋商报价为成交价）</w:t>
            </w:r>
          </w:p>
        </w:tc>
      </w:tr>
      <w:tr w14:paraId="71D4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681FFB97">
            <w:pPr>
              <w:widowControl w:val="0"/>
              <w:autoSpaceDE w:val="0"/>
              <w:autoSpaceDN w:val="0"/>
              <w:adjustRightInd w:val="0"/>
              <w:spacing w:line="360" w:lineRule="auto"/>
              <w:jc w:val="center"/>
              <w:rPr>
                <w:rFonts w:hint="eastAsia" w:ascii="宋体" w:hAnsi="宋体" w:cs="宋体"/>
                <w:sz w:val="24"/>
                <w:szCs w:val="24"/>
                <w:lang w:val="en-US" w:eastAsia="zh-CN"/>
              </w:rPr>
            </w:pPr>
            <w:r>
              <w:rPr>
                <w:rFonts w:hint="eastAsia" w:ascii="宋体" w:hAnsi="宋体" w:cs="宋体"/>
                <w:spacing w:val="10"/>
                <w:sz w:val="24"/>
                <w:szCs w:val="24"/>
                <w:lang w:val="en-US" w:eastAsia="zh-CN"/>
              </w:rPr>
              <w:t>交货地点</w:t>
            </w:r>
          </w:p>
        </w:tc>
        <w:tc>
          <w:tcPr>
            <w:tcW w:w="5772" w:type="dxa"/>
            <w:noWrap w:val="0"/>
            <w:vAlign w:val="center"/>
          </w:tcPr>
          <w:p w14:paraId="43BFF42D">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792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19E49572">
            <w:pPr>
              <w:widowControl w:val="0"/>
              <w:autoSpaceDE w:val="0"/>
              <w:autoSpaceDN w:val="0"/>
              <w:adjustRightInd w:val="0"/>
              <w:spacing w:line="360" w:lineRule="auto"/>
              <w:jc w:val="center"/>
              <w:rPr>
                <w:rFonts w:hint="eastAsia" w:ascii="宋体" w:hAnsi="宋体" w:cs="宋体"/>
                <w:sz w:val="24"/>
                <w:szCs w:val="24"/>
              </w:rPr>
            </w:pPr>
            <w:r>
              <w:rPr>
                <w:rFonts w:hint="eastAsia" w:ascii="宋体" w:hAnsi="宋体" w:cs="宋体"/>
                <w:sz w:val="24"/>
                <w:szCs w:val="24"/>
                <w:lang w:val="en-US" w:eastAsia="zh-CN"/>
              </w:rPr>
              <w:t>交货期限</w:t>
            </w:r>
          </w:p>
        </w:tc>
        <w:tc>
          <w:tcPr>
            <w:tcW w:w="5772" w:type="dxa"/>
            <w:noWrap w:val="0"/>
            <w:vAlign w:val="center"/>
          </w:tcPr>
          <w:p w14:paraId="4147D7E6">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6BD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2BD3CAAC">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z w:val="24"/>
                <w:szCs w:val="24"/>
              </w:rPr>
              <w:t>质量要求</w:t>
            </w:r>
          </w:p>
        </w:tc>
        <w:tc>
          <w:tcPr>
            <w:tcW w:w="5772" w:type="dxa"/>
            <w:noWrap w:val="0"/>
            <w:vAlign w:val="center"/>
          </w:tcPr>
          <w:p w14:paraId="451F269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76BA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6E8AFA60">
            <w:pPr>
              <w:widowControl w:val="0"/>
              <w:autoSpaceDE w:val="0"/>
              <w:autoSpaceDN w:val="0"/>
              <w:adjustRightInd w:val="0"/>
              <w:spacing w:line="360" w:lineRule="auto"/>
              <w:jc w:val="center"/>
              <w:rPr>
                <w:rFonts w:hint="default" w:ascii="宋体" w:hAnsi="宋体" w:cs="宋体"/>
                <w:spacing w:val="10"/>
                <w:sz w:val="24"/>
                <w:szCs w:val="24"/>
                <w:lang w:val="en-US" w:eastAsia="zh-CN"/>
              </w:rPr>
            </w:pPr>
            <w:r>
              <w:rPr>
                <w:rFonts w:hint="eastAsia" w:ascii="宋体" w:hAnsi="宋体" w:cs="宋体"/>
                <w:spacing w:val="10"/>
                <w:sz w:val="24"/>
                <w:szCs w:val="24"/>
                <w:lang w:val="en-US" w:eastAsia="zh-CN"/>
              </w:rPr>
              <w:t>质保期</w:t>
            </w:r>
          </w:p>
        </w:tc>
        <w:tc>
          <w:tcPr>
            <w:tcW w:w="5772" w:type="dxa"/>
            <w:noWrap w:val="0"/>
            <w:vAlign w:val="center"/>
          </w:tcPr>
          <w:p w14:paraId="384FE022">
            <w:pPr>
              <w:widowControl w:val="0"/>
              <w:autoSpaceDE w:val="0"/>
              <w:autoSpaceDN w:val="0"/>
              <w:adjustRightInd w:val="0"/>
              <w:spacing w:line="360" w:lineRule="auto"/>
              <w:ind w:firstLine="520" w:firstLineChars="200"/>
              <w:rPr>
                <w:rFonts w:ascii="宋体" w:hAnsi="宋体" w:cs="宋体"/>
                <w:spacing w:val="10"/>
                <w:sz w:val="24"/>
                <w:szCs w:val="24"/>
              </w:rPr>
            </w:pPr>
          </w:p>
        </w:tc>
      </w:tr>
      <w:tr w14:paraId="0095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5BCF2142">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lang w:val="en-US" w:eastAsia="zh-CN"/>
              </w:rPr>
              <w:t>项目负责人</w:t>
            </w:r>
          </w:p>
        </w:tc>
        <w:tc>
          <w:tcPr>
            <w:tcW w:w="5772" w:type="dxa"/>
            <w:noWrap w:val="0"/>
            <w:vAlign w:val="center"/>
          </w:tcPr>
          <w:p w14:paraId="76B7DDB4">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5F6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37314F03">
            <w:pPr>
              <w:widowControl w:val="0"/>
              <w:autoSpaceDE w:val="0"/>
              <w:autoSpaceDN w:val="0"/>
              <w:adjustRightInd w:val="0"/>
              <w:spacing w:line="360" w:lineRule="auto"/>
              <w:jc w:val="center"/>
              <w:rPr>
                <w:rFonts w:hint="eastAsia" w:ascii="宋体" w:hAnsi="宋体" w:eastAsia="宋体" w:cs="宋体"/>
                <w:spacing w:val="10"/>
                <w:sz w:val="24"/>
                <w:szCs w:val="24"/>
                <w:lang w:eastAsia="zh-CN"/>
              </w:rPr>
            </w:pPr>
            <w:r>
              <w:rPr>
                <w:rFonts w:hint="eastAsia" w:ascii="宋体" w:hAnsi="宋体" w:cs="宋体"/>
                <w:spacing w:val="10"/>
                <w:sz w:val="24"/>
                <w:szCs w:val="24"/>
              </w:rPr>
              <w:t>联系</w:t>
            </w:r>
            <w:r>
              <w:rPr>
                <w:rFonts w:hint="eastAsia" w:ascii="宋体" w:hAnsi="宋体" w:cs="宋体"/>
                <w:spacing w:val="10"/>
                <w:sz w:val="24"/>
                <w:szCs w:val="24"/>
                <w:lang w:val="en-US" w:eastAsia="zh-CN"/>
              </w:rPr>
              <w:t>电话</w:t>
            </w:r>
          </w:p>
        </w:tc>
        <w:tc>
          <w:tcPr>
            <w:tcW w:w="5772" w:type="dxa"/>
            <w:noWrap w:val="0"/>
            <w:vAlign w:val="center"/>
          </w:tcPr>
          <w:p w14:paraId="4245760E">
            <w:pPr>
              <w:widowControl w:val="0"/>
              <w:autoSpaceDE w:val="0"/>
              <w:autoSpaceDN w:val="0"/>
              <w:adjustRightInd w:val="0"/>
              <w:spacing w:line="360" w:lineRule="auto"/>
              <w:ind w:firstLine="520" w:firstLineChars="200"/>
              <w:rPr>
                <w:rFonts w:ascii="宋体" w:hAnsi="宋体" w:cs="宋体"/>
                <w:spacing w:val="10"/>
                <w:sz w:val="24"/>
                <w:szCs w:val="24"/>
              </w:rPr>
            </w:pPr>
          </w:p>
        </w:tc>
      </w:tr>
      <w:tr w14:paraId="73FB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6A65D784">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color w:val="auto"/>
                <w:sz w:val="24"/>
                <w:lang w:eastAsia="zh-CN"/>
              </w:rPr>
              <w:t>磋商</w:t>
            </w:r>
            <w:r>
              <w:rPr>
                <w:rFonts w:hint="eastAsia" w:ascii="宋体" w:hAnsi="宋体" w:eastAsia="宋体" w:cs="宋体"/>
                <w:color w:val="auto"/>
                <w:sz w:val="24"/>
              </w:rPr>
              <w:t>有效期</w:t>
            </w:r>
          </w:p>
        </w:tc>
        <w:tc>
          <w:tcPr>
            <w:tcW w:w="5772" w:type="dxa"/>
            <w:noWrap w:val="0"/>
            <w:vAlign w:val="center"/>
          </w:tcPr>
          <w:p w14:paraId="427489ED">
            <w:pPr>
              <w:widowControl w:val="0"/>
              <w:autoSpaceDE w:val="0"/>
              <w:autoSpaceDN w:val="0"/>
              <w:adjustRightInd w:val="0"/>
              <w:spacing w:line="360" w:lineRule="auto"/>
              <w:ind w:firstLine="520" w:firstLineChars="200"/>
              <w:rPr>
                <w:rFonts w:ascii="宋体" w:hAnsi="宋体" w:cs="宋体"/>
                <w:spacing w:val="10"/>
                <w:sz w:val="24"/>
                <w:szCs w:val="24"/>
              </w:rPr>
            </w:pPr>
          </w:p>
        </w:tc>
      </w:tr>
      <w:tr w14:paraId="446D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347" w:type="dxa"/>
            <w:noWrap w:val="0"/>
            <w:vAlign w:val="bottom"/>
          </w:tcPr>
          <w:p w14:paraId="3F7F48A4">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备注</w:t>
            </w:r>
          </w:p>
        </w:tc>
        <w:tc>
          <w:tcPr>
            <w:tcW w:w="5772" w:type="dxa"/>
            <w:noWrap w:val="0"/>
            <w:vAlign w:val="center"/>
          </w:tcPr>
          <w:p w14:paraId="3811CDEC">
            <w:pPr>
              <w:widowControl w:val="0"/>
              <w:autoSpaceDE w:val="0"/>
              <w:autoSpaceDN w:val="0"/>
              <w:adjustRightInd w:val="0"/>
              <w:spacing w:line="360" w:lineRule="auto"/>
              <w:ind w:firstLine="520" w:firstLineChars="200"/>
              <w:rPr>
                <w:rFonts w:ascii="宋体" w:hAnsi="宋体" w:cs="宋体"/>
                <w:spacing w:val="10"/>
                <w:sz w:val="24"/>
                <w:szCs w:val="24"/>
              </w:rPr>
            </w:pPr>
          </w:p>
        </w:tc>
      </w:tr>
    </w:tbl>
    <w:p w14:paraId="57AB0AA0">
      <w:pPr>
        <w:keepNext w:val="0"/>
        <w:keepLines w:val="0"/>
        <w:pageBreakBefore w:val="0"/>
        <w:widowControl w:val="0"/>
        <w:kinsoku/>
        <w:wordWrap/>
        <w:overflowPunct/>
        <w:topLinePunct w:val="0"/>
        <w:autoSpaceDE w:val="0"/>
        <w:autoSpaceDN w:val="0"/>
        <w:bidi w:val="0"/>
        <w:adjustRightInd w:val="0"/>
        <w:spacing w:line="500" w:lineRule="exact"/>
        <w:ind w:firstLine="480" w:firstLineChars="200"/>
        <w:textAlignment w:val="auto"/>
        <w:rPr>
          <w:rFonts w:ascii="宋体" w:hAnsi="宋体" w:cs="宋体"/>
          <w:sz w:val="21"/>
          <w:szCs w:val="21"/>
        </w:rPr>
      </w:pPr>
      <w:r>
        <w:rPr>
          <w:rFonts w:hint="eastAsia" w:ascii="宋体" w:hAnsi="宋体" w:cs="宋体"/>
          <w:sz w:val="24"/>
          <w:szCs w:val="24"/>
        </w:rPr>
        <w:t xml:space="preserve">  </w:t>
      </w:r>
      <w:r>
        <w:rPr>
          <w:rFonts w:hint="eastAsia" w:ascii="宋体" w:hAnsi="宋体" w:cs="宋体"/>
          <w:sz w:val="21"/>
          <w:szCs w:val="21"/>
        </w:rPr>
        <w:t xml:space="preserve">            </w:t>
      </w:r>
    </w:p>
    <w:p w14:paraId="57B22380">
      <w:pPr>
        <w:keepNext w:val="0"/>
        <w:keepLines w:val="0"/>
        <w:pageBreakBefore w:val="0"/>
        <w:widowControl w:val="0"/>
        <w:kinsoku/>
        <w:wordWrap/>
        <w:overflowPunct/>
        <w:topLinePunct w:val="0"/>
        <w:autoSpaceDE w:val="0"/>
        <w:autoSpaceDN w:val="0"/>
        <w:bidi w:val="0"/>
        <w:adjustRightInd w:val="0"/>
        <w:snapToGrid w:val="0"/>
        <w:spacing w:after="200" w:line="500" w:lineRule="exact"/>
        <w:jc w:val="right"/>
        <w:textAlignment w:val="auto"/>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5405BB76">
      <w:pPr>
        <w:keepNext w:val="0"/>
        <w:keepLines w:val="0"/>
        <w:pageBreakBefore w:val="0"/>
        <w:widowControl w:val="0"/>
        <w:kinsoku/>
        <w:wordWrap/>
        <w:overflowPunct/>
        <w:topLinePunct w:val="0"/>
        <w:autoSpaceDE w:val="0"/>
        <w:autoSpaceDN w:val="0"/>
        <w:bidi w:val="0"/>
        <w:adjustRightInd w:val="0"/>
        <w:snapToGrid w:val="0"/>
        <w:spacing w:after="200" w:line="500" w:lineRule="exact"/>
        <w:jc w:val="right"/>
        <w:textAlignment w:val="auto"/>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174236D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sz w:val="24"/>
          <w:szCs w:val="24"/>
          <w:lang w:eastAsia="zh-CN"/>
        </w:rPr>
      </w:pPr>
      <w:r>
        <w:rPr>
          <w:rFonts w:hint="eastAsia" w:ascii="宋体" w:hAnsi="宋体" w:cs="宋体"/>
          <w:sz w:val="24"/>
          <w:szCs w:val="24"/>
          <w:lang w:val="en-US" w:eastAsia="zh-CN"/>
        </w:rPr>
        <w:t xml:space="preserve">           </w:t>
      </w:r>
      <w:bookmarkStart w:id="158" w:name="_Toc7357"/>
      <w:bookmarkStart w:id="159" w:name="_Toc13343"/>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bookmarkEnd w:id="158"/>
      <w:bookmarkEnd w:id="159"/>
    </w:p>
    <w:p w14:paraId="59DA9CD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sz w:val="24"/>
          <w:szCs w:val="24"/>
          <w:lang w:eastAsia="zh-CN"/>
        </w:rPr>
      </w:pPr>
    </w:p>
    <w:p w14:paraId="0B035691">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b/>
          <w:bCs/>
          <w:sz w:val="28"/>
          <w:szCs w:val="28"/>
          <w:lang w:eastAsia="zh-CN"/>
        </w:rPr>
      </w:pPr>
      <w:bookmarkStart w:id="160" w:name="_Toc20837"/>
      <w:bookmarkStart w:id="161" w:name="_Toc31460"/>
      <w:r>
        <w:rPr>
          <w:rFonts w:hint="eastAsia" w:ascii="宋体" w:hAnsi="宋体" w:eastAsia="宋体" w:cs="宋体"/>
          <w:b/>
          <w:bCs/>
          <w:color w:val="000000" w:themeColor="text1"/>
          <w:kern w:val="0"/>
          <w:sz w:val="28"/>
          <w:szCs w:val="28"/>
          <w:lang w:val="en-US" w:eastAsia="zh-CN"/>
          <w14:textFill>
            <w14:solidFill>
              <w14:schemeClr w14:val="tx1"/>
            </w14:solidFill>
          </w14:textFill>
        </w:rPr>
        <w:t>附件一：</w:t>
      </w:r>
      <w:r>
        <w:rPr>
          <w:rFonts w:hint="eastAsia" w:ascii="宋体" w:hAnsi="宋体" w:eastAsia="宋体" w:cs="宋体"/>
          <w:b/>
          <w:bCs/>
          <w:color w:val="000000" w:themeColor="text1"/>
          <w:kern w:val="0"/>
          <w:sz w:val="28"/>
          <w:szCs w:val="28"/>
          <w14:textFill>
            <w14:solidFill>
              <w14:schemeClr w14:val="tx1"/>
            </w14:solidFill>
          </w14:textFill>
        </w:rPr>
        <w:t>报价</w:t>
      </w:r>
      <w:r>
        <w:rPr>
          <w:rFonts w:hint="eastAsia" w:ascii="宋体" w:hAnsi="宋体" w:cs="宋体"/>
          <w:b/>
          <w:bCs/>
          <w:color w:val="000000" w:themeColor="text1"/>
          <w:kern w:val="0"/>
          <w:sz w:val="28"/>
          <w:szCs w:val="28"/>
          <w:lang w:val="en-US" w:eastAsia="zh-CN"/>
          <w14:textFill>
            <w14:solidFill>
              <w14:schemeClr w14:val="tx1"/>
            </w14:solidFill>
          </w14:textFill>
        </w:rPr>
        <w:t>明细表</w:t>
      </w:r>
      <w:bookmarkEnd w:id="160"/>
      <w:bookmarkEnd w:id="161"/>
    </w:p>
    <w:tbl>
      <w:tblPr>
        <w:tblStyle w:val="28"/>
        <w:tblW w:w="9641" w:type="dxa"/>
        <w:tblInd w:w="-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5"/>
        <w:gridCol w:w="1020"/>
        <w:gridCol w:w="697"/>
        <w:gridCol w:w="990"/>
        <w:gridCol w:w="976"/>
        <w:gridCol w:w="561"/>
        <w:gridCol w:w="682"/>
        <w:gridCol w:w="691"/>
        <w:gridCol w:w="707"/>
        <w:gridCol w:w="855"/>
        <w:gridCol w:w="825"/>
        <w:gridCol w:w="992"/>
      </w:tblGrid>
      <w:tr w14:paraId="204A6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trPr>
        <w:tc>
          <w:tcPr>
            <w:tcW w:w="645" w:type="dxa"/>
            <w:vAlign w:val="center"/>
          </w:tcPr>
          <w:p w14:paraId="5EFB2B28">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pPr>
            <w:r>
              <w:rPr>
                <w:spacing w:val="6"/>
              </w:rPr>
              <w:t>序号</w:t>
            </w:r>
          </w:p>
        </w:tc>
        <w:tc>
          <w:tcPr>
            <w:tcW w:w="1020" w:type="dxa"/>
            <w:vAlign w:val="center"/>
          </w:tcPr>
          <w:p w14:paraId="47D23C7F">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eastAsia="宋体"/>
                <w:lang w:val="en-US" w:eastAsia="zh-CN"/>
              </w:rPr>
            </w:pPr>
            <w:r>
              <w:rPr>
                <w:rFonts w:hint="eastAsia"/>
                <w:spacing w:val="1"/>
                <w:highlight w:val="none"/>
                <w:lang w:val="en-US" w:eastAsia="zh-CN"/>
              </w:rPr>
              <w:t>设备名称</w:t>
            </w:r>
          </w:p>
        </w:tc>
        <w:tc>
          <w:tcPr>
            <w:tcW w:w="697" w:type="dxa"/>
            <w:vAlign w:val="center"/>
          </w:tcPr>
          <w:p w14:paraId="29C710FC">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型号</w:t>
            </w:r>
          </w:p>
        </w:tc>
        <w:tc>
          <w:tcPr>
            <w:tcW w:w="990" w:type="dxa"/>
            <w:vAlign w:val="center"/>
          </w:tcPr>
          <w:p w14:paraId="642DAF42">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主要参数</w:t>
            </w:r>
          </w:p>
        </w:tc>
        <w:tc>
          <w:tcPr>
            <w:tcW w:w="976" w:type="dxa"/>
            <w:vAlign w:val="center"/>
          </w:tcPr>
          <w:p w14:paraId="068086CD">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eastAsia"/>
                <w:spacing w:val="-3"/>
                <w:lang w:val="en-US" w:eastAsia="zh-CN"/>
              </w:rPr>
            </w:pPr>
            <w:r>
              <w:rPr>
                <w:rFonts w:hint="eastAsia"/>
                <w:spacing w:val="-3"/>
                <w:lang w:val="en-US" w:eastAsia="zh-CN"/>
              </w:rPr>
              <w:t>制造商</w:t>
            </w:r>
          </w:p>
          <w:p w14:paraId="24C61801">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名称</w:t>
            </w:r>
          </w:p>
        </w:tc>
        <w:tc>
          <w:tcPr>
            <w:tcW w:w="561" w:type="dxa"/>
            <w:vAlign w:val="center"/>
          </w:tcPr>
          <w:p w14:paraId="1D3AFDEE">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产地</w:t>
            </w:r>
          </w:p>
        </w:tc>
        <w:tc>
          <w:tcPr>
            <w:tcW w:w="682" w:type="dxa"/>
            <w:vAlign w:val="center"/>
          </w:tcPr>
          <w:p w14:paraId="0C41B2E4">
            <w:pPr>
              <w:pStyle w:val="27"/>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eastAsia="宋体"/>
                <w:spacing w:val="-3"/>
                <w:lang w:val="en-US" w:eastAsia="zh-CN"/>
              </w:rPr>
            </w:pPr>
            <w:r>
              <w:rPr>
                <w:rFonts w:hint="eastAsia"/>
                <w:spacing w:val="-3"/>
                <w:lang w:val="en-US" w:eastAsia="zh-CN"/>
              </w:rPr>
              <w:t>品牌</w:t>
            </w:r>
          </w:p>
        </w:tc>
        <w:tc>
          <w:tcPr>
            <w:tcW w:w="691" w:type="dxa"/>
            <w:vAlign w:val="center"/>
          </w:tcPr>
          <w:p w14:paraId="346889A6">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pPr>
            <w:r>
              <w:rPr>
                <w:rFonts w:hint="eastAsia"/>
                <w:lang w:val="en-US" w:eastAsia="zh-CN"/>
              </w:rPr>
              <w:t>数量（部）</w:t>
            </w:r>
          </w:p>
        </w:tc>
        <w:tc>
          <w:tcPr>
            <w:tcW w:w="707" w:type="dxa"/>
            <w:vAlign w:val="center"/>
          </w:tcPr>
          <w:p w14:paraId="42F25FD1">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spacing w:val="-3"/>
                <w:lang w:val="en-US" w:eastAsia="zh-CN"/>
              </w:rPr>
            </w:pPr>
            <w:r>
              <w:rPr>
                <w:rFonts w:hint="eastAsia"/>
                <w:spacing w:val="-3"/>
                <w:lang w:val="en-US" w:eastAsia="zh-CN"/>
              </w:rPr>
              <w:t>单价</w:t>
            </w:r>
          </w:p>
          <w:p w14:paraId="411ADF1A">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eastAsia="宋体"/>
                <w:lang w:val="en-US" w:eastAsia="zh-CN"/>
              </w:rPr>
            </w:pPr>
            <w:r>
              <w:rPr>
                <w:rFonts w:hint="eastAsia"/>
                <w:spacing w:val="-3"/>
                <w:lang w:val="en-US" w:eastAsia="zh-CN"/>
              </w:rPr>
              <w:t>（元）</w:t>
            </w:r>
          </w:p>
        </w:tc>
        <w:tc>
          <w:tcPr>
            <w:tcW w:w="855" w:type="dxa"/>
            <w:vAlign w:val="center"/>
          </w:tcPr>
          <w:p w14:paraId="36CDDF2F">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spacing w:val="-3"/>
                <w:lang w:val="en-US" w:eastAsia="zh-CN"/>
              </w:rPr>
            </w:pPr>
            <w:r>
              <w:rPr>
                <w:rFonts w:hint="eastAsia"/>
                <w:spacing w:val="-3"/>
                <w:lang w:val="en-US" w:eastAsia="zh-CN"/>
              </w:rPr>
              <w:t>合价</w:t>
            </w:r>
          </w:p>
          <w:p w14:paraId="794AC2F5">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eastAsia="宋体"/>
                <w:spacing w:val="-3"/>
                <w:lang w:val="en-US" w:eastAsia="zh-CN"/>
              </w:rPr>
            </w:pPr>
            <w:r>
              <w:rPr>
                <w:rFonts w:hint="eastAsia"/>
                <w:spacing w:val="-3"/>
                <w:lang w:val="en-US" w:eastAsia="zh-CN"/>
              </w:rPr>
              <w:t>（元）</w:t>
            </w:r>
          </w:p>
        </w:tc>
        <w:tc>
          <w:tcPr>
            <w:tcW w:w="825" w:type="dxa"/>
            <w:vAlign w:val="center"/>
          </w:tcPr>
          <w:p w14:paraId="24A921D8">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eastAsia="宋体"/>
                <w:spacing w:val="-3"/>
                <w:lang w:val="en-US" w:eastAsia="zh-CN"/>
              </w:rPr>
            </w:pPr>
            <w:r>
              <w:rPr>
                <w:rFonts w:hint="eastAsia"/>
                <w:spacing w:val="-3"/>
                <w:lang w:val="en-US" w:eastAsia="zh-CN"/>
              </w:rPr>
              <w:t>有无机房</w:t>
            </w:r>
          </w:p>
        </w:tc>
        <w:tc>
          <w:tcPr>
            <w:tcW w:w="992" w:type="dxa"/>
            <w:vAlign w:val="center"/>
          </w:tcPr>
          <w:p w14:paraId="0DB680C1">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ascii="宋体" w:hAnsi="宋体" w:eastAsia="宋体" w:cs="宋体"/>
                <w:spacing w:val="-3"/>
                <w:lang w:val="en-US" w:eastAsia="zh-CN"/>
              </w:rPr>
            </w:pPr>
            <w:r>
              <w:rPr>
                <w:rFonts w:hint="eastAsia" w:ascii="宋体" w:hAnsi="宋体" w:eastAsia="宋体" w:cs="宋体"/>
                <w:spacing w:val="-3"/>
                <w:lang w:val="en-US" w:eastAsia="zh-CN"/>
              </w:rPr>
              <w:t xml:space="preserve">备注   </w:t>
            </w:r>
          </w:p>
          <w:p w14:paraId="68C4CA0D">
            <w:pPr>
              <w:pStyle w:val="27"/>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spacing w:val="-3"/>
                <w:lang w:val="en-US" w:eastAsia="zh-CN"/>
              </w:rPr>
            </w:pPr>
            <w:r>
              <w:rPr>
                <w:rFonts w:hint="eastAsia" w:ascii="宋体" w:hAnsi="宋体" w:eastAsia="宋体" w:cs="宋体"/>
                <w:spacing w:val="-3"/>
                <w:lang w:val="en-US" w:eastAsia="zh-CN"/>
              </w:rPr>
              <w:t>（制造商企业类型）</w:t>
            </w:r>
          </w:p>
        </w:tc>
      </w:tr>
      <w:tr w14:paraId="37B2D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6B3A9868">
            <w:pPr>
              <w:pStyle w:val="27"/>
              <w:spacing w:before="99" w:line="221" w:lineRule="auto"/>
              <w:ind w:left="21" w:leftChars="0"/>
              <w:jc w:val="center"/>
              <w:rPr>
                <w:rFonts w:hint="eastAsia" w:eastAsia="宋体"/>
                <w:spacing w:val="-11"/>
                <w:lang w:val="en-US" w:eastAsia="zh-CN"/>
              </w:rPr>
            </w:pPr>
            <w:r>
              <w:rPr>
                <w:rFonts w:hint="eastAsia"/>
                <w:spacing w:val="-11"/>
                <w:lang w:val="en-US" w:eastAsia="zh-CN"/>
              </w:rPr>
              <w:t>1</w:t>
            </w:r>
          </w:p>
        </w:tc>
        <w:tc>
          <w:tcPr>
            <w:tcW w:w="1020" w:type="dxa"/>
            <w:shd w:val="clear" w:color="auto" w:fill="auto"/>
            <w:vAlign w:val="center"/>
          </w:tcPr>
          <w:p w14:paraId="4AACB563">
            <w:pPr>
              <w:jc w:val="center"/>
              <w:rPr>
                <w:spacing w:val="-3"/>
              </w:rPr>
            </w:pPr>
          </w:p>
        </w:tc>
        <w:tc>
          <w:tcPr>
            <w:tcW w:w="697" w:type="dxa"/>
            <w:shd w:val="clear" w:color="auto" w:fill="auto"/>
            <w:vAlign w:val="center"/>
          </w:tcPr>
          <w:p w14:paraId="7932CE40">
            <w:pPr>
              <w:jc w:val="center"/>
            </w:pPr>
          </w:p>
        </w:tc>
        <w:tc>
          <w:tcPr>
            <w:tcW w:w="990" w:type="dxa"/>
            <w:shd w:val="clear" w:color="auto" w:fill="auto"/>
            <w:vAlign w:val="center"/>
          </w:tcPr>
          <w:p w14:paraId="24F7B8CF">
            <w:pPr>
              <w:jc w:val="center"/>
            </w:pPr>
          </w:p>
        </w:tc>
        <w:tc>
          <w:tcPr>
            <w:tcW w:w="976" w:type="dxa"/>
            <w:shd w:val="clear" w:color="auto" w:fill="auto"/>
            <w:vAlign w:val="center"/>
          </w:tcPr>
          <w:p w14:paraId="764B009B">
            <w:pPr>
              <w:jc w:val="center"/>
            </w:pPr>
          </w:p>
        </w:tc>
        <w:tc>
          <w:tcPr>
            <w:tcW w:w="561" w:type="dxa"/>
            <w:shd w:val="clear" w:color="auto" w:fill="auto"/>
            <w:vAlign w:val="center"/>
          </w:tcPr>
          <w:p w14:paraId="1FCF2775">
            <w:pPr>
              <w:jc w:val="center"/>
            </w:pPr>
          </w:p>
        </w:tc>
        <w:tc>
          <w:tcPr>
            <w:tcW w:w="682" w:type="dxa"/>
            <w:shd w:val="clear" w:color="auto" w:fill="auto"/>
            <w:vAlign w:val="center"/>
          </w:tcPr>
          <w:p w14:paraId="71688A2B">
            <w:pPr>
              <w:jc w:val="center"/>
            </w:pPr>
          </w:p>
        </w:tc>
        <w:tc>
          <w:tcPr>
            <w:tcW w:w="691" w:type="dxa"/>
            <w:shd w:val="clear" w:color="auto" w:fill="auto"/>
            <w:vAlign w:val="center"/>
          </w:tcPr>
          <w:p w14:paraId="5B07B21C">
            <w:pPr>
              <w:jc w:val="center"/>
            </w:pPr>
          </w:p>
        </w:tc>
        <w:tc>
          <w:tcPr>
            <w:tcW w:w="707" w:type="dxa"/>
            <w:shd w:val="clear" w:color="auto" w:fill="auto"/>
            <w:vAlign w:val="center"/>
          </w:tcPr>
          <w:p w14:paraId="4FE25D9F">
            <w:pPr>
              <w:jc w:val="center"/>
              <w:rPr>
                <w:spacing w:val="-3"/>
              </w:rPr>
            </w:pPr>
          </w:p>
        </w:tc>
        <w:tc>
          <w:tcPr>
            <w:tcW w:w="855" w:type="dxa"/>
            <w:shd w:val="clear" w:color="auto" w:fill="auto"/>
            <w:vAlign w:val="center"/>
          </w:tcPr>
          <w:p w14:paraId="43694220">
            <w:pPr>
              <w:jc w:val="center"/>
              <w:rPr>
                <w:spacing w:val="-3"/>
              </w:rPr>
            </w:pPr>
          </w:p>
        </w:tc>
        <w:tc>
          <w:tcPr>
            <w:tcW w:w="825" w:type="dxa"/>
            <w:shd w:val="clear" w:color="auto" w:fill="auto"/>
            <w:vAlign w:val="center"/>
          </w:tcPr>
          <w:p w14:paraId="29C3D04E">
            <w:pPr>
              <w:jc w:val="center"/>
              <w:rPr>
                <w:spacing w:val="-3"/>
              </w:rPr>
            </w:pPr>
          </w:p>
        </w:tc>
        <w:tc>
          <w:tcPr>
            <w:tcW w:w="992" w:type="dxa"/>
            <w:shd w:val="clear" w:color="auto" w:fill="auto"/>
            <w:vAlign w:val="center"/>
          </w:tcPr>
          <w:p w14:paraId="236936EB">
            <w:pPr>
              <w:jc w:val="center"/>
              <w:rPr>
                <w:spacing w:val="-3"/>
              </w:rPr>
            </w:pPr>
          </w:p>
        </w:tc>
      </w:tr>
      <w:tr w14:paraId="3C598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00D4CB6E">
            <w:pPr>
              <w:pStyle w:val="27"/>
              <w:spacing w:before="99" w:line="221" w:lineRule="auto"/>
              <w:ind w:left="21" w:leftChars="0"/>
              <w:jc w:val="center"/>
              <w:rPr>
                <w:rFonts w:hint="default"/>
                <w:spacing w:val="-11"/>
                <w:lang w:val="en-US" w:eastAsia="zh-CN"/>
              </w:rPr>
            </w:pPr>
            <w:r>
              <w:rPr>
                <w:rFonts w:hint="eastAsia"/>
                <w:spacing w:val="-11"/>
                <w:lang w:val="en-US" w:eastAsia="zh-CN"/>
              </w:rPr>
              <w:t>2</w:t>
            </w:r>
          </w:p>
        </w:tc>
        <w:tc>
          <w:tcPr>
            <w:tcW w:w="1020" w:type="dxa"/>
            <w:shd w:val="clear" w:color="auto" w:fill="auto"/>
            <w:vAlign w:val="center"/>
          </w:tcPr>
          <w:p w14:paraId="7856C9BF">
            <w:pPr>
              <w:jc w:val="center"/>
              <w:rPr>
                <w:spacing w:val="-3"/>
              </w:rPr>
            </w:pPr>
          </w:p>
        </w:tc>
        <w:tc>
          <w:tcPr>
            <w:tcW w:w="697" w:type="dxa"/>
            <w:shd w:val="clear" w:color="auto" w:fill="auto"/>
            <w:vAlign w:val="center"/>
          </w:tcPr>
          <w:p w14:paraId="6DD85A56">
            <w:pPr>
              <w:jc w:val="center"/>
            </w:pPr>
          </w:p>
        </w:tc>
        <w:tc>
          <w:tcPr>
            <w:tcW w:w="990" w:type="dxa"/>
            <w:shd w:val="clear" w:color="auto" w:fill="auto"/>
            <w:vAlign w:val="center"/>
          </w:tcPr>
          <w:p w14:paraId="64B9443B">
            <w:pPr>
              <w:jc w:val="center"/>
            </w:pPr>
          </w:p>
        </w:tc>
        <w:tc>
          <w:tcPr>
            <w:tcW w:w="976" w:type="dxa"/>
            <w:shd w:val="clear" w:color="auto" w:fill="auto"/>
            <w:vAlign w:val="center"/>
          </w:tcPr>
          <w:p w14:paraId="51D565FC">
            <w:pPr>
              <w:jc w:val="center"/>
            </w:pPr>
          </w:p>
        </w:tc>
        <w:tc>
          <w:tcPr>
            <w:tcW w:w="561" w:type="dxa"/>
            <w:shd w:val="clear" w:color="auto" w:fill="auto"/>
            <w:vAlign w:val="center"/>
          </w:tcPr>
          <w:p w14:paraId="2608E176">
            <w:pPr>
              <w:jc w:val="center"/>
            </w:pPr>
          </w:p>
        </w:tc>
        <w:tc>
          <w:tcPr>
            <w:tcW w:w="682" w:type="dxa"/>
            <w:shd w:val="clear" w:color="auto" w:fill="auto"/>
            <w:vAlign w:val="center"/>
          </w:tcPr>
          <w:p w14:paraId="4421C5B9">
            <w:pPr>
              <w:jc w:val="center"/>
            </w:pPr>
          </w:p>
        </w:tc>
        <w:tc>
          <w:tcPr>
            <w:tcW w:w="691" w:type="dxa"/>
            <w:shd w:val="clear" w:color="auto" w:fill="auto"/>
            <w:vAlign w:val="center"/>
          </w:tcPr>
          <w:p w14:paraId="35C62755">
            <w:pPr>
              <w:jc w:val="center"/>
            </w:pPr>
          </w:p>
        </w:tc>
        <w:tc>
          <w:tcPr>
            <w:tcW w:w="707" w:type="dxa"/>
            <w:shd w:val="clear" w:color="auto" w:fill="auto"/>
            <w:vAlign w:val="center"/>
          </w:tcPr>
          <w:p w14:paraId="6884C20C">
            <w:pPr>
              <w:jc w:val="center"/>
              <w:rPr>
                <w:spacing w:val="-3"/>
              </w:rPr>
            </w:pPr>
          </w:p>
        </w:tc>
        <w:tc>
          <w:tcPr>
            <w:tcW w:w="855" w:type="dxa"/>
            <w:shd w:val="clear" w:color="auto" w:fill="auto"/>
            <w:vAlign w:val="center"/>
          </w:tcPr>
          <w:p w14:paraId="6D2F67FA">
            <w:pPr>
              <w:jc w:val="center"/>
              <w:rPr>
                <w:spacing w:val="-3"/>
              </w:rPr>
            </w:pPr>
          </w:p>
        </w:tc>
        <w:tc>
          <w:tcPr>
            <w:tcW w:w="825" w:type="dxa"/>
            <w:shd w:val="clear" w:color="auto" w:fill="auto"/>
            <w:vAlign w:val="center"/>
          </w:tcPr>
          <w:p w14:paraId="07D903AC">
            <w:pPr>
              <w:jc w:val="center"/>
              <w:rPr>
                <w:spacing w:val="-3"/>
              </w:rPr>
            </w:pPr>
          </w:p>
        </w:tc>
        <w:tc>
          <w:tcPr>
            <w:tcW w:w="992" w:type="dxa"/>
            <w:shd w:val="clear" w:color="auto" w:fill="auto"/>
            <w:vAlign w:val="center"/>
          </w:tcPr>
          <w:p w14:paraId="217F2803">
            <w:pPr>
              <w:jc w:val="center"/>
              <w:rPr>
                <w:spacing w:val="-3"/>
              </w:rPr>
            </w:pPr>
          </w:p>
        </w:tc>
      </w:tr>
      <w:tr w14:paraId="52B58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3B9F9FA0">
            <w:pPr>
              <w:pStyle w:val="27"/>
              <w:spacing w:before="99" w:line="221" w:lineRule="auto"/>
              <w:ind w:left="21" w:leftChars="0"/>
              <w:jc w:val="center"/>
              <w:rPr>
                <w:rFonts w:hint="default"/>
                <w:spacing w:val="-11"/>
                <w:lang w:val="en-US" w:eastAsia="zh-CN"/>
              </w:rPr>
            </w:pPr>
            <w:r>
              <w:rPr>
                <w:rFonts w:hint="eastAsia"/>
                <w:spacing w:val="-11"/>
                <w:lang w:val="en-US" w:eastAsia="zh-CN"/>
              </w:rPr>
              <w:t>3</w:t>
            </w:r>
          </w:p>
        </w:tc>
        <w:tc>
          <w:tcPr>
            <w:tcW w:w="1020" w:type="dxa"/>
            <w:shd w:val="clear" w:color="auto" w:fill="auto"/>
            <w:vAlign w:val="center"/>
          </w:tcPr>
          <w:p w14:paraId="0A518052">
            <w:pPr>
              <w:jc w:val="center"/>
              <w:rPr>
                <w:spacing w:val="-3"/>
              </w:rPr>
            </w:pPr>
          </w:p>
        </w:tc>
        <w:tc>
          <w:tcPr>
            <w:tcW w:w="697" w:type="dxa"/>
            <w:shd w:val="clear" w:color="auto" w:fill="auto"/>
            <w:vAlign w:val="center"/>
          </w:tcPr>
          <w:p w14:paraId="20FDE31C">
            <w:pPr>
              <w:jc w:val="center"/>
            </w:pPr>
          </w:p>
        </w:tc>
        <w:tc>
          <w:tcPr>
            <w:tcW w:w="990" w:type="dxa"/>
            <w:shd w:val="clear" w:color="auto" w:fill="auto"/>
            <w:vAlign w:val="center"/>
          </w:tcPr>
          <w:p w14:paraId="0DF44206">
            <w:pPr>
              <w:jc w:val="center"/>
            </w:pPr>
          </w:p>
        </w:tc>
        <w:tc>
          <w:tcPr>
            <w:tcW w:w="976" w:type="dxa"/>
            <w:shd w:val="clear" w:color="auto" w:fill="auto"/>
            <w:vAlign w:val="center"/>
          </w:tcPr>
          <w:p w14:paraId="470225F5">
            <w:pPr>
              <w:jc w:val="center"/>
            </w:pPr>
          </w:p>
        </w:tc>
        <w:tc>
          <w:tcPr>
            <w:tcW w:w="561" w:type="dxa"/>
            <w:shd w:val="clear" w:color="auto" w:fill="auto"/>
            <w:vAlign w:val="center"/>
          </w:tcPr>
          <w:p w14:paraId="239B9CFD">
            <w:pPr>
              <w:jc w:val="center"/>
            </w:pPr>
          </w:p>
        </w:tc>
        <w:tc>
          <w:tcPr>
            <w:tcW w:w="682" w:type="dxa"/>
            <w:shd w:val="clear" w:color="auto" w:fill="auto"/>
            <w:vAlign w:val="center"/>
          </w:tcPr>
          <w:p w14:paraId="1600CB6F">
            <w:pPr>
              <w:jc w:val="center"/>
            </w:pPr>
          </w:p>
        </w:tc>
        <w:tc>
          <w:tcPr>
            <w:tcW w:w="691" w:type="dxa"/>
            <w:shd w:val="clear" w:color="auto" w:fill="auto"/>
            <w:vAlign w:val="center"/>
          </w:tcPr>
          <w:p w14:paraId="3FF84D84">
            <w:pPr>
              <w:jc w:val="center"/>
            </w:pPr>
          </w:p>
        </w:tc>
        <w:tc>
          <w:tcPr>
            <w:tcW w:w="707" w:type="dxa"/>
            <w:shd w:val="clear" w:color="auto" w:fill="auto"/>
            <w:vAlign w:val="center"/>
          </w:tcPr>
          <w:p w14:paraId="46F628D0">
            <w:pPr>
              <w:jc w:val="center"/>
              <w:rPr>
                <w:spacing w:val="-3"/>
              </w:rPr>
            </w:pPr>
          </w:p>
        </w:tc>
        <w:tc>
          <w:tcPr>
            <w:tcW w:w="855" w:type="dxa"/>
            <w:shd w:val="clear" w:color="auto" w:fill="auto"/>
            <w:vAlign w:val="center"/>
          </w:tcPr>
          <w:p w14:paraId="6F3FCEAE">
            <w:pPr>
              <w:jc w:val="center"/>
              <w:rPr>
                <w:spacing w:val="-3"/>
              </w:rPr>
            </w:pPr>
          </w:p>
        </w:tc>
        <w:tc>
          <w:tcPr>
            <w:tcW w:w="825" w:type="dxa"/>
            <w:shd w:val="clear" w:color="auto" w:fill="auto"/>
            <w:vAlign w:val="center"/>
          </w:tcPr>
          <w:p w14:paraId="40BBDD6F">
            <w:pPr>
              <w:jc w:val="center"/>
              <w:rPr>
                <w:spacing w:val="-3"/>
              </w:rPr>
            </w:pPr>
          </w:p>
        </w:tc>
        <w:tc>
          <w:tcPr>
            <w:tcW w:w="992" w:type="dxa"/>
            <w:shd w:val="clear" w:color="auto" w:fill="auto"/>
            <w:vAlign w:val="center"/>
          </w:tcPr>
          <w:p w14:paraId="74F1A79C">
            <w:pPr>
              <w:jc w:val="center"/>
              <w:rPr>
                <w:spacing w:val="-3"/>
              </w:rPr>
            </w:pPr>
          </w:p>
        </w:tc>
      </w:tr>
      <w:tr w14:paraId="784C1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645" w:type="dxa"/>
            <w:shd w:val="clear" w:color="auto" w:fill="auto"/>
            <w:vAlign w:val="center"/>
          </w:tcPr>
          <w:p w14:paraId="683C2EEE">
            <w:pPr>
              <w:pStyle w:val="27"/>
              <w:spacing w:before="99" w:line="221" w:lineRule="auto"/>
              <w:ind w:left="21" w:leftChars="0"/>
              <w:jc w:val="center"/>
              <w:rPr>
                <w:rFonts w:hint="eastAsia" w:eastAsiaTheme="minorEastAsia"/>
                <w:spacing w:val="-3"/>
                <w:lang w:val="en-US" w:eastAsia="zh-CN"/>
              </w:rPr>
            </w:pPr>
            <w:r>
              <w:rPr>
                <w:rFonts w:hint="eastAsia" w:ascii="宋体" w:hAnsi="宋体" w:eastAsia="宋体" w:cs="宋体"/>
                <w:spacing w:val="-11"/>
                <w:lang w:val="en-US" w:eastAsia="zh-CN"/>
              </w:rPr>
              <w:t>4</w:t>
            </w:r>
          </w:p>
        </w:tc>
        <w:tc>
          <w:tcPr>
            <w:tcW w:w="5617" w:type="dxa"/>
            <w:gridSpan w:val="7"/>
            <w:shd w:val="clear" w:color="auto" w:fill="auto"/>
            <w:vAlign w:val="center"/>
          </w:tcPr>
          <w:p w14:paraId="2DDBFAAB">
            <w:pPr>
              <w:jc w:val="center"/>
              <w:rPr>
                <w:rFonts w:hint="eastAsia" w:eastAsiaTheme="minorEastAsia"/>
                <w:spacing w:val="-3"/>
                <w:lang w:eastAsia="zh-CN"/>
              </w:rPr>
            </w:pPr>
            <w:r>
              <w:rPr>
                <w:spacing w:val="-3"/>
              </w:rPr>
              <w:t>合计</w:t>
            </w:r>
            <w:r>
              <w:rPr>
                <w:rFonts w:hint="eastAsia"/>
                <w:spacing w:val="-3"/>
                <w:lang w:eastAsia="zh-CN"/>
              </w:rPr>
              <w:t>（</w:t>
            </w:r>
            <w:r>
              <w:rPr>
                <w:rFonts w:hint="eastAsia"/>
                <w:spacing w:val="-3"/>
                <w:lang w:val="en-US" w:eastAsia="zh-CN"/>
              </w:rPr>
              <w:t>含税费、运费、安装费、培训费、维保费等</w:t>
            </w:r>
            <w:r>
              <w:rPr>
                <w:rFonts w:hint="eastAsia"/>
                <w:spacing w:val="-3"/>
                <w:lang w:eastAsia="zh-CN"/>
              </w:rPr>
              <w:t>）</w:t>
            </w:r>
          </w:p>
        </w:tc>
        <w:tc>
          <w:tcPr>
            <w:tcW w:w="707" w:type="dxa"/>
            <w:shd w:val="clear" w:color="auto" w:fill="auto"/>
            <w:vAlign w:val="center"/>
          </w:tcPr>
          <w:p w14:paraId="76FF17AC">
            <w:pPr>
              <w:jc w:val="center"/>
              <w:rPr>
                <w:spacing w:val="-3"/>
              </w:rPr>
            </w:pPr>
          </w:p>
        </w:tc>
        <w:tc>
          <w:tcPr>
            <w:tcW w:w="855" w:type="dxa"/>
            <w:shd w:val="clear" w:color="auto" w:fill="auto"/>
            <w:vAlign w:val="center"/>
          </w:tcPr>
          <w:p w14:paraId="2973D9D7">
            <w:pPr>
              <w:jc w:val="center"/>
              <w:rPr>
                <w:spacing w:val="-3"/>
              </w:rPr>
            </w:pPr>
          </w:p>
        </w:tc>
        <w:tc>
          <w:tcPr>
            <w:tcW w:w="825" w:type="dxa"/>
            <w:shd w:val="clear" w:color="auto" w:fill="auto"/>
            <w:vAlign w:val="center"/>
          </w:tcPr>
          <w:p w14:paraId="64FCCCC3">
            <w:pPr>
              <w:jc w:val="center"/>
              <w:rPr>
                <w:spacing w:val="-3"/>
              </w:rPr>
            </w:pPr>
          </w:p>
        </w:tc>
        <w:tc>
          <w:tcPr>
            <w:tcW w:w="992" w:type="dxa"/>
            <w:shd w:val="clear" w:color="auto" w:fill="auto"/>
            <w:vAlign w:val="center"/>
          </w:tcPr>
          <w:p w14:paraId="6D544220">
            <w:pPr>
              <w:jc w:val="center"/>
              <w:rPr>
                <w:spacing w:val="-3"/>
              </w:rPr>
            </w:pPr>
          </w:p>
        </w:tc>
      </w:tr>
    </w:tbl>
    <w:p w14:paraId="51779C01">
      <w:pPr>
        <w:pStyle w:val="12"/>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0" w:afterAutospacing="0" w:line="500" w:lineRule="exact"/>
        <w:ind w:right="0" w:rightChars="0"/>
        <w:jc w:val="both"/>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注：</w:t>
      </w:r>
      <w:r>
        <w:rPr>
          <w:rFonts w:hint="eastAsia" w:ascii="宋体" w:hAnsi="宋体" w:eastAsia="宋体" w:cs="宋体"/>
          <w:color w:val="auto"/>
          <w:kern w:val="0"/>
          <w:sz w:val="24"/>
        </w:rPr>
        <w:t>此表格若不够用，可根据实际自行</w:t>
      </w:r>
      <w:r>
        <w:rPr>
          <w:rFonts w:hint="eastAsia" w:ascii="宋体" w:hAnsi="宋体" w:cs="宋体"/>
          <w:color w:val="auto"/>
          <w:kern w:val="0"/>
          <w:sz w:val="24"/>
          <w:lang w:val="en-US" w:eastAsia="zh-CN"/>
        </w:rPr>
        <w:t>增减或</w:t>
      </w:r>
      <w:r>
        <w:rPr>
          <w:rFonts w:hint="eastAsia" w:ascii="宋体" w:hAnsi="宋体" w:eastAsia="宋体" w:cs="宋体"/>
          <w:color w:val="auto"/>
          <w:kern w:val="0"/>
          <w:sz w:val="24"/>
        </w:rPr>
        <w:t>扩展表格</w:t>
      </w:r>
      <w:r>
        <w:rPr>
          <w:rFonts w:hint="eastAsia" w:ascii="宋体" w:hAnsi="宋体" w:eastAsia="宋体" w:cs="宋体"/>
          <w:color w:val="auto"/>
          <w:kern w:val="0"/>
          <w:sz w:val="24"/>
          <w:lang w:eastAsia="zh-CN"/>
        </w:rPr>
        <w:t>。</w:t>
      </w:r>
    </w:p>
    <w:p w14:paraId="57C8F8F0">
      <w:pPr>
        <w:autoSpaceDE w:val="0"/>
        <w:autoSpaceDN w:val="0"/>
        <w:adjustRightInd w:val="0"/>
        <w:snapToGrid w:val="0"/>
        <w:spacing w:after="200" w:line="360" w:lineRule="auto"/>
        <w:jc w:val="right"/>
        <w:rPr>
          <w:rFonts w:hint="eastAsia" w:ascii="宋体" w:hAnsi="宋体" w:cs="宋体"/>
          <w:sz w:val="24"/>
          <w:szCs w:val="24"/>
        </w:rPr>
      </w:pPr>
    </w:p>
    <w:p w14:paraId="38CD72F5">
      <w:pPr>
        <w:autoSpaceDE w:val="0"/>
        <w:autoSpaceDN w:val="0"/>
        <w:adjustRightInd w:val="0"/>
        <w:snapToGrid w:val="0"/>
        <w:spacing w:after="200" w:line="360" w:lineRule="auto"/>
        <w:jc w:val="right"/>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4C7AC9B8">
      <w:pPr>
        <w:autoSpaceDE w:val="0"/>
        <w:autoSpaceDN w:val="0"/>
        <w:adjustRightInd w:val="0"/>
        <w:snapToGrid w:val="0"/>
        <w:spacing w:after="200" w:line="360" w:lineRule="auto"/>
        <w:jc w:val="right"/>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4A8F3E0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0"/>
        <w:rPr>
          <w:rFonts w:hint="eastAsia" w:ascii="宋体" w:hAnsi="宋体" w:eastAsia="宋体" w:cs="宋体"/>
          <w:b/>
          <w:bCs/>
          <w:color w:val="000000" w:themeColor="text1"/>
          <w:kern w:val="0"/>
          <w:sz w:val="28"/>
          <w:szCs w:val="28"/>
          <w:lang w:val="en-US" w:eastAsia="zh-CN"/>
          <w14:textFill>
            <w14:solidFill>
              <w14:schemeClr w14:val="tx1"/>
            </w14:solidFill>
          </w14:textFill>
        </w:rPr>
        <w:sectPr>
          <w:footerReference r:id="rId5" w:type="default"/>
          <w:pgSz w:w="11906" w:h="16838"/>
          <w:pgMar w:top="1440" w:right="1800" w:bottom="1440" w:left="1800" w:header="851" w:footer="992" w:gutter="0"/>
          <w:pgNumType w:fmt="decimal"/>
          <w:cols w:space="425" w:num="1"/>
          <w:docGrid w:type="lines" w:linePitch="312" w:charSpace="0"/>
        </w:sectPr>
      </w:pPr>
      <w:r>
        <w:rPr>
          <w:rFonts w:hint="eastAsia" w:ascii="宋体" w:hAnsi="宋体" w:cs="宋体"/>
          <w:sz w:val="24"/>
          <w:szCs w:val="24"/>
          <w:lang w:val="en-US" w:eastAsia="zh-CN"/>
        </w:rPr>
        <w:t xml:space="preserve">            </w:t>
      </w:r>
      <w:bookmarkStart w:id="162" w:name="_Toc32276"/>
      <w:bookmarkStart w:id="163" w:name="_Toc21596"/>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bookmarkEnd w:id="162"/>
      <w:bookmarkEnd w:id="163"/>
    </w:p>
    <w:p w14:paraId="0483E05D">
      <w:pPr>
        <w:widowControl/>
        <w:spacing w:line="520" w:lineRule="atLeast"/>
        <w:jc w:val="center"/>
        <w:outlineLvl w:val="0"/>
        <w:rPr>
          <w:rFonts w:hint="eastAsia" w:ascii="宋体" w:hAnsi="宋体" w:eastAsia="宋体" w:cs="宋体"/>
          <w:b/>
          <w:bCs/>
          <w:color w:val="auto"/>
          <w:kern w:val="0"/>
          <w:sz w:val="32"/>
          <w:szCs w:val="28"/>
        </w:rPr>
      </w:pPr>
      <w:bookmarkStart w:id="164" w:name="_Toc25269"/>
      <w:bookmarkStart w:id="165" w:name="_Toc12574"/>
      <w:r>
        <w:rPr>
          <w:rFonts w:hint="eastAsia" w:ascii="宋体" w:hAnsi="宋体" w:eastAsia="宋体" w:cs="宋体"/>
          <w:b/>
          <w:bCs/>
          <w:color w:val="auto"/>
          <w:kern w:val="0"/>
          <w:sz w:val="32"/>
          <w:szCs w:val="28"/>
        </w:rPr>
        <w:t>附件</w:t>
      </w:r>
      <w:r>
        <w:rPr>
          <w:rFonts w:hint="eastAsia" w:ascii="宋体" w:hAnsi="宋体" w:cs="宋体"/>
          <w:b/>
          <w:bCs/>
          <w:color w:val="auto"/>
          <w:kern w:val="0"/>
          <w:sz w:val="32"/>
          <w:szCs w:val="28"/>
          <w:lang w:val="en-US" w:eastAsia="zh-CN"/>
        </w:rPr>
        <w:t>二：技术参数</w:t>
      </w:r>
      <w:r>
        <w:rPr>
          <w:rFonts w:hint="eastAsia" w:ascii="宋体" w:hAnsi="宋体" w:eastAsia="宋体" w:cs="宋体"/>
          <w:b/>
          <w:bCs/>
          <w:color w:val="auto"/>
          <w:kern w:val="0"/>
          <w:sz w:val="32"/>
          <w:szCs w:val="28"/>
        </w:rPr>
        <w:t>偏离表</w:t>
      </w:r>
      <w:bookmarkEnd w:id="164"/>
      <w:bookmarkEnd w:id="165"/>
    </w:p>
    <w:tbl>
      <w:tblPr>
        <w:tblStyle w:val="29"/>
        <w:tblpPr w:leftFromText="180" w:rightFromText="180" w:vertAnchor="text" w:horzAnchor="page" w:tblpXSpec="center" w:tblpY="6"/>
        <w:tblOverlap w:val="never"/>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234"/>
        <w:gridCol w:w="2112"/>
        <w:gridCol w:w="1718"/>
        <w:gridCol w:w="1530"/>
        <w:gridCol w:w="1297"/>
      </w:tblGrid>
      <w:tr w14:paraId="7005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005" w:type="dxa"/>
            <w:noWrap w:val="0"/>
            <w:vAlign w:val="center"/>
          </w:tcPr>
          <w:p w14:paraId="11C83712">
            <w:pPr>
              <w:jc w:val="center"/>
              <w:rPr>
                <w:rFonts w:hint="eastAsia" w:ascii="宋体" w:hAnsi="宋体" w:eastAsia="宋体" w:cs="宋体"/>
                <w:color w:val="auto"/>
                <w:kern w:val="0"/>
                <w:sz w:val="24"/>
              </w:rPr>
            </w:pPr>
            <w:r>
              <w:rPr>
                <w:rFonts w:hint="eastAsia" w:ascii="宋体" w:hAnsi="宋体" w:eastAsia="宋体" w:cs="宋体"/>
                <w:color w:val="auto"/>
                <w:kern w:val="0"/>
                <w:sz w:val="24"/>
              </w:rPr>
              <w:t>序号</w:t>
            </w:r>
          </w:p>
        </w:tc>
        <w:tc>
          <w:tcPr>
            <w:tcW w:w="1234" w:type="dxa"/>
            <w:noWrap w:val="0"/>
            <w:vAlign w:val="center"/>
          </w:tcPr>
          <w:p w14:paraId="124FE6C8">
            <w:pPr>
              <w:jc w:val="center"/>
              <w:rPr>
                <w:rFonts w:hint="eastAsia" w:ascii="宋体" w:hAnsi="宋体" w:cs="宋体"/>
                <w:color w:val="auto"/>
                <w:kern w:val="0"/>
                <w:sz w:val="24"/>
                <w:lang w:eastAsia="zh-CN"/>
              </w:rPr>
            </w:pPr>
            <w:r>
              <w:rPr>
                <w:rFonts w:hint="eastAsia" w:ascii="宋体" w:hAnsi="宋体" w:cs="宋体"/>
                <w:color w:val="auto"/>
                <w:kern w:val="0"/>
                <w:sz w:val="24"/>
                <w:highlight w:val="none"/>
                <w:lang w:val="en-US" w:eastAsia="zh-CN"/>
              </w:rPr>
              <w:t>设备</w:t>
            </w:r>
            <w:r>
              <w:rPr>
                <w:rFonts w:hint="eastAsia" w:ascii="宋体" w:hAnsi="宋体" w:cs="宋体"/>
                <w:color w:val="auto"/>
                <w:kern w:val="0"/>
                <w:sz w:val="24"/>
                <w:highlight w:val="none"/>
                <w:lang w:eastAsia="zh-CN"/>
              </w:rPr>
              <w:t>名称</w:t>
            </w:r>
          </w:p>
        </w:tc>
        <w:tc>
          <w:tcPr>
            <w:tcW w:w="2112" w:type="dxa"/>
            <w:noWrap w:val="0"/>
            <w:vAlign w:val="center"/>
          </w:tcPr>
          <w:p w14:paraId="71497C0B">
            <w:pPr>
              <w:jc w:val="center"/>
              <w:rPr>
                <w:rFonts w:hint="eastAsia" w:ascii="宋体" w:hAnsi="宋体" w:eastAsia="宋体" w:cs="宋体"/>
                <w:color w:val="auto"/>
                <w:kern w:val="0"/>
                <w:sz w:val="24"/>
              </w:rPr>
            </w:pPr>
            <w:r>
              <w:rPr>
                <w:rFonts w:hint="eastAsia" w:ascii="宋体" w:hAnsi="宋体" w:cs="宋体"/>
                <w:color w:val="auto"/>
                <w:kern w:val="0"/>
                <w:sz w:val="24"/>
                <w:lang w:eastAsia="zh-CN"/>
              </w:rPr>
              <w:t>磋商</w:t>
            </w:r>
            <w:r>
              <w:rPr>
                <w:rFonts w:hint="eastAsia" w:ascii="宋体" w:hAnsi="宋体" w:eastAsia="宋体" w:cs="宋体"/>
                <w:color w:val="auto"/>
                <w:kern w:val="0"/>
                <w:sz w:val="24"/>
              </w:rPr>
              <w:t>文件</w:t>
            </w:r>
            <w:r>
              <w:rPr>
                <w:rFonts w:hint="eastAsia" w:ascii="宋体" w:hAnsi="宋体" w:cs="宋体"/>
                <w:color w:val="auto"/>
                <w:kern w:val="0"/>
                <w:sz w:val="24"/>
                <w:lang w:val="en-US" w:eastAsia="zh-CN"/>
              </w:rPr>
              <w:t>要求的技术参数</w:t>
            </w:r>
          </w:p>
        </w:tc>
        <w:tc>
          <w:tcPr>
            <w:tcW w:w="1718" w:type="dxa"/>
            <w:noWrap w:val="0"/>
            <w:vAlign w:val="center"/>
          </w:tcPr>
          <w:p w14:paraId="0A7AAB4A">
            <w:pPr>
              <w:jc w:val="center"/>
              <w:rPr>
                <w:rFonts w:hint="eastAsia" w:ascii="宋体" w:hAnsi="宋体" w:eastAsia="宋体" w:cs="宋体"/>
                <w:color w:val="auto"/>
                <w:kern w:val="0"/>
                <w:sz w:val="24"/>
              </w:rPr>
            </w:pP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w:t>
            </w:r>
            <w:r>
              <w:rPr>
                <w:rFonts w:hint="eastAsia" w:ascii="宋体" w:hAnsi="宋体" w:eastAsia="宋体" w:cs="宋体"/>
                <w:color w:val="auto"/>
                <w:kern w:val="0"/>
                <w:sz w:val="24"/>
                <w:lang w:val="en-US" w:eastAsia="zh-CN"/>
              </w:rPr>
              <w:t>实际技术</w:t>
            </w:r>
            <w:r>
              <w:rPr>
                <w:rFonts w:hint="eastAsia" w:ascii="宋体" w:hAnsi="宋体" w:eastAsia="宋体" w:cs="宋体"/>
                <w:color w:val="auto"/>
                <w:kern w:val="0"/>
                <w:sz w:val="24"/>
              </w:rPr>
              <w:t>参数</w:t>
            </w:r>
          </w:p>
        </w:tc>
        <w:tc>
          <w:tcPr>
            <w:tcW w:w="1530" w:type="dxa"/>
            <w:noWrap w:val="0"/>
            <w:vAlign w:val="center"/>
          </w:tcPr>
          <w:p w14:paraId="1062BE96">
            <w:pPr>
              <w:jc w:val="center"/>
              <w:rPr>
                <w:rFonts w:hint="eastAsia" w:ascii="宋体" w:hAnsi="宋体" w:eastAsia="宋体" w:cs="宋体"/>
                <w:color w:val="auto"/>
                <w:kern w:val="0"/>
                <w:sz w:val="24"/>
              </w:rPr>
            </w:pPr>
            <w:r>
              <w:rPr>
                <w:rFonts w:hint="eastAsia" w:ascii="宋体" w:hAnsi="宋体" w:eastAsia="宋体" w:cs="宋体"/>
                <w:color w:val="auto"/>
                <w:kern w:val="0"/>
                <w:sz w:val="24"/>
              </w:rPr>
              <w:t>偏离情况</w:t>
            </w:r>
          </w:p>
        </w:tc>
        <w:tc>
          <w:tcPr>
            <w:tcW w:w="1297" w:type="dxa"/>
            <w:noWrap w:val="0"/>
            <w:vAlign w:val="center"/>
          </w:tcPr>
          <w:p w14:paraId="1DE4D7BD">
            <w:pPr>
              <w:jc w:val="center"/>
              <w:rPr>
                <w:rFonts w:hint="eastAsia" w:ascii="宋体" w:hAnsi="宋体" w:eastAsia="宋体" w:cs="宋体"/>
                <w:color w:val="auto"/>
                <w:kern w:val="0"/>
                <w:sz w:val="24"/>
              </w:rPr>
            </w:pPr>
            <w:r>
              <w:rPr>
                <w:rFonts w:hint="eastAsia" w:ascii="宋体" w:hAnsi="宋体" w:eastAsia="宋体" w:cs="宋体"/>
                <w:color w:val="000000" w:themeColor="text1"/>
                <w:spacing w:val="0"/>
                <w:sz w:val="24"/>
                <w:szCs w:val="24"/>
                <w:lang w:val="en-US" w:eastAsia="zh-CN"/>
                <w14:textFill>
                  <w14:solidFill>
                    <w14:schemeClr w14:val="tx1"/>
                  </w14:solidFill>
                </w14:textFill>
              </w:rPr>
              <w:t>偏离说明</w:t>
            </w:r>
          </w:p>
        </w:tc>
      </w:tr>
      <w:tr w14:paraId="638D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5" w:type="dxa"/>
            <w:noWrap w:val="0"/>
            <w:vAlign w:val="center"/>
          </w:tcPr>
          <w:p w14:paraId="5A482D11">
            <w:pPr>
              <w:jc w:val="center"/>
              <w:rPr>
                <w:rFonts w:hint="eastAsia" w:ascii="宋体" w:hAnsi="宋体" w:eastAsia="宋体" w:cs="宋体"/>
                <w:color w:val="auto"/>
                <w:kern w:val="0"/>
                <w:sz w:val="24"/>
                <w:lang w:val="en-US" w:eastAsia="zh-CN"/>
              </w:rPr>
            </w:pPr>
          </w:p>
        </w:tc>
        <w:tc>
          <w:tcPr>
            <w:tcW w:w="1234" w:type="dxa"/>
            <w:noWrap w:val="0"/>
            <w:vAlign w:val="center"/>
          </w:tcPr>
          <w:p w14:paraId="034A09AD">
            <w:pPr>
              <w:autoSpaceDN w:val="0"/>
              <w:jc w:val="center"/>
              <w:textAlignment w:val="center"/>
              <w:rPr>
                <w:rFonts w:hint="eastAsia" w:ascii="宋体" w:hAnsi="宋体" w:eastAsia="宋体" w:cs="宋体"/>
                <w:color w:val="auto"/>
                <w:kern w:val="0"/>
                <w:sz w:val="24"/>
              </w:rPr>
            </w:pPr>
          </w:p>
        </w:tc>
        <w:tc>
          <w:tcPr>
            <w:tcW w:w="2112" w:type="dxa"/>
            <w:noWrap w:val="0"/>
            <w:vAlign w:val="center"/>
          </w:tcPr>
          <w:p w14:paraId="43960EA2">
            <w:pPr>
              <w:jc w:val="center"/>
              <w:rPr>
                <w:rFonts w:hint="eastAsia" w:ascii="宋体" w:hAnsi="宋体" w:eastAsia="宋体" w:cs="宋体"/>
                <w:color w:val="auto"/>
                <w:kern w:val="0"/>
                <w:sz w:val="24"/>
              </w:rPr>
            </w:pPr>
          </w:p>
        </w:tc>
        <w:tc>
          <w:tcPr>
            <w:tcW w:w="1718" w:type="dxa"/>
            <w:noWrap w:val="0"/>
            <w:vAlign w:val="center"/>
          </w:tcPr>
          <w:p w14:paraId="5A4006D2">
            <w:pPr>
              <w:jc w:val="center"/>
              <w:rPr>
                <w:rFonts w:hint="eastAsia" w:ascii="宋体" w:hAnsi="宋体" w:eastAsia="宋体" w:cs="宋体"/>
                <w:color w:val="auto"/>
                <w:kern w:val="0"/>
                <w:sz w:val="24"/>
              </w:rPr>
            </w:pPr>
          </w:p>
        </w:tc>
        <w:tc>
          <w:tcPr>
            <w:tcW w:w="1530" w:type="dxa"/>
            <w:noWrap w:val="0"/>
            <w:vAlign w:val="center"/>
          </w:tcPr>
          <w:p w14:paraId="20CBDF83">
            <w:pPr>
              <w:jc w:val="center"/>
              <w:rPr>
                <w:rFonts w:hint="eastAsia" w:ascii="宋体" w:hAnsi="宋体" w:eastAsia="宋体" w:cs="宋体"/>
                <w:color w:val="auto"/>
                <w:kern w:val="0"/>
                <w:sz w:val="24"/>
              </w:rPr>
            </w:pPr>
          </w:p>
        </w:tc>
        <w:tc>
          <w:tcPr>
            <w:tcW w:w="1297" w:type="dxa"/>
            <w:noWrap w:val="0"/>
            <w:vAlign w:val="center"/>
          </w:tcPr>
          <w:p w14:paraId="62889266">
            <w:pPr>
              <w:jc w:val="center"/>
              <w:rPr>
                <w:rFonts w:hint="eastAsia" w:ascii="宋体" w:hAnsi="宋体" w:eastAsia="宋体" w:cs="宋体"/>
                <w:color w:val="auto"/>
                <w:kern w:val="0"/>
                <w:sz w:val="24"/>
              </w:rPr>
            </w:pPr>
          </w:p>
        </w:tc>
      </w:tr>
      <w:tr w14:paraId="33D8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65C062F3">
            <w:pPr>
              <w:jc w:val="center"/>
              <w:rPr>
                <w:rFonts w:hint="eastAsia" w:ascii="宋体" w:hAnsi="宋体" w:eastAsia="宋体" w:cs="宋体"/>
                <w:color w:val="auto"/>
                <w:kern w:val="0"/>
                <w:sz w:val="24"/>
              </w:rPr>
            </w:pPr>
          </w:p>
        </w:tc>
        <w:tc>
          <w:tcPr>
            <w:tcW w:w="1234" w:type="dxa"/>
            <w:noWrap w:val="0"/>
            <w:vAlign w:val="center"/>
          </w:tcPr>
          <w:p w14:paraId="59AF2ABE">
            <w:pPr>
              <w:jc w:val="center"/>
              <w:rPr>
                <w:rFonts w:hint="eastAsia" w:ascii="宋体" w:hAnsi="宋体" w:eastAsia="宋体" w:cs="宋体"/>
                <w:color w:val="auto"/>
                <w:kern w:val="0"/>
                <w:sz w:val="24"/>
              </w:rPr>
            </w:pPr>
          </w:p>
        </w:tc>
        <w:tc>
          <w:tcPr>
            <w:tcW w:w="2112" w:type="dxa"/>
            <w:noWrap w:val="0"/>
            <w:vAlign w:val="center"/>
          </w:tcPr>
          <w:p w14:paraId="0075E51E">
            <w:pPr>
              <w:jc w:val="center"/>
              <w:rPr>
                <w:rFonts w:hint="eastAsia" w:ascii="宋体" w:hAnsi="宋体" w:eastAsia="宋体" w:cs="宋体"/>
                <w:color w:val="auto"/>
                <w:kern w:val="0"/>
                <w:sz w:val="24"/>
              </w:rPr>
            </w:pPr>
          </w:p>
        </w:tc>
        <w:tc>
          <w:tcPr>
            <w:tcW w:w="1718" w:type="dxa"/>
            <w:noWrap w:val="0"/>
            <w:vAlign w:val="center"/>
          </w:tcPr>
          <w:p w14:paraId="7D35B3C4">
            <w:pPr>
              <w:jc w:val="center"/>
              <w:rPr>
                <w:rFonts w:hint="eastAsia" w:ascii="宋体" w:hAnsi="宋体" w:eastAsia="宋体" w:cs="宋体"/>
                <w:color w:val="auto"/>
                <w:kern w:val="0"/>
                <w:sz w:val="24"/>
              </w:rPr>
            </w:pPr>
          </w:p>
        </w:tc>
        <w:tc>
          <w:tcPr>
            <w:tcW w:w="1530" w:type="dxa"/>
            <w:noWrap w:val="0"/>
            <w:vAlign w:val="center"/>
          </w:tcPr>
          <w:p w14:paraId="5747CD93">
            <w:pPr>
              <w:jc w:val="center"/>
              <w:rPr>
                <w:rFonts w:hint="eastAsia" w:ascii="宋体" w:hAnsi="宋体" w:eastAsia="宋体" w:cs="宋体"/>
                <w:color w:val="auto"/>
                <w:kern w:val="0"/>
                <w:sz w:val="24"/>
              </w:rPr>
            </w:pPr>
          </w:p>
        </w:tc>
        <w:tc>
          <w:tcPr>
            <w:tcW w:w="1297" w:type="dxa"/>
            <w:noWrap w:val="0"/>
            <w:vAlign w:val="center"/>
          </w:tcPr>
          <w:p w14:paraId="15C6C2AC">
            <w:pPr>
              <w:jc w:val="center"/>
              <w:rPr>
                <w:rFonts w:hint="eastAsia" w:ascii="宋体" w:hAnsi="宋体" w:eastAsia="宋体" w:cs="宋体"/>
                <w:color w:val="auto"/>
                <w:kern w:val="0"/>
                <w:sz w:val="24"/>
              </w:rPr>
            </w:pPr>
          </w:p>
        </w:tc>
      </w:tr>
      <w:tr w14:paraId="4918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2F575550">
            <w:pPr>
              <w:jc w:val="center"/>
              <w:rPr>
                <w:rFonts w:hint="eastAsia" w:ascii="宋体" w:hAnsi="宋体" w:eastAsia="宋体" w:cs="宋体"/>
                <w:color w:val="auto"/>
                <w:kern w:val="0"/>
                <w:sz w:val="24"/>
              </w:rPr>
            </w:pPr>
          </w:p>
        </w:tc>
        <w:tc>
          <w:tcPr>
            <w:tcW w:w="1234" w:type="dxa"/>
            <w:noWrap w:val="0"/>
            <w:vAlign w:val="center"/>
          </w:tcPr>
          <w:p w14:paraId="29215AAB">
            <w:pPr>
              <w:jc w:val="center"/>
              <w:rPr>
                <w:rFonts w:hint="eastAsia" w:ascii="宋体" w:hAnsi="宋体" w:eastAsia="宋体" w:cs="宋体"/>
                <w:color w:val="auto"/>
                <w:kern w:val="0"/>
                <w:sz w:val="24"/>
              </w:rPr>
            </w:pPr>
          </w:p>
        </w:tc>
        <w:tc>
          <w:tcPr>
            <w:tcW w:w="2112" w:type="dxa"/>
            <w:noWrap w:val="0"/>
            <w:vAlign w:val="center"/>
          </w:tcPr>
          <w:p w14:paraId="00940AA9">
            <w:pPr>
              <w:jc w:val="center"/>
              <w:rPr>
                <w:rFonts w:hint="eastAsia" w:ascii="宋体" w:hAnsi="宋体" w:eastAsia="宋体" w:cs="宋体"/>
                <w:color w:val="auto"/>
                <w:kern w:val="0"/>
                <w:sz w:val="24"/>
              </w:rPr>
            </w:pPr>
          </w:p>
        </w:tc>
        <w:tc>
          <w:tcPr>
            <w:tcW w:w="1718" w:type="dxa"/>
            <w:noWrap w:val="0"/>
            <w:vAlign w:val="center"/>
          </w:tcPr>
          <w:p w14:paraId="6B8349C3">
            <w:pPr>
              <w:jc w:val="center"/>
              <w:rPr>
                <w:rFonts w:hint="eastAsia" w:ascii="宋体" w:hAnsi="宋体" w:eastAsia="宋体" w:cs="宋体"/>
                <w:color w:val="auto"/>
                <w:kern w:val="0"/>
                <w:sz w:val="24"/>
              </w:rPr>
            </w:pPr>
          </w:p>
        </w:tc>
        <w:tc>
          <w:tcPr>
            <w:tcW w:w="1530" w:type="dxa"/>
            <w:noWrap w:val="0"/>
            <w:vAlign w:val="center"/>
          </w:tcPr>
          <w:p w14:paraId="4C7D4FF1">
            <w:pPr>
              <w:jc w:val="center"/>
              <w:rPr>
                <w:rFonts w:hint="eastAsia" w:ascii="宋体" w:hAnsi="宋体" w:eastAsia="宋体" w:cs="宋体"/>
                <w:color w:val="auto"/>
                <w:kern w:val="0"/>
                <w:sz w:val="24"/>
              </w:rPr>
            </w:pPr>
          </w:p>
        </w:tc>
        <w:tc>
          <w:tcPr>
            <w:tcW w:w="1297" w:type="dxa"/>
            <w:noWrap w:val="0"/>
            <w:vAlign w:val="center"/>
          </w:tcPr>
          <w:p w14:paraId="0115952F">
            <w:pPr>
              <w:jc w:val="center"/>
              <w:rPr>
                <w:rFonts w:hint="eastAsia" w:ascii="宋体" w:hAnsi="宋体" w:eastAsia="宋体" w:cs="宋体"/>
                <w:color w:val="auto"/>
                <w:kern w:val="0"/>
                <w:sz w:val="24"/>
              </w:rPr>
            </w:pPr>
          </w:p>
        </w:tc>
      </w:tr>
      <w:tr w14:paraId="4BB4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1B61BADF">
            <w:pPr>
              <w:jc w:val="center"/>
              <w:rPr>
                <w:rFonts w:hint="eastAsia" w:ascii="宋体" w:hAnsi="宋体" w:eastAsia="宋体" w:cs="宋体"/>
                <w:color w:val="auto"/>
                <w:kern w:val="0"/>
                <w:sz w:val="24"/>
              </w:rPr>
            </w:pPr>
          </w:p>
        </w:tc>
        <w:tc>
          <w:tcPr>
            <w:tcW w:w="1234" w:type="dxa"/>
            <w:noWrap w:val="0"/>
            <w:vAlign w:val="center"/>
          </w:tcPr>
          <w:p w14:paraId="17A52FAD">
            <w:pPr>
              <w:jc w:val="center"/>
              <w:rPr>
                <w:rFonts w:hint="eastAsia" w:ascii="宋体" w:hAnsi="宋体" w:eastAsia="宋体" w:cs="宋体"/>
                <w:color w:val="auto"/>
                <w:kern w:val="0"/>
                <w:sz w:val="24"/>
              </w:rPr>
            </w:pPr>
          </w:p>
        </w:tc>
        <w:tc>
          <w:tcPr>
            <w:tcW w:w="2112" w:type="dxa"/>
            <w:noWrap w:val="0"/>
            <w:vAlign w:val="center"/>
          </w:tcPr>
          <w:p w14:paraId="286FB83F">
            <w:pPr>
              <w:jc w:val="center"/>
              <w:rPr>
                <w:rFonts w:hint="eastAsia" w:ascii="宋体" w:hAnsi="宋体" w:eastAsia="宋体" w:cs="宋体"/>
                <w:color w:val="auto"/>
                <w:kern w:val="0"/>
                <w:sz w:val="24"/>
              </w:rPr>
            </w:pPr>
          </w:p>
        </w:tc>
        <w:tc>
          <w:tcPr>
            <w:tcW w:w="1718" w:type="dxa"/>
            <w:noWrap w:val="0"/>
            <w:vAlign w:val="center"/>
          </w:tcPr>
          <w:p w14:paraId="57740AD5">
            <w:pPr>
              <w:jc w:val="center"/>
              <w:rPr>
                <w:rFonts w:hint="eastAsia" w:ascii="宋体" w:hAnsi="宋体" w:eastAsia="宋体" w:cs="宋体"/>
                <w:color w:val="auto"/>
                <w:kern w:val="0"/>
                <w:sz w:val="24"/>
              </w:rPr>
            </w:pPr>
          </w:p>
        </w:tc>
        <w:tc>
          <w:tcPr>
            <w:tcW w:w="1530" w:type="dxa"/>
            <w:noWrap w:val="0"/>
            <w:vAlign w:val="center"/>
          </w:tcPr>
          <w:p w14:paraId="5CF93027">
            <w:pPr>
              <w:jc w:val="center"/>
              <w:rPr>
                <w:rFonts w:hint="eastAsia" w:ascii="宋体" w:hAnsi="宋体" w:eastAsia="宋体" w:cs="宋体"/>
                <w:color w:val="auto"/>
                <w:kern w:val="0"/>
                <w:sz w:val="24"/>
              </w:rPr>
            </w:pPr>
          </w:p>
        </w:tc>
        <w:tc>
          <w:tcPr>
            <w:tcW w:w="1297" w:type="dxa"/>
            <w:noWrap w:val="0"/>
            <w:vAlign w:val="center"/>
          </w:tcPr>
          <w:p w14:paraId="487DC82F">
            <w:pPr>
              <w:jc w:val="center"/>
              <w:rPr>
                <w:rFonts w:hint="eastAsia" w:ascii="宋体" w:hAnsi="宋体" w:eastAsia="宋体" w:cs="宋体"/>
                <w:color w:val="auto"/>
                <w:kern w:val="0"/>
                <w:sz w:val="24"/>
              </w:rPr>
            </w:pPr>
          </w:p>
        </w:tc>
      </w:tr>
      <w:tr w14:paraId="08E5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6C28413C">
            <w:pPr>
              <w:jc w:val="center"/>
              <w:rPr>
                <w:rFonts w:hint="eastAsia" w:ascii="宋体" w:hAnsi="宋体" w:eastAsia="宋体" w:cs="宋体"/>
                <w:color w:val="auto"/>
                <w:kern w:val="0"/>
                <w:sz w:val="24"/>
              </w:rPr>
            </w:pPr>
            <w:r>
              <w:rPr>
                <w:rFonts w:hint="eastAsia" w:ascii="宋体" w:hAnsi="宋体" w:eastAsia="宋体" w:cs="宋体"/>
                <w:color w:val="auto"/>
                <w:kern w:val="0"/>
                <w:sz w:val="24"/>
              </w:rPr>
              <w:t>...</w:t>
            </w:r>
          </w:p>
        </w:tc>
        <w:tc>
          <w:tcPr>
            <w:tcW w:w="1234" w:type="dxa"/>
            <w:noWrap w:val="0"/>
            <w:vAlign w:val="center"/>
          </w:tcPr>
          <w:p w14:paraId="4A6BB341">
            <w:pPr>
              <w:jc w:val="center"/>
              <w:rPr>
                <w:rFonts w:hint="eastAsia" w:ascii="宋体" w:hAnsi="宋体" w:eastAsia="宋体" w:cs="宋体"/>
                <w:color w:val="auto"/>
                <w:kern w:val="0"/>
                <w:sz w:val="24"/>
              </w:rPr>
            </w:pPr>
          </w:p>
        </w:tc>
        <w:tc>
          <w:tcPr>
            <w:tcW w:w="2112" w:type="dxa"/>
            <w:noWrap w:val="0"/>
            <w:vAlign w:val="center"/>
          </w:tcPr>
          <w:p w14:paraId="4DD505F7">
            <w:pPr>
              <w:jc w:val="center"/>
              <w:rPr>
                <w:rFonts w:hint="eastAsia" w:ascii="宋体" w:hAnsi="宋体" w:eastAsia="宋体" w:cs="宋体"/>
                <w:color w:val="auto"/>
                <w:kern w:val="0"/>
                <w:sz w:val="24"/>
              </w:rPr>
            </w:pPr>
          </w:p>
        </w:tc>
        <w:tc>
          <w:tcPr>
            <w:tcW w:w="1718" w:type="dxa"/>
            <w:noWrap w:val="0"/>
            <w:vAlign w:val="center"/>
          </w:tcPr>
          <w:p w14:paraId="19AE3DAC">
            <w:pPr>
              <w:jc w:val="center"/>
              <w:rPr>
                <w:rFonts w:hint="eastAsia" w:ascii="宋体" w:hAnsi="宋体" w:eastAsia="宋体" w:cs="宋体"/>
                <w:color w:val="auto"/>
                <w:kern w:val="0"/>
                <w:sz w:val="24"/>
              </w:rPr>
            </w:pPr>
          </w:p>
        </w:tc>
        <w:tc>
          <w:tcPr>
            <w:tcW w:w="1530" w:type="dxa"/>
            <w:noWrap w:val="0"/>
            <w:vAlign w:val="center"/>
          </w:tcPr>
          <w:p w14:paraId="0F775457">
            <w:pPr>
              <w:jc w:val="center"/>
              <w:rPr>
                <w:rFonts w:hint="eastAsia" w:ascii="宋体" w:hAnsi="宋体" w:eastAsia="宋体" w:cs="宋体"/>
                <w:color w:val="auto"/>
                <w:kern w:val="0"/>
                <w:sz w:val="24"/>
              </w:rPr>
            </w:pPr>
          </w:p>
        </w:tc>
        <w:tc>
          <w:tcPr>
            <w:tcW w:w="1297" w:type="dxa"/>
            <w:noWrap w:val="0"/>
            <w:vAlign w:val="center"/>
          </w:tcPr>
          <w:p w14:paraId="0C9B20B3">
            <w:pPr>
              <w:jc w:val="center"/>
              <w:rPr>
                <w:rFonts w:hint="eastAsia" w:ascii="宋体" w:hAnsi="宋体" w:eastAsia="宋体" w:cs="宋体"/>
                <w:color w:val="auto"/>
                <w:kern w:val="0"/>
                <w:sz w:val="24"/>
              </w:rPr>
            </w:pPr>
          </w:p>
        </w:tc>
      </w:tr>
    </w:tbl>
    <w:p w14:paraId="41DCA058">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rPr>
        <w:t>注：</w:t>
      </w:r>
      <w:r>
        <w:rPr>
          <w:rFonts w:hint="eastAsia" w:ascii="宋体" w:hAnsi="宋体" w:eastAsia="宋体" w:cs="宋体"/>
          <w:color w:val="auto"/>
          <w:kern w:val="0"/>
          <w:sz w:val="24"/>
          <w:lang w:val="en-US" w:eastAsia="zh-CN"/>
        </w:rPr>
        <w:t>一、</w:t>
      </w:r>
      <w:r>
        <w:rPr>
          <w:rFonts w:hint="eastAsia" w:ascii="宋体" w:hAnsi="宋体" w:eastAsia="宋体" w:cs="宋体"/>
          <w:color w:val="auto"/>
          <w:kern w:val="0"/>
          <w:sz w:val="24"/>
        </w:rPr>
        <w:t>表格若不够用</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可根据实际自行</w:t>
      </w:r>
      <w:r>
        <w:rPr>
          <w:rFonts w:hint="eastAsia" w:ascii="宋体" w:hAnsi="宋体" w:cs="宋体"/>
          <w:color w:val="auto"/>
          <w:kern w:val="0"/>
          <w:sz w:val="24"/>
          <w:lang w:val="en-US" w:eastAsia="zh-CN"/>
        </w:rPr>
        <w:t>增减或</w:t>
      </w:r>
      <w:r>
        <w:rPr>
          <w:rFonts w:hint="eastAsia" w:ascii="宋体" w:hAnsi="宋体" w:eastAsia="宋体" w:cs="宋体"/>
          <w:color w:val="auto"/>
          <w:kern w:val="0"/>
          <w:sz w:val="24"/>
        </w:rPr>
        <w:t>扩展表格</w:t>
      </w:r>
      <w:r>
        <w:rPr>
          <w:rFonts w:hint="eastAsia" w:ascii="宋体" w:hAnsi="宋体" w:eastAsia="宋体" w:cs="宋体"/>
          <w:color w:val="auto"/>
          <w:kern w:val="0"/>
          <w:sz w:val="24"/>
          <w:lang w:eastAsia="zh-CN"/>
        </w:rPr>
        <w:t>；</w:t>
      </w:r>
    </w:p>
    <w:p w14:paraId="41FEC8A0">
      <w:pPr>
        <w:keepNext w:val="0"/>
        <w:keepLines w:val="0"/>
        <w:pageBreakBefore w:val="0"/>
        <w:widowControl/>
        <w:kinsoku/>
        <w:wordWrap/>
        <w:overflowPunct/>
        <w:topLinePunct w:val="0"/>
        <w:autoSpaceDE/>
        <w:autoSpaceDN/>
        <w:bidi w:val="0"/>
        <w:adjustRightInd/>
        <w:snapToGrid/>
        <w:spacing w:line="500" w:lineRule="exact"/>
        <w:ind w:firstLine="960" w:firstLineChars="400"/>
        <w:jc w:val="left"/>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二、“偏离情况”应如实填写正偏离、负偏离或无偏离，“偏离说明”处填写偏离内</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容；</w:t>
      </w:r>
    </w:p>
    <w:p w14:paraId="4C44491E">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lang w:eastAsia="zh-CN"/>
        </w:rPr>
      </w:pPr>
    </w:p>
    <w:p w14:paraId="04F47B92">
      <w:pPr>
        <w:jc w:val="both"/>
        <w:rPr>
          <w:rFonts w:hint="eastAsia" w:ascii="宋体" w:hAnsi="宋体" w:eastAsia="宋体" w:cs="宋体"/>
          <w:color w:val="auto"/>
          <w:sz w:val="28"/>
          <w:szCs w:val="28"/>
        </w:rPr>
      </w:pPr>
    </w:p>
    <w:p w14:paraId="5450C34C">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w:t>
      </w:r>
      <w:r>
        <w:rPr>
          <w:rFonts w:hint="eastAsia" w:ascii="宋体" w:hAnsi="宋体" w:cs="宋体"/>
          <w:color w:val="auto"/>
          <w:sz w:val="24"/>
          <w:szCs w:val="24"/>
          <w:lang w:val="en-US" w:eastAsia="zh-CN"/>
        </w:rPr>
        <w:t>名称</w:t>
      </w:r>
      <w:r>
        <w:rPr>
          <w:rFonts w:hint="eastAsia" w:ascii="宋体" w:hAnsi="宋体" w:eastAsia="宋体" w:cs="宋体"/>
          <w:color w:val="auto"/>
          <w:sz w:val="24"/>
          <w:szCs w:val="24"/>
        </w:rPr>
        <w:t>：</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（企业</w:t>
      </w:r>
      <w:r>
        <w:rPr>
          <w:rFonts w:hint="eastAsia" w:ascii="宋体" w:hAnsi="宋体" w:eastAsia="宋体" w:cs="宋体"/>
          <w:color w:val="auto"/>
          <w:sz w:val="24"/>
          <w:szCs w:val="24"/>
          <w:lang w:val="en-US" w:eastAsia="zh-CN"/>
        </w:rPr>
        <w:t>公章</w:t>
      </w:r>
      <w:r>
        <w:rPr>
          <w:rFonts w:hint="eastAsia" w:ascii="宋体" w:hAnsi="宋体" w:eastAsia="宋体" w:cs="宋体"/>
          <w:color w:val="auto"/>
          <w:sz w:val="24"/>
          <w:szCs w:val="24"/>
        </w:rPr>
        <w:t>签章）</w:t>
      </w:r>
    </w:p>
    <w:p w14:paraId="1F20F2ED">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（法人电子签章）</w:t>
      </w:r>
    </w:p>
    <w:p w14:paraId="5E00C310">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1347DA5">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0B75FFBB">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3402F052">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1DF8B86E">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5B390A0C">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7FDB0CDB">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7D83CDF1">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0AA62005">
      <w:pPr>
        <w:spacing w:line="360" w:lineRule="auto"/>
        <w:jc w:val="center"/>
        <w:outlineLvl w:val="1"/>
        <w:rPr>
          <w:rFonts w:hint="eastAsia"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、法定代表人身份证明</w:t>
      </w:r>
    </w:p>
    <w:p w14:paraId="34E6A9B9">
      <w:pPr>
        <w:spacing w:line="360" w:lineRule="auto"/>
        <w:jc w:val="both"/>
        <w:rPr>
          <w:rFonts w:ascii="宋体" w:hAnsi="宋体"/>
          <w:sz w:val="24"/>
          <w:szCs w:val="24"/>
        </w:rPr>
      </w:pPr>
      <w:r>
        <w:rPr>
          <w:rFonts w:hint="eastAsia" w:ascii="宋体" w:hAnsi="宋体" w:cs="宋体"/>
          <w:b/>
          <w:sz w:val="24"/>
          <w:szCs w:val="24"/>
        </w:rPr>
        <w:t xml:space="preserve"> </w:t>
      </w:r>
    </w:p>
    <w:p w14:paraId="6E5CB8DE">
      <w:pPr>
        <w:spacing w:line="360" w:lineRule="auto"/>
        <w:ind w:firstLine="610"/>
        <w:jc w:val="both"/>
        <w:rPr>
          <w:rFonts w:ascii="宋体" w:hAnsi="宋体"/>
          <w:sz w:val="24"/>
          <w:szCs w:val="24"/>
        </w:rPr>
      </w:pPr>
      <w:r>
        <w:rPr>
          <w:rFonts w:hint="eastAsia" w:ascii="宋体" w:hAnsi="宋体" w:cs="宋体"/>
          <w:sz w:val="24"/>
          <w:szCs w:val="24"/>
          <w:lang w:eastAsia="zh-CN"/>
        </w:rPr>
        <w:t>供应商</w:t>
      </w:r>
      <w:r>
        <w:rPr>
          <w:rFonts w:hint="eastAsia" w:ascii="宋体" w:hAnsi="宋体" w:cs="宋体"/>
          <w:sz w:val="24"/>
          <w:szCs w:val="24"/>
        </w:rPr>
        <w:t>名称：</w:t>
      </w:r>
      <w:r>
        <w:rPr>
          <w:rFonts w:hint="eastAsia" w:ascii="宋体" w:hAnsi="宋体" w:cs="宋体"/>
          <w:sz w:val="24"/>
          <w:szCs w:val="24"/>
          <w:u w:val="single"/>
        </w:rPr>
        <w:t xml:space="preserve">                     </w:t>
      </w:r>
    </w:p>
    <w:p w14:paraId="1722C291">
      <w:pPr>
        <w:spacing w:line="360" w:lineRule="auto"/>
        <w:ind w:firstLine="610"/>
        <w:jc w:val="both"/>
        <w:rPr>
          <w:rFonts w:ascii="宋体" w:hAnsi="宋体"/>
          <w:sz w:val="24"/>
          <w:szCs w:val="24"/>
        </w:rPr>
      </w:pPr>
      <w:r>
        <w:rPr>
          <w:rFonts w:hint="eastAsia" w:ascii="宋体" w:hAnsi="宋体" w:cs="宋体"/>
          <w:sz w:val="24"/>
          <w:szCs w:val="24"/>
        </w:rPr>
        <w:t>单位性质：</w:t>
      </w:r>
      <w:r>
        <w:rPr>
          <w:rFonts w:hint="eastAsia" w:ascii="宋体" w:hAnsi="宋体" w:cs="宋体"/>
          <w:sz w:val="24"/>
          <w:szCs w:val="24"/>
          <w:u w:val="single"/>
        </w:rPr>
        <w:t xml:space="preserve">                       </w:t>
      </w:r>
    </w:p>
    <w:p w14:paraId="4E31CAC4">
      <w:pPr>
        <w:spacing w:line="360" w:lineRule="auto"/>
        <w:ind w:firstLine="610"/>
        <w:jc w:val="both"/>
        <w:rPr>
          <w:rFonts w:ascii="宋体" w:hAnsi="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2826BF5">
      <w:pPr>
        <w:spacing w:line="360" w:lineRule="auto"/>
        <w:ind w:firstLine="610"/>
        <w:jc w:val="both"/>
        <w:rPr>
          <w:rFonts w:ascii="宋体" w:hAnsi="宋体"/>
          <w:sz w:val="24"/>
          <w:szCs w:val="24"/>
        </w:rPr>
      </w:pPr>
      <w:r>
        <w:rPr>
          <w:rFonts w:hint="eastAsia" w:ascii="宋体" w:hAnsi="宋体" w:cs="宋体"/>
          <w:sz w:val="24"/>
          <w:szCs w:val="24"/>
        </w:rPr>
        <w:t>成立时间：</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B2BD77A">
      <w:pPr>
        <w:spacing w:line="360" w:lineRule="auto"/>
        <w:ind w:firstLine="610"/>
        <w:jc w:val="both"/>
        <w:rPr>
          <w:rFonts w:ascii="宋体" w:hAnsi="宋体"/>
          <w:sz w:val="24"/>
          <w:szCs w:val="24"/>
        </w:rPr>
      </w:pPr>
      <w:r>
        <w:rPr>
          <w:rFonts w:hint="eastAsia" w:ascii="宋体" w:hAnsi="宋体" w:cs="宋体"/>
          <w:sz w:val="24"/>
          <w:szCs w:val="24"/>
        </w:rPr>
        <w:t>经营期限：</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D35C7B6">
      <w:pPr>
        <w:spacing w:line="360" w:lineRule="auto"/>
        <w:ind w:firstLine="610"/>
        <w:jc w:val="both"/>
        <w:rPr>
          <w:rFonts w:ascii="宋体" w:hAnsi="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职务：</w:t>
      </w:r>
      <w:r>
        <w:rPr>
          <w:rFonts w:hint="eastAsia" w:ascii="宋体" w:hAnsi="宋体" w:cs="宋体"/>
          <w:sz w:val="24"/>
          <w:szCs w:val="24"/>
          <w:u w:val="single"/>
        </w:rPr>
        <w:t xml:space="preserve">       </w:t>
      </w:r>
    </w:p>
    <w:p w14:paraId="50410091">
      <w:pPr>
        <w:spacing w:line="360" w:lineRule="auto"/>
        <w:ind w:firstLine="610"/>
        <w:jc w:val="both"/>
        <w:rPr>
          <w:rFonts w:ascii="宋体" w:hAnsi="宋体"/>
          <w:sz w:val="24"/>
          <w:szCs w:val="24"/>
        </w:rPr>
      </w:pPr>
      <w:r>
        <w:rPr>
          <w:rFonts w:hint="eastAsia" w:ascii="宋体" w:hAnsi="宋体" w:cs="宋体"/>
          <w:sz w:val="24"/>
          <w:szCs w:val="24"/>
        </w:rPr>
        <w:t>系</w:t>
      </w:r>
      <w:r>
        <w:rPr>
          <w:rFonts w:hint="eastAsia" w:ascii="宋体" w:hAnsi="宋体" w:cs="宋体"/>
          <w:sz w:val="24"/>
          <w:szCs w:val="24"/>
          <w:u w:val="single"/>
        </w:rPr>
        <w:t xml:space="preserve"> （供应商名称） </w:t>
      </w:r>
      <w:r>
        <w:rPr>
          <w:rFonts w:hint="eastAsia" w:ascii="宋体" w:hAnsi="宋体" w:cs="宋体"/>
          <w:sz w:val="24"/>
          <w:szCs w:val="24"/>
        </w:rPr>
        <w:t>的法定代表人。</w:t>
      </w:r>
    </w:p>
    <w:p w14:paraId="7BABE1B0">
      <w:pPr>
        <w:spacing w:line="360" w:lineRule="auto"/>
        <w:ind w:firstLine="610"/>
        <w:jc w:val="both"/>
        <w:rPr>
          <w:rFonts w:hint="eastAsia" w:ascii="宋体" w:hAnsi="宋体" w:cs="宋体"/>
          <w:sz w:val="24"/>
          <w:szCs w:val="24"/>
        </w:rPr>
      </w:pPr>
      <w:r>
        <w:rPr>
          <w:rFonts w:hint="eastAsia" w:ascii="宋体" w:hAnsi="宋体" w:cs="宋体"/>
          <w:sz w:val="24"/>
          <w:szCs w:val="24"/>
        </w:rPr>
        <w:t>特此证明。</w:t>
      </w:r>
    </w:p>
    <w:p w14:paraId="6AA5A534">
      <w:pPr>
        <w:spacing w:line="360" w:lineRule="auto"/>
        <w:ind w:firstLine="480" w:firstLineChars="200"/>
        <w:jc w:val="both"/>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后</w:t>
      </w:r>
      <w:r>
        <w:rPr>
          <w:rFonts w:hint="eastAsia" w:ascii="宋体" w:hAnsi="宋体" w:cs="宋体"/>
          <w:sz w:val="24"/>
          <w:szCs w:val="24"/>
        </w:rPr>
        <w:t>附法定代表人身份证</w:t>
      </w:r>
      <w:r>
        <w:rPr>
          <w:rFonts w:hint="eastAsia" w:ascii="宋体" w:hAnsi="宋体" w:cs="宋体"/>
          <w:sz w:val="24"/>
          <w:szCs w:val="24"/>
          <w:lang w:eastAsia="zh-CN"/>
        </w:rPr>
        <w:t>正反面原件</w:t>
      </w:r>
      <w:r>
        <w:rPr>
          <w:rFonts w:hint="eastAsia" w:ascii="宋体" w:hAnsi="宋体" w:cs="宋体"/>
          <w:sz w:val="24"/>
          <w:szCs w:val="24"/>
          <w:lang w:val="en-US" w:eastAsia="zh-CN"/>
        </w:rPr>
        <w:t>的</w:t>
      </w:r>
      <w:r>
        <w:rPr>
          <w:rFonts w:hint="eastAsia" w:ascii="宋体" w:hAnsi="宋体" w:cs="宋体"/>
          <w:sz w:val="24"/>
          <w:szCs w:val="24"/>
        </w:rPr>
        <w:t>扫描件</w:t>
      </w:r>
      <w:r>
        <w:rPr>
          <w:rFonts w:hint="eastAsia" w:ascii="宋体" w:hAnsi="宋体" w:cs="宋体"/>
          <w:sz w:val="24"/>
          <w:szCs w:val="24"/>
          <w:lang w:eastAsia="zh-CN"/>
        </w:rPr>
        <w:t>）</w:t>
      </w:r>
    </w:p>
    <w:p w14:paraId="4D1FE0B6">
      <w:pPr>
        <w:spacing w:line="360" w:lineRule="auto"/>
        <w:ind w:firstLine="1090"/>
        <w:jc w:val="both"/>
        <w:rPr>
          <w:rFonts w:hint="eastAsia" w:ascii="宋体" w:hAnsi="宋体" w:cs="宋体"/>
          <w:sz w:val="24"/>
          <w:szCs w:val="24"/>
        </w:rPr>
      </w:pPr>
    </w:p>
    <w:p w14:paraId="3E3511D4">
      <w:pPr>
        <w:spacing w:line="360" w:lineRule="auto"/>
        <w:ind w:firstLine="5040"/>
        <w:jc w:val="both"/>
        <w:rPr>
          <w:rFonts w:ascii="宋体" w:hAnsi="宋体" w:cs="宋体"/>
          <w:sz w:val="24"/>
          <w:szCs w:val="24"/>
        </w:rPr>
      </w:pPr>
    </w:p>
    <w:p w14:paraId="482FF2B2">
      <w:pPr>
        <w:spacing w:line="360" w:lineRule="auto"/>
        <w:ind w:firstLine="5040"/>
        <w:jc w:val="both"/>
        <w:rPr>
          <w:rFonts w:hint="eastAsia" w:ascii="宋体" w:hAnsi="宋体" w:cs="宋体"/>
          <w:sz w:val="24"/>
          <w:szCs w:val="24"/>
        </w:rPr>
      </w:pPr>
    </w:p>
    <w:p w14:paraId="4F556854">
      <w:pPr>
        <w:spacing w:line="360" w:lineRule="auto"/>
        <w:ind w:firstLine="5040" w:firstLineChars="2100"/>
        <w:jc w:val="both"/>
        <w:rPr>
          <w:rFonts w:ascii="宋体" w:hAnsi="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kern w:val="2"/>
          <w:sz w:val="24"/>
          <w:szCs w:val="24"/>
          <w:u w:val="single"/>
          <w:lang w:val="en-US" w:eastAsia="zh-CN"/>
        </w:rPr>
        <w:t xml:space="preserve">       </w:t>
      </w:r>
      <w:r>
        <w:rPr>
          <w:rFonts w:hint="eastAsia" w:ascii="宋体" w:hAnsi="宋体" w:cs="宋体"/>
          <w:sz w:val="24"/>
          <w:szCs w:val="24"/>
          <w:u w:val="none"/>
        </w:rPr>
        <w:t xml:space="preserve"> （</w:t>
      </w:r>
      <w:r>
        <w:rPr>
          <w:rFonts w:hint="eastAsia" w:ascii="宋体" w:hAnsi="宋体" w:cs="宋体"/>
          <w:sz w:val="24"/>
          <w:szCs w:val="24"/>
          <w:u w:val="none"/>
          <w:lang w:eastAsia="zh-CN"/>
        </w:rPr>
        <w:t>公章电子</w:t>
      </w:r>
      <w:r>
        <w:rPr>
          <w:rFonts w:hint="eastAsia" w:ascii="宋体" w:hAnsi="宋体" w:cs="宋体"/>
          <w:sz w:val="24"/>
          <w:szCs w:val="24"/>
          <w:u w:val="none"/>
        </w:rPr>
        <w:t xml:space="preserve">签章） </w:t>
      </w:r>
    </w:p>
    <w:p w14:paraId="531A9B87">
      <w:pPr>
        <w:spacing w:line="360" w:lineRule="auto"/>
        <w:jc w:val="center"/>
        <w:rPr>
          <w:rFonts w:hint="eastAsia" w:ascii="宋体" w:hAnsi="宋体" w:cs="宋体"/>
          <w:sz w:val="24"/>
          <w:szCs w:val="24"/>
          <w:lang w:val="en-US" w:eastAsia="zh-CN"/>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p>
    <w:p w14:paraId="4A52D827">
      <w:pPr>
        <w:spacing w:line="360" w:lineRule="auto"/>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日</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F5E73C6">
      <w:pPr>
        <w:spacing w:line="360" w:lineRule="auto"/>
        <w:jc w:val="center"/>
        <w:rPr>
          <w:rFonts w:ascii="宋体" w:hAnsi="宋体" w:cs="宋体"/>
          <w:sz w:val="24"/>
          <w:szCs w:val="24"/>
        </w:rPr>
      </w:pPr>
      <w:r>
        <w:rPr>
          <w:rFonts w:hint="eastAsia" w:ascii="宋体" w:hAnsi="宋体" w:cs="宋体"/>
          <w:sz w:val="24"/>
          <w:szCs w:val="24"/>
        </w:rPr>
        <w:t xml:space="preserve"> </w:t>
      </w:r>
    </w:p>
    <w:p w14:paraId="58C7A45D">
      <w:pPr>
        <w:widowControl w:val="0"/>
        <w:spacing w:line="360" w:lineRule="auto"/>
        <w:jc w:val="both"/>
        <w:outlineLvl w:val="1"/>
        <w:rPr>
          <w:rFonts w:ascii="宋体" w:hAnsi="宋体" w:cs="宋体"/>
          <w:sz w:val="24"/>
          <w:szCs w:val="24"/>
        </w:rPr>
      </w:pPr>
      <w:r>
        <w:rPr>
          <w:rFonts w:hint="eastAsia" w:ascii="宋体" w:hAnsi="宋体" w:cs="宋体"/>
          <w:kern w:val="2"/>
          <w:sz w:val="24"/>
          <w:szCs w:val="24"/>
        </w:rPr>
        <w:t xml:space="preserve"> </w:t>
      </w:r>
    </w:p>
    <w:p w14:paraId="66249FD0">
      <w:pPr>
        <w:keepNext/>
        <w:keepLines/>
        <w:widowControl w:val="0"/>
        <w:spacing w:before="20" w:after="20" w:line="360" w:lineRule="auto"/>
        <w:jc w:val="center"/>
        <w:outlineLvl w:val="1"/>
        <w:rPr>
          <w:rFonts w:ascii="宋体" w:hAnsi="宋体"/>
          <w:b/>
          <w:kern w:val="2"/>
          <w:sz w:val="24"/>
          <w:szCs w:val="24"/>
        </w:rPr>
      </w:pPr>
      <w:bookmarkStart w:id="166" w:name="_Toc461977432"/>
      <w:bookmarkEnd w:id="166"/>
      <w:r>
        <w:rPr>
          <w:rFonts w:hint="eastAsia" w:ascii="宋体" w:hAnsi="宋体"/>
          <w:b/>
          <w:kern w:val="2"/>
          <w:sz w:val="24"/>
          <w:szCs w:val="24"/>
        </w:rPr>
        <w:t xml:space="preserve"> </w:t>
      </w:r>
    </w:p>
    <w:p w14:paraId="479B05F8">
      <w:pPr>
        <w:keepNext/>
        <w:keepLines/>
        <w:widowControl w:val="0"/>
        <w:spacing w:before="20" w:after="20" w:line="360" w:lineRule="auto"/>
        <w:jc w:val="center"/>
        <w:outlineLvl w:val="1"/>
        <w:rPr>
          <w:rFonts w:ascii="宋体" w:hAnsi="宋体"/>
          <w:b/>
          <w:kern w:val="2"/>
          <w:sz w:val="24"/>
          <w:szCs w:val="24"/>
        </w:rPr>
      </w:pPr>
    </w:p>
    <w:p w14:paraId="44B048DE">
      <w:pPr>
        <w:pStyle w:val="6"/>
        <w:bidi w:val="0"/>
      </w:pPr>
    </w:p>
    <w:p w14:paraId="4DAB7B84">
      <w:pPr>
        <w:spacing w:line="360" w:lineRule="auto"/>
        <w:jc w:val="both"/>
        <w:rPr>
          <w:rFonts w:hint="eastAsia" w:ascii="宋体" w:hAnsi="宋体" w:cs="宋体"/>
          <w:b/>
          <w:sz w:val="24"/>
          <w:szCs w:val="24"/>
        </w:rPr>
      </w:pPr>
    </w:p>
    <w:p w14:paraId="591E83AE">
      <w:pPr>
        <w:spacing w:line="360" w:lineRule="auto"/>
        <w:jc w:val="center"/>
        <w:rPr>
          <w:rFonts w:hint="eastAsia" w:ascii="宋体" w:hAnsi="宋体" w:cs="宋体"/>
          <w:b/>
          <w:sz w:val="24"/>
          <w:szCs w:val="24"/>
        </w:rPr>
      </w:pPr>
    </w:p>
    <w:p w14:paraId="765B01D7">
      <w:pPr>
        <w:spacing w:line="360" w:lineRule="auto"/>
        <w:jc w:val="center"/>
        <w:rPr>
          <w:rFonts w:hint="eastAsia" w:ascii="宋体" w:hAnsi="宋体" w:cs="宋体"/>
          <w:b/>
          <w:sz w:val="24"/>
          <w:szCs w:val="24"/>
        </w:rPr>
      </w:pPr>
    </w:p>
    <w:p w14:paraId="73A5AF75">
      <w:pPr>
        <w:spacing w:line="360" w:lineRule="auto"/>
        <w:jc w:val="center"/>
        <w:rPr>
          <w:rFonts w:hint="eastAsia" w:ascii="宋体" w:hAnsi="宋体" w:cs="宋体"/>
          <w:b/>
          <w:sz w:val="24"/>
          <w:szCs w:val="24"/>
        </w:rPr>
      </w:pPr>
    </w:p>
    <w:p w14:paraId="2787A4E0">
      <w:pPr>
        <w:spacing w:line="360" w:lineRule="auto"/>
        <w:jc w:val="center"/>
        <w:rPr>
          <w:rFonts w:hint="eastAsia" w:ascii="宋体" w:hAnsi="宋体" w:cs="宋体"/>
          <w:b/>
          <w:sz w:val="24"/>
          <w:szCs w:val="24"/>
        </w:rPr>
      </w:pPr>
    </w:p>
    <w:p w14:paraId="53C89603">
      <w:pPr>
        <w:spacing w:line="360" w:lineRule="auto"/>
        <w:jc w:val="both"/>
        <w:rPr>
          <w:rFonts w:hint="eastAsia" w:ascii="宋体" w:hAnsi="宋体" w:cs="宋体"/>
          <w:b/>
          <w:sz w:val="24"/>
          <w:szCs w:val="24"/>
          <w:lang w:eastAsia="zh-CN"/>
        </w:rPr>
      </w:pPr>
    </w:p>
    <w:p w14:paraId="47E27F13">
      <w:pPr>
        <w:spacing w:line="360" w:lineRule="auto"/>
        <w:jc w:val="center"/>
        <w:rPr>
          <w:rFonts w:hint="eastAsia" w:ascii="宋体" w:hAnsi="宋体" w:cs="宋体"/>
          <w:b/>
          <w:sz w:val="24"/>
          <w:szCs w:val="24"/>
          <w:lang w:eastAsia="zh-CN"/>
        </w:rPr>
      </w:pPr>
    </w:p>
    <w:p w14:paraId="1F6D9D39">
      <w:pPr>
        <w:spacing w:line="360" w:lineRule="auto"/>
        <w:jc w:val="center"/>
        <w:rPr>
          <w:rFonts w:hint="eastAsia" w:ascii="宋体" w:hAnsi="宋体" w:cs="宋体"/>
          <w:b/>
          <w:sz w:val="24"/>
          <w:szCs w:val="24"/>
          <w:lang w:eastAsia="zh-CN"/>
        </w:rPr>
      </w:pPr>
    </w:p>
    <w:p w14:paraId="7BF46E26">
      <w:pPr>
        <w:spacing w:line="360" w:lineRule="auto"/>
        <w:jc w:val="center"/>
        <w:rPr>
          <w:rFonts w:ascii="宋体" w:hAnsi="宋体" w:cs="宋体"/>
          <w:b/>
          <w:sz w:val="24"/>
          <w:szCs w:val="24"/>
        </w:rPr>
      </w:pPr>
      <w:r>
        <w:rPr>
          <w:rFonts w:hint="eastAsia" w:ascii="宋体" w:hAnsi="宋体" w:cs="宋体"/>
          <w:b/>
          <w:sz w:val="24"/>
          <w:szCs w:val="24"/>
          <w:lang w:val="en-US" w:eastAsia="zh-CN"/>
        </w:rPr>
        <w:t>三、</w:t>
      </w:r>
      <w:r>
        <w:rPr>
          <w:rFonts w:hint="eastAsia" w:ascii="宋体" w:hAnsi="宋体" w:cs="宋体"/>
          <w:b/>
          <w:sz w:val="24"/>
          <w:szCs w:val="24"/>
        </w:rPr>
        <w:t>法</w:t>
      </w:r>
      <w:r>
        <w:rPr>
          <w:rFonts w:hint="eastAsia" w:ascii="宋体" w:hAnsi="宋体" w:cs="宋体"/>
          <w:b/>
          <w:sz w:val="24"/>
          <w:szCs w:val="24"/>
          <w:lang w:val="en-US" w:eastAsia="zh-CN"/>
        </w:rPr>
        <w:t>人</w:t>
      </w:r>
      <w:r>
        <w:rPr>
          <w:rFonts w:hint="eastAsia" w:ascii="宋体" w:hAnsi="宋体" w:cs="宋体"/>
          <w:b/>
          <w:sz w:val="24"/>
          <w:szCs w:val="24"/>
        </w:rPr>
        <w:t>授权</w:t>
      </w:r>
      <w:r>
        <w:rPr>
          <w:rFonts w:hint="eastAsia" w:ascii="宋体" w:hAnsi="宋体" w:cs="宋体"/>
          <w:b/>
          <w:sz w:val="24"/>
          <w:szCs w:val="24"/>
          <w:lang w:val="en-US" w:eastAsia="zh-CN"/>
        </w:rPr>
        <w:t>委托</w:t>
      </w:r>
      <w:r>
        <w:rPr>
          <w:rFonts w:hint="eastAsia" w:ascii="宋体" w:hAnsi="宋体" w:cs="宋体"/>
          <w:b/>
          <w:sz w:val="24"/>
          <w:szCs w:val="24"/>
        </w:rPr>
        <w:t>书</w:t>
      </w:r>
    </w:p>
    <w:p w14:paraId="3FD71B87">
      <w:pPr>
        <w:snapToGrid w:val="0"/>
        <w:spacing w:line="360" w:lineRule="auto"/>
        <w:ind w:firstLine="480" w:firstLineChars="200"/>
        <w:rPr>
          <w:rFonts w:ascii="宋体" w:hAnsi="宋体"/>
          <w:sz w:val="24"/>
          <w:szCs w:val="24"/>
        </w:rPr>
      </w:pPr>
    </w:p>
    <w:p w14:paraId="5169895E">
      <w:pPr>
        <w:spacing w:line="360" w:lineRule="auto"/>
        <w:ind w:firstLine="480" w:firstLineChars="200"/>
        <w:rPr>
          <w:rFonts w:hint="eastAsia" w:ascii="宋体" w:hAnsi="宋体"/>
          <w:sz w:val="24"/>
          <w:szCs w:val="24"/>
        </w:rPr>
      </w:pPr>
      <w:r>
        <w:rPr>
          <w:rFonts w:hint="eastAsia" w:ascii="宋体" w:hAnsi="宋体"/>
          <w:sz w:val="24"/>
          <w:szCs w:val="24"/>
        </w:rPr>
        <w:t>本人</w:t>
      </w:r>
      <w:r>
        <w:rPr>
          <w:rFonts w:hint="eastAsia" w:ascii="宋体" w:hAnsi="宋体"/>
          <w:sz w:val="24"/>
          <w:szCs w:val="24"/>
          <w:u w:val="single"/>
          <w:lang w:val="en-US" w:eastAsia="zh-CN"/>
        </w:rPr>
        <w:t xml:space="preserve">        </w:t>
      </w:r>
      <w:r>
        <w:rPr>
          <w:rFonts w:hint="eastAsia" w:ascii="宋体" w:hAnsi="宋体"/>
          <w:sz w:val="24"/>
          <w:szCs w:val="24"/>
        </w:rPr>
        <w:t>（姓名）系</w:t>
      </w:r>
      <w:r>
        <w:rPr>
          <w:rFonts w:hint="eastAsia" w:ascii="宋体" w:hAnsi="宋体"/>
          <w:sz w:val="24"/>
          <w:szCs w:val="24"/>
          <w:u w:val="single"/>
          <w:lang w:val="en-US" w:eastAsia="zh-CN"/>
        </w:rPr>
        <w:t xml:space="preserve">         </w:t>
      </w:r>
      <w:r>
        <w:rPr>
          <w:rFonts w:hint="eastAsia" w:ascii="宋体" w:hAnsi="宋体"/>
          <w:sz w:val="24"/>
          <w:szCs w:val="24"/>
        </w:rPr>
        <w:t>（供应商名称）的法定代表人，现委托</w:t>
      </w:r>
      <w:r>
        <w:rPr>
          <w:rFonts w:hint="eastAsia" w:ascii="宋体" w:hAnsi="宋体"/>
          <w:sz w:val="24"/>
          <w:szCs w:val="24"/>
          <w:u w:val="single"/>
          <w:lang w:val="en-US" w:eastAsia="zh-CN"/>
        </w:rPr>
        <w:t xml:space="preserve">        </w:t>
      </w:r>
      <w:r>
        <w:rPr>
          <w:rFonts w:hint="eastAsia" w:ascii="宋体" w:hAnsi="宋体"/>
          <w:sz w:val="24"/>
          <w:szCs w:val="24"/>
        </w:rPr>
        <w:t>（姓名）为我方代理人。代理人根据授权，以我方名义签署、澄清、说明、补正、递交、撤回、修改</w:t>
      </w:r>
      <w:r>
        <w:rPr>
          <w:rFonts w:hint="eastAsia" w:ascii="宋体" w:hAnsi="宋体"/>
          <w:sz w:val="24"/>
          <w:szCs w:val="24"/>
          <w:u w:val="single"/>
          <w:lang w:val="en-US" w:eastAsia="zh-CN"/>
        </w:rPr>
        <w:t xml:space="preserve">                </w:t>
      </w:r>
      <w:r>
        <w:rPr>
          <w:rFonts w:hint="eastAsia" w:ascii="宋体" w:hAnsi="宋体"/>
          <w:sz w:val="24"/>
          <w:szCs w:val="24"/>
        </w:rPr>
        <w:t>（项目名称）响应文件、签订合同和处理有关事宜，其法律后果由我方承担。</w:t>
      </w:r>
    </w:p>
    <w:p w14:paraId="78FE9086">
      <w:pPr>
        <w:spacing w:line="360" w:lineRule="auto"/>
        <w:ind w:firstLine="480" w:firstLineChars="200"/>
        <w:rPr>
          <w:rFonts w:hint="eastAsia" w:ascii="宋体" w:hAnsi="宋体"/>
          <w:sz w:val="24"/>
          <w:szCs w:val="24"/>
        </w:rPr>
      </w:pPr>
      <w:r>
        <w:rPr>
          <w:rFonts w:hint="eastAsia" w:ascii="宋体" w:hAnsi="宋体"/>
          <w:sz w:val="24"/>
          <w:szCs w:val="24"/>
        </w:rPr>
        <w:t>委托期限：</w:t>
      </w:r>
      <w:r>
        <w:rPr>
          <w:rFonts w:hint="eastAsia" w:ascii="宋体" w:hAnsi="宋体"/>
          <w:sz w:val="24"/>
          <w:szCs w:val="24"/>
          <w:u w:val="single"/>
          <w:lang w:val="en-US" w:eastAsia="zh-CN"/>
        </w:rPr>
        <w:t xml:space="preserve">           </w:t>
      </w:r>
      <w:r>
        <w:rPr>
          <w:rFonts w:hint="eastAsia" w:ascii="宋体" w:hAnsi="宋体"/>
          <w:sz w:val="24"/>
          <w:szCs w:val="24"/>
        </w:rPr>
        <w:t xml:space="preserve"> 。</w:t>
      </w:r>
    </w:p>
    <w:p w14:paraId="55E11903">
      <w:pPr>
        <w:spacing w:line="360" w:lineRule="auto"/>
        <w:ind w:firstLine="480" w:firstLineChars="200"/>
        <w:rPr>
          <w:rFonts w:hint="eastAsia" w:ascii="宋体" w:hAnsi="宋体"/>
          <w:sz w:val="24"/>
          <w:szCs w:val="24"/>
        </w:rPr>
      </w:pPr>
      <w:r>
        <w:rPr>
          <w:rFonts w:hint="eastAsia" w:ascii="宋体" w:hAnsi="宋体"/>
          <w:sz w:val="24"/>
          <w:szCs w:val="24"/>
        </w:rPr>
        <w:t>代理人无转委托权。</w:t>
      </w:r>
    </w:p>
    <w:p w14:paraId="5A4ADA5D">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lang w:eastAsia="zh-CN"/>
        </w:rPr>
        <w:t>（后</w:t>
      </w:r>
      <w:r>
        <w:rPr>
          <w:rFonts w:hint="eastAsia" w:ascii="宋体" w:hAnsi="宋体"/>
          <w:sz w:val="24"/>
          <w:szCs w:val="24"/>
        </w:rPr>
        <w:t>附委托代理人身份证正反面原件</w:t>
      </w:r>
      <w:r>
        <w:rPr>
          <w:rFonts w:hint="eastAsia" w:ascii="宋体" w:hAnsi="宋体"/>
          <w:sz w:val="24"/>
          <w:szCs w:val="24"/>
          <w:lang w:val="en-US" w:eastAsia="zh-CN"/>
        </w:rPr>
        <w:t>的</w:t>
      </w:r>
      <w:r>
        <w:rPr>
          <w:rFonts w:hint="eastAsia" w:ascii="宋体" w:hAnsi="宋体"/>
          <w:sz w:val="24"/>
          <w:szCs w:val="24"/>
        </w:rPr>
        <w:t>扫描件</w:t>
      </w:r>
      <w:r>
        <w:rPr>
          <w:rFonts w:hint="eastAsia" w:ascii="宋体" w:hAnsi="宋体"/>
          <w:sz w:val="24"/>
          <w:szCs w:val="24"/>
          <w:lang w:eastAsia="zh-CN"/>
        </w:rPr>
        <w:t>）</w:t>
      </w:r>
    </w:p>
    <w:p w14:paraId="3B2B4328">
      <w:pPr>
        <w:spacing w:line="360" w:lineRule="auto"/>
        <w:ind w:firstLine="480" w:firstLineChars="200"/>
        <w:rPr>
          <w:rFonts w:ascii="宋体" w:hAnsi="宋体"/>
          <w:sz w:val="24"/>
          <w:szCs w:val="24"/>
        </w:rPr>
      </w:pPr>
      <w:r>
        <w:rPr>
          <w:rFonts w:hint="eastAsia" w:ascii="宋体" w:hAnsi="宋体"/>
          <w:sz w:val="24"/>
          <w:szCs w:val="24"/>
        </w:rPr>
        <w:t xml:space="preserve"> </w:t>
      </w:r>
    </w:p>
    <w:p w14:paraId="0E990EA9">
      <w:pPr>
        <w:spacing w:line="360" w:lineRule="auto"/>
        <w:jc w:val="center"/>
        <w:rPr>
          <w:rFonts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供应商</w:t>
      </w:r>
      <w:r>
        <w:rPr>
          <w:rFonts w:hint="eastAsia" w:ascii="宋体" w:hAnsi="宋体"/>
          <w:sz w:val="24"/>
          <w:szCs w:val="24"/>
          <w:lang w:eastAsia="zh-CN"/>
        </w:rPr>
        <w:t>名称</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sz w:val="24"/>
          <w:szCs w:val="24"/>
        </w:rPr>
        <w:t>（</w:t>
      </w:r>
      <w:r>
        <w:rPr>
          <w:rFonts w:hint="eastAsia" w:ascii="宋体" w:hAnsi="宋体"/>
          <w:sz w:val="24"/>
          <w:szCs w:val="24"/>
          <w:lang w:eastAsia="zh-CN"/>
        </w:rPr>
        <w:t>公章电子</w:t>
      </w:r>
      <w:r>
        <w:rPr>
          <w:rFonts w:hint="eastAsia" w:ascii="宋体" w:hAnsi="宋体"/>
          <w:sz w:val="24"/>
          <w:szCs w:val="24"/>
        </w:rPr>
        <w:t>签章）</w:t>
      </w:r>
    </w:p>
    <w:p w14:paraId="72EAF9B9">
      <w:pPr>
        <w:spacing w:line="360" w:lineRule="auto"/>
        <w:jc w:val="center"/>
        <w:rPr>
          <w:rFonts w:ascii="宋体" w:hAnsi="宋体"/>
          <w:sz w:val="24"/>
          <w:szCs w:val="24"/>
          <w:u w:val="single"/>
        </w:rPr>
      </w:pPr>
      <w:r>
        <w:rPr>
          <w:rFonts w:hint="eastAsia" w:ascii="宋体" w:hAnsi="宋体"/>
          <w:sz w:val="24"/>
          <w:szCs w:val="24"/>
          <w:lang w:val="en-US" w:eastAsia="zh-CN"/>
        </w:rPr>
        <w:t xml:space="preserve">                                  </w:t>
      </w:r>
      <w:r>
        <w:rPr>
          <w:rFonts w:hint="eastAsia" w:ascii="宋体" w:hAnsi="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sz w:val="24"/>
          <w:szCs w:val="24"/>
        </w:rPr>
        <w:t>（法人</w:t>
      </w:r>
      <w:r>
        <w:rPr>
          <w:rFonts w:hint="eastAsia" w:ascii="宋体" w:hAnsi="宋体"/>
          <w:sz w:val="24"/>
          <w:szCs w:val="24"/>
          <w:lang w:eastAsia="zh-CN"/>
        </w:rPr>
        <w:t>电子</w:t>
      </w:r>
      <w:r>
        <w:rPr>
          <w:rFonts w:hint="eastAsia" w:ascii="宋体" w:hAnsi="宋体"/>
          <w:sz w:val="24"/>
          <w:szCs w:val="24"/>
        </w:rPr>
        <w:t>签章）                        　　　　</w:t>
      </w:r>
    </w:p>
    <w:p w14:paraId="0C009D99">
      <w:p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 xml:space="preserve">           </w:t>
      </w:r>
      <w:r>
        <w:rPr>
          <w:rFonts w:hint="eastAsia" w:ascii="宋体" w:hAnsi="宋体"/>
          <w:sz w:val="24"/>
          <w:szCs w:val="24"/>
        </w:rPr>
        <w:t>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p>
    <w:p w14:paraId="1B33A842">
      <w:pPr>
        <w:spacing w:line="360" w:lineRule="auto"/>
        <w:jc w:val="center"/>
        <w:rPr>
          <w:rFonts w:hint="eastAsia" w:ascii="宋体" w:hAnsi="宋体"/>
          <w:kern w:val="2"/>
          <w:sz w:val="24"/>
          <w:szCs w:val="24"/>
          <w:u w:val="single"/>
          <w:lang w:val="en-US" w:eastAsia="zh-CN"/>
        </w:rPr>
      </w:pPr>
      <w:r>
        <w:rPr>
          <w:rFonts w:hint="eastAsia" w:ascii="宋体" w:hAnsi="宋体"/>
          <w:sz w:val="24"/>
          <w:szCs w:val="24"/>
          <w:lang w:val="en-US" w:eastAsia="zh-CN"/>
        </w:rPr>
        <w:t xml:space="preserve">              </w:t>
      </w:r>
      <w:r>
        <w:rPr>
          <w:rFonts w:hint="eastAsia" w:ascii="宋体" w:hAnsi="宋体"/>
          <w:sz w:val="24"/>
          <w:szCs w:val="24"/>
        </w:rPr>
        <w:t>委托代理人</w:t>
      </w:r>
      <w:r>
        <w:rPr>
          <w:rFonts w:hint="eastAsia" w:ascii="宋体" w:hAnsi="宋体"/>
          <w:sz w:val="24"/>
          <w:szCs w:val="24"/>
          <w:lang w:val="en-US" w:eastAsia="zh-CN"/>
        </w:rPr>
        <w:t>姓名</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kern w:val="2"/>
          <w:sz w:val="24"/>
          <w:szCs w:val="24"/>
          <w:u w:val="none"/>
          <w:lang w:val="en-US" w:eastAsia="zh-CN"/>
        </w:rPr>
        <w:t xml:space="preserve"> </w:t>
      </w:r>
    </w:p>
    <w:p w14:paraId="31FA153B">
      <w:pPr>
        <w:spacing w:line="360" w:lineRule="auto"/>
        <w:jc w:val="center"/>
        <w:rPr>
          <w:rFonts w:ascii="宋体" w:hAnsi="宋体" w:cs="宋体"/>
          <w:b/>
          <w:sz w:val="24"/>
          <w:szCs w:val="24"/>
        </w:rPr>
      </w:pPr>
      <w:r>
        <w:rPr>
          <w:rFonts w:hint="eastAsia" w:ascii="宋体" w:hAnsi="宋体"/>
          <w:sz w:val="24"/>
          <w:szCs w:val="24"/>
          <w:lang w:val="en-US" w:eastAsia="zh-CN"/>
        </w:rPr>
        <w:t xml:space="preserve"> </w:t>
      </w:r>
      <w:r>
        <w:rPr>
          <w:rFonts w:hint="eastAsia" w:ascii="宋体" w:hAnsi="宋体"/>
          <w:sz w:val="24"/>
          <w:szCs w:val="24"/>
        </w:rPr>
        <w:t>委托代理人身份证号码：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p>
    <w:p w14:paraId="7BC2890A">
      <w:pPr>
        <w:spacing w:line="360" w:lineRule="auto"/>
        <w:jc w:val="center"/>
        <w:rPr>
          <w:rFonts w:ascii="宋体" w:hAnsi="宋体" w:cs="宋体"/>
          <w:bCs/>
          <w:sz w:val="24"/>
          <w:szCs w:val="24"/>
        </w:rPr>
      </w:pPr>
      <w:r>
        <w:rPr>
          <w:rFonts w:hint="eastAsia" w:ascii="宋体" w:hAnsi="宋体" w:cs="宋体"/>
          <w:bCs/>
          <w:sz w:val="24"/>
          <w:szCs w:val="24"/>
          <w:lang w:val="en-US" w:eastAsia="zh-CN"/>
        </w:rPr>
        <w:t xml:space="preserve">         </w:t>
      </w:r>
      <w:r>
        <w:rPr>
          <w:rFonts w:hint="eastAsia" w:ascii="宋体" w:hAnsi="宋体" w:cs="宋体"/>
          <w:bCs/>
          <w:sz w:val="24"/>
          <w:szCs w:val="24"/>
        </w:rPr>
        <w:t>联系方式：</w:t>
      </w:r>
      <w:r>
        <w:rPr>
          <w:rFonts w:hint="eastAsia" w:ascii="宋体" w:hAnsi="宋体"/>
          <w:kern w:val="2"/>
          <w:sz w:val="24"/>
          <w:szCs w:val="24"/>
          <w:u w:val="single"/>
          <w:lang w:val="en-US" w:eastAsia="zh-CN"/>
        </w:rPr>
        <w:t xml:space="preserve">                        </w:t>
      </w:r>
    </w:p>
    <w:p w14:paraId="39BD7F01">
      <w:pPr>
        <w:spacing w:line="360" w:lineRule="auto"/>
        <w:jc w:val="both"/>
        <w:rPr>
          <w:rFonts w:ascii="宋体" w:hAnsi="宋体" w:cs="宋体"/>
          <w:b w:val="0"/>
          <w:bCs/>
          <w:sz w:val="24"/>
          <w:szCs w:val="24"/>
        </w:rPr>
      </w:pPr>
      <w:r>
        <w:rPr>
          <w:rFonts w:hint="eastAsia" w:ascii="宋体" w:hAnsi="宋体" w:cs="宋体"/>
          <w:b/>
          <w:sz w:val="24"/>
          <w:szCs w:val="24"/>
        </w:rPr>
        <w:t xml:space="preserve">                                     </w:t>
      </w:r>
      <w:r>
        <w:rPr>
          <w:rFonts w:hint="eastAsia" w:ascii="宋体" w:hAnsi="宋体" w:cs="宋体"/>
          <w:b w:val="0"/>
          <w:bCs/>
          <w:sz w:val="24"/>
          <w:szCs w:val="24"/>
          <w:lang w:eastAsia="zh-CN"/>
        </w:rPr>
        <w:t>日期：</w:t>
      </w:r>
      <w:r>
        <w:rPr>
          <w:rFonts w:hint="eastAsia" w:ascii="宋体" w:hAnsi="宋体" w:cs="宋体"/>
          <w:b w:val="0"/>
          <w:bCs/>
          <w:sz w:val="24"/>
          <w:szCs w:val="24"/>
        </w:rPr>
        <w:t xml:space="preserve"> 年  月  日</w:t>
      </w:r>
    </w:p>
    <w:p w14:paraId="66F74BF7">
      <w:pPr>
        <w:widowControl w:val="0"/>
        <w:spacing w:line="360" w:lineRule="auto"/>
        <w:ind w:firstLine="3410" w:firstLineChars="1421"/>
        <w:jc w:val="both"/>
        <w:rPr>
          <w:rFonts w:ascii="宋体" w:hAnsi="宋体"/>
          <w:sz w:val="24"/>
          <w:szCs w:val="24"/>
        </w:rPr>
      </w:pPr>
      <w:bookmarkStart w:id="167" w:name="_Hlk450185103"/>
      <w:bookmarkEnd w:id="167"/>
      <w:bookmarkStart w:id="168" w:name="_Toc87621074"/>
      <w:bookmarkEnd w:id="168"/>
      <w:bookmarkStart w:id="169" w:name="_Toc269219203"/>
      <w:bookmarkEnd w:id="169"/>
      <w:bookmarkStart w:id="170" w:name="_Toc90712554"/>
      <w:bookmarkEnd w:id="170"/>
      <w:bookmarkStart w:id="171" w:name="_Toc90713373"/>
      <w:bookmarkEnd w:id="171"/>
      <w:bookmarkStart w:id="172" w:name="_Toc461977433"/>
      <w:r>
        <w:rPr>
          <w:rFonts w:hint="eastAsia" w:ascii="宋体" w:hAnsi="宋体"/>
          <w:kern w:val="2"/>
          <w:sz w:val="24"/>
          <w:szCs w:val="24"/>
        </w:rPr>
        <w:t xml:space="preserve"> </w:t>
      </w:r>
      <w:bookmarkEnd w:id="172"/>
    </w:p>
    <w:p w14:paraId="014848FB">
      <w:pPr>
        <w:widowControl w:val="0"/>
        <w:spacing w:line="360" w:lineRule="auto"/>
        <w:ind w:firstLine="3410" w:firstLineChars="1421"/>
        <w:jc w:val="both"/>
        <w:rPr>
          <w:rFonts w:ascii="宋体" w:hAnsi="宋体"/>
          <w:sz w:val="24"/>
          <w:szCs w:val="24"/>
        </w:rPr>
      </w:pPr>
      <w:r>
        <w:rPr>
          <w:rFonts w:hint="eastAsia" w:ascii="宋体" w:hAnsi="宋体"/>
          <w:kern w:val="2"/>
          <w:sz w:val="24"/>
          <w:szCs w:val="24"/>
        </w:rPr>
        <w:t xml:space="preserve"> </w:t>
      </w:r>
    </w:p>
    <w:p w14:paraId="08A47552">
      <w:pPr>
        <w:widowControl w:val="0"/>
        <w:spacing w:line="360" w:lineRule="auto"/>
        <w:ind w:firstLine="3410" w:firstLineChars="1421"/>
        <w:jc w:val="both"/>
        <w:rPr>
          <w:rFonts w:ascii="宋体" w:hAnsi="宋体" w:cs="宋体"/>
          <w:kern w:val="2"/>
          <w:sz w:val="24"/>
          <w:szCs w:val="24"/>
        </w:rPr>
      </w:pPr>
    </w:p>
    <w:p w14:paraId="22778674">
      <w:pPr>
        <w:widowControl w:val="0"/>
        <w:spacing w:line="360" w:lineRule="auto"/>
        <w:ind w:firstLine="3410" w:firstLineChars="1421"/>
        <w:jc w:val="both"/>
        <w:rPr>
          <w:rFonts w:ascii="宋体" w:hAnsi="宋体" w:cs="宋体"/>
          <w:kern w:val="2"/>
          <w:sz w:val="24"/>
          <w:szCs w:val="24"/>
        </w:rPr>
      </w:pPr>
    </w:p>
    <w:p w14:paraId="436A9160">
      <w:pPr>
        <w:widowControl w:val="0"/>
        <w:spacing w:line="360" w:lineRule="auto"/>
        <w:ind w:firstLine="3424" w:firstLineChars="1421"/>
        <w:jc w:val="center"/>
        <w:rPr>
          <w:rFonts w:ascii="宋体" w:hAnsi="宋体" w:cs="宋体"/>
          <w:b/>
          <w:sz w:val="24"/>
          <w:szCs w:val="24"/>
        </w:rPr>
      </w:pPr>
    </w:p>
    <w:p w14:paraId="217125A7">
      <w:pPr>
        <w:widowControl w:val="0"/>
        <w:spacing w:line="360" w:lineRule="auto"/>
        <w:jc w:val="center"/>
        <w:outlineLvl w:val="1"/>
        <w:rPr>
          <w:rFonts w:ascii="宋体" w:hAnsi="宋体" w:cs="宋体"/>
          <w:b/>
          <w:sz w:val="24"/>
          <w:szCs w:val="24"/>
        </w:rPr>
      </w:pPr>
      <w:bookmarkStart w:id="173" w:name="_Toc269219204"/>
      <w:bookmarkEnd w:id="173"/>
      <w:bookmarkStart w:id="174" w:name="_Toc461977434"/>
    </w:p>
    <w:p w14:paraId="1A4DB565">
      <w:pPr>
        <w:widowControl w:val="0"/>
        <w:spacing w:line="360" w:lineRule="auto"/>
        <w:jc w:val="center"/>
        <w:outlineLvl w:val="1"/>
        <w:rPr>
          <w:rFonts w:ascii="宋体" w:hAnsi="宋体" w:cs="宋体"/>
          <w:b/>
          <w:sz w:val="24"/>
          <w:szCs w:val="24"/>
        </w:rPr>
      </w:pPr>
    </w:p>
    <w:p w14:paraId="7033D5DE">
      <w:pPr>
        <w:widowControl w:val="0"/>
        <w:spacing w:line="360" w:lineRule="auto"/>
        <w:jc w:val="both"/>
        <w:outlineLvl w:val="1"/>
        <w:rPr>
          <w:rFonts w:ascii="宋体" w:hAnsi="宋体" w:cs="宋体"/>
          <w:b/>
          <w:sz w:val="24"/>
          <w:szCs w:val="24"/>
        </w:rPr>
      </w:pPr>
    </w:p>
    <w:p w14:paraId="49ED501F">
      <w:pPr>
        <w:pStyle w:val="6"/>
        <w:bidi w:val="0"/>
      </w:pPr>
    </w:p>
    <w:p w14:paraId="6CCDBE64">
      <w:pPr>
        <w:widowControl w:val="0"/>
        <w:autoSpaceDE w:val="0"/>
        <w:autoSpaceDN w:val="0"/>
        <w:adjustRightInd w:val="0"/>
        <w:spacing w:line="360" w:lineRule="auto"/>
        <w:jc w:val="center"/>
        <w:rPr>
          <w:rFonts w:ascii="宋体" w:hAnsi="宋体"/>
          <w:b/>
          <w:sz w:val="24"/>
          <w:szCs w:val="24"/>
        </w:rPr>
      </w:pPr>
      <w:r>
        <w:rPr>
          <w:rFonts w:hint="eastAsia" w:ascii="宋体" w:hAnsi="宋体" w:cs="宋体"/>
          <w:b/>
          <w:sz w:val="24"/>
          <w:szCs w:val="24"/>
        </w:rPr>
        <w:br w:type="page"/>
      </w:r>
      <w:bookmarkStart w:id="175" w:name="_Toc461977437"/>
      <w:r>
        <w:rPr>
          <w:rFonts w:hint="eastAsia" w:ascii="宋体" w:hAnsi="宋体" w:cs="宋体"/>
          <w:b/>
          <w:sz w:val="24"/>
          <w:szCs w:val="24"/>
          <w:lang w:val="en-US" w:eastAsia="zh-CN"/>
        </w:rPr>
        <w:t>四</w:t>
      </w:r>
      <w:r>
        <w:rPr>
          <w:rFonts w:hint="eastAsia" w:ascii="宋体" w:hAnsi="宋体" w:cs="宋体"/>
          <w:b/>
          <w:sz w:val="24"/>
          <w:szCs w:val="24"/>
        </w:rPr>
        <w:t>、</w:t>
      </w:r>
      <w:r>
        <w:rPr>
          <w:rFonts w:hint="eastAsia" w:ascii="宋体" w:hAnsi="宋体" w:cs="宋体"/>
          <w:b/>
          <w:sz w:val="24"/>
          <w:szCs w:val="24"/>
          <w:lang w:eastAsia="zh-CN"/>
        </w:rPr>
        <w:t>磋商</w:t>
      </w:r>
      <w:r>
        <w:rPr>
          <w:rFonts w:hint="eastAsia" w:ascii="宋体" w:hAnsi="宋体" w:cs="宋体"/>
          <w:b/>
          <w:sz w:val="24"/>
          <w:szCs w:val="24"/>
        </w:rPr>
        <w:t>承诺函</w:t>
      </w:r>
      <w:bookmarkEnd w:id="175"/>
    </w:p>
    <w:p w14:paraId="6BE889AA">
      <w:pPr>
        <w:wordWrap w:val="0"/>
        <w:spacing w:line="360" w:lineRule="auto"/>
        <w:ind w:firstLine="480" w:firstLineChars="200"/>
        <w:rPr>
          <w:rFonts w:hint="eastAsia" w:ascii="宋体" w:hAnsi="宋体" w:cs="宋体"/>
          <w:sz w:val="24"/>
        </w:rPr>
      </w:pPr>
      <w:r>
        <w:rPr>
          <w:rFonts w:hint="eastAsia" w:ascii="宋体" w:hAnsi="宋体" w:cs="宋体"/>
          <w:sz w:val="24"/>
        </w:rPr>
        <w:t xml:space="preserve">致 </w:t>
      </w:r>
      <w:r>
        <w:rPr>
          <w:rFonts w:hint="eastAsia" w:ascii="宋体" w:hAnsi="宋体" w:cs="宋体"/>
          <w:sz w:val="24"/>
          <w:u w:val="single"/>
        </w:rPr>
        <w:t>（采购人）</w:t>
      </w:r>
      <w:r>
        <w:rPr>
          <w:rFonts w:hint="eastAsia" w:ascii="宋体" w:hAnsi="宋体" w:cs="宋体"/>
          <w:sz w:val="24"/>
          <w:u w:val="single"/>
          <w:lang w:val="en-US" w:eastAsia="zh-CN"/>
        </w:rPr>
        <w:t xml:space="preserve">   </w:t>
      </w:r>
      <w:r>
        <w:rPr>
          <w:rFonts w:hint="eastAsia" w:ascii="宋体" w:hAnsi="宋体" w:cs="宋体"/>
          <w:sz w:val="24"/>
        </w:rPr>
        <w:t>：</w:t>
      </w:r>
    </w:p>
    <w:p w14:paraId="236B1027">
      <w:pPr>
        <w:wordWrap w:val="0"/>
        <w:spacing w:line="360" w:lineRule="auto"/>
        <w:ind w:firstLine="480" w:firstLineChars="200"/>
        <w:rPr>
          <w:rFonts w:hint="eastAsia" w:ascii="宋体" w:hAnsi="宋体" w:cs="宋体"/>
          <w:sz w:val="24"/>
        </w:rPr>
      </w:pPr>
      <w:r>
        <w:rPr>
          <w:rFonts w:hint="eastAsia" w:ascii="宋体" w:hAnsi="宋体" w:cs="宋体"/>
          <w:sz w:val="24"/>
        </w:rPr>
        <w:t>我方已充分了解了</w:t>
      </w:r>
      <w:r>
        <w:rPr>
          <w:rFonts w:hint="eastAsia" w:ascii="宋体" w:hAnsi="宋体" w:cs="宋体"/>
          <w:sz w:val="24"/>
          <w:u w:val="single"/>
          <w:lang w:val="en-US" w:eastAsia="zh-CN"/>
        </w:rPr>
        <w:t xml:space="preserve">          </w:t>
      </w:r>
      <w:r>
        <w:rPr>
          <w:rFonts w:hint="eastAsia" w:ascii="宋体" w:hAnsi="宋体" w:cs="宋体"/>
          <w:sz w:val="24"/>
        </w:rPr>
        <w:t>（项目名称）（项目编号</w:t>
      </w:r>
      <w:r>
        <w:rPr>
          <w:rFonts w:hint="eastAsia" w:ascii="宋体" w:hAnsi="宋体" w:cs="宋体"/>
          <w:sz w:val="24"/>
          <w:lang w:eastAsia="zh-CN"/>
        </w:rPr>
        <w:t>：</w:t>
      </w:r>
      <w:r>
        <w:rPr>
          <w:rFonts w:hint="eastAsia" w:ascii="宋体" w:hAnsi="宋体" w:cs="宋体"/>
          <w:sz w:val="24"/>
          <w:u w:val="single"/>
          <w:lang w:val="en-US" w:eastAsia="zh-CN"/>
        </w:rPr>
        <w:t xml:space="preserve">          </w:t>
      </w:r>
      <w:r>
        <w:rPr>
          <w:rFonts w:hint="eastAsia" w:ascii="宋体" w:hAnsi="宋体" w:cs="宋体"/>
          <w:sz w:val="24"/>
        </w:rPr>
        <w:t>）的</w:t>
      </w:r>
      <w:r>
        <w:rPr>
          <w:rFonts w:hint="eastAsia" w:ascii="宋体" w:hAnsi="宋体" w:cs="宋体"/>
          <w:sz w:val="24"/>
          <w:lang w:eastAsia="zh-CN"/>
        </w:rPr>
        <w:t>竞争性磋商</w:t>
      </w:r>
      <w:r>
        <w:rPr>
          <w:rFonts w:hint="eastAsia" w:ascii="宋体" w:hAnsi="宋体" w:cs="宋体"/>
          <w:sz w:val="24"/>
        </w:rPr>
        <w:t>文件，愿意遵照本项目《</w:t>
      </w:r>
      <w:r>
        <w:rPr>
          <w:rFonts w:hint="eastAsia" w:ascii="宋体" w:hAnsi="宋体" w:cs="宋体"/>
          <w:sz w:val="24"/>
          <w:lang w:eastAsia="zh-CN"/>
        </w:rPr>
        <w:t>竞争性</w:t>
      </w:r>
      <w:r>
        <w:rPr>
          <w:rFonts w:hint="eastAsia" w:ascii="宋体" w:hAnsi="宋体" w:cs="宋体"/>
          <w:sz w:val="24"/>
        </w:rPr>
        <w:t>磋商文件》、《中华人民共和国政府采购法》等有关规定参与竞标，并承诺如下：</w:t>
      </w:r>
    </w:p>
    <w:p w14:paraId="222E92A0">
      <w:pPr>
        <w:wordWrap w:val="0"/>
        <w:spacing w:line="360" w:lineRule="auto"/>
        <w:ind w:firstLine="480" w:firstLineChars="200"/>
        <w:rPr>
          <w:rFonts w:hint="eastAsia" w:ascii="宋体" w:hAnsi="宋体" w:cs="宋体"/>
          <w:sz w:val="24"/>
        </w:rPr>
      </w:pPr>
      <w:r>
        <w:rPr>
          <w:rFonts w:hint="eastAsia" w:ascii="宋体" w:hAnsi="宋体" w:cs="宋体"/>
          <w:sz w:val="24"/>
        </w:rPr>
        <w:t>1、我方承诺将严格按照“公开、公平、公正和诚实信用原则”参与本项目竞标活动。</w:t>
      </w:r>
    </w:p>
    <w:p w14:paraId="6747C402">
      <w:pPr>
        <w:wordWrap w:val="0"/>
        <w:spacing w:line="360" w:lineRule="auto"/>
        <w:ind w:firstLine="480" w:firstLineChars="200"/>
        <w:rPr>
          <w:rFonts w:hint="eastAsia" w:ascii="宋体" w:hAnsi="宋体" w:cs="宋体"/>
          <w:sz w:val="24"/>
        </w:rPr>
      </w:pPr>
      <w:r>
        <w:rPr>
          <w:rFonts w:hint="eastAsia" w:ascii="宋体" w:hAnsi="宋体" w:cs="宋体"/>
          <w:sz w:val="24"/>
        </w:rPr>
        <w:t>2、我方承诺在投标有效期内不撤销响应文件；</w:t>
      </w:r>
    </w:p>
    <w:p w14:paraId="4EE6869D">
      <w:pPr>
        <w:wordWrap w:val="0"/>
        <w:spacing w:line="360" w:lineRule="auto"/>
        <w:ind w:firstLine="480" w:firstLineChars="200"/>
        <w:rPr>
          <w:rFonts w:hint="eastAsia" w:ascii="宋体" w:hAnsi="宋体" w:cs="宋体"/>
          <w:sz w:val="24"/>
        </w:rPr>
      </w:pPr>
      <w:r>
        <w:rPr>
          <w:rFonts w:hint="eastAsia" w:ascii="宋体" w:hAnsi="宋体" w:cs="宋体"/>
          <w:sz w:val="24"/>
        </w:rPr>
        <w:t>3、我方承诺在响应文件及对三门峡市公共资源交易供应商市场主体信息库中提供的材料真实有效；</w:t>
      </w:r>
    </w:p>
    <w:p w14:paraId="24ED0D28">
      <w:pPr>
        <w:wordWrap w:val="0"/>
        <w:spacing w:line="360" w:lineRule="auto"/>
        <w:ind w:firstLine="480" w:firstLineChars="200"/>
        <w:rPr>
          <w:rFonts w:hint="eastAsia" w:ascii="宋体" w:hAnsi="宋体" w:cs="宋体"/>
          <w:sz w:val="24"/>
        </w:rPr>
      </w:pPr>
      <w:r>
        <w:rPr>
          <w:rFonts w:hint="eastAsia" w:ascii="宋体" w:hAnsi="宋体" w:cs="宋体"/>
          <w:sz w:val="24"/>
        </w:rPr>
        <w:t>4、我方承诺绝不与采购人、其他投标供应商或者代理机构恶意串通的投标；</w:t>
      </w:r>
    </w:p>
    <w:p w14:paraId="18255901">
      <w:pPr>
        <w:wordWrap w:val="0"/>
        <w:spacing w:line="360" w:lineRule="auto"/>
        <w:ind w:firstLine="480" w:firstLineChars="200"/>
        <w:rPr>
          <w:rFonts w:hint="eastAsia" w:ascii="宋体" w:hAnsi="宋体" w:cs="宋体"/>
          <w:sz w:val="24"/>
        </w:rPr>
      </w:pPr>
      <w:r>
        <w:rPr>
          <w:rFonts w:hint="eastAsia" w:ascii="宋体" w:hAnsi="宋体" w:cs="宋体"/>
          <w:sz w:val="24"/>
        </w:rPr>
        <w:t>5、我方承诺绝不以他人的名义投标、串通投标、以行贿手段谋取中标或者以其他弄虚作假方式投标；</w:t>
      </w:r>
    </w:p>
    <w:p w14:paraId="1B1AD10E">
      <w:pPr>
        <w:wordWrap w:val="0"/>
        <w:spacing w:line="360" w:lineRule="auto"/>
        <w:ind w:firstLine="480" w:firstLineChars="200"/>
        <w:rPr>
          <w:rFonts w:hint="eastAsia" w:ascii="宋体" w:hAnsi="宋体" w:cs="宋体"/>
          <w:sz w:val="24"/>
        </w:rPr>
      </w:pPr>
      <w:r>
        <w:rPr>
          <w:rFonts w:hint="eastAsia" w:ascii="宋体" w:hAnsi="宋体" w:cs="宋体"/>
          <w:sz w:val="24"/>
        </w:rPr>
        <w:t>6、我方承诺绝不采取不正当手段谋取中标；</w:t>
      </w:r>
    </w:p>
    <w:p w14:paraId="0036E9C1">
      <w:pPr>
        <w:wordWrap w:val="0"/>
        <w:spacing w:line="360" w:lineRule="auto"/>
        <w:ind w:firstLine="480" w:firstLineChars="200"/>
        <w:rPr>
          <w:rFonts w:hint="eastAsia" w:ascii="宋体" w:hAnsi="宋体" w:cs="宋体"/>
          <w:sz w:val="24"/>
        </w:rPr>
      </w:pPr>
      <w:r>
        <w:rPr>
          <w:rFonts w:hint="eastAsia" w:ascii="宋体" w:hAnsi="宋体" w:cs="宋体"/>
          <w:sz w:val="24"/>
        </w:rPr>
        <w:t>7、如我方中标，我方承诺在收到成交通知书后，在成交通知书规定的期限内，根据</w:t>
      </w:r>
      <w:r>
        <w:rPr>
          <w:rFonts w:hint="eastAsia" w:ascii="宋体" w:hAnsi="宋体" w:cs="宋体"/>
          <w:sz w:val="24"/>
          <w:lang w:eastAsia="zh-CN"/>
        </w:rPr>
        <w:t>磋商</w:t>
      </w:r>
      <w:r>
        <w:rPr>
          <w:rFonts w:hint="eastAsia" w:ascii="宋体" w:hAnsi="宋体" w:cs="宋体"/>
          <w:sz w:val="24"/>
        </w:rPr>
        <w:t>文件、我方的响应文件及有关澄清承诺书的要求，与采购人订立书面合同，并按照合同约定承担完成合同的责任和义务；</w:t>
      </w:r>
    </w:p>
    <w:p w14:paraId="7F193508">
      <w:pPr>
        <w:wordWrap w:val="0"/>
        <w:spacing w:line="360" w:lineRule="auto"/>
        <w:ind w:firstLine="480" w:firstLineChars="200"/>
        <w:rPr>
          <w:rFonts w:hint="eastAsia" w:ascii="宋体" w:hAnsi="宋体" w:cs="宋体"/>
          <w:sz w:val="24"/>
        </w:rPr>
      </w:pPr>
      <w:r>
        <w:rPr>
          <w:rFonts w:hint="eastAsia" w:ascii="宋体" w:hAnsi="宋体" w:cs="宋体"/>
          <w:sz w:val="24"/>
        </w:rPr>
        <w:t>8、如我方违反此约定，愿意承担对本项目造成的一切经济损失，并同时依法承担相应法律责任。</w:t>
      </w:r>
    </w:p>
    <w:p w14:paraId="47BD1340">
      <w:pPr>
        <w:wordWrap w:val="0"/>
        <w:spacing w:line="360" w:lineRule="auto"/>
        <w:ind w:firstLine="480" w:firstLineChars="200"/>
        <w:rPr>
          <w:rFonts w:hint="eastAsia" w:ascii="宋体" w:hAnsi="宋体" w:cs="宋体"/>
          <w:sz w:val="24"/>
        </w:rPr>
      </w:pPr>
    </w:p>
    <w:p w14:paraId="2F4BCBF2">
      <w:pPr>
        <w:wordWrap w:val="0"/>
        <w:spacing w:line="360" w:lineRule="auto"/>
        <w:ind w:firstLine="480" w:firstLineChars="200"/>
        <w:rPr>
          <w:rFonts w:hint="eastAsia" w:ascii="宋体" w:hAnsi="宋体" w:cs="宋体"/>
          <w:sz w:val="24"/>
        </w:rPr>
      </w:pPr>
      <w:r>
        <w:rPr>
          <w:rFonts w:hint="eastAsia" w:ascii="宋体" w:hAnsi="宋体" w:cs="宋体"/>
          <w:sz w:val="24"/>
        </w:rPr>
        <w:t xml:space="preserve"> </w:t>
      </w:r>
    </w:p>
    <w:p w14:paraId="3CCDDA3B">
      <w:pPr>
        <w:wordWrap w:val="0"/>
        <w:spacing w:line="360" w:lineRule="auto"/>
        <w:ind w:firstLine="480" w:firstLineChars="200"/>
        <w:jc w:val="right"/>
        <w:rPr>
          <w:rFonts w:hint="eastAsia" w:ascii="宋体" w:hAnsi="宋体" w:cs="宋体"/>
          <w:sz w:val="24"/>
        </w:rPr>
      </w:pPr>
      <w:r>
        <w:rPr>
          <w:rFonts w:hint="eastAsia" w:ascii="宋体" w:hAnsi="宋体" w:cs="宋体"/>
          <w:sz w:val="24"/>
        </w:rPr>
        <w:t>供应商名称：</w:t>
      </w:r>
      <w:r>
        <w:rPr>
          <w:rFonts w:hint="eastAsia" w:ascii="宋体" w:hAnsi="宋体"/>
          <w:kern w:val="2"/>
          <w:sz w:val="24"/>
          <w:szCs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公章电子</w:t>
      </w:r>
      <w:r>
        <w:rPr>
          <w:rFonts w:hint="eastAsia" w:ascii="宋体" w:hAnsi="宋体" w:cs="宋体"/>
          <w:sz w:val="24"/>
        </w:rPr>
        <w:t>签章）</w:t>
      </w:r>
    </w:p>
    <w:p w14:paraId="640698DB">
      <w:pPr>
        <w:wordWrap w:val="0"/>
        <w:spacing w:line="360" w:lineRule="auto"/>
        <w:ind w:firstLine="480" w:firstLineChars="200"/>
        <w:jc w:val="right"/>
        <w:rPr>
          <w:rFonts w:hint="eastAsia" w:ascii="宋体" w:hAnsi="宋体" w:cs="宋体"/>
          <w:sz w:val="24"/>
        </w:rPr>
      </w:pPr>
      <w:r>
        <w:rPr>
          <w:rFonts w:hint="eastAsia" w:ascii="宋体" w:hAnsi="宋体" w:cs="宋体"/>
          <w:sz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rPr>
        <w:t xml:space="preserve"> （法人</w:t>
      </w:r>
      <w:r>
        <w:rPr>
          <w:rFonts w:hint="eastAsia" w:ascii="宋体" w:hAnsi="宋体" w:cs="宋体"/>
          <w:sz w:val="24"/>
          <w:lang w:eastAsia="zh-CN"/>
        </w:rPr>
        <w:t>电子</w:t>
      </w:r>
      <w:r>
        <w:rPr>
          <w:rFonts w:hint="eastAsia" w:ascii="宋体" w:hAnsi="宋体" w:cs="宋体"/>
          <w:sz w:val="24"/>
        </w:rPr>
        <w:t>签章）</w:t>
      </w:r>
    </w:p>
    <w:p w14:paraId="6C60AB88">
      <w:pPr>
        <w:widowControl w:val="0"/>
        <w:spacing w:line="360" w:lineRule="auto"/>
        <w:jc w:val="center"/>
        <w:outlineLvl w:val="1"/>
        <w:rPr>
          <w:rFonts w:ascii="宋体" w:hAnsi="宋体" w:cs="仿宋"/>
          <w:sz w:val="24"/>
          <w:szCs w:val="24"/>
        </w:rPr>
      </w:pPr>
      <w:r>
        <w:rPr>
          <w:rFonts w:hint="eastAsia" w:ascii="宋体" w:hAnsi="宋体" w:cs="宋体"/>
          <w:sz w:val="24"/>
          <w:lang w:val="en-US" w:eastAsia="zh-CN"/>
        </w:rPr>
        <w:t xml:space="preserve">                                     </w:t>
      </w:r>
      <w:r>
        <w:rPr>
          <w:rFonts w:hint="eastAsia" w:ascii="宋体" w:hAnsi="宋体" w:cs="宋体"/>
          <w:sz w:val="24"/>
        </w:rPr>
        <w:t xml:space="preserve">日期：   </w:t>
      </w:r>
      <w:r>
        <w:rPr>
          <w:rFonts w:hint="eastAsia" w:ascii="宋体" w:hAnsi="宋体" w:cs="宋体"/>
          <w:sz w:val="24"/>
          <w:lang w:eastAsia="zh-CN"/>
        </w:rPr>
        <w:t>年</w:t>
      </w:r>
      <w:r>
        <w:rPr>
          <w:rFonts w:hint="eastAsia" w:ascii="宋体" w:hAnsi="宋体" w:cs="宋体"/>
          <w:sz w:val="24"/>
          <w:lang w:val="en-US" w:eastAsia="zh-CN"/>
        </w:rPr>
        <w:t xml:space="preserve">   </w:t>
      </w:r>
      <w:r>
        <w:rPr>
          <w:rFonts w:hint="eastAsia" w:ascii="宋体" w:hAnsi="宋体" w:cs="宋体"/>
          <w:sz w:val="24"/>
          <w:lang w:eastAsia="zh-CN"/>
        </w:rPr>
        <w:t>月</w:t>
      </w:r>
      <w:r>
        <w:rPr>
          <w:rFonts w:hint="eastAsia" w:ascii="宋体" w:hAnsi="宋体" w:cs="宋体"/>
          <w:sz w:val="24"/>
          <w:lang w:val="en-US" w:eastAsia="zh-CN"/>
        </w:rPr>
        <w:t xml:space="preserve">   </w:t>
      </w:r>
      <w:r>
        <w:rPr>
          <w:rFonts w:hint="eastAsia" w:ascii="宋体" w:hAnsi="宋体" w:cs="宋体"/>
          <w:sz w:val="24"/>
          <w:lang w:eastAsia="zh-CN"/>
        </w:rPr>
        <w:t>日</w:t>
      </w:r>
      <w:r>
        <w:rPr>
          <w:rFonts w:hint="eastAsia" w:ascii="宋体" w:hAnsi="宋体" w:cs="宋体"/>
          <w:sz w:val="24"/>
        </w:rPr>
        <w:t xml:space="preserve">           </w:t>
      </w:r>
      <w:bookmarkStart w:id="176" w:name="_Toc179632814"/>
      <w:bookmarkEnd w:id="176"/>
      <w:bookmarkStart w:id="177" w:name="_Toc528078071"/>
      <w:bookmarkEnd w:id="177"/>
      <w:bookmarkStart w:id="178" w:name="_Toc246997105"/>
      <w:bookmarkEnd w:id="178"/>
      <w:bookmarkStart w:id="179" w:name="_Hlk3282331"/>
      <w:bookmarkEnd w:id="179"/>
      <w:bookmarkStart w:id="180" w:name="_Toc361989462"/>
      <w:bookmarkEnd w:id="180"/>
      <w:bookmarkStart w:id="181" w:name="_Toc394651926"/>
      <w:bookmarkEnd w:id="181"/>
      <w:bookmarkStart w:id="182" w:name="_Toc152045794"/>
      <w:bookmarkEnd w:id="182"/>
      <w:bookmarkStart w:id="183" w:name="_Toc244934213"/>
      <w:bookmarkEnd w:id="183"/>
      <w:bookmarkStart w:id="184" w:name="_Toc361989463"/>
      <w:bookmarkEnd w:id="184"/>
      <w:bookmarkStart w:id="185" w:name="_Toc246996362"/>
      <w:bookmarkEnd w:id="185"/>
      <w:bookmarkStart w:id="186" w:name="_Toc247085880"/>
      <w:bookmarkEnd w:id="186"/>
      <w:bookmarkStart w:id="187" w:name="_Toc144974862"/>
      <w:bookmarkEnd w:id="187"/>
      <w:bookmarkStart w:id="188" w:name="_Toc244934212"/>
      <w:bookmarkEnd w:id="188"/>
      <w:bookmarkStart w:id="189" w:name="_Toc152042583"/>
      <w:bookmarkEnd w:id="189"/>
    </w:p>
    <w:p w14:paraId="14A6CAAE">
      <w:pPr>
        <w:spacing w:line="480" w:lineRule="exact"/>
        <w:jc w:val="center"/>
        <w:outlineLvl w:val="0"/>
        <w:rPr>
          <w:rFonts w:hint="eastAsia" w:ascii="宋体" w:hAnsi="宋体" w:eastAsia="宋体" w:cs="宋体"/>
          <w:b/>
          <w:color w:val="auto"/>
          <w:sz w:val="32"/>
          <w:szCs w:val="28"/>
          <w:lang w:eastAsia="zh-CN"/>
        </w:rPr>
      </w:pPr>
      <w:r>
        <w:rPr>
          <w:rFonts w:hint="eastAsia" w:ascii="宋体" w:hAnsi="宋体" w:cs="仿宋"/>
          <w:b/>
          <w:kern w:val="2"/>
          <w:sz w:val="24"/>
          <w:szCs w:val="24"/>
        </w:rPr>
        <w:br w:type="page"/>
      </w:r>
      <w:bookmarkStart w:id="190" w:name="_Toc31521"/>
      <w:bookmarkStart w:id="191" w:name="_Toc3396"/>
      <w:bookmarkStart w:id="192" w:name="_Toc20617"/>
      <w:bookmarkStart w:id="193" w:name="_Toc19508"/>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资格审查资料</w:t>
      </w:r>
      <w:bookmarkEnd w:id="190"/>
      <w:bookmarkEnd w:id="191"/>
      <w:bookmarkEnd w:id="192"/>
      <w:bookmarkEnd w:id="193"/>
    </w:p>
    <w:p w14:paraId="437FFC56">
      <w:pPr>
        <w:widowControl/>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（一）</w:t>
      </w:r>
      <w:r>
        <w:rPr>
          <w:rFonts w:hint="eastAsia" w:ascii="宋体" w:hAnsi="宋体" w:cs="宋体"/>
          <w:b/>
          <w:bCs/>
          <w:color w:val="auto"/>
          <w:kern w:val="0"/>
          <w:sz w:val="24"/>
          <w:szCs w:val="24"/>
          <w:lang w:eastAsia="zh-CN"/>
        </w:rPr>
        <w:t>供应商</w:t>
      </w:r>
      <w:r>
        <w:rPr>
          <w:rFonts w:hint="eastAsia" w:ascii="宋体" w:hAnsi="宋体" w:eastAsia="宋体" w:cs="宋体"/>
          <w:b/>
          <w:bCs/>
          <w:color w:val="auto"/>
          <w:kern w:val="0"/>
          <w:sz w:val="24"/>
          <w:szCs w:val="24"/>
        </w:rPr>
        <w:t>基本情况表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1128"/>
        <w:gridCol w:w="790"/>
        <w:gridCol w:w="1109"/>
        <w:gridCol w:w="1210"/>
        <w:gridCol w:w="232"/>
        <w:gridCol w:w="1575"/>
      </w:tblGrid>
      <w:tr w14:paraId="78C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7C33CC25">
            <w:pPr>
              <w:wordWrap w:val="0"/>
              <w:spacing w:line="360" w:lineRule="auto"/>
              <w:jc w:val="center"/>
              <w:rPr>
                <w:rFonts w:hint="eastAsia"/>
                <w:sz w:val="24"/>
              </w:rPr>
            </w:pPr>
            <w:bookmarkStart w:id="194" w:name="_Toc15473_WPSOffice_Level3"/>
            <w:r>
              <w:rPr>
                <w:rFonts w:hint="eastAsia"/>
                <w:sz w:val="24"/>
              </w:rPr>
              <w:t>供应商名称</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44EE21A3">
            <w:pPr>
              <w:wordWrap w:val="0"/>
              <w:spacing w:line="360" w:lineRule="auto"/>
              <w:rPr>
                <w:rFonts w:hint="eastAsia"/>
                <w:sz w:val="24"/>
              </w:rPr>
            </w:pPr>
          </w:p>
        </w:tc>
      </w:tr>
      <w:tr w14:paraId="5D45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321244D">
            <w:pPr>
              <w:wordWrap w:val="0"/>
              <w:spacing w:line="360" w:lineRule="auto"/>
              <w:jc w:val="center"/>
              <w:rPr>
                <w:rFonts w:hint="eastAsia"/>
                <w:sz w:val="24"/>
              </w:rPr>
            </w:pPr>
            <w:r>
              <w:rPr>
                <w:rFonts w:hint="eastAsia"/>
                <w:sz w:val="24"/>
              </w:rPr>
              <w:t>注册地址</w:t>
            </w:r>
          </w:p>
        </w:tc>
        <w:tc>
          <w:tcPr>
            <w:tcW w:w="3027" w:type="dxa"/>
            <w:gridSpan w:val="3"/>
            <w:tcBorders>
              <w:top w:val="single" w:color="auto" w:sz="4" w:space="0"/>
              <w:left w:val="single" w:color="auto" w:sz="4" w:space="0"/>
              <w:bottom w:val="single" w:color="auto" w:sz="4" w:space="0"/>
              <w:right w:val="single" w:color="auto" w:sz="4" w:space="0"/>
            </w:tcBorders>
            <w:noWrap w:val="0"/>
            <w:vAlign w:val="center"/>
          </w:tcPr>
          <w:p w14:paraId="0C6043CE">
            <w:pPr>
              <w:wordWrap w:val="0"/>
              <w:spacing w:line="360" w:lineRule="auto"/>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55902262">
            <w:pPr>
              <w:wordWrap w:val="0"/>
              <w:spacing w:line="360" w:lineRule="auto"/>
              <w:jc w:val="center"/>
              <w:rPr>
                <w:rFonts w:hint="eastAsia"/>
                <w:sz w:val="24"/>
              </w:rPr>
            </w:pPr>
            <w:r>
              <w:rPr>
                <w:rFonts w:hint="eastAsia"/>
                <w:sz w:val="24"/>
              </w:rPr>
              <w:t>邮政编码</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45A1708">
            <w:pPr>
              <w:wordWrap w:val="0"/>
              <w:spacing w:line="360" w:lineRule="auto"/>
              <w:rPr>
                <w:rFonts w:hint="eastAsia"/>
                <w:sz w:val="24"/>
              </w:rPr>
            </w:pPr>
          </w:p>
        </w:tc>
      </w:tr>
      <w:tr w14:paraId="55BA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37E856C7">
            <w:pPr>
              <w:wordWrap w:val="0"/>
              <w:spacing w:line="360" w:lineRule="auto"/>
              <w:jc w:val="center"/>
              <w:rPr>
                <w:rFonts w:hint="eastAsia"/>
                <w:sz w:val="24"/>
              </w:rPr>
            </w:pPr>
            <w:r>
              <w:rPr>
                <w:rFonts w:hint="eastAsia"/>
                <w:sz w:val="24"/>
              </w:rPr>
              <w:t>联系方式</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1FBCBB6">
            <w:pPr>
              <w:wordWrap w:val="0"/>
              <w:spacing w:line="360" w:lineRule="auto"/>
              <w:jc w:val="center"/>
              <w:rPr>
                <w:rFonts w:hint="eastAsia"/>
                <w:sz w:val="24"/>
              </w:rPr>
            </w:pPr>
            <w:r>
              <w:rPr>
                <w:rFonts w:hint="eastAsia"/>
                <w:sz w:val="24"/>
              </w:rPr>
              <w:t>联系人</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164C8887">
            <w:pPr>
              <w:wordWrap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4560501A">
            <w:pPr>
              <w:wordWrap w:val="0"/>
              <w:spacing w:line="360" w:lineRule="auto"/>
              <w:jc w:val="center"/>
              <w:rPr>
                <w:rFonts w:hint="eastAsia"/>
                <w:sz w:val="24"/>
              </w:rPr>
            </w:pPr>
            <w:r>
              <w:rPr>
                <w:rFonts w:hint="eastAsia"/>
                <w:sz w:val="24"/>
              </w:rPr>
              <w:t>电话</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B938260">
            <w:pPr>
              <w:wordWrap w:val="0"/>
              <w:spacing w:line="360" w:lineRule="auto"/>
              <w:jc w:val="center"/>
              <w:rPr>
                <w:rFonts w:hint="eastAsia"/>
                <w:sz w:val="24"/>
              </w:rPr>
            </w:pPr>
          </w:p>
        </w:tc>
      </w:tr>
      <w:tr w14:paraId="598C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664CE167">
            <w:pPr>
              <w:jc w:val="center"/>
              <w:rPr>
                <w:rFonts w:hint="eastAsia"/>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73F8515">
            <w:pPr>
              <w:wordWrap w:val="0"/>
              <w:spacing w:line="360" w:lineRule="auto"/>
              <w:jc w:val="center"/>
              <w:rPr>
                <w:rFonts w:hint="eastAsia"/>
                <w:sz w:val="24"/>
              </w:rPr>
            </w:pPr>
            <w:r>
              <w:rPr>
                <w:rFonts w:hint="eastAsia"/>
                <w:sz w:val="24"/>
              </w:rPr>
              <w:t>传真</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58833ADE">
            <w:pPr>
              <w:wordWrap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11EBC967">
            <w:pPr>
              <w:wordWrap w:val="0"/>
              <w:spacing w:line="360" w:lineRule="auto"/>
              <w:jc w:val="center"/>
              <w:rPr>
                <w:rFonts w:hint="eastAsia"/>
                <w:sz w:val="24"/>
              </w:rPr>
            </w:pPr>
            <w:r>
              <w:rPr>
                <w:rFonts w:hint="eastAsia"/>
                <w:sz w:val="24"/>
              </w:rPr>
              <w:t>网址</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6E28F14">
            <w:pPr>
              <w:wordWrap w:val="0"/>
              <w:spacing w:line="360" w:lineRule="auto"/>
              <w:jc w:val="center"/>
              <w:rPr>
                <w:rFonts w:hint="eastAsia"/>
                <w:sz w:val="24"/>
              </w:rPr>
            </w:pPr>
          </w:p>
        </w:tc>
      </w:tr>
      <w:tr w14:paraId="129A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3944A465">
            <w:pPr>
              <w:wordWrap w:val="0"/>
              <w:spacing w:line="360" w:lineRule="auto"/>
              <w:jc w:val="center"/>
              <w:rPr>
                <w:rFonts w:hint="eastAsia"/>
                <w:sz w:val="24"/>
              </w:rPr>
            </w:pPr>
            <w:r>
              <w:rPr>
                <w:rFonts w:hint="eastAsia"/>
                <w:sz w:val="24"/>
              </w:rPr>
              <w:t>组织结构</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23E9F5C2">
            <w:pPr>
              <w:tabs>
                <w:tab w:val="left" w:pos="4776"/>
              </w:tabs>
              <w:wordWrap w:val="0"/>
              <w:spacing w:line="360" w:lineRule="auto"/>
              <w:jc w:val="center"/>
              <w:rPr>
                <w:rFonts w:hint="eastAsia"/>
                <w:sz w:val="24"/>
              </w:rPr>
            </w:pPr>
          </w:p>
        </w:tc>
      </w:tr>
      <w:tr w14:paraId="06C1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698DCE48">
            <w:pPr>
              <w:wordWrap w:val="0"/>
              <w:spacing w:line="360" w:lineRule="auto"/>
              <w:jc w:val="center"/>
              <w:rPr>
                <w:rFonts w:hint="eastAsia"/>
                <w:sz w:val="24"/>
              </w:rPr>
            </w:pPr>
            <w:r>
              <w:rPr>
                <w:rFonts w:hint="eastAsia"/>
                <w:sz w:val="24"/>
              </w:rPr>
              <w:t>法定代表人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8F4CB42">
            <w:pPr>
              <w:wordWrap w:val="0"/>
              <w:spacing w:line="360" w:lineRule="auto"/>
              <w:jc w:val="center"/>
              <w:rPr>
                <w:rFonts w:hint="eastAsia"/>
                <w:sz w:val="24"/>
              </w:rPr>
            </w:pPr>
            <w:r>
              <w:rPr>
                <w:rFonts w:hint="eastAsia"/>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0ABE6F94">
            <w:pPr>
              <w:wordWrap w:val="0"/>
              <w:spacing w:line="360" w:lineRule="auto"/>
              <w:jc w:val="center"/>
              <w:rPr>
                <w:rFonts w:hint="eastAsia"/>
                <w:sz w:val="24"/>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08784C6C">
            <w:pPr>
              <w:wordWrap w:val="0"/>
              <w:spacing w:line="360" w:lineRule="auto"/>
              <w:jc w:val="center"/>
              <w:rPr>
                <w:rFonts w:hint="eastAsia"/>
                <w:sz w:val="24"/>
              </w:rPr>
            </w:pPr>
            <w:r>
              <w:rPr>
                <w:rFonts w:hint="eastAsia"/>
                <w:sz w:val="24"/>
              </w:rPr>
              <w:t>电话</w:t>
            </w:r>
          </w:p>
        </w:tc>
        <w:tc>
          <w:tcPr>
            <w:tcW w:w="1807" w:type="dxa"/>
            <w:gridSpan w:val="2"/>
            <w:tcBorders>
              <w:top w:val="single" w:color="auto" w:sz="4" w:space="0"/>
              <w:left w:val="single" w:color="auto" w:sz="4" w:space="0"/>
              <w:bottom w:val="single" w:color="auto" w:sz="4" w:space="0"/>
              <w:right w:val="single" w:color="auto" w:sz="4" w:space="0"/>
            </w:tcBorders>
            <w:noWrap w:val="0"/>
            <w:vAlign w:val="bottom"/>
          </w:tcPr>
          <w:p w14:paraId="1EC08AEA">
            <w:pPr>
              <w:wordWrap w:val="0"/>
              <w:spacing w:line="360" w:lineRule="auto"/>
              <w:jc w:val="center"/>
              <w:rPr>
                <w:rFonts w:hint="eastAsia"/>
                <w:sz w:val="24"/>
              </w:rPr>
            </w:pPr>
          </w:p>
        </w:tc>
      </w:tr>
      <w:tr w14:paraId="1797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89CEA2A">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cs="宋体"/>
                <w:bCs/>
                <w:color w:val="auto"/>
                <w:kern w:val="0"/>
                <w:sz w:val="24"/>
                <w:lang w:eastAsia="zh-CN"/>
              </w:rPr>
              <w:t>项目</w:t>
            </w:r>
            <w:r>
              <w:rPr>
                <w:rFonts w:hint="eastAsia" w:ascii="宋体" w:hAnsi="宋体" w:eastAsia="宋体" w:cs="宋体"/>
                <w:bCs/>
                <w:color w:val="auto"/>
                <w:kern w:val="0"/>
                <w:sz w:val="24"/>
              </w:rPr>
              <w:t>负责人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CD96CE4">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ascii="宋体" w:hAnsi="宋体" w:eastAsia="宋体" w:cs="宋体"/>
                <w:bCs/>
                <w:color w:val="auto"/>
                <w:kern w:val="0"/>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2A35FE72">
            <w:pPr>
              <w:widowControl/>
              <w:spacing w:line="520" w:lineRule="atLeast"/>
              <w:jc w:val="center"/>
              <w:rPr>
                <w:rFonts w:hint="eastAsia" w:ascii="宋体" w:hAnsi="宋体" w:eastAsia="宋体" w:cs="宋体"/>
                <w:bCs/>
                <w:color w:val="auto"/>
                <w:kern w:val="0"/>
                <w:sz w:val="24"/>
                <w:szCs w:val="22"/>
                <w:lang w:val="zh-CN" w:eastAsia="zh-CN" w:bidi="zh-CN"/>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5A42B993">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ascii="宋体" w:hAnsi="宋体" w:eastAsia="宋体" w:cs="宋体"/>
                <w:bCs/>
                <w:color w:val="auto"/>
                <w:kern w:val="0"/>
                <w:sz w:val="24"/>
              </w:rPr>
              <w:t>电话</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29C76D87">
            <w:pPr>
              <w:wordWrap w:val="0"/>
              <w:spacing w:line="360" w:lineRule="auto"/>
              <w:jc w:val="center"/>
              <w:rPr>
                <w:rFonts w:hint="eastAsia"/>
                <w:sz w:val="24"/>
              </w:rPr>
            </w:pPr>
          </w:p>
        </w:tc>
      </w:tr>
      <w:tr w14:paraId="772A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6E3133C">
            <w:pPr>
              <w:wordWrap w:val="0"/>
              <w:spacing w:line="360" w:lineRule="auto"/>
              <w:jc w:val="center"/>
              <w:rPr>
                <w:rFonts w:hint="eastAsia"/>
                <w:sz w:val="24"/>
              </w:rPr>
            </w:pPr>
            <w:r>
              <w:rPr>
                <w:rFonts w:hint="eastAsia"/>
                <w:sz w:val="24"/>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197E4D28">
            <w:pPr>
              <w:wordWrap w:val="0"/>
              <w:spacing w:line="360" w:lineRule="auto"/>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10B65CD8">
            <w:pPr>
              <w:wordWrap w:val="0"/>
              <w:spacing w:line="360" w:lineRule="auto"/>
              <w:jc w:val="center"/>
              <w:rPr>
                <w:rFonts w:hint="eastAsia"/>
                <w:sz w:val="24"/>
              </w:rPr>
            </w:pPr>
            <w:r>
              <w:rPr>
                <w:rFonts w:hint="eastAsia"/>
                <w:sz w:val="24"/>
              </w:rPr>
              <w:t>员工总人数：</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3A7318BC">
            <w:pPr>
              <w:wordWrap w:val="0"/>
              <w:spacing w:line="360" w:lineRule="auto"/>
              <w:rPr>
                <w:rFonts w:hint="eastAsia"/>
                <w:sz w:val="24"/>
              </w:rPr>
            </w:pPr>
          </w:p>
        </w:tc>
      </w:tr>
      <w:tr w14:paraId="1685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109A8A06">
            <w:pPr>
              <w:wordWrap w:val="0"/>
              <w:spacing w:line="360" w:lineRule="auto"/>
              <w:jc w:val="center"/>
              <w:rPr>
                <w:rFonts w:hint="eastAsia"/>
                <w:sz w:val="24"/>
              </w:rPr>
            </w:pPr>
            <w:r>
              <w:rPr>
                <w:rFonts w:hint="eastAsia" w:ascii="Times New Roman" w:hAnsi="Times New Roman" w:eastAsia="宋体" w:cs="Times New Roman"/>
                <w:sz w:val="24"/>
              </w:rPr>
              <w:t>统一社会信用代码</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49B7EC56">
            <w:pPr>
              <w:wordWrap w:val="0"/>
              <w:spacing w:line="360" w:lineRule="auto"/>
              <w:rPr>
                <w:rFonts w:hint="eastAsia"/>
                <w:sz w:val="24"/>
              </w:rPr>
            </w:pPr>
          </w:p>
        </w:tc>
      </w:tr>
      <w:tr w14:paraId="3EBB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4AB26864">
            <w:pPr>
              <w:wordWrap w:val="0"/>
              <w:spacing w:line="360" w:lineRule="auto"/>
              <w:jc w:val="center"/>
              <w:rPr>
                <w:rFonts w:hint="eastAsia"/>
                <w:sz w:val="24"/>
              </w:rPr>
            </w:pPr>
            <w:r>
              <w:rPr>
                <w:rFonts w:hint="eastAsia"/>
                <w:sz w:val="24"/>
              </w:rPr>
              <w:t>注册资金</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6F4B1769">
            <w:pPr>
              <w:wordWrap w:val="0"/>
              <w:spacing w:line="360" w:lineRule="auto"/>
              <w:jc w:val="center"/>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735D7900">
            <w:pPr>
              <w:wordWrap w:val="0"/>
              <w:spacing w:line="360" w:lineRule="auto"/>
              <w:jc w:val="center"/>
              <w:rPr>
                <w:rFonts w:hint="eastAsia" w:eastAsia="宋体"/>
                <w:sz w:val="24"/>
                <w:lang w:eastAsia="zh-CN"/>
              </w:rPr>
            </w:pPr>
            <w:r>
              <w:rPr>
                <w:rFonts w:hint="eastAsia"/>
                <w:sz w:val="24"/>
              </w:rPr>
              <w:t>开户银行</w:t>
            </w:r>
            <w:r>
              <w:rPr>
                <w:rFonts w:hint="eastAsia"/>
                <w:sz w:val="24"/>
                <w:lang w:eastAsia="zh-CN"/>
              </w:rPr>
              <w:t>及户名</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37CD2B0E">
            <w:pPr>
              <w:wordWrap w:val="0"/>
              <w:spacing w:line="360" w:lineRule="auto"/>
              <w:rPr>
                <w:rFonts w:hint="eastAsia"/>
                <w:sz w:val="24"/>
              </w:rPr>
            </w:pPr>
          </w:p>
        </w:tc>
      </w:tr>
      <w:tr w14:paraId="11E4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1640220">
            <w:pPr>
              <w:wordWrap w:val="0"/>
              <w:spacing w:line="360" w:lineRule="auto"/>
              <w:jc w:val="center"/>
              <w:rPr>
                <w:rFonts w:hint="eastAsia"/>
                <w:sz w:val="24"/>
              </w:rPr>
            </w:pPr>
            <w:r>
              <w:rPr>
                <w:rFonts w:hint="eastAsia"/>
                <w:sz w:val="24"/>
              </w:rPr>
              <w:t>账号</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0279DF08">
            <w:pPr>
              <w:wordWrap w:val="0"/>
              <w:spacing w:line="360" w:lineRule="auto"/>
              <w:rPr>
                <w:rFonts w:hint="eastAsia"/>
                <w:sz w:val="24"/>
              </w:rPr>
            </w:pPr>
          </w:p>
        </w:tc>
      </w:tr>
      <w:tr w14:paraId="3F34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9E8F027">
            <w:pPr>
              <w:wordWrap w:val="0"/>
              <w:spacing w:line="360" w:lineRule="auto"/>
              <w:jc w:val="center"/>
              <w:rPr>
                <w:rFonts w:hint="eastAsia"/>
                <w:sz w:val="24"/>
              </w:rPr>
            </w:pPr>
            <w:r>
              <w:rPr>
                <w:rFonts w:hint="eastAsia"/>
                <w:sz w:val="24"/>
              </w:rPr>
              <w:t>经营范围</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35E7409E">
            <w:pPr>
              <w:wordWrap w:val="0"/>
              <w:spacing w:line="360" w:lineRule="auto"/>
              <w:rPr>
                <w:rFonts w:hint="eastAsia"/>
                <w:sz w:val="24"/>
              </w:rPr>
            </w:pPr>
          </w:p>
          <w:p w14:paraId="231864E0">
            <w:pPr>
              <w:pStyle w:val="30"/>
              <w:ind w:left="0" w:leftChars="0" w:firstLine="0" w:firstLineChars="0"/>
              <w:rPr>
                <w:rFonts w:hint="eastAsia"/>
                <w:sz w:val="24"/>
              </w:rPr>
            </w:pPr>
          </w:p>
          <w:p w14:paraId="6A0875B6">
            <w:pPr>
              <w:pStyle w:val="30"/>
              <w:rPr>
                <w:rFonts w:hint="eastAsia"/>
                <w:sz w:val="24"/>
              </w:rPr>
            </w:pPr>
          </w:p>
          <w:p w14:paraId="144A20B2">
            <w:pPr>
              <w:pStyle w:val="30"/>
              <w:rPr>
                <w:rFonts w:hint="eastAsia"/>
                <w:sz w:val="24"/>
              </w:rPr>
            </w:pPr>
          </w:p>
        </w:tc>
      </w:tr>
      <w:bookmarkEnd w:id="194"/>
    </w:tbl>
    <w:p w14:paraId="4A4E33A4">
      <w:pPr>
        <w:widowControl w:val="0"/>
        <w:spacing w:line="360" w:lineRule="auto"/>
        <w:jc w:val="center"/>
        <w:outlineLvl w:val="1"/>
        <w:rPr>
          <w:rFonts w:ascii="宋体" w:hAnsi="宋体"/>
          <w:sz w:val="24"/>
          <w:szCs w:val="24"/>
        </w:rPr>
      </w:pPr>
      <w:r>
        <w:rPr>
          <w:rFonts w:hint="eastAsia" w:ascii="宋体" w:hAnsi="宋体" w:cs="宋体"/>
          <w:b/>
          <w:sz w:val="24"/>
          <w:szCs w:val="24"/>
          <w:lang w:eastAsia="zh-CN"/>
        </w:rPr>
        <w:t>（二）</w:t>
      </w:r>
      <w:r>
        <w:rPr>
          <w:rFonts w:hint="eastAsia" w:ascii="宋体" w:hAnsi="宋体" w:cs="宋体"/>
          <w:b/>
          <w:sz w:val="24"/>
          <w:szCs w:val="24"/>
        </w:rPr>
        <w:t>供应商资格</w:t>
      </w:r>
      <w:r>
        <w:rPr>
          <w:rFonts w:hint="eastAsia" w:ascii="宋体" w:hAnsi="宋体" w:cs="宋体"/>
          <w:b/>
          <w:sz w:val="24"/>
          <w:szCs w:val="24"/>
          <w:lang w:eastAsia="zh-CN"/>
        </w:rPr>
        <w:t>审查</w:t>
      </w:r>
      <w:r>
        <w:rPr>
          <w:rFonts w:hint="eastAsia" w:ascii="宋体" w:hAnsi="宋体" w:cs="宋体"/>
          <w:b/>
          <w:sz w:val="24"/>
          <w:szCs w:val="24"/>
        </w:rPr>
        <w:t>材料</w:t>
      </w:r>
    </w:p>
    <w:p w14:paraId="52102408">
      <w:pPr>
        <w:pStyle w:val="21"/>
        <w:numPr>
          <w:ilvl w:val="0"/>
          <w:numId w:val="0"/>
        </w:numPr>
        <w:jc w:val="center"/>
        <w:rPr>
          <w:rFonts w:hint="eastAsia"/>
        </w:rPr>
      </w:pPr>
      <w:r>
        <w:rPr>
          <w:rFonts w:hint="eastAsia"/>
        </w:rPr>
        <w:t>（格式自拟，应逐页加盖</w:t>
      </w:r>
      <w:r>
        <w:rPr>
          <w:rFonts w:hint="eastAsia"/>
          <w:lang w:eastAsia="zh-CN"/>
        </w:rPr>
        <w:t>公章</w:t>
      </w:r>
      <w:r>
        <w:rPr>
          <w:rFonts w:hint="eastAsia"/>
        </w:rPr>
        <w:t>电子签章）</w:t>
      </w:r>
    </w:p>
    <w:p w14:paraId="13C1C9E0">
      <w:pPr>
        <w:pStyle w:val="6"/>
        <w:bidi w:val="0"/>
      </w:pPr>
    </w:p>
    <w:p w14:paraId="6C3BE387">
      <w:pPr>
        <w:widowControl w:val="0"/>
        <w:spacing w:line="360" w:lineRule="auto"/>
        <w:jc w:val="both"/>
        <w:rPr>
          <w:rFonts w:ascii="宋体" w:hAnsi="宋体" w:cs="宋体"/>
          <w:b/>
          <w:sz w:val="24"/>
          <w:szCs w:val="24"/>
        </w:rPr>
      </w:pPr>
      <w:bookmarkStart w:id="195" w:name="_Toc269219206"/>
      <w:bookmarkEnd w:id="195"/>
    </w:p>
    <w:p w14:paraId="27D2AAA2">
      <w:pPr>
        <w:widowControl w:val="0"/>
        <w:spacing w:line="360" w:lineRule="auto"/>
        <w:jc w:val="center"/>
        <w:rPr>
          <w:rFonts w:hint="eastAsia" w:ascii="宋体" w:hAnsi="宋体" w:cs="宋体"/>
          <w:b/>
          <w:sz w:val="24"/>
          <w:szCs w:val="24"/>
        </w:rPr>
        <w:sectPr>
          <w:footerReference r:id="rId6" w:type="default"/>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64CF8AE">
      <w:pPr>
        <w:spacing w:line="480" w:lineRule="exact"/>
        <w:jc w:val="center"/>
        <w:outlineLvl w:val="0"/>
        <w:rPr>
          <w:rFonts w:hint="eastAsia" w:ascii="宋体" w:hAnsi="宋体" w:cs="宋体"/>
          <w:b/>
          <w:sz w:val="24"/>
          <w:szCs w:val="24"/>
        </w:rPr>
      </w:pPr>
      <w:bookmarkStart w:id="196" w:name="_Toc831"/>
      <w:bookmarkStart w:id="197" w:name="_Toc9681"/>
      <w:bookmarkStart w:id="198" w:name="_Toc7873"/>
      <w:bookmarkStart w:id="199" w:name="_Toc15781"/>
      <w:r>
        <w:rPr>
          <w:rFonts w:hint="eastAsia" w:ascii="宋体" w:hAnsi="宋体" w:cs="宋体"/>
          <w:b/>
          <w:sz w:val="24"/>
          <w:szCs w:val="24"/>
          <w:lang w:val="en-US" w:eastAsia="zh-CN"/>
        </w:rPr>
        <w:t>六</w:t>
      </w:r>
      <w:r>
        <w:rPr>
          <w:rFonts w:hint="eastAsia" w:ascii="宋体" w:hAnsi="宋体" w:cs="宋体"/>
          <w:b/>
          <w:sz w:val="24"/>
          <w:szCs w:val="24"/>
        </w:rPr>
        <w:t>、技术标</w:t>
      </w:r>
      <w:bookmarkEnd w:id="196"/>
      <w:bookmarkEnd w:id="197"/>
      <w:bookmarkEnd w:id="198"/>
      <w:bookmarkEnd w:id="199"/>
    </w:p>
    <w:p w14:paraId="03911683">
      <w:pPr>
        <w:spacing w:line="480" w:lineRule="exact"/>
        <w:jc w:val="center"/>
        <w:outlineLvl w:val="0"/>
        <w:rPr>
          <w:rFonts w:hint="eastAsia" w:ascii="宋体" w:hAnsi="宋体" w:cs="宋体"/>
          <w:b w:val="0"/>
          <w:bCs/>
          <w:sz w:val="24"/>
          <w:szCs w:val="24"/>
        </w:rPr>
      </w:pPr>
      <w:bookmarkStart w:id="200" w:name="_Toc29319"/>
      <w:bookmarkStart w:id="201" w:name="_Toc5750"/>
      <w:bookmarkStart w:id="202" w:name="_Toc21592"/>
      <w:bookmarkStart w:id="203" w:name="_Toc3812"/>
      <w:r>
        <w:rPr>
          <w:rFonts w:hint="eastAsia" w:ascii="宋体" w:hAnsi="宋体" w:cs="宋体"/>
          <w:b w:val="0"/>
          <w:bCs/>
          <w:sz w:val="24"/>
          <w:szCs w:val="24"/>
        </w:rPr>
        <w:t>（格式自拟，应逐页加盖</w:t>
      </w:r>
      <w:r>
        <w:rPr>
          <w:rFonts w:hint="eastAsia" w:ascii="宋体" w:hAnsi="宋体" w:cs="宋体"/>
          <w:b w:val="0"/>
          <w:bCs/>
          <w:sz w:val="24"/>
          <w:szCs w:val="24"/>
          <w:lang w:eastAsia="zh-CN"/>
        </w:rPr>
        <w:t>公章</w:t>
      </w:r>
      <w:r>
        <w:rPr>
          <w:rFonts w:hint="eastAsia" w:ascii="宋体" w:hAnsi="宋体" w:cs="宋体"/>
          <w:b w:val="0"/>
          <w:bCs/>
          <w:sz w:val="24"/>
          <w:szCs w:val="24"/>
        </w:rPr>
        <w:t>电子签章，内容应包括但不限制于评分办法提到的内容。）</w:t>
      </w:r>
      <w:bookmarkEnd w:id="200"/>
      <w:bookmarkEnd w:id="201"/>
      <w:bookmarkEnd w:id="202"/>
      <w:bookmarkEnd w:id="203"/>
    </w:p>
    <w:p w14:paraId="30CCEC3C">
      <w:pPr>
        <w:spacing w:line="480" w:lineRule="exact"/>
        <w:jc w:val="center"/>
        <w:outlineLvl w:val="0"/>
        <w:rPr>
          <w:rFonts w:hint="eastAsia" w:ascii="宋体" w:hAnsi="宋体" w:eastAsia="宋体" w:cs="宋体"/>
          <w:b w:val="0"/>
          <w:bCs/>
          <w:color w:val="auto"/>
          <w:sz w:val="24"/>
          <w:szCs w:val="24"/>
        </w:rPr>
      </w:pPr>
    </w:p>
    <w:p w14:paraId="5873E49B">
      <w:pPr>
        <w:spacing w:line="480" w:lineRule="exact"/>
        <w:jc w:val="center"/>
        <w:outlineLvl w:val="0"/>
        <w:rPr>
          <w:rFonts w:hint="eastAsia" w:ascii="宋体" w:hAnsi="宋体" w:eastAsia="宋体" w:cs="宋体"/>
          <w:b/>
          <w:color w:val="auto"/>
          <w:sz w:val="24"/>
          <w:szCs w:val="24"/>
        </w:rPr>
      </w:pPr>
    </w:p>
    <w:p w14:paraId="5B5DE5D7">
      <w:pPr>
        <w:spacing w:line="480" w:lineRule="exact"/>
        <w:jc w:val="center"/>
        <w:outlineLvl w:val="0"/>
        <w:rPr>
          <w:rFonts w:hint="eastAsia" w:ascii="宋体" w:hAnsi="宋体" w:eastAsia="宋体" w:cs="宋体"/>
          <w:b/>
          <w:color w:val="auto"/>
          <w:sz w:val="24"/>
          <w:szCs w:val="24"/>
        </w:rPr>
      </w:pPr>
    </w:p>
    <w:p w14:paraId="5D51CD3C">
      <w:pPr>
        <w:spacing w:line="480" w:lineRule="exact"/>
        <w:jc w:val="center"/>
        <w:outlineLvl w:val="0"/>
        <w:rPr>
          <w:rFonts w:hint="eastAsia" w:ascii="宋体" w:hAnsi="宋体" w:eastAsia="宋体" w:cs="宋体"/>
          <w:b/>
          <w:color w:val="auto"/>
          <w:sz w:val="24"/>
          <w:szCs w:val="24"/>
        </w:rPr>
      </w:pPr>
    </w:p>
    <w:p w14:paraId="59F0D66E">
      <w:pPr>
        <w:spacing w:line="480" w:lineRule="exact"/>
        <w:jc w:val="center"/>
        <w:outlineLvl w:val="0"/>
        <w:rPr>
          <w:rFonts w:hint="eastAsia" w:ascii="宋体" w:hAnsi="宋体" w:eastAsia="宋体" w:cs="宋体"/>
          <w:b/>
          <w:color w:val="auto"/>
          <w:sz w:val="24"/>
          <w:szCs w:val="24"/>
        </w:rPr>
      </w:pPr>
    </w:p>
    <w:p w14:paraId="21DC0DB5">
      <w:pPr>
        <w:spacing w:line="480" w:lineRule="exact"/>
        <w:jc w:val="center"/>
        <w:outlineLvl w:val="0"/>
        <w:rPr>
          <w:rFonts w:hint="eastAsia" w:ascii="宋体" w:hAnsi="宋体" w:eastAsia="宋体" w:cs="宋体"/>
          <w:b/>
          <w:color w:val="auto"/>
          <w:sz w:val="24"/>
          <w:szCs w:val="24"/>
        </w:rPr>
      </w:pPr>
    </w:p>
    <w:p w14:paraId="6677AECE">
      <w:pPr>
        <w:spacing w:line="480" w:lineRule="exact"/>
        <w:jc w:val="center"/>
        <w:outlineLvl w:val="0"/>
        <w:rPr>
          <w:rFonts w:hint="eastAsia" w:ascii="宋体" w:hAnsi="宋体" w:eastAsia="宋体" w:cs="宋体"/>
          <w:b/>
          <w:color w:val="auto"/>
          <w:sz w:val="24"/>
          <w:szCs w:val="24"/>
        </w:rPr>
      </w:pPr>
    </w:p>
    <w:p w14:paraId="3BC86B20">
      <w:pPr>
        <w:spacing w:line="480" w:lineRule="exact"/>
        <w:jc w:val="center"/>
        <w:outlineLvl w:val="0"/>
        <w:rPr>
          <w:rFonts w:hint="eastAsia" w:ascii="宋体" w:hAnsi="宋体" w:eastAsia="宋体" w:cs="宋体"/>
          <w:b/>
          <w:color w:val="auto"/>
          <w:sz w:val="24"/>
          <w:szCs w:val="24"/>
        </w:rPr>
      </w:pPr>
    </w:p>
    <w:p w14:paraId="41EEB4B6">
      <w:pPr>
        <w:spacing w:line="480" w:lineRule="exact"/>
        <w:jc w:val="center"/>
        <w:outlineLvl w:val="0"/>
        <w:rPr>
          <w:rFonts w:hint="eastAsia" w:ascii="宋体" w:hAnsi="宋体" w:eastAsia="宋体" w:cs="宋体"/>
          <w:b/>
          <w:color w:val="auto"/>
          <w:sz w:val="24"/>
          <w:szCs w:val="24"/>
        </w:rPr>
      </w:pPr>
    </w:p>
    <w:p w14:paraId="22977280">
      <w:pPr>
        <w:spacing w:line="480" w:lineRule="exact"/>
        <w:jc w:val="center"/>
        <w:outlineLvl w:val="0"/>
        <w:rPr>
          <w:rFonts w:hint="eastAsia" w:ascii="宋体" w:hAnsi="宋体" w:eastAsia="宋体" w:cs="宋体"/>
          <w:b/>
          <w:color w:val="auto"/>
          <w:sz w:val="24"/>
          <w:szCs w:val="24"/>
        </w:rPr>
      </w:pPr>
    </w:p>
    <w:p w14:paraId="675168FB">
      <w:pPr>
        <w:spacing w:line="480" w:lineRule="exact"/>
        <w:jc w:val="center"/>
        <w:outlineLvl w:val="0"/>
        <w:rPr>
          <w:rFonts w:hint="eastAsia" w:ascii="宋体" w:hAnsi="宋体" w:eastAsia="宋体" w:cs="宋体"/>
          <w:b/>
          <w:color w:val="auto"/>
          <w:sz w:val="24"/>
          <w:szCs w:val="24"/>
        </w:rPr>
      </w:pPr>
    </w:p>
    <w:p w14:paraId="0D06E259">
      <w:pPr>
        <w:spacing w:line="480" w:lineRule="exact"/>
        <w:jc w:val="center"/>
        <w:outlineLvl w:val="0"/>
        <w:rPr>
          <w:rFonts w:hint="eastAsia" w:ascii="宋体" w:hAnsi="宋体" w:eastAsia="宋体" w:cs="宋体"/>
          <w:b/>
          <w:color w:val="auto"/>
          <w:sz w:val="24"/>
          <w:szCs w:val="24"/>
        </w:rPr>
      </w:pPr>
    </w:p>
    <w:p w14:paraId="7C1459FF">
      <w:pPr>
        <w:spacing w:line="480" w:lineRule="exact"/>
        <w:jc w:val="center"/>
        <w:outlineLvl w:val="0"/>
        <w:rPr>
          <w:rFonts w:hint="eastAsia" w:ascii="宋体" w:hAnsi="宋体" w:eastAsia="宋体" w:cs="宋体"/>
          <w:b/>
          <w:color w:val="auto"/>
          <w:sz w:val="24"/>
          <w:szCs w:val="24"/>
        </w:rPr>
      </w:pPr>
    </w:p>
    <w:p w14:paraId="66DCB720">
      <w:pPr>
        <w:spacing w:line="480" w:lineRule="exact"/>
        <w:jc w:val="center"/>
        <w:outlineLvl w:val="0"/>
        <w:rPr>
          <w:rFonts w:hint="eastAsia" w:ascii="宋体" w:hAnsi="宋体" w:eastAsia="宋体" w:cs="宋体"/>
          <w:b/>
          <w:color w:val="auto"/>
          <w:sz w:val="24"/>
          <w:szCs w:val="24"/>
        </w:rPr>
      </w:pPr>
    </w:p>
    <w:p w14:paraId="37D841B3">
      <w:pPr>
        <w:spacing w:line="480" w:lineRule="exact"/>
        <w:jc w:val="center"/>
        <w:outlineLvl w:val="0"/>
        <w:rPr>
          <w:rFonts w:hint="eastAsia" w:ascii="宋体" w:hAnsi="宋体" w:eastAsia="宋体" w:cs="宋体"/>
          <w:b/>
          <w:color w:val="auto"/>
          <w:sz w:val="24"/>
          <w:szCs w:val="24"/>
        </w:rPr>
      </w:pPr>
    </w:p>
    <w:p w14:paraId="3755C903">
      <w:pPr>
        <w:spacing w:line="480" w:lineRule="exact"/>
        <w:jc w:val="center"/>
        <w:outlineLvl w:val="0"/>
        <w:rPr>
          <w:rFonts w:hint="eastAsia" w:ascii="宋体" w:hAnsi="宋体" w:eastAsia="宋体" w:cs="宋体"/>
          <w:b/>
          <w:color w:val="auto"/>
          <w:sz w:val="24"/>
          <w:szCs w:val="24"/>
        </w:rPr>
      </w:pPr>
    </w:p>
    <w:p w14:paraId="70831714">
      <w:pPr>
        <w:spacing w:line="480" w:lineRule="exact"/>
        <w:jc w:val="center"/>
        <w:outlineLvl w:val="0"/>
        <w:rPr>
          <w:rFonts w:hint="eastAsia" w:ascii="宋体" w:hAnsi="宋体" w:eastAsia="宋体" w:cs="宋体"/>
          <w:b/>
          <w:color w:val="auto"/>
          <w:sz w:val="24"/>
          <w:szCs w:val="24"/>
        </w:rPr>
      </w:pPr>
    </w:p>
    <w:p w14:paraId="599D3AE2">
      <w:pPr>
        <w:spacing w:line="480" w:lineRule="exact"/>
        <w:jc w:val="center"/>
        <w:outlineLvl w:val="0"/>
        <w:rPr>
          <w:rFonts w:hint="eastAsia" w:ascii="宋体" w:hAnsi="宋体" w:eastAsia="宋体" w:cs="宋体"/>
          <w:b/>
          <w:color w:val="auto"/>
          <w:sz w:val="24"/>
          <w:szCs w:val="24"/>
        </w:rPr>
      </w:pPr>
    </w:p>
    <w:p w14:paraId="27AC3658">
      <w:pPr>
        <w:spacing w:line="480" w:lineRule="exact"/>
        <w:jc w:val="center"/>
        <w:outlineLvl w:val="0"/>
        <w:rPr>
          <w:rFonts w:hint="eastAsia" w:ascii="宋体" w:hAnsi="宋体" w:eastAsia="宋体" w:cs="宋体"/>
          <w:b/>
          <w:color w:val="auto"/>
          <w:sz w:val="24"/>
          <w:szCs w:val="24"/>
        </w:rPr>
      </w:pPr>
    </w:p>
    <w:p w14:paraId="432A8C79">
      <w:pPr>
        <w:spacing w:line="480" w:lineRule="exact"/>
        <w:jc w:val="center"/>
        <w:outlineLvl w:val="0"/>
        <w:rPr>
          <w:rFonts w:hint="eastAsia" w:ascii="宋体" w:hAnsi="宋体" w:eastAsia="宋体" w:cs="宋体"/>
          <w:b/>
          <w:color w:val="auto"/>
          <w:sz w:val="24"/>
          <w:szCs w:val="24"/>
        </w:rPr>
      </w:pPr>
    </w:p>
    <w:p w14:paraId="38996D20">
      <w:pPr>
        <w:spacing w:line="480" w:lineRule="exact"/>
        <w:jc w:val="center"/>
        <w:outlineLvl w:val="0"/>
        <w:rPr>
          <w:rFonts w:hint="eastAsia" w:ascii="宋体" w:hAnsi="宋体" w:eastAsia="宋体" w:cs="宋体"/>
          <w:b/>
          <w:color w:val="auto"/>
          <w:sz w:val="24"/>
          <w:szCs w:val="24"/>
        </w:rPr>
      </w:pPr>
    </w:p>
    <w:p w14:paraId="5E93C935">
      <w:pPr>
        <w:spacing w:line="480" w:lineRule="exact"/>
        <w:jc w:val="center"/>
        <w:outlineLvl w:val="0"/>
        <w:rPr>
          <w:rFonts w:hint="eastAsia" w:ascii="宋体" w:hAnsi="宋体" w:eastAsia="宋体" w:cs="宋体"/>
          <w:b/>
          <w:color w:val="auto"/>
          <w:sz w:val="24"/>
          <w:szCs w:val="24"/>
        </w:rPr>
      </w:pPr>
    </w:p>
    <w:p w14:paraId="7A39904E">
      <w:pPr>
        <w:spacing w:line="480" w:lineRule="exact"/>
        <w:jc w:val="center"/>
        <w:outlineLvl w:val="0"/>
        <w:rPr>
          <w:rFonts w:hint="eastAsia" w:ascii="宋体" w:hAnsi="宋体" w:eastAsia="宋体" w:cs="宋体"/>
          <w:b/>
          <w:color w:val="auto"/>
          <w:sz w:val="24"/>
          <w:szCs w:val="24"/>
        </w:rPr>
      </w:pPr>
    </w:p>
    <w:p w14:paraId="125755F2">
      <w:pPr>
        <w:spacing w:line="480" w:lineRule="exact"/>
        <w:jc w:val="center"/>
        <w:outlineLvl w:val="0"/>
        <w:rPr>
          <w:rFonts w:hint="eastAsia" w:ascii="宋体" w:hAnsi="宋体" w:eastAsia="宋体" w:cs="宋体"/>
          <w:b/>
          <w:color w:val="auto"/>
          <w:sz w:val="24"/>
          <w:szCs w:val="24"/>
        </w:rPr>
      </w:pPr>
    </w:p>
    <w:p w14:paraId="58B53955">
      <w:pPr>
        <w:spacing w:line="480" w:lineRule="exact"/>
        <w:jc w:val="center"/>
        <w:outlineLvl w:val="0"/>
        <w:rPr>
          <w:rFonts w:hint="eastAsia" w:ascii="宋体" w:hAnsi="宋体" w:eastAsia="宋体" w:cs="宋体"/>
          <w:b/>
          <w:color w:val="auto"/>
          <w:sz w:val="24"/>
          <w:szCs w:val="24"/>
        </w:rPr>
      </w:pPr>
    </w:p>
    <w:p w14:paraId="201F6C5A">
      <w:pPr>
        <w:spacing w:line="480" w:lineRule="exact"/>
        <w:jc w:val="center"/>
        <w:outlineLvl w:val="0"/>
        <w:rPr>
          <w:rFonts w:hint="eastAsia" w:ascii="宋体" w:hAnsi="宋体" w:cs="仿宋"/>
          <w:b/>
          <w:kern w:val="2"/>
          <w:sz w:val="24"/>
          <w:szCs w:val="24"/>
        </w:rPr>
      </w:pPr>
      <w:bookmarkStart w:id="204" w:name="_Toc31472"/>
      <w:bookmarkStart w:id="205" w:name="_Toc30129"/>
      <w:bookmarkStart w:id="206" w:name="_Toc8542"/>
      <w:bookmarkStart w:id="207" w:name="_Toc15099"/>
      <w:r>
        <w:rPr>
          <w:rFonts w:hint="eastAsia" w:ascii="宋体" w:hAnsi="宋体" w:cs="仿宋"/>
          <w:b/>
          <w:kern w:val="2"/>
          <w:sz w:val="24"/>
          <w:szCs w:val="24"/>
          <w:lang w:val="en-US" w:eastAsia="zh-CN"/>
        </w:rPr>
        <w:t>七</w:t>
      </w:r>
      <w:r>
        <w:rPr>
          <w:rFonts w:hint="eastAsia" w:ascii="宋体" w:hAnsi="宋体" w:cs="仿宋"/>
          <w:b/>
          <w:kern w:val="2"/>
          <w:sz w:val="24"/>
          <w:szCs w:val="24"/>
        </w:rPr>
        <w:t>、</w:t>
      </w:r>
      <w:bookmarkStart w:id="208" w:name="_Toc6822_WPSOffice_Level1"/>
      <w:r>
        <w:rPr>
          <w:rFonts w:hint="eastAsia" w:ascii="宋体" w:hAnsi="宋体" w:cs="仿宋"/>
          <w:b/>
          <w:kern w:val="2"/>
          <w:sz w:val="24"/>
          <w:szCs w:val="24"/>
          <w:lang w:val="en-US" w:eastAsia="zh-CN"/>
        </w:rPr>
        <w:t>商务</w:t>
      </w:r>
      <w:r>
        <w:rPr>
          <w:rFonts w:hint="eastAsia" w:ascii="宋体" w:hAnsi="宋体" w:cs="仿宋"/>
          <w:b/>
          <w:kern w:val="2"/>
          <w:sz w:val="24"/>
          <w:szCs w:val="24"/>
        </w:rPr>
        <w:t>标</w:t>
      </w:r>
      <w:bookmarkEnd w:id="204"/>
      <w:bookmarkEnd w:id="205"/>
      <w:bookmarkEnd w:id="206"/>
      <w:bookmarkEnd w:id="207"/>
      <w:bookmarkEnd w:id="208"/>
    </w:p>
    <w:p w14:paraId="23743C59">
      <w:pPr>
        <w:widowControl/>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（一）</w:t>
      </w:r>
      <w:r>
        <w:rPr>
          <w:rFonts w:hint="eastAsia" w:ascii="宋体" w:hAnsi="宋体" w:eastAsia="宋体" w:cs="宋体"/>
          <w:b/>
          <w:bCs/>
          <w:color w:val="auto"/>
          <w:kern w:val="0"/>
          <w:sz w:val="24"/>
          <w:szCs w:val="24"/>
        </w:rPr>
        <w:t>业绩一览表及证明材料</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440"/>
        <w:gridCol w:w="1356"/>
        <w:gridCol w:w="1356"/>
        <w:gridCol w:w="1731"/>
      </w:tblGrid>
      <w:tr w14:paraId="1CDC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03BCCE9">
            <w:pPr>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620" w:type="dxa"/>
            <w:noWrap w:val="0"/>
            <w:vAlign w:val="center"/>
          </w:tcPr>
          <w:p w14:paraId="25BF0D87">
            <w:pPr>
              <w:jc w:val="center"/>
              <w:rPr>
                <w:rFonts w:hint="eastAsia" w:ascii="宋体" w:hAnsi="宋体" w:eastAsia="宋体" w:cs="宋体"/>
                <w:color w:val="auto"/>
                <w:sz w:val="24"/>
              </w:rPr>
            </w:pPr>
            <w:r>
              <w:rPr>
                <w:rFonts w:hint="eastAsia" w:ascii="宋体" w:hAnsi="宋体" w:eastAsia="宋体" w:cs="宋体"/>
                <w:color w:val="auto"/>
                <w:sz w:val="24"/>
              </w:rPr>
              <w:t>项目名称</w:t>
            </w:r>
          </w:p>
        </w:tc>
        <w:tc>
          <w:tcPr>
            <w:tcW w:w="1440" w:type="dxa"/>
            <w:noWrap w:val="0"/>
            <w:vAlign w:val="center"/>
          </w:tcPr>
          <w:p w14:paraId="72454D76">
            <w:pPr>
              <w:jc w:val="center"/>
              <w:rPr>
                <w:rFonts w:hint="eastAsia" w:ascii="宋体" w:hAnsi="宋体" w:eastAsia="宋体" w:cs="宋体"/>
                <w:color w:val="auto"/>
                <w:sz w:val="24"/>
              </w:rPr>
            </w:pPr>
            <w:r>
              <w:rPr>
                <w:rFonts w:hint="eastAsia" w:ascii="宋体" w:hAnsi="宋体" w:eastAsia="宋体" w:cs="宋体"/>
                <w:color w:val="auto"/>
                <w:sz w:val="24"/>
              </w:rPr>
              <w:t>中标日期</w:t>
            </w:r>
          </w:p>
        </w:tc>
        <w:tc>
          <w:tcPr>
            <w:tcW w:w="1356" w:type="dxa"/>
            <w:noWrap w:val="0"/>
            <w:vAlign w:val="center"/>
          </w:tcPr>
          <w:p w14:paraId="1FF49F8B">
            <w:pPr>
              <w:jc w:val="center"/>
              <w:rPr>
                <w:rFonts w:hint="eastAsia" w:ascii="宋体" w:hAnsi="宋体" w:eastAsia="宋体" w:cs="宋体"/>
                <w:color w:val="auto"/>
                <w:sz w:val="24"/>
              </w:rPr>
            </w:pPr>
            <w:r>
              <w:rPr>
                <w:rFonts w:hint="eastAsia" w:ascii="宋体" w:hAnsi="宋体" w:eastAsia="宋体" w:cs="宋体"/>
                <w:color w:val="auto"/>
                <w:sz w:val="24"/>
              </w:rPr>
              <w:t>采购单位</w:t>
            </w:r>
          </w:p>
        </w:tc>
        <w:tc>
          <w:tcPr>
            <w:tcW w:w="1356" w:type="dxa"/>
            <w:noWrap w:val="0"/>
            <w:vAlign w:val="center"/>
          </w:tcPr>
          <w:p w14:paraId="33385C04">
            <w:pPr>
              <w:jc w:val="center"/>
              <w:rPr>
                <w:rFonts w:hint="eastAsia" w:ascii="宋体" w:hAnsi="宋体" w:eastAsia="宋体" w:cs="宋体"/>
                <w:color w:val="auto"/>
                <w:sz w:val="24"/>
              </w:rPr>
            </w:pPr>
            <w:r>
              <w:rPr>
                <w:rFonts w:hint="eastAsia" w:ascii="宋体" w:hAnsi="宋体" w:eastAsia="宋体" w:cs="宋体"/>
                <w:color w:val="auto"/>
                <w:sz w:val="24"/>
              </w:rPr>
              <w:t>中标金额</w:t>
            </w:r>
          </w:p>
        </w:tc>
        <w:tc>
          <w:tcPr>
            <w:tcW w:w="1731" w:type="dxa"/>
            <w:noWrap w:val="0"/>
            <w:vAlign w:val="center"/>
          </w:tcPr>
          <w:p w14:paraId="610291A0">
            <w:pPr>
              <w:jc w:val="center"/>
              <w:rPr>
                <w:rFonts w:hint="eastAsia" w:ascii="宋体" w:hAnsi="宋体" w:eastAsia="宋体" w:cs="宋体"/>
                <w:color w:val="auto"/>
                <w:sz w:val="24"/>
              </w:rPr>
            </w:pPr>
            <w:r>
              <w:rPr>
                <w:rFonts w:hint="eastAsia" w:ascii="宋体" w:hAnsi="宋体" w:eastAsia="宋体" w:cs="宋体"/>
                <w:color w:val="auto"/>
                <w:sz w:val="24"/>
              </w:rPr>
              <w:t>合同签订时间</w:t>
            </w:r>
          </w:p>
        </w:tc>
      </w:tr>
      <w:tr w14:paraId="5548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5EAD7351">
            <w:pPr>
              <w:jc w:val="center"/>
              <w:rPr>
                <w:rFonts w:hint="eastAsia" w:ascii="宋体" w:hAnsi="宋体" w:eastAsia="宋体" w:cs="宋体"/>
                <w:color w:val="auto"/>
                <w:sz w:val="24"/>
              </w:rPr>
            </w:pPr>
          </w:p>
        </w:tc>
        <w:tc>
          <w:tcPr>
            <w:tcW w:w="1620" w:type="dxa"/>
            <w:noWrap w:val="0"/>
            <w:vAlign w:val="center"/>
          </w:tcPr>
          <w:p w14:paraId="0195F29D">
            <w:pPr>
              <w:jc w:val="center"/>
              <w:rPr>
                <w:rFonts w:hint="eastAsia" w:ascii="宋体" w:hAnsi="宋体" w:eastAsia="宋体" w:cs="宋体"/>
                <w:color w:val="auto"/>
                <w:sz w:val="24"/>
              </w:rPr>
            </w:pPr>
          </w:p>
        </w:tc>
        <w:tc>
          <w:tcPr>
            <w:tcW w:w="1440" w:type="dxa"/>
            <w:noWrap w:val="0"/>
            <w:vAlign w:val="center"/>
          </w:tcPr>
          <w:p w14:paraId="782B6E4A">
            <w:pPr>
              <w:jc w:val="center"/>
              <w:rPr>
                <w:rFonts w:hint="eastAsia" w:ascii="宋体" w:hAnsi="宋体" w:eastAsia="宋体" w:cs="宋体"/>
                <w:color w:val="auto"/>
                <w:sz w:val="24"/>
              </w:rPr>
            </w:pPr>
          </w:p>
        </w:tc>
        <w:tc>
          <w:tcPr>
            <w:tcW w:w="1356" w:type="dxa"/>
            <w:noWrap w:val="0"/>
            <w:vAlign w:val="center"/>
          </w:tcPr>
          <w:p w14:paraId="60219A82">
            <w:pPr>
              <w:jc w:val="center"/>
              <w:rPr>
                <w:rFonts w:hint="eastAsia" w:ascii="宋体" w:hAnsi="宋体" w:eastAsia="宋体" w:cs="宋体"/>
                <w:color w:val="auto"/>
                <w:sz w:val="24"/>
              </w:rPr>
            </w:pPr>
          </w:p>
        </w:tc>
        <w:tc>
          <w:tcPr>
            <w:tcW w:w="1356" w:type="dxa"/>
            <w:noWrap w:val="0"/>
            <w:vAlign w:val="center"/>
          </w:tcPr>
          <w:p w14:paraId="31114C74">
            <w:pPr>
              <w:jc w:val="center"/>
              <w:rPr>
                <w:rFonts w:hint="eastAsia" w:ascii="宋体" w:hAnsi="宋体" w:eastAsia="宋体" w:cs="宋体"/>
                <w:color w:val="auto"/>
                <w:sz w:val="24"/>
              </w:rPr>
            </w:pPr>
          </w:p>
        </w:tc>
        <w:tc>
          <w:tcPr>
            <w:tcW w:w="1731" w:type="dxa"/>
            <w:noWrap w:val="0"/>
            <w:vAlign w:val="center"/>
          </w:tcPr>
          <w:p w14:paraId="6A09066D">
            <w:pPr>
              <w:jc w:val="center"/>
              <w:rPr>
                <w:rFonts w:hint="eastAsia" w:ascii="宋体" w:hAnsi="宋体" w:eastAsia="宋体" w:cs="宋体"/>
                <w:color w:val="auto"/>
                <w:sz w:val="24"/>
              </w:rPr>
            </w:pPr>
          </w:p>
        </w:tc>
      </w:tr>
      <w:tr w14:paraId="0B87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E178028">
            <w:pPr>
              <w:jc w:val="center"/>
              <w:rPr>
                <w:rFonts w:hint="eastAsia" w:ascii="宋体" w:hAnsi="宋体" w:eastAsia="宋体" w:cs="宋体"/>
                <w:color w:val="auto"/>
                <w:sz w:val="24"/>
              </w:rPr>
            </w:pPr>
          </w:p>
        </w:tc>
        <w:tc>
          <w:tcPr>
            <w:tcW w:w="1620" w:type="dxa"/>
            <w:noWrap w:val="0"/>
            <w:vAlign w:val="center"/>
          </w:tcPr>
          <w:p w14:paraId="61EB5C95">
            <w:pPr>
              <w:jc w:val="center"/>
              <w:rPr>
                <w:rFonts w:hint="eastAsia" w:ascii="宋体" w:hAnsi="宋体" w:eastAsia="宋体" w:cs="宋体"/>
                <w:color w:val="auto"/>
                <w:sz w:val="24"/>
              </w:rPr>
            </w:pPr>
          </w:p>
        </w:tc>
        <w:tc>
          <w:tcPr>
            <w:tcW w:w="1440" w:type="dxa"/>
            <w:noWrap w:val="0"/>
            <w:vAlign w:val="center"/>
          </w:tcPr>
          <w:p w14:paraId="4E71FC74">
            <w:pPr>
              <w:jc w:val="center"/>
              <w:rPr>
                <w:rFonts w:hint="eastAsia" w:ascii="宋体" w:hAnsi="宋体" w:eastAsia="宋体" w:cs="宋体"/>
                <w:color w:val="auto"/>
                <w:sz w:val="24"/>
              </w:rPr>
            </w:pPr>
          </w:p>
        </w:tc>
        <w:tc>
          <w:tcPr>
            <w:tcW w:w="1356" w:type="dxa"/>
            <w:noWrap w:val="0"/>
            <w:vAlign w:val="center"/>
          </w:tcPr>
          <w:p w14:paraId="11D14034">
            <w:pPr>
              <w:jc w:val="center"/>
              <w:rPr>
                <w:rFonts w:hint="eastAsia" w:ascii="宋体" w:hAnsi="宋体" w:eastAsia="宋体" w:cs="宋体"/>
                <w:color w:val="auto"/>
                <w:sz w:val="24"/>
              </w:rPr>
            </w:pPr>
          </w:p>
        </w:tc>
        <w:tc>
          <w:tcPr>
            <w:tcW w:w="1356" w:type="dxa"/>
            <w:noWrap w:val="0"/>
            <w:vAlign w:val="center"/>
          </w:tcPr>
          <w:p w14:paraId="66DFAA3B">
            <w:pPr>
              <w:jc w:val="center"/>
              <w:rPr>
                <w:rFonts w:hint="eastAsia" w:ascii="宋体" w:hAnsi="宋体" w:eastAsia="宋体" w:cs="宋体"/>
                <w:color w:val="auto"/>
                <w:sz w:val="24"/>
              </w:rPr>
            </w:pPr>
          </w:p>
        </w:tc>
        <w:tc>
          <w:tcPr>
            <w:tcW w:w="1731" w:type="dxa"/>
            <w:noWrap w:val="0"/>
            <w:vAlign w:val="center"/>
          </w:tcPr>
          <w:p w14:paraId="357BDE44">
            <w:pPr>
              <w:jc w:val="center"/>
              <w:rPr>
                <w:rFonts w:hint="eastAsia" w:ascii="宋体" w:hAnsi="宋体" w:eastAsia="宋体" w:cs="宋体"/>
                <w:color w:val="auto"/>
                <w:sz w:val="24"/>
              </w:rPr>
            </w:pPr>
          </w:p>
        </w:tc>
      </w:tr>
      <w:tr w14:paraId="23ED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0EC1AC3D">
            <w:pPr>
              <w:jc w:val="center"/>
              <w:rPr>
                <w:rFonts w:hint="eastAsia" w:ascii="宋体" w:hAnsi="宋体" w:eastAsia="宋体" w:cs="宋体"/>
                <w:color w:val="auto"/>
                <w:sz w:val="24"/>
              </w:rPr>
            </w:pPr>
          </w:p>
        </w:tc>
        <w:tc>
          <w:tcPr>
            <w:tcW w:w="1620" w:type="dxa"/>
            <w:noWrap w:val="0"/>
            <w:vAlign w:val="center"/>
          </w:tcPr>
          <w:p w14:paraId="5F9D7370">
            <w:pPr>
              <w:jc w:val="center"/>
              <w:rPr>
                <w:rFonts w:hint="eastAsia" w:ascii="宋体" w:hAnsi="宋体" w:eastAsia="宋体" w:cs="宋体"/>
                <w:color w:val="auto"/>
                <w:sz w:val="24"/>
              </w:rPr>
            </w:pPr>
          </w:p>
        </w:tc>
        <w:tc>
          <w:tcPr>
            <w:tcW w:w="1440" w:type="dxa"/>
            <w:noWrap w:val="0"/>
            <w:vAlign w:val="center"/>
          </w:tcPr>
          <w:p w14:paraId="00F24D9A">
            <w:pPr>
              <w:jc w:val="center"/>
              <w:rPr>
                <w:rFonts w:hint="eastAsia" w:ascii="宋体" w:hAnsi="宋体" w:eastAsia="宋体" w:cs="宋体"/>
                <w:color w:val="auto"/>
                <w:sz w:val="24"/>
              </w:rPr>
            </w:pPr>
          </w:p>
        </w:tc>
        <w:tc>
          <w:tcPr>
            <w:tcW w:w="1356" w:type="dxa"/>
            <w:noWrap w:val="0"/>
            <w:vAlign w:val="center"/>
          </w:tcPr>
          <w:p w14:paraId="6B3DEB4D">
            <w:pPr>
              <w:jc w:val="center"/>
              <w:rPr>
                <w:rFonts w:hint="eastAsia" w:ascii="宋体" w:hAnsi="宋体" w:eastAsia="宋体" w:cs="宋体"/>
                <w:color w:val="auto"/>
                <w:sz w:val="24"/>
              </w:rPr>
            </w:pPr>
          </w:p>
        </w:tc>
        <w:tc>
          <w:tcPr>
            <w:tcW w:w="1356" w:type="dxa"/>
            <w:noWrap w:val="0"/>
            <w:vAlign w:val="center"/>
          </w:tcPr>
          <w:p w14:paraId="614968AC">
            <w:pPr>
              <w:jc w:val="center"/>
              <w:rPr>
                <w:rFonts w:hint="eastAsia" w:ascii="宋体" w:hAnsi="宋体" w:eastAsia="宋体" w:cs="宋体"/>
                <w:color w:val="auto"/>
                <w:sz w:val="24"/>
              </w:rPr>
            </w:pPr>
          </w:p>
        </w:tc>
        <w:tc>
          <w:tcPr>
            <w:tcW w:w="1731" w:type="dxa"/>
            <w:noWrap w:val="0"/>
            <w:vAlign w:val="center"/>
          </w:tcPr>
          <w:p w14:paraId="0EFED661">
            <w:pPr>
              <w:jc w:val="center"/>
              <w:rPr>
                <w:rFonts w:hint="eastAsia" w:ascii="宋体" w:hAnsi="宋体" w:eastAsia="宋体" w:cs="宋体"/>
                <w:color w:val="auto"/>
                <w:sz w:val="24"/>
              </w:rPr>
            </w:pPr>
          </w:p>
        </w:tc>
      </w:tr>
      <w:tr w14:paraId="158D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32EF0D0D">
            <w:pPr>
              <w:jc w:val="center"/>
              <w:rPr>
                <w:rFonts w:hint="eastAsia" w:ascii="宋体" w:hAnsi="宋体" w:eastAsia="宋体" w:cs="宋体"/>
                <w:color w:val="auto"/>
                <w:sz w:val="24"/>
              </w:rPr>
            </w:pPr>
          </w:p>
        </w:tc>
        <w:tc>
          <w:tcPr>
            <w:tcW w:w="1620" w:type="dxa"/>
            <w:noWrap w:val="0"/>
            <w:vAlign w:val="center"/>
          </w:tcPr>
          <w:p w14:paraId="68C3EEAC">
            <w:pPr>
              <w:jc w:val="center"/>
              <w:rPr>
                <w:rFonts w:hint="eastAsia" w:ascii="宋体" w:hAnsi="宋体" w:eastAsia="宋体" w:cs="宋体"/>
                <w:color w:val="auto"/>
                <w:sz w:val="24"/>
              </w:rPr>
            </w:pPr>
          </w:p>
        </w:tc>
        <w:tc>
          <w:tcPr>
            <w:tcW w:w="1440" w:type="dxa"/>
            <w:noWrap w:val="0"/>
            <w:vAlign w:val="center"/>
          </w:tcPr>
          <w:p w14:paraId="4112E021">
            <w:pPr>
              <w:jc w:val="center"/>
              <w:rPr>
                <w:rFonts w:hint="eastAsia" w:ascii="宋体" w:hAnsi="宋体" w:eastAsia="宋体" w:cs="宋体"/>
                <w:color w:val="auto"/>
                <w:sz w:val="24"/>
              </w:rPr>
            </w:pPr>
          </w:p>
        </w:tc>
        <w:tc>
          <w:tcPr>
            <w:tcW w:w="1356" w:type="dxa"/>
            <w:noWrap w:val="0"/>
            <w:vAlign w:val="center"/>
          </w:tcPr>
          <w:p w14:paraId="61E8A9A1">
            <w:pPr>
              <w:jc w:val="center"/>
              <w:rPr>
                <w:rFonts w:hint="eastAsia" w:ascii="宋体" w:hAnsi="宋体" w:eastAsia="宋体" w:cs="宋体"/>
                <w:color w:val="auto"/>
                <w:sz w:val="24"/>
              </w:rPr>
            </w:pPr>
          </w:p>
        </w:tc>
        <w:tc>
          <w:tcPr>
            <w:tcW w:w="1356" w:type="dxa"/>
            <w:noWrap w:val="0"/>
            <w:vAlign w:val="center"/>
          </w:tcPr>
          <w:p w14:paraId="0D4D2ED3">
            <w:pPr>
              <w:jc w:val="center"/>
              <w:rPr>
                <w:rFonts w:hint="eastAsia" w:ascii="宋体" w:hAnsi="宋体" w:eastAsia="宋体" w:cs="宋体"/>
                <w:color w:val="auto"/>
                <w:sz w:val="24"/>
              </w:rPr>
            </w:pPr>
          </w:p>
        </w:tc>
        <w:tc>
          <w:tcPr>
            <w:tcW w:w="1731" w:type="dxa"/>
            <w:noWrap w:val="0"/>
            <w:vAlign w:val="center"/>
          </w:tcPr>
          <w:p w14:paraId="709DA660">
            <w:pPr>
              <w:jc w:val="center"/>
              <w:rPr>
                <w:rFonts w:hint="eastAsia" w:ascii="宋体" w:hAnsi="宋体" w:eastAsia="宋体" w:cs="宋体"/>
                <w:color w:val="auto"/>
                <w:sz w:val="24"/>
              </w:rPr>
            </w:pPr>
          </w:p>
        </w:tc>
      </w:tr>
      <w:tr w14:paraId="5FB3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F48E718">
            <w:pPr>
              <w:jc w:val="center"/>
              <w:rPr>
                <w:rFonts w:hint="eastAsia" w:ascii="宋体" w:hAnsi="宋体" w:eastAsia="宋体" w:cs="宋体"/>
                <w:color w:val="auto"/>
                <w:sz w:val="24"/>
              </w:rPr>
            </w:pPr>
          </w:p>
        </w:tc>
        <w:tc>
          <w:tcPr>
            <w:tcW w:w="1620" w:type="dxa"/>
            <w:noWrap w:val="0"/>
            <w:vAlign w:val="center"/>
          </w:tcPr>
          <w:p w14:paraId="21DF4FC2">
            <w:pPr>
              <w:jc w:val="center"/>
              <w:rPr>
                <w:rFonts w:hint="eastAsia" w:ascii="宋体" w:hAnsi="宋体" w:eastAsia="宋体" w:cs="宋体"/>
                <w:color w:val="auto"/>
                <w:sz w:val="24"/>
              </w:rPr>
            </w:pPr>
          </w:p>
        </w:tc>
        <w:tc>
          <w:tcPr>
            <w:tcW w:w="1440" w:type="dxa"/>
            <w:noWrap w:val="0"/>
            <w:vAlign w:val="center"/>
          </w:tcPr>
          <w:p w14:paraId="061A6B93">
            <w:pPr>
              <w:jc w:val="center"/>
              <w:rPr>
                <w:rFonts w:hint="eastAsia" w:ascii="宋体" w:hAnsi="宋体" w:eastAsia="宋体" w:cs="宋体"/>
                <w:color w:val="auto"/>
                <w:sz w:val="24"/>
              </w:rPr>
            </w:pPr>
          </w:p>
        </w:tc>
        <w:tc>
          <w:tcPr>
            <w:tcW w:w="1356" w:type="dxa"/>
            <w:noWrap w:val="0"/>
            <w:vAlign w:val="center"/>
          </w:tcPr>
          <w:p w14:paraId="2EE820FB">
            <w:pPr>
              <w:jc w:val="center"/>
              <w:rPr>
                <w:rFonts w:hint="eastAsia" w:ascii="宋体" w:hAnsi="宋体" w:eastAsia="宋体" w:cs="宋体"/>
                <w:color w:val="auto"/>
                <w:sz w:val="24"/>
              </w:rPr>
            </w:pPr>
          </w:p>
        </w:tc>
        <w:tc>
          <w:tcPr>
            <w:tcW w:w="1356" w:type="dxa"/>
            <w:noWrap w:val="0"/>
            <w:vAlign w:val="center"/>
          </w:tcPr>
          <w:p w14:paraId="211C8F09">
            <w:pPr>
              <w:jc w:val="center"/>
              <w:rPr>
                <w:rFonts w:hint="eastAsia" w:ascii="宋体" w:hAnsi="宋体" w:eastAsia="宋体" w:cs="宋体"/>
                <w:color w:val="auto"/>
                <w:sz w:val="24"/>
              </w:rPr>
            </w:pPr>
          </w:p>
        </w:tc>
        <w:tc>
          <w:tcPr>
            <w:tcW w:w="1731" w:type="dxa"/>
            <w:noWrap w:val="0"/>
            <w:vAlign w:val="center"/>
          </w:tcPr>
          <w:p w14:paraId="188441DA">
            <w:pPr>
              <w:jc w:val="center"/>
              <w:rPr>
                <w:rFonts w:hint="eastAsia" w:ascii="宋体" w:hAnsi="宋体" w:eastAsia="宋体" w:cs="宋体"/>
                <w:color w:val="auto"/>
                <w:sz w:val="24"/>
              </w:rPr>
            </w:pPr>
          </w:p>
        </w:tc>
      </w:tr>
      <w:tr w14:paraId="7193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B7EF0AB">
            <w:pPr>
              <w:jc w:val="center"/>
              <w:rPr>
                <w:rFonts w:hint="eastAsia" w:ascii="宋体" w:hAnsi="宋体" w:eastAsia="宋体" w:cs="宋体"/>
                <w:color w:val="auto"/>
                <w:sz w:val="24"/>
              </w:rPr>
            </w:pPr>
          </w:p>
        </w:tc>
        <w:tc>
          <w:tcPr>
            <w:tcW w:w="1620" w:type="dxa"/>
            <w:noWrap w:val="0"/>
            <w:vAlign w:val="center"/>
          </w:tcPr>
          <w:p w14:paraId="79CFE361">
            <w:pPr>
              <w:jc w:val="center"/>
              <w:rPr>
                <w:rFonts w:hint="eastAsia" w:ascii="宋体" w:hAnsi="宋体" w:eastAsia="宋体" w:cs="宋体"/>
                <w:color w:val="auto"/>
                <w:sz w:val="24"/>
              </w:rPr>
            </w:pPr>
          </w:p>
        </w:tc>
        <w:tc>
          <w:tcPr>
            <w:tcW w:w="1440" w:type="dxa"/>
            <w:noWrap w:val="0"/>
            <w:vAlign w:val="center"/>
          </w:tcPr>
          <w:p w14:paraId="29804709">
            <w:pPr>
              <w:jc w:val="center"/>
              <w:rPr>
                <w:rFonts w:hint="eastAsia" w:ascii="宋体" w:hAnsi="宋体" w:eastAsia="宋体" w:cs="宋体"/>
                <w:color w:val="auto"/>
                <w:sz w:val="24"/>
              </w:rPr>
            </w:pPr>
          </w:p>
        </w:tc>
        <w:tc>
          <w:tcPr>
            <w:tcW w:w="1356" w:type="dxa"/>
            <w:noWrap w:val="0"/>
            <w:vAlign w:val="center"/>
          </w:tcPr>
          <w:p w14:paraId="186B3FD0">
            <w:pPr>
              <w:jc w:val="center"/>
              <w:rPr>
                <w:rFonts w:hint="eastAsia" w:ascii="宋体" w:hAnsi="宋体" w:eastAsia="宋体" w:cs="宋体"/>
                <w:color w:val="auto"/>
                <w:sz w:val="24"/>
              </w:rPr>
            </w:pPr>
          </w:p>
        </w:tc>
        <w:tc>
          <w:tcPr>
            <w:tcW w:w="1356" w:type="dxa"/>
            <w:noWrap w:val="0"/>
            <w:vAlign w:val="center"/>
          </w:tcPr>
          <w:p w14:paraId="5514D482">
            <w:pPr>
              <w:jc w:val="center"/>
              <w:rPr>
                <w:rFonts w:hint="eastAsia" w:ascii="宋体" w:hAnsi="宋体" w:eastAsia="宋体" w:cs="宋体"/>
                <w:color w:val="auto"/>
                <w:sz w:val="24"/>
              </w:rPr>
            </w:pPr>
          </w:p>
        </w:tc>
        <w:tc>
          <w:tcPr>
            <w:tcW w:w="1731" w:type="dxa"/>
            <w:noWrap w:val="0"/>
            <w:vAlign w:val="center"/>
          </w:tcPr>
          <w:p w14:paraId="3A1CC8FC">
            <w:pPr>
              <w:jc w:val="center"/>
              <w:rPr>
                <w:rFonts w:hint="eastAsia" w:ascii="宋体" w:hAnsi="宋体" w:eastAsia="宋体" w:cs="宋体"/>
                <w:color w:val="auto"/>
                <w:sz w:val="24"/>
              </w:rPr>
            </w:pPr>
          </w:p>
        </w:tc>
      </w:tr>
      <w:tr w14:paraId="5E21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58AAC4">
            <w:pPr>
              <w:jc w:val="center"/>
              <w:rPr>
                <w:rFonts w:hint="eastAsia" w:ascii="宋体" w:hAnsi="宋体" w:eastAsia="宋体" w:cs="宋体"/>
                <w:color w:val="auto"/>
                <w:sz w:val="24"/>
              </w:rPr>
            </w:pPr>
          </w:p>
        </w:tc>
        <w:tc>
          <w:tcPr>
            <w:tcW w:w="1620" w:type="dxa"/>
            <w:noWrap w:val="0"/>
            <w:vAlign w:val="center"/>
          </w:tcPr>
          <w:p w14:paraId="277643B8">
            <w:pPr>
              <w:jc w:val="center"/>
              <w:rPr>
                <w:rFonts w:hint="eastAsia" w:ascii="宋体" w:hAnsi="宋体" w:eastAsia="宋体" w:cs="宋体"/>
                <w:color w:val="auto"/>
                <w:sz w:val="24"/>
              </w:rPr>
            </w:pPr>
          </w:p>
        </w:tc>
        <w:tc>
          <w:tcPr>
            <w:tcW w:w="1440" w:type="dxa"/>
            <w:noWrap w:val="0"/>
            <w:vAlign w:val="center"/>
          </w:tcPr>
          <w:p w14:paraId="1FB1A9E6">
            <w:pPr>
              <w:jc w:val="center"/>
              <w:rPr>
                <w:rFonts w:hint="eastAsia" w:ascii="宋体" w:hAnsi="宋体" w:eastAsia="宋体" w:cs="宋体"/>
                <w:color w:val="auto"/>
                <w:sz w:val="24"/>
              </w:rPr>
            </w:pPr>
          </w:p>
        </w:tc>
        <w:tc>
          <w:tcPr>
            <w:tcW w:w="1356" w:type="dxa"/>
            <w:noWrap w:val="0"/>
            <w:vAlign w:val="center"/>
          </w:tcPr>
          <w:p w14:paraId="51CFFE1B">
            <w:pPr>
              <w:jc w:val="center"/>
              <w:rPr>
                <w:rFonts w:hint="eastAsia" w:ascii="宋体" w:hAnsi="宋体" w:eastAsia="宋体" w:cs="宋体"/>
                <w:color w:val="auto"/>
                <w:sz w:val="24"/>
              </w:rPr>
            </w:pPr>
          </w:p>
        </w:tc>
        <w:tc>
          <w:tcPr>
            <w:tcW w:w="1356" w:type="dxa"/>
            <w:noWrap w:val="0"/>
            <w:vAlign w:val="center"/>
          </w:tcPr>
          <w:p w14:paraId="685E936D">
            <w:pPr>
              <w:jc w:val="center"/>
              <w:rPr>
                <w:rFonts w:hint="eastAsia" w:ascii="宋体" w:hAnsi="宋体" w:eastAsia="宋体" w:cs="宋体"/>
                <w:color w:val="auto"/>
                <w:sz w:val="24"/>
              </w:rPr>
            </w:pPr>
          </w:p>
        </w:tc>
        <w:tc>
          <w:tcPr>
            <w:tcW w:w="1731" w:type="dxa"/>
            <w:noWrap w:val="0"/>
            <w:vAlign w:val="center"/>
          </w:tcPr>
          <w:p w14:paraId="466ECAFF">
            <w:pPr>
              <w:jc w:val="center"/>
              <w:rPr>
                <w:rFonts w:hint="eastAsia" w:ascii="宋体" w:hAnsi="宋体" w:eastAsia="宋体" w:cs="宋体"/>
                <w:color w:val="auto"/>
                <w:sz w:val="24"/>
              </w:rPr>
            </w:pPr>
          </w:p>
        </w:tc>
      </w:tr>
      <w:tr w14:paraId="0148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2535E00">
            <w:pPr>
              <w:jc w:val="center"/>
              <w:rPr>
                <w:rFonts w:hint="eastAsia" w:ascii="宋体" w:hAnsi="宋体" w:eastAsia="宋体" w:cs="宋体"/>
                <w:color w:val="auto"/>
                <w:sz w:val="24"/>
              </w:rPr>
            </w:pPr>
          </w:p>
        </w:tc>
        <w:tc>
          <w:tcPr>
            <w:tcW w:w="1620" w:type="dxa"/>
            <w:noWrap w:val="0"/>
            <w:vAlign w:val="center"/>
          </w:tcPr>
          <w:p w14:paraId="25A637D1">
            <w:pPr>
              <w:jc w:val="center"/>
              <w:rPr>
                <w:rFonts w:hint="eastAsia" w:ascii="宋体" w:hAnsi="宋体" w:eastAsia="宋体" w:cs="宋体"/>
                <w:color w:val="auto"/>
                <w:sz w:val="24"/>
              </w:rPr>
            </w:pPr>
          </w:p>
        </w:tc>
        <w:tc>
          <w:tcPr>
            <w:tcW w:w="1440" w:type="dxa"/>
            <w:noWrap w:val="0"/>
            <w:vAlign w:val="center"/>
          </w:tcPr>
          <w:p w14:paraId="0FE9780C">
            <w:pPr>
              <w:jc w:val="center"/>
              <w:rPr>
                <w:rFonts w:hint="eastAsia" w:ascii="宋体" w:hAnsi="宋体" w:eastAsia="宋体" w:cs="宋体"/>
                <w:color w:val="auto"/>
                <w:sz w:val="24"/>
              </w:rPr>
            </w:pPr>
          </w:p>
        </w:tc>
        <w:tc>
          <w:tcPr>
            <w:tcW w:w="1356" w:type="dxa"/>
            <w:noWrap w:val="0"/>
            <w:vAlign w:val="center"/>
          </w:tcPr>
          <w:p w14:paraId="7A6032B8">
            <w:pPr>
              <w:jc w:val="center"/>
              <w:rPr>
                <w:rFonts w:hint="eastAsia" w:ascii="宋体" w:hAnsi="宋体" w:eastAsia="宋体" w:cs="宋体"/>
                <w:color w:val="auto"/>
                <w:sz w:val="24"/>
              </w:rPr>
            </w:pPr>
          </w:p>
        </w:tc>
        <w:tc>
          <w:tcPr>
            <w:tcW w:w="1356" w:type="dxa"/>
            <w:noWrap w:val="0"/>
            <w:vAlign w:val="center"/>
          </w:tcPr>
          <w:p w14:paraId="4F89A2D0">
            <w:pPr>
              <w:jc w:val="center"/>
              <w:rPr>
                <w:rFonts w:hint="eastAsia" w:ascii="宋体" w:hAnsi="宋体" w:eastAsia="宋体" w:cs="宋体"/>
                <w:color w:val="auto"/>
                <w:sz w:val="24"/>
              </w:rPr>
            </w:pPr>
          </w:p>
        </w:tc>
        <w:tc>
          <w:tcPr>
            <w:tcW w:w="1731" w:type="dxa"/>
            <w:noWrap w:val="0"/>
            <w:vAlign w:val="center"/>
          </w:tcPr>
          <w:p w14:paraId="370FB3B3">
            <w:pPr>
              <w:jc w:val="center"/>
              <w:rPr>
                <w:rFonts w:hint="eastAsia" w:ascii="宋体" w:hAnsi="宋体" w:eastAsia="宋体" w:cs="宋体"/>
                <w:color w:val="auto"/>
                <w:sz w:val="24"/>
              </w:rPr>
            </w:pPr>
          </w:p>
        </w:tc>
      </w:tr>
      <w:tr w14:paraId="1393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339842">
            <w:pPr>
              <w:jc w:val="center"/>
              <w:rPr>
                <w:rFonts w:hint="eastAsia" w:ascii="宋体" w:hAnsi="宋体" w:eastAsia="宋体" w:cs="宋体"/>
                <w:color w:val="auto"/>
                <w:sz w:val="24"/>
              </w:rPr>
            </w:pPr>
          </w:p>
        </w:tc>
        <w:tc>
          <w:tcPr>
            <w:tcW w:w="1620" w:type="dxa"/>
            <w:noWrap w:val="0"/>
            <w:vAlign w:val="center"/>
          </w:tcPr>
          <w:p w14:paraId="023BAF8D">
            <w:pPr>
              <w:jc w:val="center"/>
              <w:rPr>
                <w:rFonts w:hint="eastAsia" w:ascii="宋体" w:hAnsi="宋体" w:eastAsia="宋体" w:cs="宋体"/>
                <w:color w:val="auto"/>
                <w:sz w:val="24"/>
              </w:rPr>
            </w:pPr>
          </w:p>
        </w:tc>
        <w:tc>
          <w:tcPr>
            <w:tcW w:w="1440" w:type="dxa"/>
            <w:noWrap w:val="0"/>
            <w:vAlign w:val="center"/>
          </w:tcPr>
          <w:p w14:paraId="768B398E">
            <w:pPr>
              <w:jc w:val="center"/>
              <w:rPr>
                <w:rFonts w:hint="eastAsia" w:ascii="宋体" w:hAnsi="宋体" w:eastAsia="宋体" w:cs="宋体"/>
                <w:color w:val="auto"/>
                <w:sz w:val="24"/>
              </w:rPr>
            </w:pPr>
          </w:p>
        </w:tc>
        <w:tc>
          <w:tcPr>
            <w:tcW w:w="1356" w:type="dxa"/>
            <w:noWrap w:val="0"/>
            <w:vAlign w:val="center"/>
          </w:tcPr>
          <w:p w14:paraId="7C279ABB">
            <w:pPr>
              <w:jc w:val="center"/>
              <w:rPr>
                <w:rFonts w:hint="eastAsia" w:ascii="宋体" w:hAnsi="宋体" w:eastAsia="宋体" w:cs="宋体"/>
                <w:color w:val="auto"/>
                <w:sz w:val="24"/>
              </w:rPr>
            </w:pPr>
          </w:p>
        </w:tc>
        <w:tc>
          <w:tcPr>
            <w:tcW w:w="1356" w:type="dxa"/>
            <w:noWrap w:val="0"/>
            <w:vAlign w:val="center"/>
          </w:tcPr>
          <w:p w14:paraId="7676FB16">
            <w:pPr>
              <w:jc w:val="center"/>
              <w:rPr>
                <w:rFonts w:hint="eastAsia" w:ascii="宋体" w:hAnsi="宋体" w:eastAsia="宋体" w:cs="宋体"/>
                <w:color w:val="auto"/>
                <w:sz w:val="24"/>
              </w:rPr>
            </w:pPr>
          </w:p>
        </w:tc>
        <w:tc>
          <w:tcPr>
            <w:tcW w:w="1731" w:type="dxa"/>
            <w:noWrap w:val="0"/>
            <w:vAlign w:val="center"/>
          </w:tcPr>
          <w:p w14:paraId="493366AC">
            <w:pPr>
              <w:jc w:val="center"/>
              <w:rPr>
                <w:rFonts w:hint="eastAsia" w:ascii="宋体" w:hAnsi="宋体" w:eastAsia="宋体" w:cs="宋体"/>
                <w:color w:val="auto"/>
                <w:sz w:val="24"/>
              </w:rPr>
            </w:pPr>
          </w:p>
        </w:tc>
      </w:tr>
      <w:tr w14:paraId="67BE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66EDA23">
            <w:pPr>
              <w:jc w:val="center"/>
              <w:rPr>
                <w:rFonts w:hint="eastAsia" w:ascii="宋体" w:hAnsi="宋体" w:eastAsia="宋体" w:cs="宋体"/>
                <w:color w:val="auto"/>
                <w:sz w:val="24"/>
              </w:rPr>
            </w:pPr>
          </w:p>
        </w:tc>
        <w:tc>
          <w:tcPr>
            <w:tcW w:w="1620" w:type="dxa"/>
            <w:noWrap w:val="0"/>
            <w:vAlign w:val="center"/>
          </w:tcPr>
          <w:p w14:paraId="1A45A9CA">
            <w:pPr>
              <w:jc w:val="center"/>
              <w:rPr>
                <w:rFonts w:hint="eastAsia" w:ascii="宋体" w:hAnsi="宋体" w:eastAsia="宋体" w:cs="宋体"/>
                <w:color w:val="auto"/>
                <w:sz w:val="24"/>
              </w:rPr>
            </w:pPr>
          </w:p>
        </w:tc>
        <w:tc>
          <w:tcPr>
            <w:tcW w:w="1440" w:type="dxa"/>
            <w:noWrap w:val="0"/>
            <w:vAlign w:val="center"/>
          </w:tcPr>
          <w:p w14:paraId="35A85069">
            <w:pPr>
              <w:jc w:val="center"/>
              <w:rPr>
                <w:rFonts w:hint="eastAsia" w:ascii="宋体" w:hAnsi="宋体" w:eastAsia="宋体" w:cs="宋体"/>
                <w:color w:val="auto"/>
                <w:sz w:val="24"/>
              </w:rPr>
            </w:pPr>
          </w:p>
        </w:tc>
        <w:tc>
          <w:tcPr>
            <w:tcW w:w="1356" w:type="dxa"/>
            <w:noWrap w:val="0"/>
            <w:vAlign w:val="center"/>
          </w:tcPr>
          <w:p w14:paraId="26368F99">
            <w:pPr>
              <w:jc w:val="center"/>
              <w:rPr>
                <w:rFonts w:hint="eastAsia" w:ascii="宋体" w:hAnsi="宋体" w:eastAsia="宋体" w:cs="宋体"/>
                <w:color w:val="auto"/>
                <w:sz w:val="24"/>
              </w:rPr>
            </w:pPr>
          </w:p>
        </w:tc>
        <w:tc>
          <w:tcPr>
            <w:tcW w:w="1356" w:type="dxa"/>
            <w:noWrap w:val="0"/>
            <w:vAlign w:val="center"/>
          </w:tcPr>
          <w:p w14:paraId="0E66A1C4">
            <w:pPr>
              <w:jc w:val="center"/>
              <w:rPr>
                <w:rFonts w:hint="eastAsia" w:ascii="宋体" w:hAnsi="宋体" w:eastAsia="宋体" w:cs="宋体"/>
                <w:color w:val="auto"/>
                <w:sz w:val="24"/>
              </w:rPr>
            </w:pPr>
          </w:p>
        </w:tc>
        <w:tc>
          <w:tcPr>
            <w:tcW w:w="1731" w:type="dxa"/>
            <w:noWrap w:val="0"/>
            <w:vAlign w:val="center"/>
          </w:tcPr>
          <w:p w14:paraId="27A8154A">
            <w:pPr>
              <w:jc w:val="center"/>
              <w:rPr>
                <w:rFonts w:hint="eastAsia" w:ascii="宋体" w:hAnsi="宋体" w:eastAsia="宋体" w:cs="宋体"/>
                <w:color w:val="auto"/>
                <w:sz w:val="24"/>
              </w:rPr>
            </w:pPr>
          </w:p>
        </w:tc>
      </w:tr>
      <w:tr w14:paraId="4159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2F12A19">
            <w:pPr>
              <w:jc w:val="center"/>
              <w:rPr>
                <w:rFonts w:hint="eastAsia" w:ascii="宋体" w:hAnsi="宋体" w:eastAsia="宋体" w:cs="宋体"/>
                <w:color w:val="auto"/>
                <w:sz w:val="24"/>
              </w:rPr>
            </w:pPr>
          </w:p>
        </w:tc>
        <w:tc>
          <w:tcPr>
            <w:tcW w:w="1620" w:type="dxa"/>
            <w:noWrap w:val="0"/>
            <w:vAlign w:val="center"/>
          </w:tcPr>
          <w:p w14:paraId="18988D70">
            <w:pPr>
              <w:jc w:val="center"/>
              <w:rPr>
                <w:rFonts w:hint="eastAsia" w:ascii="宋体" w:hAnsi="宋体" w:eastAsia="宋体" w:cs="宋体"/>
                <w:color w:val="auto"/>
                <w:sz w:val="24"/>
              </w:rPr>
            </w:pPr>
          </w:p>
        </w:tc>
        <w:tc>
          <w:tcPr>
            <w:tcW w:w="1440" w:type="dxa"/>
            <w:noWrap w:val="0"/>
            <w:vAlign w:val="center"/>
          </w:tcPr>
          <w:p w14:paraId="37C390C9">
            <w:pPr>
              <w:jc w:val="center"/>
              <w:rPr>
                <w:rFonts w:hint="eastAsia" w:ascii="宋体" w:hAnsi="宋体" w:eastAsia="宋体" w:cs="宋体"/>
                <w:color w:val="auto"/>
                <w:sz w:val="24"/>
              </w:rPr>
            </w:pPr>
          </w:p>
        </w:tc>
        <w:tc>
          <w:tcPr>
            <w:tcW w:w="1356" w:type="dxa"/>
            <w:noWrap w:val="0"/>
            <w:vAlign w:val="center"/>
          </w:tcPr>
          <w:p w14:paraId="0F2C9377">
            <w:pPr>
              <w:jc w:val="center"/>
              <w:rPr>
                <w:rFonts w:hint="eastAsia" w:ascii="宋体" w:hAnsi="宋体" w:eastAsia="宋体" w:cs="宋体"/>
                <w:color w:val="auto"/>
                <w:sz w:val="24"/>
              </w:rPr>
            </w:pPr>
          </w:p>
        </w:tc>
        <w:tc>
          <w:tcPr>
            <w:tcW w:w="1356" w:type="dxa"/>
            <w:noWrap w:val="0"/>
            <w:vAlign w:val="center"/>
          </w:tcPr>
          <w:p w14:paraId="210F3B0C">
            <w:pPr>
              <w:jc w:val="center"/>
              <w:rPr>
                <w:rFonts w:hint="eastAsia" w:ascii="宋体" w:hAnsi="宋体" w:eastAsia="宋体" w:cs="宋体"/>
                <w:color w:val="auto"/>
                <w:sz w:val="24"/>
              </w:rPr>
            </w:pPr>
          </w:p>
        </w:tc>
        <w:tc>
          <w:tcPr>
            <w:tcW w:w="1731" w:type="dxa"/>
            <w:noWrap w:val="0"/>
            <w:vAlign w:val="center"/>
          </w:tcPr>
          <w:p w14:paraId="1CB6C2C0">
            <w:pPr>
              <w:jc w:val="center"/>
              <w:rPr>
                <w:rFonts w:hint="eastAsia" w:ascii="宋体" w:hAnsi="宋体" w:eastAsia="宋体" w:cs="宋体"/>
                <w:color w:val="auto"/>
                <w:sz w:val="24"/>
              </w:rPr>
            </w:pPr>
          </w:p>
        </w:tc>
      </w:tr>
      <w:tr w14:paraId="524C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3C6F63C">
            <w:pPr>
              <w:jc w:val="center"/>
              <w:rPr>
                <w:rFonts w:hint="eastAsia" w:ascii="宋体" w:hAnsi="宋体" w:eastAsia="宋体" w:cs="宋体"/>
                <w:color w:val="auto"/>
                <w:sz w:val="24"/>
              </w:rPr>
            </w:pPr>
          </w:p>
        </w:tc>
        <w:tc>
          <w:tcPr>
            <w:tcW w:w="1620" w:type="dxa"/>
            <w:noWrap w:val="0"/>
            <w:vAlign w:val="center"/>
          </w:tcPr>
          <w:p w14:paraId="3CFC8194">
            <w:pPr>
              <w:jc w:val="center"/>
              <w:rPr>
                <w:rFonts w:hint="eastAsia" w:ascii="宋体" w:hAnsi="宋体" w:eastAsia="宋体" w:cs="宋体"/>
                <w:color w:val="auto"/>
                <w:sz w:val="24"/>
              </w:rPr>
            </w:pPr>
          </w:p>
        </w:tc>
        <w:tc>
          <w:tcPr>
            <w:tcW w:w="1440" w:type="dxa"/>
            <w:noWrap w:val="0"/>
            <w:vAlign w:val="center"/>
          </w:tcPr>
          <w:p w14:paraId="3C6E9E6B">
            <w:pPr>
              <w:jc w:val="center"/>
              <w:rPr>
                <w:rFonts w:hint="eastAsia" w:ascii="宋体" w:hAnsi="宋体" w:eastAsia="宋体" w:cs="宋体"/>
                <w:color w:val="auto"/>
                <w:sz w:val="24"/>
              </w:rPr>
            </w:pPr>
          </w:p>
        </w:tc>
        <w:tc>
          <w:tcPr>
            <w:tcW w:w="1356" w:type="dxa"/>
            <w:noWrap w:val="0"/>
            <w:vAlign w:val="center"/>
          </w:tcPr>
          <w:p w14:paraId="6C8133A3">
            <w:pPr>
              <w:jc w:val="center"/>
              <w:rPr>
                <w:rFonts w:hint="eastAsia" w:ascii="宋体" w:hAnsi="宋体" w:eastAsia="宋体" w:cs="宋体"/>
                <w:color w:val="auto"/>
                <w:sz w:val="24"/>
              </w:rPr>
            </w:pPr>
          </w:p>
        </w:tc>
        <w:tc>
          <w:tcPr>
            <w:tcW w:w="1356" w:type="dxa"/>
            <w:noWrap w:val="0"/>
            <w:vAlign w:val="center"/>
          </w:tcPr>
          <w:p w14:paraId="3C8AA1C6">
            <w:pPr>
              <w:jc w:val="center"/>
              <w:rPr>
                <w:rFonts w:hint="eastAsia" w:ascii="宋体" w:hAnsi="宋体" w:eastAsia="宋体" w:cs="宋体"/>
                <w:color w:val="auto"/>
                <w:sz w:val="24"/>
              </w:rPr>
            </w:pPr>
          </w:p>
        </w:tc>
        <w:tc>
          <w:tcPr>
            <w:tcW w:w="1731" w:type="dxa"/>
            <w:noWrap w:val="0"/>
            <w:vAlign w:val="center"/>
          </w:tcPr>
          <w:p w14:paraId="079B64F7">
            <w:pPr>
              <w:jc w:val="center"/>
              <w:rPr>
                <w:rFonts w:hint="eastAsia" w:ascii="宋体" w:hAnsi="宋体" w:eastAsia="宋体" w:cs="宋体"/>
                <w:color w:val="auto"/>
                <w:sz w:val="24"/>
              </w:rPr>
            </w:pPr>
          </w:p>
        </w:tc>
      </w:tr>
    </w:tbl>
    <w:p w14:paraId="4FBBCE70">
      <w:pPr>
        <w:pStyle w:val="4"/>
        <w:keepNext w:val="0"/>
        <w:keepLines w:val="0"/>
        <w:pageBreakBefore w:val="0"/>
        <w:widowControl w:val="0"/>
        <w:kinsoku/>
        <w:wordWrap w:val="0"/>
        <w:overflowPunct/>
        <w:topLinePunct w:val="0"/>
        <w:autoSpaceDE w:val="0"/>
        <w:autoSpaceDN w:val="0"/>
        <w:bidi w:val="0"/>
        <w:adjustRightInd/>
        <w:snapToGrid/>
        <w:spacing w:before="0" w:beforeLines="50" w:line="360" w:lineRule="auto"/>
        <w:ind w:left="0" w:leftChars="0" w:firstLine="480" w:firstLineChars="200"/>
        <w:jc w:val="left"/>
        <w:textAlignment w:val="auto"/>
        <w:rPr>
          <w:rFonts w:hint="eastAsia" w:cs="宋体"/>
          <w:b w:val="0"/>
          <w:bCs/>
          <w:color w:val="000000" w:themeColor="text1"/>
          <w:sz w:val="24"/>
          <w:szCs w:val="24"/>
          <w:lang w:val="en-US" w:eastAsia="zh-CN"/>
          <w14:textFill>
            <w14:solidFill>
              <w14:schemeClr w14:val="tx1"/>
            </w14:solidFill>
          </w14:textFill>
        </w:rPr>
      </w:pPr>
      <w:r>
        <w:rPr>
          <w:rFonts w:hint="eastAsia" w:ascii="宋体" w:hAnsi="宋体" w:cs="宋体"/>
          <w:b w:val="0"/>
          <w:bCs/>
          <w:sz w:val="24"/>
          <w:szCs w:val="24"/>
        </w:rPr>
        <w:t>注：供应商所列项目清单</w:t>
      </w:r>
      <w:r>
        <w:rPr>
          <w:rFonts w:hint="eastAsia" w:cs="宋体"/>
          <w:b w:val="0"/>
          <w:bCs/>
          <w:color w:val="000000" w:themeColor="text1"/>
          <w:sz w:val="24"/>
          <w:szCs w:val="24"/>
          <w:lang w:val="en-US" w:eastAsia="zh-CN"/>
          <w14:textFill>
            <w14:solidFill>
              <w14:schemeClr w14:val="tx1"/>
            </w14:solidFill>
          </w14:textFill>
        </w:rPr>
        <w:t>须附须提供中标网上公示截图、中标通知书、合同、验收报告（扫描件），不提供或未按要求提供的不得分，时间要求为自2023年01月01日以来，合同协议书以合同签订日期为准</w:t>
      </w:r>
    </w:p>
    <w:p w14:paraId="7F89485B">
      <w:pPr>
        <w:widowControl w:val="0"/>
        <w:spacing w:line="360" w:lineRule="auto"/>
        <w:jc w:val="left"/>
        <w:rPr>
          <w:rFonts w:hint="eastAsia" w:ascii="宋体" w:hAnsi="宋体" w:cs="宋体"/>
          <w:b w:val="0"/>
          <w:bCs/>
          <w:sz w:val="24"/>
          <w:szCs w:val="24"/>
          <w:lang w:eastAsia="zh-CN"/>
        </w:rPr>
      </w:pPr>
    </w:p>
    <w:p w14:paraId="04E5272B">
      <w:pPr>
        <w:spacing w:line="480" w:lineRule="exact"/>
        <w:jc w:val="center"/>
        <w:outlineLvl w:val="0"/>
        <w:rPr>
          <w:rFonts w:hint="eastAsia" w:ascii="宋体" w:hAnsi="宋体" w:cs="宋体"/>
          <w:b/>
          <w:sz w:val="24"/>
          <w:szCs w:val="24"/>
          <w:lang w:eastAsia="zh-CN"/>
        </w:rPr>
      </w:pPr>
    </w:p>
    <w:p w14:paraId="3B6EBA95">
      <w:pPr>
        <w:spacing w:line="480" w:lineRule="exact"/>
        <w:jc w:val="center"/>
        <w:outlineLvl w:val="0"/>
        <w:rPr>
          <w:rFonts w:hint="eastAsia" w:ascii="宋体" w:hAnsi="宋体" w:cs="宋体"/>
          <w:b/>
          <w:sz w:val="24"/>
          <w:szCs w:val="24"/>
          <w:lang w:eastAsia="zh-CN"/>
        </w:rPr>
      </w:pPr>
    </w:p>
    <w:p w14:paraId="5D65346B">
      <w:pPr>
        <w:spacing w:line="480" w:lineRule="exact"/>
        <w:jc w:val="center"/>
        <w:outlineLvl w:val="0"/>
        <w:rPr>
          <w:rFonts w:hint="eastAsia" w:ascii="宋体" w:hAnsi="宋体" w:cs="宋体"/>
          <w:b/>
          <w:sz w:val="24"/>
          <w:szCs w:val="24"/>
          <w:lang w:eastAsia="zh-CN"/>
        </w:rPr>
      </w:pPr>
    </w:p>
    <w:p w14:paraId="3721E5F6">
      <w:pPr>
        <w:pStyle w:val="13"/>
        <w:rPr>
          <w:rFonts w:hint="eastAsia" w:ascii="宋体" w:hAnsi="宋体" w:cs="宋体"/>
          <w:b/>
          <w:sz w:val="24"/>
          <w:szCs w:val="24"/>
          <w:lang w:eastAsia="zh-CN"/>
        </w:rPr>
      </w:pPr>
    </w:p>
    <w:p w14:paraId="56241584">
      <w:pPr>
        <w:pStyle w:val="13"/>
        <w:rPr>
          <w:rFonts w:hint="eastAsia" w:ascii="宋体" w:hAnsi="宋体" w:cs="宋体"/>
          <w:b/>
          <w:sz w:val="24"/>
          <w:szCs w:val="24"/>
          <w:lang w:eastAsia="zh-CN"/>
        </w:rPr>
      </w:pPr>
    </w:p>
    <w:p w14:paraId="18CB2CCF">
      <w:pPr>
        <w:spacing w:line="480" w:lineRule="exact"/>
        <w:jc w:val="center"/>
        <w:outlineLvl w:val="0"/>
        <w:rPr>
          <w:rFonts w:hint="eastAsia" w:ascii="宋体" w:hAnsi="宋体" w:cs="宋体"/>
          <w:b/>
          <w:sz w:val="24"/>
          <w:szCs w:val="24"/>
          <w:lang w:eastAsia="zh-CN"/>
        </w:rPr>
      </w:pPr>
    </w:p>
    <w:p w14:paraId="3F61DE90">
      <w:pPr>
        <w:spacing w:line="480" w:lineRule="exact"/>
        <w:jc w:val="center"/>
        <w:outlineLvl w:val="0"/>
        <w:rPr>
          <w:rFonts w:hint="eastAsia" w:ascii="宋体" w:hAnsi="宋体" w:cs="宋体"/>
          <w:b/>
          <w:sz w:val="24"/>
          <w:szCs w:val="24"/>
          <w:lang w:eastAsia="zh-CN"/>
        </w:rPr>
      </w:pPr>
    </w:p>
    <w:p w14:paraId="0877684A">
      <w:pPr>
        <w:spacing w:line="480" w:lineRule="exact"/>
        <w:jc w:val="center"/>
        <w:outlineLvl w:val="0"/>
        <w:rPr>
          <w:rFonts w:hint="eastAsia" w:ascii="宋体" w:hAnsi="宋体" w:cs="宋体"/>
          <w:b/>
          <w:sz w:val="24"/>
          <w:szCs w:val="24"/>
          <w:lang w:eastAsia="zh-CN"/>
        </w:rPr>
      </w:pPr>
    </w:p>
    <w:p w14:paraId="0B280D94">
      <w:pPr>
        <w:spacing w:line="360" w:lineRule="auto"/>
        <w:jc w:val="center"/>
        <w:rPr>
          <w:rFonts w:hint="eastAsia" w:ascii="宋体" w:hAnsi="宋体" w:cs="仿宋"/>
          <w:b/>
          <w:kern w:val="2"/>
          <w:sz w:val="24"/>
          <w:szCs w:val="24"/>
        </w:rPr>
      </w:pPr>
      <w:bookmarkStart w:id="209" w:name="_Toc16692"/>
      <w:bookmarkStart w:id="210" w:name="_Toc8399"/>
      <w:r>
        <w:rPr>
          <w:rFonts w:hint="eastAsia" w:ascii="宋体" w:hAnsi="宋体" w:eastAsia="宋体" w:cs="Times New Roman"/>
          <w:b w:val="0"/>
          <w:bCs/>
          <w:sz w:val="24"/>
          <w:lang w:eastAsia="zh-CN"/>
        </w:rPr>
        <w:t>（</w:t>
      </w:r>
      <w:r>
        <w:rPr>
          <w:rFonts w:hint="eastAsia" w:ascii="宋体" w:hAnsi="宋体" w:eastAsia="宋体" w:cs="Times New Roman"/>
          <w:b w:val="0"/>
          <w:bCs/>
          <w:sz w:val="24"/>
          <w:lang w:val="en-US" w:eastAsia="zh-CN"/>
        </w:rPr>
        <w:t>二</w:t>
      </w:r>
      <w:r>
        <w:rPr>
          <w:rFonts w:hint="eastAsia" w:ascii="宋体" w:hAnsi="宋体" w:eastAsia="宋体" w:cs="Times New Roman"/>
          <w:b w:val="0"/>
          <w:bCs/>
          <w:sz w:val="24"/>
          <w:lang w:eastAsia="zh-CN"/>
        </w:rPr>
        <w:t>）</w:t>
      </w:r>
      <w:r>
        <w:rPr>
          <w:rFonts w:hint="eastAsia" w:ascii="宋体" w:hAnsi="宋体"/>
          <w:kern w:val="0"/>
          <w:sz w:val="24"/>
          <w:szCs w:val="24"/>
          <w:lang w:val="en-US" w:eastAsia="zh-CN"/>
        </w:rPr>
        <w:t>商务</w:t>
      </w:r>
      <w:r>
        <w:rPr>
          <w:rFonts w:hint="eastAsia" w:ascii="宋体" w:hAnsi="宋体" w:eastAsia="宋体" w:cs="Times New Roman"/>
          <w:b w:val="0"/>
          <w:bCs/>
          <w:sz w:val="24"/>
          <w:lang w:eastAsia="zh-CN"/>
        </w:rPr>
        <w:t>标其他资料</w:t>
      </w:r>
    </w:p>
    <w:p w14:paraId="0F106EB4">
      <w:pPr>
        <w:spacing w:line="480" w:lineRule="exact"/>
        <w:jc w:val="center"/>
        <w:outlineLvl w:val="0"/>
        <w:rPr>
          <w:rFonts w:hint="eastAsia" w:ascii="宋体" w:hAnsi="宋体" w:cs="仿宋"/>
          <w:b w:val="0"/>
          <w:bCs/>
          <w:kern w:val="2"/>
          <w:sz w:val="24"/>
          <w:szCs w:val="24"/>
        </w:rPr>
      </w:pPr>
      <w:bookmarkStart w:id="211" w:name="_Toc23908"/>
      <w:bookmarkStart w:id="212" w:name="_Toc10108"/>
      <w:r>
        <w:rPr>
          <w:rFonts w:hint="eastAsia" w:ascii="宋体" w:hAnsi="宋体" w:cs="仿宋"/>
          <w:b w:val="0"/>
          <w:bCs/>
          <w:kern w:val="2"/>
          <w:sz w:val="24"/>
          <w:szCs w:val="24"/>
          <w:lang w:eastAsia="zh-CN"/>
        </w:rPr>
        <w:t>（</w:t>
      </w:r>
      <w:r>
        <w:rPr>
          <w:rFonts w:hint="eastAsia" w:ascii="宋体" w:hAnsi="宋体" w:cs="仿宋"/>
          <w:b w:val="0"/>
          <w:bCs/>
          <w:kern w:val="2"/>
          <w:sz w:val="24"/>
          <w:szCs w:val="24"/>
        </w:rPr>
        <w:t>内容应包括但不限制于评分办法提到的内容</w:t>
      </w:r>
      <w:r>
        <w:rPr>
          <w:rFonts w:hint="eastAsia" w:ascii="宋体" w:hAnsi="宋体" w:cs="仿宋"/>
          <w:b w:val="0"/>
          <w:bCs/>
          <w:kern w:val="2"/>
          <w:sz w:val="24"/>
          <w:szCs w:val="24"/>
          <w:lang w:eastAsia="zh-CN"/>
        </w:rPr>
        <w:t>，</w:t>
      </w:r>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209"/>
      <w:bookmarkEnd w:id="210"/>
      <w:bookmarkEnd w:id="211"/>
      <w:bookmarkEnd w:id="212"/>
    </w:p>
    <w:p w14:paraId="097C5D37">
      <w:pPr>
        <w:spacing w:line="480" w:lineRule="exact"/>
        <w:jc w:val="center"/>
        <w:outlineLvl w:val="0"/>
        <w:rPr>
          <w:rFonts w:hint="eastAsia" w:ascii="宋体" w:hAnsi="宋体" w:eastAsia="宋体" w:cs="宋体"/>
          <w:b/>
          <w:color w:val="auto"/>
          <w:sz w:val="24"/>
          <w:szCs w:val="24"/>
        </w:rPr>
      </w:pPr>
    </w:p>
    <w:p w14:paraId="333B8A27">
      <w:pPr>
        <w:spacing w:line="480" w:lineRule="exact"/>
        <w:jc w:val="center"/>
        <w:outlineLvl w:val="0"/>
        <w:rPr>
          <w:rFonts w:hint="eastAsia" w:ascii="宋体" w:hAnsi="宋体" w:eastAsia="宋体" w:cs="宋体"/>
          <w:b/>
          <w:color w:val="auto"/>
          <w:sz w:val="24"/>
          <w:szCs w:val="24"/>
        </w:rPr>
      </w:pPr>
    </w:p>
    <w:p w14:paraId="0636D603">
      <w:pPr>
        <w:spacing w:line="480" w:lineRule="exact"/>
        <w:jc w:val="center"/>
        <w:outlineLvl w:val="0"/>
        <w:rPr>
          <w:rFonts w:hint="eastAsia" w:ascii="宋体" w:hAnsi="宋体" w:eastAsia="宋体" w:cs="宋体"/>
          <w:b/>
          <w:color w:val="auto"/>
          <w:sz w:val="24"/>
          <w:szCs w:val="24"/>
        </w:rPr>
      </w:pPr>
    </w:p>
    <w:p w14:paraId="22FF618F">
      <w:pPr>
        <w:spacing w:line="480" w:lineRule="exact"/>
        <w:jc w:val="center"/>
        <w:outlineLvl w:val="0"/>
        <w:rPr>
          <w:rFonts w:hint="eastAsia" w:ascii="宋体" w:hAnsi="宋体" w:eastAsia="宋体" w:cs="宋体"/>
          <w:b/>
          <w:color w:val="auto"/>
          <w:sz w:val="24"/>
          <w:szCs w:val="24"/>
        </w:rPr>
      </w:pPr>
    </w:p>
    <w:p w14:paraId="36D9F307">
      <w:pPr>
        <w:spacing w:line="480" w:lineRule="exact"/>
        <w:jc w:val="center"/>
        <w:outlineLvl w:val="0"/>
        <w:rPr>
          <w:rFonts w:hint="eastAsia" w:ascii="宋体" w:hAnsi="宋体" w:eastAsia="宋体" w:cs="宋体"/>
          <w:b/>
          <w:color w:val="auto"/>
          <w:sz w:val="24"/>
          <w:szCs w:val="24"/>
        </w:rPr>
      </w:pPr>
    </w:p>
    <w:p w14:paraId="298A6934">
      <w:pPr>
        <w:spacing w:line="480" w:lineRule="exact"/>
        <w:jc w:val="center"/>
        <w:outlineLvl w:val="0"/>
        <w:rPr>
          <w:rFonts w:hint="eastAsia" w:ascii="宋体" w:hAnsi="宋体" w:eastAsia="宋体" w:cs="宋体"/>
          <w:b/>
          <w:color w:val="auto"/>
          <w:sz w:val="24"/>
          <w:szCs w:val="24"/>
        </w:rPr>
      </w:pPr>
    </w:p>
    <w:p w14:paraId="04421227">
      <w:pPr>
        <w:spacing w:line="480" w:lineRule="exact"/>
        <w:jc w:val="center"/>
        <w:outlineLvl w:val="0"/>
        <w:rPr>
          <w:rFonts w:hint="eastAsia" w:ascii="宋体" w:hAnsi="宋体" w:eastAsia="宋体" w:cs="宋体"/>
          <w:b/>
          <w:color w:val="auto"/>
          <w:sz w:val="24"/>
          <w:szCs w:val="24"/>
        </w:rPr>
      </w:pPr>
    </w:p>
    <w:p w14:paraId="2265BB0C">
      <w:pPr>
        <w:spacing w:line="480" w:lineRule="exact"/>
        <w:jc w:val="center"/>
        <w:outlineLvl w:val="0"/>
        <w:rPr>
          <w:rFonts w:hint="eastAsia" w:ascii="宋体" w:hAnsi="宋体" w:eastAsia="宋体" w:cs="宋体"/>
          <w:b/>
          <w:color w:val="auto"/>
          <w:sz w:val="24"/>
          <w:szCs w:val="24"/>
        </w:rPr>
      </w:pPr>
    </w:p>
    <w:p w14:paraId="5DC41804">
      <w:pPr>
        <w:spacing w:line="480" w:lineRule="exact"/>
        <w:jc w:val="center"/>
        <w:outlineLvl w:val="0"/>
        <w:rPr>
          <w:rFonts w:hint="eastAsia" w:ascii="宋体" w:hAnsi="宋体" w:eastAsia="宋体" w:cs="宋体"/>
          <w:b/>
          <w:color w:val="auto"/>
          <w:sz w:val="24"/>
          <w:szCs w:val="24"/>
        </w:rPr>
      </w:pPr>
    </w:p>
    <w:p w14:paraId="1F4CF5E0">
      <w:pPr>
        <w:spacing w:line="480" w:lineRule="exact"/>
        <w:jc w:val="center"/>
        <w:outlineLvl w:val="0"/>
        <w:rPr>
          <w:rFonts w:hint="eastAsia" w:ascii="宋体" w:hAnsi="宋体" w:eastAsia="宋体" w:cs="宋体"/>
          <w:b/>
          <w:color w:val="auto"/>
          <w:sz w:val="24"/>
          <w:szCs w:val="24"/>
        </w:rPr>
      </w:pPr>
    </w:p>
    <w:p w14:paraId="3EF24CAC">
      <w:pPr>
        <w:spacing w:line="480" w:lineRule="exact"/>
        <w:jc w:val="center"/>
        <w:outlineLvl w:val="0"/>
        <w:rPr>
          <w:rFonts w:hint="eastAsia" w:ascii="宋体" w:hAnsi="宋体" w:eastAsia="宋体" w:cs="宋体"/>
          <w:b/>
          <w:color w:val="auto"/>
          <w:sz w:val="24"/>
          <w:szCs w:val="24"/>
        </w:rPr>
      </w:pPr>
    </w:p>
    <w:p w14:paraId="5616F99E">
      <w:pPr>
        <w:spacing w:line="480" w:lineRule="exact"/>
        <w:jc w:val="center"/>
        <w:outlineLvl w:val="0"/>
        <w:rPr>
          <w:rFonts w:hint="eastAsia" w:ascii="宋体" w:hAnsi="宋体" w:eastAsia="宋体" w:cs="宋体"/>
          <w:b/>
          <w:color w:val="auto"/>
          <w:sz w:val="24"/>
          <w:szCs w:val="24"/>
        </w:rPr>
      </w:pPr>
    </w:p>
    <w:p w14:paraId="026DF3E8">
      <w:pPr>
        <w:spacing w:line="480" w:lineRule="exact"/>
        <w:jc w:val="center"/>
        <w:outlineLvl w:val="0"/>
        <w:rPr>
          <w:rFonts w:hint="eastAsia" w:ascii="宋体" w:hAnsi="宋体" w:eastAsia="宋体" w:cs="宋体"/>
          <w:b/>
          <w:color w:val="auto"/>
          <w:sz w:val="24"/>
          <w:szCs w:val="24"/>
        </w:rPr>
      </w:pPr>
    </w:p>
    <w:p w14:paraId="035106D0">
      <w:pPr>
        <w:spacing w:line="480" w:lineRule="exact"/>
        <w:jc w:val="center"/>
        <w:outlineLvl w:val="0"/>
        <w:rPr>
          <w:rFonts w:hint="eastAsia" w:ascii="宋体" w:hAnsi="宋体" w:eastAsia="宋体" w:cs="宋体"/>
          <w:b/>
          <w:color w:val="auto"/>
          <w:sz w:val="24"/>
          <w:szCs w:val="24"/>
        </w:rPr>
      </w:pPr>
    </w:p>
    <w:p w14:paraId="4EFCFE8C">
      <w:pPr>
        <w:spacing w:line="480" w:lineRule="exact"/>
        <w:jc w:val="center"/>
        <w:outlineLvl w:val="0"/>
        <w:rPr>
          <w:rFonts w:hint="eastAsia" w:ascii="宋体" w:hAnsi="宋体" w:eastAsia="宋体" w:cs="宋体"/>
          <w:b/>
          <w:color w:val="auto"/>
          <w:sz w:val="24"/>
          <w:szCs w:val="24"/>
        </w:rPr>
      </w:pPr>
    </w:p>
    <w:p w14:paraId="3C9B533A">
      <w:pPr>
        <w:spacing w:line="480" w:lineRule="exact"/>
        <w:jc w:val="center"/>
        <w:outlineLvl w:val="0"/>
        <w:rPr>
          <w:rFonts w:hint="eastAsia" w:ascii="宋体" w:hAnsi="宋体" w:eastAsia="宋体" w:cs="宋体"/>
          <w:b/>
          <w:color w:val="auto"/>
          <w:sz w:val="24"/>
          <w:szCs w:val="24"/>
        </w:rPr>
      </w:pPr>
    </w:p>
    <w:p w14:paraId="5265AF57">
      <w:pPr>
        <w:spacing w:line="480" w:lineRule="exact"/>
        <w:jc w:val="center"/>
        <w:outlineLvl w:val="0"/>
        <w:rPr>
          <w:rFonts w:hint="eastAsia" w:ascii="宋体" w:hAnsi="宋体" w:eastAsia="宋体" w:cs="宋体"/>
          <w:b/>
          <w:color w:val="auto"/>
          <w:sz w:val="24"/>
          <w:szCs w:val="24"/>
        </w:rPr>
      </w:pPr>
    </w:p>
    <w:bookmarkEnd w:id="174"/>
    <w:p w14:paraId="1EED94A8">
      <w:pPr>
        <w:widowControl w:val="0"/>
        <w:spacing w:line="360" w:lineRule="auto"/>
        <w:jc w:val="center"/>
        <w:outlineLvl w:val="1"/>
        <w:rPr>
          <w:rFonts w:hint="eastAsia" w:ascii="宋体" w:hAnsi="宋体" w:cs="仿宋"/>
          <w:b/>
          <w:kern w:val="2"/>
          <w:sz w:val="24"/>
          <w:szCs w:val="24"/>
          <w:lang w:eastAsia="zh-CN"/>
        </w:rPr>
      </w:pPr>
    </w:p>
    <w:p w14:paraId="3EC0BBAD">
      <w:pPr>
        <w:pStyle w:val="13"/>
        <w:rPr>
          <w:rFonts w:hint="eastAsia" w:ascii="宋体" w:hAnsi="宋体" w:cs="仿宋"/>
          <w:b/>
          <w:kern w:val="2"/>
          <w:sz w:val="24"/>
          <w:szCs w:val="24"/>
          <w:lang w:eastAsia="zh-CN"/>
        </w:rPr>
      </w:pPr>
    </w:p>
    <w:p w14:paraId="1A71A54D">
      <w:pPr>
        <w:pStyle w:val="13"/>
        <w:rPr>
          <w:rFonts w:hint="eastAsia" w:ascii="宋体" w:hAnsi="宋体" w:cs="仿宋"/>
          <w:b/>
          <w:kern w:val="2"/>
          <w:sz w:val="24"/>
          <w:szCs w:val="24"/>
          <w:lang w:eastAsia="zh-CN"/>
        </w:rPr>
      </w:pPr>
    </w:p>
    <w:p w14:paraId="783FC990">
      <w:pPr>
        <w:pStyle w:val="13"/>
        <w:rPr>
          <w:rFonts w:hint="eastAsia" w:ascii="宋体" w:hAnsi="宋体" w:cs="仿宋"/>
          <w:b/>
          <w:kern w:val="2"/>
          <w:sz w:val="24"/>
          <w:szCs w:val="24"/>
          <w:lang w:eastAsia="zh-CN"/>
        </w:rPr>
      </w:pPr>
    </w:p>
    <w:p w14:paraId="4F38F169">
      <w:pPr>
        <w:pStyle w:val="13"/>
        <w:rPr>
          <w:rFonts w:hint="eastAsia" w:ascii="宋体" w:hAnsi="宋体" w:cs="仿宋"/>
          <w:b/>
          <w:kern w:val="2"/>
          <w:sz w:val="24"/>
          <w:szCs w:val="24"/>
          <w:lang w:eastAsia="zh-CN"/>
        </w:rPr>
      </w:pPr>
    </w:p>
    <w:p w14:paraId="190A2AF3">
      <w:pPr>
        <w:pStyle w:val="13"/>
        <w:rPr>
          <w:rFonts w:hint="eastAsia" w:ascii="宋体" w:hAnsi="宋体" w:cs="仿宋"/>
          <w:b/>
          <w:kern w:val="2"/>
          <w:sz w:val="24"/>
          <w:szCs w:val="24"/>
          <w:lang w:eastAsia="zh-CN"/>
        </w:rPr>
      </w:pPr>
    </w:p>
    <w:p w14:paraId="0F847F6B">
      <w:pPr>
        <w:pStyle w:val="13"/>
        <w:rPr>
          <w:rFonts w:hint="eastAsia" w:ascii="宋体" w:hAnsi="宋体" w:cs="仿宋"/>
          <w:b/>
          <w:kern w:val="2"/>
          <w:sz w:val="24"/>
          <w:szCs w:val="24"/>
          <w:lang w:eastAsia="zh-CN"/>
        </w:rPr>
      </w:pPr>
    </w:p>
    <w:p w14:paraId="323582A4">
      <w:pPr>
        <w:pStyle w:val="13"/>
        <w:rPr>
          <w:rFonts w:hint="eastAsia" w:ascii="宋体" w:hAnsi="宋体" w:cs="仿宋"/>
          <w:b/>
          <w:kern w:val="2"/>
          <w:sz w:val="24"/>
          <w:szCs w:val="24"/>
          <w:lang w:eastAsia="zh-CN"/>
        </w:rPr>
      </w:pPr>
    </w:p>
    <w:p w14:paraId="03847612">
      <w:pPr>
        <w:pStyle w:val="13"/>
        <w:rPr>
          <w:rFonts w:hint="eastAsia" w:ascii="宋体" w:hAnsi="宋体" w:cs="仿宋"/>
          <w:b/>
          <w:kern w:val="2"/>
          <w:sz w:val="24"/>
          <w:szCs w:val="24"/>
          <w:lang w:eastAsia="zh-CN"/>
        </w:rPr>
      </w:pPr>
    </w:p>
    <w:p w14:paraId="54165063">
      <w:pPr>
        <w:widowControl w:val="0"/>
        <w:spacing w:line="360" w:lineRule="auto"/>
        <w:jc w:val="center"/>
        <w:outlineLvl w:val="1"/>
        <w:rPr>
          <w:rFonts w:hint="eastAsia" w:ascii="宋体" w:hAnsi="宋体" w:cs="仿宋"/>
          <w:b/>
          <w:kern w:val="2"/>
          <w:sz w:val="24"/>
          <w:szCs w:val="24"/>
          <w:lang w:eastAsia="zh-CN"/>
        </w:rPr>
      </w:pPr>
    </w:p>
    <w:p w14:paraId="207D33D0">
      <w:pPr>
        <w:widowControl w:val="0"/>
        <w:spacing w:line="360" w:lineRule="auto"/>
        <w:jc w:val="center"/>
        <w:outlineLvl w:val="1"/>
        <w:rPr>
          <w:rFonts w:ascii="宋体" w:hAnsi="宋体" w:cs="仿宋"/>
          <w:b/>
          <w:kern w:val="2"/>
          <w:sz w:val="24"/>
          <w:szCs w:val="24"/>
        </w:rPr>
      </w:pPr>
      <w:r>
        <w:rPr>
          <w:rFonts w:hint="eastAsia" w:ascii="宋体" w:hAnsi="宋体" w:cs="仿宋"/>
          <w:b/>
          <w:kern w:val="2"/>
          <w:sz w:val="24"/>
          <w:szCs w:val="24"/>
          <w:lang w:val="en-US" w:eastAsia="zh-CN"/>
        </w:rPr>
        <w:t>八</w:t>
      </w:r>
      <w:r>
        <w:rPr>
          <w:rFonts w:hint="eastAsia" w:ascii="宋体" w:hAnsi="宋体" w:cs="仿宋"/>
          <w:b/>
          <w:kern w:val="2"/>
          <w:sz w:val="24"/>
          <w:szCs w:val="24"/>
        </w:rPr>
        <w:t>、其他资料</w:t>
      </w:r>
    </w:p>
    <w:p w14:paraId="21BFD47D">
      <w:pPr>
        <w:spacing w:line="480" w:lineRule="exact"/>
        <w:jc w:val="center"/>
        <w:outlineLvl w:val="0"/>
        <w:rPr>
          <w:rFonts w:hint="eastAsia" w:ascii="宋体" w:hAnsi="宋体" w:cs="仿宋"/>
          <w:b w:val="0"/>
          <w:bCs/>
          <w:kern w:val="2"/>
          <w:sz w:val="24"/>
          <w:szCs w:val="24"/>
        </w:rPr>
      </w:pPr>
      <w:bookmarkStart w:id="213" w:name="_Toc1774"/>
      <w:bookmarkStart w:id="214" w:name="_Toc20442"/>
      <w:bookmarkStart w:id="215" w:name="_Toc11243"/>
      <w:bookmarkStart w:id="216" w:name="_Toc28712"/>
      <w:r>
        <w:rPr>
          <w:rFonts w:hint="eastAsia" w:ascii="宋体" w:hAnsi="宋体" w:cs="仿宋"/>
          <w:b w:val="0"/>
          <w:bCs/>
          <w:kern w:val="2"/>
          <w:sz w:val="24"/>
          <w:szCs w:val="24"/>
        </w:rPr>
        <w:t>（</w:t>
      </w:r>
      <w:r>
        <w:rPr>
          <w:rFonts w:hint="eastAsia" w:ascii="宋体" w:hAnsi="宋体" w:eastAsia="宋体" w:cs="宋体"/>
          <w:bCs/>
          <w:color w:val="auto"/>
          <w:kern w:val="0"/>
          <w:sz w:val="24"/>
          <w:szCs w:val="24"/>
        </w:rPr>
        <w:t>应商认为应附的其它相关资料</w:t>
      </w:r>
      <w:r>
        <w:rPr>
          <w:rFonts w:hint="eastAsia" w:ascii="宋体" w:hAnsi="宋体" w:eastAsia="宋体" w:cs="宋体"/>
          <w:bCs/>
          <w:color w:val="auto"/>
          <w:kern w:val="0"/>
          <w:sz w:val="24"/>
          <w:szCs w:val="24"/>
          <w:lang w:eastAsia="zh-CN"/>
        </w:rPr>
        <w:t>，</w:t>
      </w:r>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213"/>
      <w:bookmarkEnd w:id="214"/>
      <w:bookmarkEnd w:id="215"/>
      <w:bookmarkEnd w:id="216"/>
    </w:p>
    <w:p w14:paraId="58510666">
      <w:pPr>
        <w:widowControl w:val="0"/>
        <w:spacing w:line="360" w:lineRule="auto"/>
        <w:jc w:val="center"/>
        <w:outlineLvl w:val="1"/>
        <w:rPr>
          <w:rFonts w:hint="eastAsia" w:ascii="宋体" w:hAnsi="宋体" w:cs="仿宋"/>
          <w:b/>
          <w:kern w:val="2"/>
          <w:sz w:val="24"/>
          <w:szCs w:val="24"/>
        </w:rPr>
      </w:pPr>
    </w:p>
    <w:p w14:paraId="3A75497F">
      <w:pPr>
        <w:spacing w:line="600" w:lineRule="exact"/>
        <w:jc w:val="left"/>
        <w:outlineLvl w:val="0"/>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pPr>
      <w:r>
        <w:rPr>
          <w:rFonts w:hint="eastAsia" w:ascii="宋体" w:hAnsi="宋体" w:cs="宋体"/>
          <w:b/>
          <w:sz w:val="24"/>
          <w:szCs w:val="24"/>
        </w:rPr>
        <w:br w:type="page"/>
      </w:r>
      <w:bookmarkStart w:id="217" w:name="_Toc269219207"/>
      <w:bookmarkEnd w:id="217"/>
      <w:bookmarkStart w:id="218" w:name="_Toc21997"/>
      <w:bookmarkStart w:id="219" w:name="_Toc27279"/>
      <w:bookmarkStart w:id="220" w:name="_Toc11252"/>
      <w:r>
        <w:rPr>
          <w:rFonts w:hint="eastAsia" w:ascii="宋体" w:hAnsi="宋体" w:eastAsia="宋体" w:cs="宋体"/>
          <w:b/>
          <w:bCs w:val="0"/>
          <w:color w:val="000000" w:themeColor="text1"/>
          <w:kern w:val="0"/>
          <w:sz w:val="28"/>
          <w:szCs w:val="28"/>
          <w:highlight w:val="none"/>
          <w14:textFill>
            <w14:solidFill>
              <w14:schemeClr w14:val="tx1"/>
            </w14:solidFill>
          </w14:textFill>
        </w:rPr>
        <w:t>附件</w:t>
      </w:r>
      <w:r>
        <w:rPr>
          <w:rFonts w:hint="eastAsia" w:ascii="宋体" w:hAnsi="宋体" w:eastAsia="宋体" w:cs="宋体"/>
          <w:b/>
          <w:bCs w:val="0"/>
          <w:color w:val="000000" w:themeColor="text1"/>
          <w:kern w:val="0"/>
          <w:sz w:val="28"/>
          <w:szCs w:val="28"/>
          <w:highlight w:val="none"/>
          <w:lang w:val="en-US" w:eastAsia="zh-CN"/>
          <w14:textFill>
            <w14:solidFill>
              <w14:schemeClr w14:val="tx1"/>
            </w14:solidFill>
          </w14:textFill>
        </w:rPr>
        <w:t>1</w:t>
      </w:r>
      <w:r>
        <w:rPr>
          <w:rFonts w:hint="eastAsia" w:ascii="宋体" w:hAnsi="宋体" w:eastAsia="宋体" w:cs="宋体"/>
          <w:b/>
          <w:bCs w:val="0"/>
          <w:color w:val="000000" w:themeColor="text1"/>
          <w:kern w:val="0"/>
          <w:sz w:val="28"/>
          <w:szCs w:val="28"/>
          <w:highlight w:val="none"/>
          <w14:textFill>
            <w14:solidFill>
              <w14:schemeClr w14:val="tx1"/>
            </w14:solidFill>
          </w14:textFill>
        </w:rPr>
        <w:t>：</w:t>
      </w:r>
      <w:bookmarkEnd w:id="218"/>
      <w:bookmarkEnd w:id="219"/>
      <w:bookmarkEnd w:id="220"/>
      <w:r>
        <w:rPr>
          <w:rFonts w:hint="eastAsia" w:ascii="宋体" w:hAnsi="宋体" w:eastAsia="宋体" w:cs="宋体"/>
          <w:b/>
          <w:bCs w:val="0"/>
          <w:color w:val="000000" w:themeColor="text1"/>
          <w:kern w:val="0"/>
          <w:sz w:val="28"/>
          <w:szCs w:val="28"/>
          <w:highlight w:val="none"/>
          <w:lang w:val="en-US" w:eastAsia="zh-CN"/>
          <w14:textFill>
            <w14:solidFill>
              <w14:schemeClr w14:val="tx1"/>
            </w14:solidFill>
          </w14:textFill>
        </w:rPr>
        <w:t xml:space="preserve"> </w:t>
      </w:r>
      <w:r>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t xml:space="preserve">            </w:t>
      </w:r>
    </w:p>
    <w:p w14:paraId="0380FB14">
      <w:pPr>
        <w:spacing w:line="600" w:lineRule="exact"/>
        <w:jc w:val="center"/>
        <w:outlineLvl w:val="0"/>
        <w:rPr>
          <w:rFonts w:hint="eastAsia" w:ascii="宋体" w:hAnsi="宋体" w:eastAsia="宋体" w:cs="宋体"/>
          <w:b/>
          <w:bCs/>
          <w:color w:val="000000" w:themeColor="text1"/>
          <w:sz w:val="24"/>
          <w:szCs w:val="24"/>
          <w14:textFill>
            <w14:solidFill>
              <w14:schemeClr w14:val="tx1"/>
            </w14:solidFill>
          </w14:textFill>
        </w:rPr>
      </w:pPr>
      <w:bookmarkStart w:id="221" w:name="_Toc19533"/>
      <w:bookmarkStart w:id="222" w:name="_Toc20168"/>
      <w:r>
        <w:rPr>
          <w:rFonts w:hint="eastAsia" w:ascii="宋体" w:hAnsi="宋体" w:eastAsia="宋体" w:cs="宋体"/>
          <w:b/>
          <w:bCs/>
          <w:color w:val="000000" w:themeColor="text1"/>
          <w:sz w:val="24"/>
          <w:szCs w:val="24"/>
          <w14:textFill>
            <w14:solidFill>
              <w14:schemeClr w14:val="tx1"/>
            </w14:solidFill>
          </w14:textFill>
        </w:rPr>
        <w:t>中小企业声明函（</w:t>
      </w:r>
      <w:r>
        <w:rPr>
          <w:rFonts w:hint="eastAsia" w:ascii="宋体" w:hAnsi="宋体" w:eastAsia="宋体" w:cs="宋体"/>
          <w:b/>
          <w:bCs/>
          <w:color w:val="000000" w:themeColor="text1"/>
          <w:sz w:val="24"/>
          <w:szCs w:val="24"/>
          <w:lang w:eastAsia="zh-CN"/>
          <w14:textFill>
            <w14:solidFill>
              <w14:schemeClr w14:val="tx1"/>
            </w14:solidFill>
          </w14:textFill>
        </w:rPr>
        <w:t>货物</w:t>
      </w:r>
      <w:r>
        <w:rPr>
          <w:rFonts w:hint="eastAsia" w:ascii="宋体" w:hAnsi="宋体" w:eastAsia="宋体" w:cs="宋体"/>
          <w:b/>
          <w:bCs/>
          <w:color w:val="000000" w:themeColor="text1"/>
          <w:sz w:val="24"/>
          <w:szCs w:val="24"/>
          <w14:textFill>
            <w14:solidFill>
              <w14:schemeClr w14:val="tx1"/>
            </w14:solidFill>
          </w14:textFill>
        </w:rPr>
        <w:t>）</w:t>
      </w:r>
      <w:bookmarkEnd w:id="221"/>
      <w:bookmarkEnd w:id="222"/>
    </w:p>
    <w:p w14:paraId="426CE3D0">
      <w:pPr>
        <w:spacing w:line="600" w:lineRule="exact"/>
        <w:jc w:val="center"/>
        <w:outlineLvl w:val="0"/>
        <w:rPr>
          <w:rFonts w:hint="eastAsia" w:ascii="宋体" w:hAnsi="宋体" w:eastAsia="宋体" w:cs="宋体"/>
          <w:b/>
          <w:bCs/>
          <w:color w:val="000000" w:themeColor="text1"/>
          <w:sz w:val="24"/>
          <w:szCs w:val="24"/>
          <w14:textFill>
            <w14:solidFill>
              <w14:schemeClr w14:val="tx1"/>
            </w14:solidFill>
          </w14:textFill>
        </w:rPr>
      </w:pPr>
      <w:bookmarkStart w:id="223" w:name="_Toc23732"/>
      <w:bookmarkStart w:id="224" w:name="_Toc11397"/>
      <w:r>
        <w:rPr>
          <w:rFonts w:hint="eastAsia" w:ascii="宋体" w:hAnsi="宋体" w:eastAsia="宋体" w:cs="宋体"/>
          <w:b/>
          <w:bCs w:val="0"/>
          <w:color w:val="000000" w:themeColor="text1"/>
          <w:sz w:val="24"/>
          <w:szCs w:val="24"/>
          <w:lang w:eastAsia="zh-CN"/>
          <w14:textFill>
            <w14:solidFill>
              <w14:schemeClr w14:val="tx1"/>
            </w14:solidFill>
          </w14:textFill>
        </w:rPr>
        <w:t>（</w:t>
      </w:r>
      <w:r>
        <w:rPr>
          <w:rFonts w:hint="eastAsia" w:ascii="宋体" w:hAnsi="宋体" w:eastAsia="宋体" w:cs="宋体"/>
          <w:b/>
          <w:bCs w:val="0"/>
          <w:color w:val="000000" w:themeColor="text1"/>
          <w:sz w:val="24"/>
          <w:szCs w:val="24"/>
          <w:lang w:val="en-US" w:eastAsia="zh-CN"/>
          <w14:textFill>
            <w14:solidFill>
              <w14:schemeClr w14:val="tx1"/>
            </w14:solidFill>
          </w14:textFill>
        </w:rPr>
        <w:t>属于中小微企业的填写，</w:t>
      </w:r>
      <w:r>
        <w:rPr>
          <w:rFonts w:hint="eastAsia" w:ascii="宋体" w:hAnsi="宋体" w:eastAsia="宋体" w:cs="宋体"/>
          <w:b/>
          <w:bCs w:val="0"/>
          <w:iCs/>
          <w:color w:val="000000" w:themeColor="text1"/>
          <w:sz w:val="24"/>
          <w:szCs w:val="24"/>
          <w14:textFill>
            <w14:solidFill>
              <w14:schemeClr w14:val="tx1"/>
            </w14:solidFill>
          </w14:textFill>
        </w:rPr>
        <w:t>不属于的无需填写此项内容</w:t>
      </w:r>
      <w:r>
        <w:rPr>
          <w:rFonts w:hint="eastAsia" w:ascii="宋体" w:hAnsi="宋体" w:eastAsia="宋体" w:cs="宋体"/>
          <w:b/>
          <w:bCs w:val="0"/>
          <w:color w:val="000000" w:themeColor="text1"/>
          <w:sz w:val="24"/>
          <w:szCs w:val="24"/>
          <w:lang w:val="en-US" w:eastAsia="zh-CN"/>
          <w14:textFill>
            <w14:solidFill>
              <w14:schemeClr w14:val="tx1"/>
            </w14:solidFill>
          </w14:textFill>
        </w:rPr>
        <w:t>）</w:t>
      </w:r>
      <w:bookmarkEnd w:id="223"/>
      <w:bookmarkEnd w:id="224"/>
    </w:p>
    <w:p w14:paraId="46A3034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本公司（联合体）郑重声明，根据《政府采购促进中小企业发展管理办法》（财库﹝2020﹞46 号）的规定，本公司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(联合体)</w:t>
      </w:r>
      <w:r>
        <w:rPr>
          <w:rFonts w:hint="eastAsia" w:ascii="宋体" w:hAnsi="宋体" w:eastAsia="宋体" w:cs="宋体"/>
          <w:color w:val="000000" w:themeColor="text1"/>
          <w:sz w:val="24"/>
          <w:szCs w:val="24"/>
          <w:highlight w:val="none"/>
          <w14:textFill>
            <w14:solidFill>
              <w14:schemeClr w14:val="tx1"/>
            </w14:solidFill>
          </w14:textFill>
        </w:rPr>
        <w:t>参加</w:t>
      </w:r>
      <w:r>
        <w:rPr>
          <w:rFonts w:hint="eastAsia" w:ascii="宋体" w:hAnsi="宋体" w:eastAsia="宋体" w:cs="宋体"/>
          <w:color w:val="000000" w:themeColor="text1"/>
          <w:sz w:val="24"/>
          <w:szCs w:val="24"/>
          <w:highlight w:val="none"/>
          <w:u w:val="single"/>
          <w14:textFill>
            <w14:solidFill>
              <w14:schemeClr w14:val="tx1"/>
            </w14:solidFill>
          </w14:textFill>
        </w:rPr>
        <w:t>（单位名称）</w:t>
      </w:r>
      <w:r>
        <w:rPr>
          <w:rFonts w:hint="eastAsia" w:ascii="宋体" w:hAnsi="宋体" w:eastAsia="宋体" w:cs="宋体"/>
          <w:color w:val="000000" w:themeColor="text1"/>
          <w:sz w:val="24"/>
          <w:szCs w:val="24"/>
          <w:highlight w:val="none"/>
          <w14:textFill>
            <w14:solidFill>
              <w14:schemeClr w14:val="tx1"/>
            </w14:solidFill>
          </w14:textFill>
        </w:rPr>
        <w:t>的</w:t>
      </w:r>
      <w:r>
        <w:rPr>
          <w:rFonts w:hint="eastAsia" w:ascii="宋体" w:hAnsi="宋体" w:eastAsia="宋体" w:cs="宋体"/>
          <w:color w:val="000000" w:themeColor="text1"/>
          <w:sz w:val="24"/>
          <w:szCs w:val="24"/>
          <w:highlight w:val="none"/>
          <w:u w:val="single"/>
          <w14:textFill>
            <w14:solidFill>
              <w14:schemeClr w14:val="tx1"/>
            </w14:solidFill>
          </w14:textFill>
        </w:rPr>
        <w:t>（项目名称）</w:t>
      </w:r>
      <w:r>
        <w:rPr>
          <w:rFonts w:hint="eastAsia" w:ascii="宋体" w:hAnsi="宋体" w:eastAsia="宋体" w:cs="宋体"/>
          <w:color w:val="000000" w:themeColor="text1"/>
          <w:sz w:val="24"/>
          <w:szCs w:val="24"/>
          <w:highlight w:val="none"/>
          <w14:textFill>
            <w14:solidFill>
              <w14:schemeClr w14:val="tx1"/>
            </w14:solidFill>
          </w14:textFill>
        </w:rPr>
        <w:t>采购活动，</w:t>
      </w:r>
      <w:r>
        <w:rPr>
          <w:rFonts w:hint="eastAsia" w:ascii="宋体" w:hAnsi="宋体" w:eastAsia="宋体" w:cs="宋体"/>
          <w:color w:val="000000" w:themeColor="text1"/>
          <w:sz w:val="24"/>
          <w:szCs w:val="24"/>
          <w:highlight w:val="none"/>
          <w:lang w:val="en-US" w:eastAsia="zh-CN"/>
          <w14:textFill>
            <w14:solidFill>
              <w14:schemeClr w14:val="tx1"/>
            </w14:solidFill>
          </w14:textFill>
        </w:rPr>
        <w:t>提供的货物</w:t>
      </w:r>
      <w:r>
        <w:rPr>
          <w:rFonts w:hint="eastAsia" w:ascii="宋体" w:hAnsi="宋体" w:eastAsia="宋体" w:cs="宋体"/>
          <w:color w:val="000000" w:themeColor="text1"/>
          <w:sz w:val="24"/>
          <w:szCs w:val="24"/>
          <w:highlight w:val="none"/>
          <w14:textFill>
            <w14:solidFill>
              <w14:schemeClr w14:val="tx1"/>
            </w14:solidFill>
          </w14:textFill>
        </w:rPr>
        <w:t>全部</w:t>
      </w:r>
      <w:r>
        <w:rPr>
          <w:rFonts w:hint="eastAsia" w:ascii="宋体" w:hAnsi="宋体" w:eastAsia="宋体" w:cs="宋体"/>
          <w:color w:val="000000" w:themeColor="text1"/>
          <w:sz w:val="24"/>
          <w:szCs w:val="24"/>
          <w:highlight w:val="none"/>
          <w:lang w:eastAsia="zh-CN"/>
          <w14:textFill>
            <w14:solidFill>
              <w14:schemeClr w14:val="tx1"/>
            </w14:solidFill>
          </w14:textFill>
        </w:rPr>
        <w:t>由</w:t>
      </w:r>
      <w:r>
        <w:rPr>
          <w:rFonts w:hint="eastAsia" w:ascii="宋体" w:hAnsi="宋体" w:eastAsia="宋体" w:cs="宋体"/>
          <w:color w:val="000000" w:themeColor="text1"/>
          <w:sz w:val="24"/>
          <w:szCs w:val="24"/>
          <w:highlight w:val="none"/>
          <w14:textFill>
            <w14:solidFill>
              <w14:schemeClr w14:val="tx1"/>
            </w14:solidFill>
          </w14:textFill>
        </w:rPr>
        <w:t>符合政策要求的中小企业</w:t>
      </w:r>
      <w:r>
        <w:rPr>
          <w:rFonts w:hint="eastAsia" w:ascii="宋体" w:hAnsi="宋体" w:eastAsia="宋体" w:cs="宋体"/>
          <w:color w:val="000000" w:themeColor="text1"/>
          <w:sz w:val="24"/>
          <w:szCs w:val="24"/>
          <w:highlight w:val="none"/>
          <w:lang w:eastAsia="zh-CN"/>
          <w14:textFill>
            <w14:solidFill>
              <w14:schemeClr w14:val="tx1"/>
            </w14:solidFill>
          </w14:textFill>
        </w:rPr>
        <w:t>制造</w:t>
      </w:r>
      <w:r>
        <w:rPr>
          <w:rFonts w:hint="eastAsia" w:ascii="宋体" w:hAnsi="宋体" w:eastAsia="宋体" w:cs="宋体"/>
          <w:color w:val="000000" w:themeColor="text1"/>
          <w:sz w:val="24"/>
          <w:szCs w:val="24"/>
          <w:highlight w:val="none"/>
          <w14:textFill>
            <w14:solidFill>
              <w14:schemeClr w14:val="tx1"/>
            </w14:solidFill>
          </w14:textFill>
        </w:rPr>
        <w:t>。相关企业（含联合体中的中小企业、签订分包意向协议的中小企业）的具体情况如下：</w:t>
      </w:r>
    </w:p>
    <w:p w14:paraId="35BEFACC">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u w:val="single"/>
          <w14:textFill>
            <w14:solidFill>
              <w14:schemeClr w14:val="tx1"/>
            </w14:solidFill>
          </w14:textFill>
        </w:rPr>
        <w:t>（标的名称）</w:t>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为</w:t>
      </w:r>
      <w:r>
        <w:rPr>
          <w:rFonts w:hint="eastAsia" w:ascii="宋体" w:hAnsi="宋体" w:eastAsia="宋体" w:cs="宋体"/>
          <w:color w:val="000000" w:themeColor="text1"/>
          <w:sz w:val="24"/>
          <w:szCs w:val="24"/>
          <w:highlight w:val="none"/>
          <w:u w:val="single"/>
          <w14:textFill>
            <w14:solidFill>
              <w14:schemeClr w14:val="tx1"/>
            </w14:solidFill>
          </w14:textFill>
        </w:rPr>
        <w:t>（企业名称）</w:t>
      </w:r>
      <w:r>
        <w:rPr>
          <w:rFonts w:hint="eastAsia" w:ascii="宋体" w:hAnsi="宋体" w:eastAsia="宋体" w:cs="宋体"/>
          <w:color w:val="000000" w:themeColor="text1"/>
          <w:sz w:val="24"/>
          <w:szCs w:val="24"/>
          <w:highlight w:val="none"/>
          <w14:textFill>
            <w14:solidFill>
              <w14:schemeClr w14:val="tx1"/>
            </w14:solidFill>
          </w14:textFill>
        </w:rPr>
        <w:t>，从业人员</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人，营业收入为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万元，资产总额为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万元</w:t>
      </w: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HYPERLINK \l "_bookmark0"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12"/>
          <w:position w:val="16"/>
          <w:sz w:val="24"/>
          <w:szCs w:val="24"/>
          <w:highlight w:val="none"/>
          <w14:textFill>
            <w14:solidFill>
              <w14:schemeClr w14:val="tx1"/>
            </w14:solidFill>
          </w14:textFill>
        </w:rPr>
        <w:fldChar w:fldCharType="end"/>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4"/>
          <w:szCs w:val="24"/>
          <w:highlight w:val="none"/>
          <w14:textFill>
            <w14:solidFill>
              <w14:schemeClr w14:val="tx1"/>
            </w14:solidFill>
          </w14:textFill>
        </w:rPr>
        <w:t>；</w:t>
      </w:r>
    </w:p>
    <w:p w14:paraId="705BD64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（标的名称）</w:t>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为</w:t>
      </w:r>
      <w:r>
        <w:rPr>
          <w:rFonts w:hint="eastAsia" w:ascii="宋体" w:hAnsi="宋体" w:eastAsia="宋体" w:cs="宋体"/>
          <w:color w:val="000000" w:themeColor="text1"/>
          <w:sz w:val="24"/>
          <w:szCs w:val="24"/>
          <w:highlight w:val="none"/>
          <w:u w:val="single"/>
          <w14:textFill>
            <w14:solidFill>
              <w14:schemeClr w14:val="tx1"/>
            </w14:solidFill>
          </w14:textFill>
        </w:rPr>
        <w:t>（企业名称）</w:t>
      </w:r>
      <w:r>
        <w:rPr>
          <w:rFonts w:hint="eastAsia" w:ascii="宋体" w:hAnsi="宋体" w:eastAsia="宋体" w:cs="宋体"/>
          <w:color w:val="000000" w:themeColor="text1"/>
          <w:sz w:val="24"/>
          <w:szCs w:val="24"/>
          <w:highlight w:val="none"/>
          <w14:textFill>
            <w14:solidFill>
              <w14:schemeClr w14:val="tx1"/>
            </w14:solidFill>
          </w14:textFill>
        </w:rPr>
        <w:t>，从业人员</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人，营业收入为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万元，资产总额为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万元，属于</w:t>
      </w:r>
      <w:r>
        <w:rPr>
          <w:rFonts w:hint="eastAsia" w:ascii="宋体" w:hAnsi="宋体" w:eastAsia="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4"/>
          <w:szCs w:val="24"/>
          <w:highlight w:val="none"/>
          <w14:textFill>
            <w14:solidFill>
              <w14:schemeClr w14:val="tx1"/>
            </w14:solidFill>
          </w14:textFill>
        </w:rPr>
        <w:t>；</w:t>
      </w:r>
    </w:p>
    <w:p w14:paraId="2175A9B4">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14:paraId="77C0659D">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以上企业，不属于大企业的分支机构，不存在控股股东为大企业的情形，也不存在与大企业的负责人为同一人的情形。</w:t>
      </w:r>
    </w:p>
    <w:p w14:paraId="0319FBAF">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本企业对上述声明内容的真实性负责。如有虚假，将依法承担相应责任。</w:t>
      </w:r>
    </w:p>
    <w:p w14:paraId="0EF792E6">
      <w:pPr>
        <w:pStyle w:val="1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olor w:val="000000" w:themeColor="text1"/>
          <w14:textFill>
            <w14:solidFill>
              <w14:schemeClr w14:val="tx1"/>
            </w14:solidFill>
          </w14:textFill>
        </w:rPr>
      </w:pPr>
    </w:p>
    <w:p w14:paraId="4A44B195">
      <w:pPr>
        <w:pStyle w:val="13"/>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71ECFAC8">
      <w:pPr>
        <w:pStyle w:val="13"/>
        <w:keepNext w:val="0"/>
        <w:keepLines w:val="0"/>
        <w:pageBreakBefore w:val="0"/>
        <w:widowControl w:val="0"/>
        <w:kinsoku/>
        <w:wordWrap/>
        <w:overflowPunct/>
        <w:topLinePunct w:val="0"/>
        <w:autoSpaceDE/>
        <w:autoSpaceDN/>
        <w:bidi w:val="0"/>
        <w:adjustRightInd/>
        <w:snapToGrid/>
        <w:spacing w:line="500" w:lineRule="exact"/>
        <w:ind w:firstLine="24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法定代表人：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法人</w:t>
      </w:r>
      <w:r>
        <w:rPr>
          <w:rFonts w:hint="eastAsia" w:ascii="宋体" w:hAnsi="宋体" w:eastAsia="宋体" w:cs="宋体"/>
          <w:color w:val="000000" w:themeColor="text1"/>
          <w:sz w:val="24"/>
          <w:szCs w:val="24"/>
          <w:lang w:eastAsia="zh-CN"/>
          <w14:textFill>
            <w14:solidFill>
              <w14:schemeClr w14:val="tx1"/>
            </w14:solidFill>
          </w14:textFill>
        </w:rPr>
        <w:t>电子签章</w:t>
      </w:r>
      <w:r>
        <w:rPr>
          <w:rFonts w:hint="eastAsia" w:ascii="宋体" w:hAnsi="宋体" w:eastAsia="宋体" w:cs="宋体"/>
          <w:color w:val="000000" w:themeColor="text1"/>
          <w:sz w:val="24"/>
          <w:szCs w:val="24"/>
          <w14:textFill>
            <w14:solidFill>
              <w14:schemeClr w14:val="tx1"/>
            </w14:solidFill>
          </w14:textFill>
        </w:rPr>
        <w:t>）</w:t>
      </w:r>
    </w:p>
    <w:p w14:paraId="699429C6">
      <w:pPr>
        <w:pStyle w:val="13"/>
        <w:keepNext w:val="0"/>
        <w:keepLines w:val="0"/>
        <w:pageBreakBefore w:val="0"/>
        <w:widowControl w:val="0"/>
        <w:kinsoku/>
        <w:wordWrap/>
        <w:overflowPunct/>
        <w:topLinePunct w:val="0"/>
        <w:autoSpaceDE/>
        <w:autoSpaceDN/>
        <w:bidi w:val="0"/>
        <w:adjustRightInd/>
        <w:snapToGrid/>
        <w:spacing w:line="500" w:lineRule="exact"/>
        <w:ind w:firstLine="24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年  月  日</w:t>
      </w:r>
    </w:p>
    <w:p w14:paraId="108D12D3">
      <w:pPr>
        <w:pStyle w:val="1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olor w:val="000000" w:themeColor="text1"/>
          <w14:textFill>
            <w14:solidFill>
              <w14:schemeClr w14:val="tx1"/>
            </w14:solidFill>
          </w14:textFill>
        </w:rPr>
      </w:pPr>
    </w:p>
    <w:p w14:paraId="6223609A">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注：从业人员、营业收入、资产总额填报上一年度数据，无上一年度数据的新成立企业可不填报。</w:t>
      </w:r>
    </w:p>
    <w:p w14:paraId="35CDC641">
      <w:pPr>
        <w:widowControl/>
        <w:spacing w:line="360" w:lineRule="auto"/>
        <w:ind w:firstLine="422" w:firstLineChars="200"/>
        <w:jc w:val="left"/>
        <w:rPr>
          <w:rFonts w:hint="eastAsia" w:hAnsi="宋体" w:cs="宋体"/>
          <w:b/>
          <w:bCs/>
          <w:color w:val="000000" w:themeColor="text1"/>
          <w:lang w:eastAsia="zh-CN"/>
          <w14:textFill>
            <w14:solidFill>
              <w14:schemeClr w14:val="tx1"/>
            </w14:solidFill>
          </w14:textFill>
        </w:rPr>
      </w:pPr>
    </w:p>
    <w:p w14:paraId="03C9E2BD">
      <w:pPr>
        <w:keepNext w:val="0"/>
        <w:keepLines w:val="0"/>
        <w:pageBreakBefore w:val="0"/>
        <w:widowControl/>
        <w:numPr>
          <w:ilvl w:val="0"/>
          <w:numId w:val="5"/>
        </w:numPr>
        <w:kinsoku/>
        <w:wordWrap/>
        <w:overflowPunct/>
        <w:topLinePunct w:val="0"/>
        <w:autoSpaceDE/>
        <w:autoSpaceDN/>
        <w:bidi w:val="0"/>
        <w:adjustRightInd/>
        <w:snapToGrid/>
        <w:spacing w:line="500" w:lineRule="exact"/>
        <w:ind w:leftChars="0"/>
        <w:jc w:val="both"/>
        <w:textAlignment w:val="auto"/>
        <w:outlineLvl w:val="0"/>
        <w:rPr>
          <w:rFonts w:hint="eastAsia" w:ascii="宋体" w:hAnsi="宋体" w:eastAsia="宋体" w:cs="宋体"/>
          <w:color w:val="000000" w:themeColor="text1"/>
          <w:sz w:val="6"/>
          <w:szCs w:val="6"/>
          <w:lang w:val="en-US" w:eastAsia="zh-CN"/>
          <w14:textFill>
            <w14:solidFill>
              <w14:schemeClr w14:val="tx1"/>
            </w14:solidFill>
          </w14:textFill>
        </w:rPr>
      </w:pPr>
      <w:bookmarkStart w:id="225" w:name="_Toc14720"/>
      <w:bookmarkStart w:id="226" w:name="_Toc29230"/>
      <w:bookmarkStart w:id="227" w:name="_Toc13551"/>
      <w:r>
        <w:rPr>
          <w:rFonts w:hint="eastAsia" w:ascii="宋体" w:hAnsi="宋体" w:eastAsia="宋体" w:cs="宋体"/>
          <w:b/>
          <w:bCs/>
          <w:color w:val="000000" w:themeColor="text1"/>
          <w:kern w:val="0"/>
          <w:sz w:val="28"/>
          <w:szCs w:val="28"/>
          <w:lang w:val="en-US" w:eastAsia="zh-CN"/>
          <w14:textFill>
            <w14:solidFill>
              <w14:schemeClr w14:val="tx1"/>
            </w14:solidFill>
          </w14:textFill>
        </w:rPr>
        <w:t>附件2：</w:t>
      </w:r>
      <w:bookmarkEnd w:id="225"/>
      <w:bookmarkEnd w:id="226"/>
      <w:r>
        <w:rPr>
          <w:rFonts w:hint="eastAsia" w:ascii="宋体" w:hAnsi="宋体" w:eastAsia="宋体" w:cs="宋体"/>
          <w:b/>
          <w:bCs/>
          <w:color w:val="000000" w:themeColor="text1"/>
          <w:kern w:val="0"/>
          <w:sz w:val="28"/>
          <w:szCs w:val="28"/>
          <w:lang w:val="en-US" w:eastAsia="zh-CN"/>
          <w14:textFill>
            <w14:solidFill>
              <w14:schemeClr w14:val="tx1"/>
            </w14:solidFill>
          </w14:textFill>
        </w:rPr>
        <w:t xml:space="preserve">             </w:t>
      </w:r>
    </w:p>
    <w:p w14:paraId="454A5135">
      <w:pPr>
        <w:keepNext w:val="0"/>
        <w:keepLines w:val="0"/>
        <w:pageBreakBefore w:val="0"/>
        <w:widowControl/>
        <w:numPr>
          <w:ilvl w:val="0"/>
          <w:numId w:val="5"/>
        </w:numPr>
        <w:kinsoku/>
        <w:wordWrap/>
        <w:overflowPunct/>
        <w:topLinePunct w:val="0"/>
        <w:autoSpaceDE/>
        <w:autoSpaceDN/>
        <w:bidi w:val="0"/>
        <w:adjustRightInd/>
        <w:snapToGrid/>
        <w:spacing w:line="500" w:lineRule="exact"/>
        <w:ind w:leftChars="0"/>
        <w:jc w:val="center"/>
        <w:textAlignment w:val="auto"/>
        <w:outlineLvl w:val="0"/>
        <w:rPr>
          <w:rFonts w:hint="eastAsia" w:ascii="宋体" w:hAnsi="宋体" w:eastAsia="宋体" w:cs="宋体"/>
          <w:color w:val="000000" w:themeColor="text1"/>
          <w:sz w:val="6"/>
          <w:szCs w:val="6"/>
          <w:lang w:val="en-US" w:eastAsia="zh-CN"/>
          <w14:textFill>
            <w14:solidFill>
              <w14:schemeClr w14:val="tx1"/>
            </w14:solidFill>
          </w14:textFill>
        </w:rPr>
      </w:pPr>
      <w:bookmarkStart w:id="228" w:name="_Toc25243"/>
      <w:bookmarkStart w:id="229" w:name="_Toc19636"/>
      <w:r>
        <w:rPr>
          <w:rFonts w:hint="eastAsia" w:ascii="宋体" w:hAnsi="宋体" w:eastAsia="宋体" w:cs="宋体"/>
          <w:b/>
          <w:bCs/>
          <w:color w:val="000000" w:themeColor="text1"/>
          <w:kern w:val="0"/>
          <w:sz w:val="28"/>
          <w:szCs w:val="28"/>
          <w:lang w:val="en-US" w:eastAsia="zh-CN"/>
          <w14:textFill>
            <w14:solidFill>
              <w14:schemeClr w14:val="tx1"/>
            </w14:solidFill>
          </w14:textFill>
        </w:rPr>
        <w:t>残疾人福利性单位声明函</w:t>
      </w:r>
      <w:bookmarkEnd w:id="227"/>
      <w:bookmarkEnd w:id="228"/>
      <w:bookmarkEnd w:id="229"/>
    </w:p>
    <w:p w14:paraId="2B0D6A0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iCs/>
          <w:color w:val="000000" w:themeColor="text1"/>
          <w:sz w:val="24"/>
          <w:szCs w:val="24"/>
          <w14:textFill>
            <w14:solidFill>
              <w14:schemeClr w14:val="tx1"/>
            </w14:solidFill>
          </w14:textFill>
        </w:rPr>
        <w:t>（属于残疾人福利性单位的填写，不属于的无需填写此项内容）</w:t>
      </w:r>
    </w:p>
    <w:p w14:paraId="514731ED">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FB2B227">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本单位对上述声明的真实性负责。如有虚假，将依法承担相应责任。</w:t>
      </w:r>
    </w:p>
    <w:p w14:paraId="09898A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32"/>
          <w:szCs w:val="32"/>
          <w14:textFill>
            <w14:solidFill>
              <w14:schemeClr w14:val="tx1"/>
            </w14:solidFill>
          </w14:textFill>
        </w:rPr>
      </w:pPr>
    </w:p>
    <w:p w14:paraId="6DE0ABFA">
      <w:pPr>
        <w:pStyle w:val="13"/>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cs="宋体"/>
          <w:color w:val="000000" w:themeColor="text1"/>
          <w:sz w:val="24"/>
          <w:szCs w:val="24"/>
          <w:lang w:val="en-US" w:eastAsia="zh-CN"/>
          <w14:textFill>
            <w14:solidFill>
              <w14:schemeClr w14:val="tx1"/>
            </w14:solidFill>
          </w14:textFill>
        </w:rPr>
      </w:pPr>
      <w:bookmarkStart w:id="230" w:name="_Toc2378"/>
    </w:p>
    <w:p w14:paraId="69568EF4">
      <w:pPr>
        <w:pStyle w:val="13"/>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4D5A6D62">
      <w:pPr>
        <w:pStyle w:val="13"/>
        <w:keepNext w:val="0"/>
        <w:keepLines w:val="0"/>
        <w:pageBreakBefore w:val="0"/>
        <w:widowControl w:val="0"/>
        <w:kinsoku/>
        <w:wordWrap/>
        <w:overflowPunct/>
        <w:topLinePunct w:val="0"/>
        <w:autoSpaceDE/>
        <w:autoSpaceDN/>
        <w:bidi w:val="0"/>
        <w:adjustRightInd/>
        <w:snapToGrid/>
        <w:spacing w:line="500" w:lineRule="exact"/>
        <w:ind w:firstLine="24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年  月  日</w:t>
      </w:r>
    </w:p>
    <w:p w14:paraId="5D08A3E7">
      <w:pPr>
        <w:pStyle w:val="13"/>
        <w:ind w:firstLine="240"/>
        <w:jc w:val="left"/>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7875C143">
      <w:pPr>
        <w:pStyle w:val="14"/>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51B3140A">
      <w:pPr>
        <w:pStyle w:val="4"/>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06C37753">
      <w:pPr>
        <w:pStyle w:val="4"/>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2C43B30A">
      <w:pPr>
        <w:pStyle w:val="13"/>
        <w:ind w:firstLine="240"/>
        <w:jc w:val="left"/>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0489838D">
      <w:pPr>
        <w:pStyle w:val="13"/>
        <w:ind w:firstLine="240"/>
        <w:jc w:val="left"/>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77678647">
      <w:pPr>
        <w:pStyle w:val="13"/>
        <w:ind w:firstLine="240"/>
        <w:jc w:val="left"/>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5FBF3E8F">
      <w:pPr>
        <w:pStyle w:val="13"/>
        <w:ind w:firstLine="240"/>
        <w:jc w:val="left"/>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6D3AD112">
      <w:pPr>
        <w:pStyle w:val="13"/>
        <w:ind w:firstLine="240"/>
        <w:jc w:val="left"/>
        <w:rPr>
          <w:rStyle w:val="31"/>
          <w:rFonts w:hint="eastAsia" w:ascii="宋体" w:hAnsi="宋体" w:eastAsia="宋体" w:cs="宋体"/>
          <w:color w:val="000000" w:themeColor="text1"/>
          <w:sz w:val="28"/>
          <w:szCs w:val="28"/>
          <w:lang w:val="en-US" w:eastAsia="zh-CN"/>
          <w14:textFill>
            <w14:solidFill>
              <w14:schemeClr w14:val="tx1"/>
            </w14:solidFill>
          </w14:textFill>
        </w:rPr>
      </w:pPr>
    </w:p>
    <w:p w14:paraId="7DF96A05">
      <w:pPr>
        <w:pStyle w:val="13"/>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Style w:val="31"/>
          <w:rFonts w:hint="eastAsia" w:ascii="宋体" w:hAnsi="宋体" w:cs="宋体"/>
          <w:color w:val="000000" w:themeColor="text1"/>
          <w:sz w:val="28"/>
          <w:szCs w:val="28"/>
          <w:lang w:val="en-US" w:eastAsia="zh-CN"/>
          <w14:textFill>
            <w14:solidFill>
              <w14:schemeClr w14:val="tx1"/>
            </w14:solidFill>
          </w14:textFill>
        </w:rPr>
      </w:pPr>
      <w:r>
        <w:rPr>
          <w:rStyle w:val="31"/>
          <w:rFonts w:hint="eastAsia" w:ascii="宋体" w:hAnsi="宋体" w:cs="宋体"/>
          <w:color w:val="000000" w:themeColor="text1"/>
          <w:sz w:val="28"/>
          <w:szCs w:val="28"/>
          <w:lang w:val="en-US" w:eastAsia="zh-CN"/>
          <w14:textFill>
            <w14:solidFill>
              <w14:schemeClr w14:val="tx1"/>
            </w14:solidFill>
          </w14:textFill>
        </w:rPr>
        <w:t>附件</w:t>
      </w:r>
      <w:r>
        <w:rPr>
          <w:rStyle w:val="31"/>
          <w:rFonts w:hint="eastAsia" w:ascii="宋体" w:hAnsi="宋体" w:eastAsia="宋体" w:cs="宋体"/>
          <w:color w:val="000000" w:themeColor="text1"/>
          <w:sz w:val="28"/>
          <w:szCs w:val="28"/>
          <w:lang w:val="en-US" w:eastAsia="zh-CN"/>
          <w14:textFill>
            <w14:solidFill>
              <w14:schemeClr w14:val="tx1"/>
            </w14:solidFill>
          </w14:textFill>
        </w:rPr>
        <w:t>3</w:t>
      </w:r>
      <w:r>
        <w:rPr>
          <w:rStyle w:val="31"/>
          <w:rFonts w:hint="eastAsia" w:ascii="宋体" w:hAnsi="宋体" w:cs="宋体"/>
          <w:color w:val="000000" w:themeColor="text1"/>
          <w:sz w:val="28"/>
          <w:szCs w:val="28"/>
          <w:lang w:val="en-US" w:eastAsia="zh-CN"/>
          <w14:textFill>
            <w14:solidFill>
              <w14:schemeClr w14:val="tx1"/>
            </w14:solidFill>
          </w14:textFill>
        </w:rPr>
        <w:t xml:space="preserve">：               </w:t>
      </w:r>
    </w:p>
    <w:p w14:paraId="0955923B">
      <w:pPr>
        <w:pStyle w:val="13"/>
        <w:keepNext w:val="0"/>
        <w:keepLines w:val="0"/>
        <w:pageBreakBefore w:val="0"/>
        <w:kinsoku/>
        <w:wordWrap/>
        <w:overflowPunct/>
        <w:topLinePunct w:val="0"/>
        <w:autoSpaceDE/>
        <w:autoSpaceDN/>
        <w:bidi w:val="0"/>
        <w:adjustRightInd/>
        <w:snapToGrid/>
        <w:spacing w:line="500" w:lineRule="exact"/>
        <w:ind w:firstLine="240"/>
        <w:jc w:val="center"/>
        <w:textAlignment w:val="auto"/>
        <w:rPr>
          <w:rFonts w:hint="eastAsia" w:ascii="宋体" w:hAnsi="宋体" w:eastAsia="宋体" w:cs="宋体"/>
          <w:b/>
          <w:bCs/>
          <w:iCs/>
          <w:color w:val="000000" w:themeColor="text1"/>
          <w:sz w:val="24"/>
          <w:szCs w:val="24"/>
          <w14:textFill>
            <w14:solidFill>
              <w14:schemeClr w14:val="tx1"/>
            </w14:solidFill>
          </w14:textFill>
        </w:rPr>
      </w:pPr>
      <w:r>
        <w:rPr>
          <w:rStyle w:val="31"/>
          <w:rFonts w:hint="eastAsia" w:ascii="宋体" w:hAnsi="宋体" w:eastAsia="宋体" w:cs="宋体"/>
          <w:color w:val="000000" w:themeColor="text1"/>
          <w:sz w:val="28"/>
          <w:szCs w:val="28"/>
          <w:lang w:val="en-US" w:eastAsia="zh-CN"/>
          <w14:textFill>
            <w14:solidFill>
              <w14:schemeClr w14:val="tx1"/>
            </w14:solidFill>
          </w14:textFill>
        </w:rPr>
        <w:t>监狱企业证明文件</w:t>
      </w:r>
      <w:bookmarkEnd w:id="230"/>
    </w:p>
    <w:p w14:paraId="639774E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iCs/>
          <w:color w:val="000000" w:themeColor="text1"/>
          <w:sz w:val="24"/>
          <w:szCs w:val="24"/>
          <w14:textFill>
            <w14:solidFill>
              <w14:schemeClr w14:val="tx1"/>
            </w14:solidFill>
          </w14:textFill>
        </w:rPr>
        <w:t>（属于监狱企业的提供，不属于的无需</w:t>
      </w:r>
      <w:r>
        <w:rPr>
          <w:rFonts w:hint="eastAsia" w:ascii="宋体" w:hAnsi="宋体" w:eastAsia="宋体" w:cs="宋体"/>
          <w:b/>
          <w:bCs/>
          <w:iCs/>
          <w:color w:val="000000" w:themeColor="text1"/>
          <w:sz w:val="24"/>
          <w:szCs w:val="24"/>
          <w:lang w:val="en-US" w:eastAsia="zh-CN"/>
          <w14:textFill>
            <w14:solidFill>
              <w14:schemeClr w14:val="tx1"/>
            </w14:solidFill>
          </w14:textFill>
        </w:rPr>
        <w:t>提供</w:t>
      </w:r>
      <w:r>
        <w:rPr>
          <w:rFonts w:hint="eastAsia" w:ascii="宋体" w:hAnsi="宋体" w:eastAsia="宋体" w:cs="宋体"/>
          <w:b/>
          <w:bCs/>
          <w:iCs/>
          <w:color w:val="000000" w:themeColor="text1"/>
          <w:sz w:val="24"/>
          <w:szCs w:val="24"/>
          <w14:textFill>
            <w14:solidFill>
              <w14:schemeClr w14:val="tx1"/>
            </w14:solidFill>
          </w14:textFill>
        </w:rPr>
        <w:t>此项内容）</w:t>
      </w:r>
    </w:p>
    <w:p w14:paraId="18C6E01D">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color w:val="000000" w:themeColor="text1"/>
          <w:sz w:val="24"/>
          <w:szCs w:val="24"/>
          <w:lang w:val="en-US"/>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1、政府采购政策政部、司法部关于政府采购支持监狱企业发展有关问题的通知（财库【2014】68号）关于监狱企业：视同小微企业。</w:t>
      </w:r>
    </w:p>
    <w:p w14:paraId="09BBFC41">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2、提供由省级以上监狱管理局、戒毒管理局（含新疆生产建设兵团）出具的属于监狱企业的证明材料。</w:t>
      </w:r>
    </w:p>
    <w:p w14:paraId="01806E30">
      <w:pPr>
        <w:pStyle w:val="13"/>
        <w:spacing w:line="500" w:lineRule="exact"/>
        <w:ind w:left="0" w:leftChars="0" w:firstLine="480" w:firstLineChars="20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注：在投标文件中附扫描件。</w:t>
      </w:r>
    </w:p>
    <w:p w14:paraId="1471EEE5">
      <w:pPr>
        <w:pStyle w:val="13"/>
        <w:spacing w:line="500" w:lineRule="exact"/>
        <w:ind w:firstLine="480" w:firstLineChars="200"/>
        <w:jc w:val="right"/>
        <w:rPr>
          <w:rFonts w:hint="eastAsia" w:ascii="宋体" w:hAnsi="宋体" w:eastAsia="宋体" w:cs="宋体"/>
          <w:bCs/>
          <w:color w:val="000000" w:themeColor="text1"/>
          <w:sz w:val="24"/>
          <w:szCs w:val="24"/>
          <w14:textFill>
            <w14:solidFill>
              <w14:schemeClr w14:val="tx1"/>
            </w14:solidFill>
          </w14:textFill>
        </w:rPr>
      </w:pPr>
    </w:p>
    <w:p w14:paraId="53C96F25">
      <w:pPr>
        <w:rPr>
          <w:rFonts w:hint="eastAsia" w:ascii="宋体" w:hAnsi="宋体" w:eastAsia="宋体" w:cs="宋体"/>
          <w:bCs/>
          <w:color w:val="000000" w:themeColor="text1"/>
          <w:sz w:val="24"/>
          <w:szCs w:val="24"/>
          <w14:textFill>
            <w14:solidFill>
              <w14:schemeClr w14:val="tx1"/>
            </w14:solidFill>
          </w14:textFill>
        </w:rPr>
      </w:pPr>
    </w:p>
    <w:p w14:paraId="247FA033">
      <w:pPr>
        <w:pStyle w:val="13"/>
        <w:rPr>
          <w:rFonts w:hint="eastAsia"/>
          <w:color w:val="000000" w:themeColor="text1"/>
          <w14:textFill>
            <w14:solidFill>
              <w14:schemeClr w14:val="tx1"/>
            </w14:solidFill>
          </w14:textFill>
        </w:rPr>
      </w:pPr>
    </w:p>
    <w:p w14:paraId="3943B0E2">
      <w:pPr>
        <w:pStyle w:val="13"/>
        <w:spacing w:line="500" w:lineRule="exact"/>
        <w:ind w:firstLine="480" w:firstLineChars="200"/>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供应商名称</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olor w:val="000000" w:themeColor="text1"/>
          <w:kern w:val="2"/>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43AC6335">
      <w:pPr>
        <w:pStyle w:val="13"/>
        <w:spacing w:line="500" w:lineRule="exact"/>
        <w:ind w:firstLine="480" w:firstLineChars="20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  月  日</w:t>
      </w:r>
    </w:p>
    <w:p w14:paraId="3C81360A">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7BAB5807">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2D97DDA5">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756EE178">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17790371">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231AD1F3">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434E4050">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19854A03">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7FC18E68">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1FEA5B09">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19141FEF">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6D0A26A6">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26A93EF6">
      <w:pPr>
        <w:keepNext w:val="0"/>
        <w:keepLines w:val="0"/>
        <w:pageBreakBefore w:val="0"/>
        <w:kinsoku/>
        <w:wordWrap w:val="0"/>
        <w:overflowPunct/>
        <w:topLinePunct w:val="0"/>
        <w:bidi w:val="0"/>
        <w:rPr>
          <w:rFonts w:hint="eastAsia" w:ascii="宋体" w:hAnsi="宋体" w:eastAsia="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t xml:space="preserve">附件4： </w:t>
      </w:r>
    </w:p>
    <w:p w14:paraId="19CE86C3">
      <w:pPr>
        <w:pageBreakBefore w:val="0"/>
        <w:kinsoku/>
        <w:wordWrap w:val="0"/>
        <w:overflowPunct/>
        <w:bidi w:val="0"/>
        <w:jc w:val="center"/>
        <w:rPr>
          <w:rFonts w:hint="eastAsia" w:ascii="宋体" w:hAnsi="宋体" w:eastAsia="宋体"/>
          <w:b/>
          <w:bCs/>
          <w:color w:val="000000" w:themeColor="text1"/>
          <w:sz w:val="24"/>
          <w:szCs w:val="24"/>
          <w:highlight w:val="none"/>
          <w:lang w:val="en-US" w:eastAsia="zh-CN"/>
          <w14:textFill>
            <w14:solidFill>
              <w14:schemeClr w14:val="tx1"/>
            </w14:solidFill>
          </w14:textFill>
        </w:rPr>
      </w:pPr>
    </w:p>
    <w:p w14:paraId="77DDF44C">
      <w:pPr>
        <w:pageBreakBefore w:val="0"/>
        <w:kinsoku/>
        <w:wordWrap w:val="0"/>
        <w:overflowPunct/>
        <w:bidi w:val="0"/>
        <w:jc w:val="center"/>
        <w:rPr>
          <w:rFonts w:hint="eastAsia" w:ascii="宋体" w:hAnsi="宋体" w:eastAsia="宋体"/>
          <w:b/>
          <w:bCs/>
          <w:color w:val="000000" w:themeColor="text1"/>
          <w:sz w:val="24"/>
          <w:szCs w:val="24"/>
          <w:highlight w:val="none"/>
          <w:lang w:val="en-US" w:eastAsia="zh-CN"/>
          <w14:textFill>
            <w14:solidFill>
              <w14:schemeClr w14:val="tx1"/>
            </w14:solidFill>
          </w14:textFill>
        </w:rPr>
      </w:pPr>
      <w:r>
        <w:rPr>
          <w:rFonts w:hint="eastAsia" w:ascii="宋体" w:hAnsi="宋体" w:eastAsia="宋体"/>
          <w:b/>
          <w:bCs/>
          <w:color w:val="000000" w:themeColor="text1"/>
          <w:sz w:val="24"/>
          <w:szCs w:val="24"/>
          <w:highlight w:val="none"/>
          <w:lang w:val="en-US" w:eastAsia="zh-CN"/>
          <w14:textFill>
            <w14:solidFill>
              <w14:schemeClr w14:val="tx1"/>
            </w14:solidFill>
          </w14:textFill>
        </w:rPr>
        <w:t>中国境内生产的组件成本核算基本规则说明</w:t>
      </w:r>
    </w:p>
    <w:p w14:paraId="0491581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p>
    <w:p w14:paraId="30A6BBE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227266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一、产品的一级组件是指直接组成产品的组件。产品的二级组件是指直接组成产品一级组件的组件。一级组件不可分解的，视同二级组件。</w:t>
      </w:r>
    </w:p>
    <w:p w14:paraId="6EAD82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2979122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三、产品总成本和组件成本以相关会计核算数据、采购合同、进货记录等为基础进行计算。</w:t>
      </w:r>
    </w:p>
    <w:p w14:paraId="05368E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四、需要对成本核算规则予以进一步明确的其他有关事项，由财政部会同有关部门另行规定。</w:t>
      </w:r>
    </w:p>
    <w:p w14:paraId="24539331">
      <w:pPr>
        <w:keepNext w:val="0"/>
        <w:keepLines w:val="0"/>
        <w:pageBreakBefore w:val="0"/>
        <w:kinsoku/>
        <w:wordWrap w:val="0"/>
        <w:overflowPunct/>
        <w:topLinePunct w:val="0"/>
        <w:bidi w:val="0"/>
        <w:rPr>
          <w:rFonts w:hint="eastAsia" w:ascii="宋体" w:hAnsi="宋体" w:eastAsia="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br w:type="page"/>
      </w:r>
      <w:r>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t xml:space="preserve">附件5： </w:t>
      </w:r>
    </w:p>
    <w:p w14:paraId="32F461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jc w:val="center"/>
        <w:textAlignment w:val="baseline"/>
        <w:rPr>
          <w:rFonts w:hint="eastAsia" w:ascii="宋体" w:hAnsi="宋体" w:eastAsia="宋体" w:cs="宋体"/>
          <w:i w:val="0"/>
          <w:iCs w:val="0"/>
          <w:caps w:val="0"/>
          <w:color w:val="000000" w:themeColor="text1"/>
          <w:spacing w:val="0"/>
          <w:sz w:val="28"/>
          <w:szCs w:val="28"/>
          <w:shd w:val="clear" w:color="auto" w:fill="FFFFFF"/>
          <w:vertAlign w:val="baseline"/>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color="auto" w:fill="FFFFFF"/>
          <w:vertAlign w:val="baseline"/>
          <w14:textFill>
            <w14:solidFill>
              <w14:schemeClr w14:val="tx1"/>
            </w14:solidFill>
          </w14:textFill>
        </w:rPr>
        <w:t>关于符合本国产品标准的声明函</w:t>
      </w:r>
    </w:p>
    <w:p w14:paraId="6692313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1C5887E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Style w:val="18"/>
          <w:rFonts w:hint="eastAsia" w:ascii="宋体" w:hAnsi="宋体" w:eastAsia="宋体" w:cs="宋体"/>
          <w:i w:val="0"/>
          <w:iCs w:val="0"/>
          <w:caps w:val="0"/>
          <w:color w:val="000000" w:themeColor="text1"/>
          <w:spacing w:val="0"/>
          <w:sz w:val="24"/>
          <w:szCs w:val="24"/>
          <w:u w:val="none"/>
          <w:shd w:val="clear" w:color="auto" w:fill="FFFFFF"/>
          <w:vertAlign w:val="baseline"/>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Style w:val="18"/>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Style w:val="18"/>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Style w:val="18"/>
          <w:rFonts w:hint="eastAsia" w:ascii="宋体" w:hAnsi="宋体" w:eastAsia="宋体" w:cs="宋体"/>
          <w:i w:val="0"/>
          <w:iCs w:val="0"/>
          <w:caps w:val="0"/>
          <w:color w:val="000000" w:themeColor="text1"/>
          <w:spacing w:val="0"/>
          <w:sz w:val="24"/>
          <w:szCs w:val="24"/>
          <w:u w:val="none"/>
          <w:shd w:val="clear" w:color="auto" w:fill="FFFFFF"/>
          <w:vertAlign w:val="baseline"/>
          <w:lang w:val="en-US" w:eastAsia="zh-CN"/>
          <w14:textFill>
            <w14:solidFill>
              <w14:schemeClr w14:val="tx1"/>
            </w14:solidFill>
          </w14:textFill>
        </w:rPr>
        <w:t xml:space="preserve"> 4</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Style w:val="18"/>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1548FA1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8"/>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6D18E23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1C999D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本公司（单位）对上述声明内容的真实性负责。如有虚假，愿承担相应法律责任。</w:t>
      </w:r>
    </w:p>
    <w:p w14:paraId="2C5A582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p>
    <w:p w14:paraId="330B96B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jc w:val="left"/>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公司（单位）名称：</w:t>
      </w:r>
      <w:r>
        <w:rPr>
          <w:rFonts w:hint="eastAsia" w:ascii="宋体" w:hAnsi="宋体"/>
          <w:color w:val="000000" w:themeColor="text1"/>
          <w:kern w:val="2"/>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日期：　     年　  月　  日 </w:t>
      </w:r>
      <w:r>
        <w:rPr>
          <w:rFonts w:hint="eastAsia" w:ascii="微软雅黑" w:hAnsi="微软雅黑" w:eastAsia="微软雅黑" w:cs="微软雅黑"/>
          <w:i w:val="0"/>
          <w:iCs w:val="0"/>
          <w:caps w:val="0"/>
          <w:color w:val="000000" w:themeColor="text1"/>
          <w:spacing w:val="0"/>
          <w:sz w:val="22"/>
          <w:szCs w:val="22"/>
          <w:shd w:val="clear" w:color="auto" w:fill="FFFFFF"/>
          <w:vertAlign w:val="baseline"/>
          <w14:textFill>
            <w14:solidFill>
              <w14:schemeClr w14:val="tx1"/>
            </w14:solidFill>
          </w14:textFill>
        </w:rPr>
        <w:t>      </w:t>
      </w:r>
      <w:r>
        <w:rPr>
          <w:rFonts w:hint="eastAsia" w:ascii="微软雅黑" w:hAnsi="微软雅黑" w:eastAsia="微软雅黑" w:cs="微软雅黑"/>
          <w:i w:val="0"/>
          <w:iCs w:val="0"/>
          <w:caps w:val="0"/>
          <w:color w:val="000000" w:themeColor="text1"/>
          <w:spacing w:val="0"/>
          <w:sz w:val="24"/>
          <w:szCs w:val="24"/>
          <w:shd w:val="clear" w:color="auto" w:fill="FFFFFF"/>
          <w:vertAlign w:val="baseline"/>
          <w14:textFill>
            <w14:solidFill>
              <w14:schemeClr w14:val="tx1"/>
            </w14:solidFill>
          </w14:textFill>
        </w:rPr>
        <w:t>  </w:t>
      </w:r>
    </w:p>
    <w:p w14:paraId="465DA3C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p>
    <w:p w14:paraId="1EBCE50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p>
    <w:p w14:paraId="1039AFE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1.产品如有型号，请在“产品名称”栏一并填写。</w:t>
      </w:r>
    </w:p>
    <w:p w14:paraId="0F0DF64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2.生产厂名与厂址应与生产厂营业执照载明的相关信息保持一致。</w:t>
      </w:r>
    </w:p>
    <w:p w14:paraId="50D865B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3.该产品的中国境内生产的组件成本占比相关要求实施前，“规定比例”栏可不填，下同。</w:t>
      </w:r>
    </w:p>
    <w:p w14:paraId="0CC4623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4.该产品的关键组件要求实施前，“关键组件”栏可不填，下同。</w:t>
      </w:r>
    </w:p>
    <w:p w14:paraId="5C739F9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5.该产品的关键工序要求实施前，“关键工序”栏可不填，下同。</w:t>
      </w:r>
    </w:p>
    <w:p w14:paraId="1D131A3F"/>
    <w:sectPr>
      <w:headerReference r:id="rId7" w:type="default"/>
      <w:footerReference r:id="rId8" w:type="default"/>
      <w:pgSz w:w="11906" w:h="16838"/>
      <w:pgMar w:top="1440" w:right="1800" w:bottom="1843"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方正大标宋简体">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BB50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94980">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8094980">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EC79">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7FDB00C">
                          <w:pPr>
                            <w:pStyle w:val="8"/>
                          </w:pPr>
                          <w:r>
                            <w:fldChar w:fldCharType="begin"/>
                          </w:r>
                          <w:r>
                            <w:instrText xml:space="preserve"> PAGE  \* MERGEFORMAT </w:instrText>
                          </w:r>
                          <w:r>
                            <w:fldChar w:fldCharType="separate"/>
                          </w:r>
                          <w:r>
                            <w:t>43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hiUwl0QEAAKIDAAAOAAAAAAAAAAEAIAAAAB8BAABk&#10;cnMvZTJvRG9jLnhtbFBLBQYAAAAABgAGAFkBAABiBQAAAAA=&#10;">
              <v:fill on="f" focussize="0,0"/>
              <v:stroke on="f" weight="0.5pt"/>
              <v:imagedata o:title=""/>
              <o:lock v:ext="edit" aspectratio="f"/>
              <v:textbox inset="0mm,0mm,0mm,0mm" style="mso-fit-shape-to-text:t;">
                <w:txbxContent>
                  <w:p w14:paraId="37FDB00C">
                    <w:pPr>
                      <w:pStyle w:val="8"/>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2FD5E">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4400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64400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30B5E">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9706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69706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6448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C5F8F">
                          <w:pPr>
                            <w:pStyle w:val="8"/>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B7C5F8F">
                    <w:pPr>
                      <w:pStyle w:val="8"/>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A50B">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5721D"/>
    <w:multiLevelType w:val="singleLevel"/>
    <w:tmpl w:val="A245721D"/>
    <w:lvl w:ilvl="0" w:tentative="0">
      <w:start w:val="1"/>
      <w:numFmt w:val="chineseCounting"/>
      <w:suff w:val="nothing"/>
      <w:lvlText w:val="%1、"/>
      <w:lvlJc w:val="left"/>
      <w:rPr>
        <w:rFonts w:hint="eastAsia"/>
      </w:rPr>
    </w:lvl>
  </w:abstractNum>
  <w:abstractNum w:abstractNumId="1">
    <w:nsid w:val="A2621D34"/>
    <w:multiLevelType w:val="singleLevel"/>
    <w:tmpl w:val="A2621D34"/>
    <w:lvl w:ilvl="0" w:tentative="0">
      <w:start w:val="2"/>
      <w:numFmt w:val="decimal"/>
      <w:suff w:val="nothing"/>
      <w:lvlText w:val="%1、"/>
      <w:lvlJc w:val="left"/>
    </w:lvl>
  </w:abstractNum>
  <w:abstractNum w:abstractNumId="2">
    <w:nsid w:val="BDAA3652"/>
    <w:multiLevelType w:val="singleLevel"/>
    <w:tmpl w:val="BDAA3652"/>
    <w:lvl w:ilvl="0" w:tentative="0">
      <w:start w:val="1"/>
      <w:numFmt w:val="decimal"/>
      <w:suff w:val="nothing"/>
      <w:lvlText w:val="%1、"/>
      <w:lvlJc w:val="left"/>
    </w:lvl>
  </w:abstractNum>
  <w:abstractNum w:abstractNumId="3">
    <w:nsid w:val="39CB68A3"/>
    <w:multiLevelType w:val="multilevel"/>
    <w:tmpl w:val="39CB68A3"/>
    <w:lvl w:ilvl="0" w:tentative="0">
      <w:start w:val="1"/>
      <w:numFmt w:val="decimal"/>
      <w:suff w:val="nothing"/>
      <w:lvlText w:val="第%1章 "/>
      <w:lvlJc w:val="left"/>
      <w:pPr>
        <w:ind w:left="0" w:firstLine="0"/>
      </w:pPr>
      <w:rPr>
        <w:rFonts w:ascii="方正大标宋简体" w:eastAsia="方正大标宋简体"/>
        <w:b w:val="0"/>
        <w:i w:val="0"/>
        <w:sz w:val="36"/>
        <w:szCs w:val="36"/>
      </w:rPr>
    </w:lvl>
    <w:lvl w:ilvl="1" w:tentative="0">
      <w:start w:val="1"/>
      <w:numFmt w:val="decimal"/>
      <w:pStyle w:val="26"/>
      <w:suff w:val="nothing"/>
      <w:lvlText w:val="    %1、"/>
      <w:lvlJc w:val="left"/>
      <w:pPr>
        <w:ind w:left="0" w:firstLine="0"/>
      </w:pPr>
      <w:rPr>
        <w:rFonts w:ascii="黑体" w:eastAsia="黑体"/>
        <w:b/>
        <w:i w:val="0"/>
        <w:sz w:val="30"/>
        <w:szCs w:val="30"/>
      </w:rPr>
    </w:lvl>
    <w:lvl w:ilvl="2" w:tentative="0">
      <w:start w:val="1"/>
      <w:numFmt w:val="decimal"/>
      <w:suff w:val="nothing"/>
      <w:lvlText w:val="    %1.%2 "/>
      <w:lvlJc w:val="left"/>
      <w:pPr>
        <w:ind w:left="459" w:firstLine="0"/>
      </w:pPr>
      <w:rPr>
        <w:b w:val="0"/>
        <w:bCs w:val="0"/>
        <w:i w:val="0"/>
        <w:iCs w:val="0"/>
        <w:caps w:val="0"/>
        <w:smallCaps w:val="0"/>
        <w:vanish w:val="0"/>
        <w:color w:val="000000"/>
        <w:position w:val="0"/>
      </w:rPr>
    </w:lvl>
    <w:lvl w:ilvl="3" w:tentative="0">
      <w:start w:val="1"/>
      <w:numFmt w:val="decimal"/>
      <w:suff w:val="nothing"/>
      <w:lvlText w:val="    %1.%2.%3  "/>
      <w:lvlJc w:val="left"/>
      <w:pPr>
        <w:ind w:left="0" w:firstLine="0"/>
      </w:pPr>
      <w:rPr>
        <w:rFonts w:ascii="仿宋_GB2312" w:eastAsia="仿宋_GB2312"/>
        <w:b/>
        <w:i w:val="0"/>
        <w:sz w:val="28"/>
        <w:szCs w:val="28"/>
      </w:rPr>
    </w:lvl>
    <w:lvl w:ilvl="4" w:tentative="0">
      <w:start w:val="1"/>
      <w:numFmt w:val="decimal"/>
      <w:suff w:val="nothing"/>
      <w:lvlText w:val=""/>
      <w:lvlJc w:val="left"/>
      <w:pPr>
        <w:ind w:left="0" w:firstLine="0"/>
      </w:pPr>
    </w:lvl>
    <w:lvl w:ilvl="5" w:tentative="0">
      <w:start w:val="1"/>
      <w:numFmt w:val="decimal"/>
      <w:suff w:val="nothing"/>
      <w:lvlText w:val=""/>
      <w:lvlJc w:val="left"/>
      <w:pPr>
        <w:ind w:left="0" w:firstLine="0"/>
      </w:pPr>
    </w:lvl>
    <w:lvl w:ilvl="6" w:tentative="0">
      <w:start w:val="1"/>
      <w:numFmt w:val="decimal"/>
      <w:suff w:val="nothing"/>
      <w:lvlText w:val=""/>
      <w:lvlJc w:val="left"/>
      <w:pPr>
        <w:ind w:left="0" w:firstLine="0"/>
      </w:pPr>
    </w:lvl>
    <w:lvl w:ilvl="7" w:tentative="0">
      <w:start w:val="1"/>
      <w:numFmt w:val="decimal"/>
      <w:suff w:val="nothing"/>
      <w:lvlText w:val=""/>
      <w:lvlJc w:val="left"/>
      <w:pPr>
        <w:ind w:left="0" w:firstLine="0"/>
      </w:pPr>
    </w:lvl>
    <w:lvl w:ilvl="8" w:tentative="0">
      <w:start w:val="1"/>
      <w:numFmt w:val="decimal"/>
      <w:suff w:val="nothing"/>
      <w:lvlText w:val=""/>
      <w:lvlJc w:val="left"/>
      <w:pPr>
        <w:ind w:left="0" w:firstLine="0"/>
      </w:pPr>
    </w:lvl>
  </w:abstractNum>
  <w:abstractNum w:abstractNumId="4">
    <w:nsid w:val="64334728"/>
    <w:multiLevelType w:val="multilevel"/>
    <w:tmpl w:val="64334728"/>
    <w:lvl w:ilvl="0" w:tentative="0">
      <w:start w:val="1"/>
      <w:numFmt w:val="decimal"/>
      <w:lvlText w:val="%1、"/>
      <w:lvlJc w:val="left"/>
      <w:pPr>
        <w:tabs>
          <w:tab w:val="left" w:pos="1065"/>
        </w:tabs>
        <w:ind w:left="1065" w:hanging="435"/>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65127"/>
    <w:rsid w:val="04BF7C4D"/>
    <w:rsid w:val="0C365127"/>
    <w:rsid w:val="13824EB8"/>
    <w:rsid w:val="153B478E"/>
    <w:rsid w:val="2420236A"/>
    <w:rsid w:val="434B557B"/>
    <w:rsid w:val="75E85E2B"/>
    <w:rsid w:val="76D81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31"/>
    <w:qFormat/>
    <w:uiPriority w:val="9"/>
    <w:pPr>
      <w:keepNext/>
      <w:keepLines/>
      <w:spacing w:line="415" w:lineRule="auto"/>
      <w:outlineLvl w:val="1"/>
    </w:pPr>
    <w:rPr>
      <w:rFonts w:ascii="Arial" w:hAnsi="Arial" w:eastAsia="黑体" w:cs="Times New Roman"/>
      <w:b/>
      <w:bCs/>
      <w:sz w:val="32"/>
      <w:szCs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widowControl w:val="0"/>
      <w:spacing w:after="120"/>
      <w:jc w:val="both"/>
    </w:pPr>
    <w:rPr>
      <w:kern w:val="2"/>
      <w:sz w:val="21"/>
      <w:szCs w:val="24"/>
    </w:rPr>
  </w:style>
  <w:style w:type="paragraph" w:styleId="5">
    <w:name w:val="Body Text Indent"/>
    <w:basedOn w:val="1"/>
    <w:unhideWhenUsed/>
    <w:qFormat/>
    <w:uiPriority w:val="99"/>
    <w:pPr>
      <w:spacing w:after="120"/>
      <w:ind w:left="420" w:leftChars="200"/>
    </w:pPr>
  </w:style>
  <w:style w:type="paragraph" w:styleId="6">
    <w:name w:val="Plain Text"/>
    <w:basedOn w:val="1"/>
    <w:unhideWhenUsed/>
    <w:qFormat/>
    <w:uiPriority w:val="0"/>
    <w:rPr>
      <w:rFonts w:hint="eastAsia" w:ascii="宋体" w:hAnsi="Courier New"/>
      <w:sz w:val="21"/>
      <w:szCs w:val="21"/>
    </w:rPr>
  </w:style>
  <w:style w:type="paragraph" w:styleId="7">
    <w:name w:val="Body Text Indent 2"/>
    <w:basedOn w:val="1"/>
    <w:qFormat/>
    <w:uiPriority w:val="0"/>
    <w:pPr>
      <w:spacing w:after="120" w:line="480" w:lineRule="auto"/>
      <w:ind w:left="420" w:leftChars="200"/>
    </w:pPr>
    <w:rPr>
      <w:kern w:val="0"/>
      <w:sz w:val="20"/>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widowControl w:val="0"/>
      <w:jc w:val="both"/>
    </w:pPr>
    <w:rPr>
      <w:kern w:val="2"/>
      <w:sz w:val="21"/>
      <w:szCs w:val="24"/>
    </w:rPr>
  </w:style>
  <w:style w:type="paragraph" w:styleId="11">
    <w:name w:val="Body Text 2"/>
    <w:basedOn w:val="1"/>
    <w:qFormat/>
    <w:uiPriority w:val="0"/>
    <w:pPr>
      <w:spacing w:after="120" w:line="480" w:lineRule="auto"/>
      <w:ind w:firstLine="560" w:firstLineChars="200"/>
    </w:pPr>
    <w:rPr>
      <w:rFonts w:ascii="Calibri" w:hAnsi="Calibri" w:eastAsia="仿宋_GB2312"/>
      <w:sz w:val="28"/>
      <w:szCs w:val="24"/>
    </w:rPr>
  </w:style>
  <w:style w:type="paragraph" w:styleId="12">
    <w:name w:val="Normal (Web)"/>
    <w:basedOn w:val="1"/>
    <w:qFormat/>
    <w:uiPriority w:val="0"/>
    <w:rPr>
      <w:sz w:val="24"/>
      <w:lang w:eastAsia="zh-CN"/>
    </w:rPr>
  </w:style>
  <w:style w:type="paragraph" w:styleId="13">
    <w:name w:val="Body Text First Indent"/>
    <w:basedOn w:val="4"/>
    <w:unhideWhenUsed/>
    <w:qFormat/>
    <w:uiPriority w:val="99"/>
    <w:pPr>
      <w:ind w:firstLine="420"/>
    </w:pPr>
    <w:rPr>
      <w:rFonts w:eastAsia="楷体_GB2312"/>
      <w:sz w:val="20"/>
      <w:szCs w:val="20"/>
    </w:rPr>
  </w:style>
  <w:style w:type="paragraph" w:styleId="14">
    <w:name w:val="Body Text First Indent 2"/>
    <w:basedOn w:val="1"/>
    <w:next w:val="4"/>
    <w:unhideWhenUsed/>
    <w:qFormat/>
    <w:uiPriority w:val="99"/>
    <w:pPr>
      <w:ind w:firstLine="420" w:firstLineChars="200"/>
    </w:p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mphasis"/>
    <w:basedOn w:val="17"/>
    <w:qFormat/>
    <w:uiPriority w:val="0"/>
    <w:rPr>
      <w:i/>
    </w:rPr>
  </w:style>
  <w:style w:type="paragraph" w:customStyle="1" w:styleId="19">
    <w:name w:val="style4"/>
    <w:basedOn w:val="1"/>
    <w:next w:val="20"/>
    <w:qFormat/>
    <w:uiPriority w:val="99"/>
    <w:pPr>
      <w:widowControl/>
      <w:spacing w:before="280" w:after="280"/>
    </w:pPr>
    <w:rPr>
      <w:rFonts w:ascii="宋体" w:hAnsi="Times New Roman" w:eastAsia="宋体" w:cs="Times New Roman"/>
      <w:sz w:val="18"/>
    </w:rPr>
  </w:style>
  <w:style w:type="paragraph" w:customStyle="1" w:styleId="20">
    <w:name w:val="2"/>
    <w:next w:val="1"/>
    <w:qFormat/>
    <w:uiPriority w:val="0"/>
    <w:pPr>
      <w:widowControl w:val="0"/>
      <w:jc w:val="both"/>
    </w:pPr>
    <w:rPr>
      <w:rFonts w:hint="default" w:ascii="Times New Roman" w:hAnsi="Times New Roman" w:eastAsia="宋体" w:cs="Times New Roman"/>
      <w:sz w:val="21"/>
      <w:szCs w:val="22"/>
    </w:rPr>
  </w:style>
  <w:style w:type="paragraph" w:customStyle="1" w:styleId="21">
    <w:name w:val="无间隔1"/>
    <w:basedOn w:val="1"/>
    <w:qFormat/>
    <w:uiPriority w:val="1"/>
    <w:pPr>
      <w:spacing w:line="400" w:lineRule="exact"/>
    </w:pPr>
    <w:rPr>
      <w:sz w:val="24"/>
    </w:rPr>
  </w:style>
  <w:style w:type="character" w:customStyle="1" w:styleId="22">
    <w:name w:val="正文 A Char"/>
    <w:link w:val="23"/>
    <w:qFormat/>
    <w:uiPriority w:val="0"/>
    <w:rPr>
      <w:rFonts w:ascii="Times New Roman" w:hAnsi="Arial Unicode MS" w:eastAsia="Arial Unicode MS" w:cs="Arial Unicode MS"/>
      <w:color w:val="000000"/>
      <w:kern w:val="2"/>
      <w:sz w:val="24"/>
      <w:szCs w:val="24"/>
      <w:lang w:val="en-US" w:eastAsia="zh-CN" w:bidi="ar-SA"/>
    </w:rPr>
  </w:style>
  <w:style w:type="paragraph" w:customStyle="1" w:styleId="23">
    <w:name w:val="正文 A"/>
    <w:link w:val="22"/>
    <w:qFormat/>
    <w:uiPriority w:val="0"/>
    <w:pPr>
      <w:widowControl w:val="0"/>
      <w:spacing w:line="480" w:lineRule="auto"/>
      <w:ind w:firstLine="260"/>
      <w:jc w:val="both"/>
    </w:pPr>
    <w:rPr>
      <w:rFonts w:ascii="Times New Roman" w:hAnsi="Arial Unicode MS" w:eastAsia="Arial Unicode MS" w:cs="Arial Unicode MS"/>
      <w:color w:val="000000"/>
      <w:kern w:val="2"/>
      <w:sz w:val="24"/>
      <w:szCs w:val="24"/>
      <w:lang w:val="en-US" w:eastAsia="zh-CN" w:bidi="ar-SA"/>
    </w:rPr>
  </w:style>
  <w:style w:type="paragraph" w:customStyle="1" w:styleId="24">
    <w:name w:val="Default"/>
    <w:next w:val="9"/>
    <w:qFormat/>
    <w:uiPriority w:val="6"/>
    <w:pPr>
      <w:widowControl w:val="0"/>
      <w:autoSpaceDE w:val="0"/>
      <w:autoSpaceDN w:val="0"/>
      <w:adjustRightInd w:val="0"/>
    </w:pPr>
    <w:rPr>
      <w:rFonts w:ascii="宋体" w:hAnsi="Calibri" w:eastAsia="宋体" w:cs="宋体"/>
      <w:color w:val="000000"/>
      <w:sz w:val="24"/>
      <w:szCs w:val="24"/>
      <w:lang w:val="en-US" w:eastAsia="zh-CN" w:bidi="ar-SA"/>
    </w:rPr>
  </w:style>
  <w:style w:type="table" w:customStyle="1" w:styleId="25">
    <w:name w:val="网格型2"/>
    <w:basedOn w:val="15"/>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6">
    <w:name w:val="Heading2"/>
    <w:basedOn w:val="1"/>
    <w:next w:val="1"/>
    <w:qFormat/>
    <w:uiPriority w:val="0"/>
    <w:pPr>
      <w:keepNext/>
      <w:keepLines/>
      <w:numPr>
        <w:ilvl w:val="1"/>
        <w:numId w:val="1"/>
      </w:numPr>
      <w:spacing w:before="260" w:after="260" w:line="415" w:lineRule="auto"/>
    </w:pPr>
    <w:rPr>
      <w:rFonts w:ascii="Arial" w:hAnsi="Arial" w:eastAsia="黑体"/>
      <w:b/>
      <w:bCs/>
      <w:kern w:val="2"/>
      <w:sz w:val="32"/>
      <w:szCs w:val="32"/>
    </w:rPr>
  </w:style>
  <w:style w:type="paragraph" w:customStyle="1" w:styleId="27">
    <w:name w:val="Table Text"/>
    <w:basedOn w:val="1"/>
    <w:semiHidden/>
    <w:qFormat/>
    <w:uiPriority w:val="0"/>
    <w:rPr>
      <w:rFonts w:ascii="宋体" w:hAnsi="宋体" w:eastAsia="宋体" w:cs="宋体"/>
      <w:sz w:val="21"/>
      <w:szCs w:val="21"/>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 w:type="table" w:customStyle="1" w:styleId="29">
    <w:name w:val="网格型1"/>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我的正文"/>
    <w:basedOn w:val="5"/>
    <w:qFormat/>
    <w:uiPriority w:val="0"/>
    <w:pPr>
      <w:ind w:firstLine="480" w:firstLineChars="200"/>
    </w:pPr>
  </w:style>
  <w:style w:type="character" w:customStyle="1" w:styleId="31">
    <w:name w:val="标题 2 Char"/>
    <w:link w:val="2"/>
    <w:qFormat/>
    <w:uiPriority w:val="9"/>
    <w:rPr>
      <w:rFonts w:ascii="Arial" w:hAnsi="Arial" w:eastAsia="黑体" w:cs="Times New Roman"/>
      <w:b/>
      <w:bCs/>
      <w:sz w:val="32"/>
      <w:szCs w:val="32"/>
    </w:rPr>
  </w:style>
  <w:style w:type="paragraph" w:customStyle="1" w:styleId="32">
    <w:name w:val="msolistparagraph"/>
    <w:basedOn w:val="1"/>
    <w:qFormat/>
    <w:uiPriority w:val="0"/>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85</Pages>
  <Words>4788</Words>
  <Characters>5468</Characters>
  <Lines>0</Lines>
  <Paragraphs>0</Paragraphs>
  <TotalTime>33</TotalTime>
  <ScaleCrop>false</ScaleCrop>
  <LinksUpToDate>false</LinksUpToDate>
  <CharactersWithSpaces>6067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2026-10-08T12:24:00Z</dcterms:created>
  <dc:creator>华杰</dc:creator>
  <cp:lastModifiedBy>Administrator</cp:lastModifiedBy>
  <cp:lastPrinted>2026-10-10T04:49:00Z</cp:lastPrinted>
  <dcterms:modified xsi:type="dcterms:W3CDTF">2026-10-10T09:20:57Z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145A026966624622BD86772AB1CAB1A6_11</vt:lpwstr>
  </property>
  <property fmtid="{D5CDD505-2E9C-101B-9397-08002B2CF9AE}" pid="4" name="KSOTemplateDocerSaveRecord">
    <vt:lpwstr>eyJoZGlkIjoiZDczYmU4ZDU3NTNiODAwZDRjZTgwY2RkZTAyODhiNjIiLCJ1c2VySWQiOiI4ODQwMTg3OTUifQ==</vt:lpwstr>
  </property>
</Properties>
</file>