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B7D3A">
      <w:pPr>
        <w:jc w:val="center"/>
        <w:rPr>
          <w:rFonts w:ascii="宋体" w:hAnsi="宋体" w:cs="宋体"/>
          <w:b/>
          <w:sz w:val="24"/>
        </w:rPr>
      </w:pPr>
      <w:bookmarkStart w:id="520" w:name="_GoBack"/>
      <w:bookmarkEnd w:id="520"/>
      <w:r>
        <w:rPr>
          <w:rFonts w:hint="eastAsia" w:ascii="宋体" w:hAnsi="宋体" w:cs="宋体"/>
          <w:b/>
          <w:sz w:val="24"/>
        </w:rPr>
        <w:t xml:space="preserve">    </w:t>
      </w:r>
    </w:p>
    <w:p w14:paraId="37FA1328">
      <w:pPr>
        <w:pStyle w:val="3"/>
        <w:rPr>
          <w:rFonts w:ascii="Times New Roman"/>
        </w:rPr>
      </w:pPr>
    </w:p>
    <w:p w14:paraId="6B293D25">
      <w:pPr>
        <w:spacing w:line="360" w:lineRule="auto"/>
        <w:jc w:val="center"/>
        <w:rPr>
          <w:rFonts w:ascii="宋体" w:hAnsi="宋体" w:cs="宋体"/>
          <w:b/>
          <w:sz w:val="48"/>
          <w:szCs w:val="48"/>
        </w:rPr>
      </w:pPr>
      <w:r>
        <w:rPr>
          <w:rFonts w:hint="eastAsia" w:ascii="宋体" w:hAnsi="宋体" w:cs="宋体"/>
          <w:b/>
          <w:sz w:val="48"/>
          <w:szCs w:val="48"/>
        </w:rPr>
        <w:t>三门峡市湖滨区建设局三门峡市湖滨区城市社区专项体检及报告编制项目</w:t>
      </w:r>
    </w:p>
    <w:p w14:paraId="762A04EB">
      <w:pPr>
        <w:spacing w:line="276" w:lineRule="auto"/>
        <w:ind w:firstLine="120" w:firstLineChars="50"/>
        <w:jc w:val="center"/>
        <w:rPr>
          <w:rFonts w:ascii="宋体" w:hAnsi="宋体" w:cs="宋体"/>
          <w:b/>
          <w:sz w:val="24"/>
        </w:rPr>
      </w:pPr>
    </w:p>
    <w:p w14:paraId="3A110188">
      <w:pPr>
        <w:pStyle w:val="3"/>
        <w:rPr>
          <w:rFonts w:ascii="Times New Roman"/>
        </w:rPr>
      </w:pPr>
    </w:p>
    <w:p w14:paraId="1674E2EB"/>
    <w:p w14:paraId="1435F143">
      <w:pPr>
        <w:pStyle w:val="3"/>
        <w:rPr>
          <w:rFonts w:ascii="Times New Roman"/>
        </w:rPr>
      </w:pPr>
    </w:p>
    <w:p w14:paraId="241C05B3">
      <w:pPr>
        <w:rPr>
          <w:rFonts w:ascii="宋体" w:hAnsi="宋体" w:cs="宋体"/>
          <w:b/>
          <w:sz w:val="24"/>
        </w:rPr>
      </w:pPr>
    </w:p>
    <w:p w14:paraId="04384E52">
      <w:pPr>
        <w:spacing w:line="360" w:lineRule="auto"/>
        <w:ind w:firstLine="422" w:firstLineChars="50"/>
        <w:jc w:val="center"/>
        <w:rPr>
          <w:rFonts w:ascii="宋体" w:hAnsi="宋体" w:cs="宋体"/>
          <w:b/>
          <w:sz w:val="84"/>
          <w:szCs w:val="84"/>
        </w:rPr>
      </w:pPr>
      <w:r>
        <w:rPr>
          <w:rFonts w:hint="eastAsia" w:ascii="宋体" w:hAnsi="宋体" w:cs="宋体"/>
          <w:b/>
          <w:sz w:val="84"/>
          <w:szCs w:val="84"/>
        </w:rPr>
        <w:t>竞争性磋商文件</w:t>
      </w:r>
    </w:p>
    <w:p w14:paraId="2CCE8A8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1928" w:firstLineChars="800"/>
        <w:jc w:val="left"/>
        <w:rPr>
          <w:rFonts w:ascii="微软雅黑" w:hAnsi="微软雅黑" w:eastAsia="微软雅黑" w:cs="微软雅黑"/>
          <w:color w:val="3D4B64"/>
          <w:sz w:val="21"/>
          <w:szCs w:val="21"/>
        </w:rPr>
      </w:pPr>
      <w:r>
        <w:rPr>
          <w:rFonts w:hint="eastAsia" w:ascii="宋体" w:hAnsi="宋体"/>
          <w:b/>
          <w:bCs/>
          <w:sz w:val="24"/>
          <w:szCs w:val="24"/>
        </w:rPr>
        <w:t>项目编号：</w:t>
      </w:r>
      <w:r>
        <w:rPr>
          <w:rFonts w:hint="eastAsia" w:ascii="宋体" w:hAnsi="宋体"/>
          <w:b/>
          <w:bCs/>
          <w:sz w:val="24"/>
          <w:szCs w:val="24"/>
          <w:lang w:eastAsia="zh-CN"/>
        </w:rPr>
        <w:t>湖滨竞磋采购-2026-36  SGZ[2026]347-ZC250</w:t>
      </w:r>
      <w:r>
        <w:rPr>
          <w:rFonts w:hint="eastAsia" w:ascii="宋体" w:hAnsi="宋体"/>
          <w:b/>
          <w:bCs/>
          <w:sz w:val="24"/>
          <w:szCs w:val="24"/>
          <w:lang w:val="en-US" w:eastAsia="zh-CN"/>
        </w:rPr>
        <w:t xml:space="preserve">  </w:t>
      </w:r>
    </w:p>
    <w:p w14:paraId="3249668E">
      <w:pPr>
        <w:widowControl/>
        <w:jc w:val="center"/>
        <w:rPr>
          <w:rFonts w:hint="eastAsia" w:ascii="宋体" w:hAnsi="宋体" w:eastAsia="宋体"/>
          <w:b/>
          <w:bCs/>
          <w:color w:val="FF0000"/>
          <w:sz w:val="28"/>
          <w:szCs w:val="28"/>
          <w:lang w:val="en-US" w:eastAsia="zh-CN"/>
        </w:rPr>
      </w:pPr>
    </w:p>
    <w:p w14:paraId="0146073C">
      <w:pPr>
        <w:spacing w:line="360" w:lineRule="auto"/>
        <w:jc w:val="center"/>
        <w:rPr>
          <w:rFonts w:ascii="宋体" w:hAnsi="宋体"/>
          <w:sz w:val="24"/>
        </w:rPr>
      </w:pPr>
      <w:r>
        <w:rPr>
          <w:rFonts w:hint="eastAsia" w:ascii="宋体" w:hAnsi="宋体" w:cs="宋体"/>
          <w:b/>
          <w:sz w:val="28"/>
          <w:szCs w:val="28"/>
        </w:rPr>
        <w:t xml:space="preserve"> </w:t>
      </w:r>
      <w:r>
        <w:rPr>
          <w:rFonts w:hint="eastAsia" w:ascii="宋体" w:hAnsi="宋体"/>
          <w:b/>
          <w:sz w:val="24"/>
        </w:rPr>
        <w:t xml:space="preserve"> </w:t>
      </w:r>
    </w:p>
    <w:p w14:paraId="19E91153">
      <w:pPr>
        <w:widowControl/>
        <w:jc w:val="left"/>
        <w:rPr>
          <w:rFonts w:ascii="宋体" w:hAnsi="宋体"/>
          <w:sz w:val="24"/>
        </w:rPr>
      </w:pPr>
    </w:p>
    <w:p w14:paraId="66853B27">
      <w:pPr>
        <w:widowControl/>
        <w:jc w:val="left"/>
        <w:rPr>
          <w:rFonts w:ascii="宋体" w:hAnsi="宋体"/>
          <w:sz w:val="24"/>
        </w:rPr>
      </w:pPr>
    </w:p>
    <w:p w14:paraId="3FF89151">
      <w:pPr>
        <w:widowControl/>
        <w:jc w:val="left"/>
        <w:rPr>
          <w:rFonts w:ascii="宋体" w:hAnsi="宋体"/>
          <w:sz w:val="24"/>
        </w:rPr>
      </w:pPr>
    </w:p>
    <w:p w14:paraId="2112E6E9">
      <w:pPr>
        <w:widowControl/>
        <w:jc w:val="left"/>
        <w:rPr>
          <w:rFonts w:ascii="宋体" w:hAnsi="宋体"/>
          <w:sz w:val="24"/>
        </w:rPr>
      </w:pPr>
    </w:p>
    <w:p w14:paraId="3BD7DF5D">
      <w:pPr>
        <w:pStyle w:val="3"/>
        <w:rPr>
          <w:rFonts w:ascii="Times New Roman"/>
        </w:rPr>
      </w:pPr>
    </w:p>
    <w:p w14:paraId="0BC5EB80">
      <w:pPr>
        <w:widowControl/>
        <w:jc w:val="left"/>
        <w:rPr>
          <w:rFonts w:ascii="宋体" w:hAnsi="宋体"/>
          <w:sz w:val="24"/>
        </w:rPr>
      </w:pPr>
    </w:p>
    <w:p w14:paraId="0DDFE1BB">
      <w:pPr>
        <w:pStyle w:val="3"/>
        <w:rPr>
          <w:rFonts w:hAnsi="宋体"/>
        </w:rPr>
      </w:pPr>
    </w:p>
    <w:p w14:paraId="0D6AFB64"/>
    <w:p w14:paraId="00269642"/>
    <w:p w14:paraId="06666955"/>
    <w:p w14:paraId="6CEB84B3">
      <w:pPr>
        <w:spacing w:line="360" w:lineRule="auto"/>
        <w:ind w:firstLine="1807" w:firstLineChars="600"/>
        <w:jc w:val="left"/>
        <w:rPr>
          <w:rFonts w:ascii="宋体" w:hAnsi="宋体" w:cs="宋体"/>
          <w:b/>
          <w:kern w:val="0"/>
          <w:sz w:val="30"/>
          <w:szCs w:val="30"/>
          <w:shd w:val="clear" w:color="auto" w:fill="FFFFFF"/>
        </w:rPr>
      </w:pPr>
      <w:r>
        <w:rPr>
          <w:rFonts w:hint="eastAsia" w:ascii="宋体" w:hAnsi="宋体" w:cs="宋体"/>
          <w:b/>
          <w:kern w:val="0"/>
          <w:sz w:val="30"/>
          <w:szCs w:val="30"/>
          <w:shd w:val="clear" w:color="auto" w:fill="FFFFFF"/>
        </w:rPr>
        <w:t>采 购 人：三门峡市湖滨区建设局</w:t>
      </w:r>
    </w:p>
    <w:p w14:paraId="70E2AEEC">
      <w:pPr>
        <w:spacing w:line="360" w:lineRule="auto"/>
        <w:ind w:firstLine="1807" w:firstLineChars="600"/>
        <w:jc w:val="left"/>
        <w:rPr>
          <w:rFonts w:ascii="宋体" w:hAnsi="宋体" w:cs="宋体"/>
          <w:b/>
          <w:kern w:val="0"/>
          <w:sz w:val="30"/>
          <w:szCs w:val="30"/>
          <w:shd w:val="clear" w:color="auto" w:fill="FFFFFF"/>
        </w:rPr>
      </w:pPr>
      <w:r>
        <w:rPr>
          <w:rFonts w:hint="eastAsia" w:ascii="宋体" w:hAnsi="宋体" w:cs="宋体"/>
          <w:b/>
          <w:kern w:val="0"/>
          <w:sz w:val="30"/>
          <w:szCs w:val="30"/>
          <w:shd w:val="clear" w:color="auto" w:fill="FFFFFF"/>
        </w:rPr>
        <w:t>代理机构：中赋安工程项目管理(四川)有限公司</w:t>
      </w:r>
    </w:p>
    <w:p w14:paraId="1B4D4299">
      <w:pPr>
        <w:spacing w:line="360" w:lineRule="auto"/>
        <w:ind w:firstLine="1807" w:firstLineChars="600"/>
        <w:jc w:val="left"/>
        <w:rPr>
          <w:rFonts w:ascii="宋体" w:hAnsi="宋体" w:cs="宋体"/>
          <w:b/>
          <w:kern w:val="0"/>
          <w:sz w:val="30"/>
          <w:szCs w:val="30"/>
          <w:shd w:val="clear" w:color="auto" w:fill="FFFFFF"/>
        </w:rPr>
      </w:pPr>
      <w:r>
        <w:rPr>
          <w:rFonts w:hint="eastAsia" w:ascii="宋体" w:hAnsi="宋体" w:cs="宋体"/>
          <w:b/>
          <w:kern w:val="0"/>
          <w:sz w:val="30"/>
          <w:szCs w:val="30"/>
          <w:shd w:val="clear" w:color="auto" w:fill="FFFFFF"/>
        </w:rPr>
        <w:t>日    期：二0二六年</w:t>
      </w:r>
      <w:r>
        <w:rPr>
          <w:rFonts w:hint="eastAsia" w:ascii="宋体" w:hAnsi="宋体" w:cs="宋体"/>
          <w:b/>
          <w:kern w:val="0"/>
          <w:sz w:val="30"/>
          <w:szCs w:val="30"/>
          <w:shd w:val="clear" w:color="auto" w:fill="FFFFFF"/>
          <w:lang w:val="en-US" w:eastAsia="zh-CN"/>
        </w:rPr>
        <w:t>十</w:t>
      </w:r>
      <w:r>
        <w:rPr>
          <w:rFonts w:hint="eastAsia" w:ascii="宋体" w:hAnsi="宋体" w:cs="宋体"/>
          <w:b/>
          <w:kern w:val="0"/>
          <w:sz w:val="30"/>
          <w:szCs w:val="30"/>
          <w:shd w:val="clear" w:color="auto" w:fill="FFFFFF"/>
        </w:rPr>
        <w:t>月</w:t>
      </w:r>
    </w:p>
    <w:p w14:paraId="34BB9381">
      <w:pPr>
        <w:widowControl/>
        <w:jc w:val="left"/>
        <w:rPr>
          <w:rFonts w:ascii="宋体" w:hAnsi="宋体"/>
          <w:sz w:val="24"/>
        </w:rPr>
      </w:pPr>
    </w:p>
    <w:p w14:paraId="3846E556">
      <w:pPr>
        <w:pStyle w:val="3"/>
        <w:rPr>
          <w:rFonts w:ascii="Times New Roman"/>
        </w:rPr>
      </w:pPr>
      <w:bookmarkStart w:id="0" w:name="_Toc508179882"/>
    </w:p>
    <w:p w14:paraId="62BB85E0">
      <w:pPr>
        <w:spacing w:line="480" w:lineRule="auto"/>
        <w:jc w:val="center"/>
        <w:rPr>
          <w:rFonts w:ascii="宋体" w:hAnsi="宋体"/>
          <w:b/>
          <w:kern w:val="44"/>
          <w:sz w:val="24"/>
        </w:rPr>
      </w:pPr>
    </w:p>
    <w:p w14:paraId="36667176">
      <w:pPr>
        <w:spacing w:line="480" w:lineRule="auto"/>
        <w:jc w:val="center"/>
        <w:rPr>
          <w:rFonts w:ascii="宋体" w:hAnsi="宋体"/>
          <w:b/>
          <w:kern w:val="44"/>
          <w:sz w:val="24"/>
        </w:rPr>
      </w:pPr>
    </w:p>
    <w:p w14:paraId="2ACEB019">
      <w:pPr>
        <w:spacing w:line="480" w:lineRule="auto"/>
        <w:jc w:val="center"/>
        <w:rPr>
          <w:rFonts w:ascii="宋体" w:hAnsi="宋体"/>
          <w:b/>
          <w:kern w:val="44"/>
          <w:sz w:val="24"/>
        </w:rPr>
      </w:pPr>
    </w:p>
    <w:p w14:paraId="79F885CA">
      <w:pPr>
        <w:spacing w:line="480" w:lineRule="auto"/>
        <w:jc w:val="center"/>
        <w:rPr>
          <w:rFonts w:ascii="宋体" w:hAnsi="宋体"/>
          <w:b/>
          <w:kern w:val="44"/>
          <w:sz w:val="24"/>
        </w:rPr>
      </w:pPr>
    </w:p>
    <w:p w14:paraId="3EDC750D">
      <w:pPr>
        <w:spacing w:line="480" w:lineRule="auto"/>
        <w:jc w:val="center"/>
        <w:rPr>
          <w:rFonts w:ascii="宋体" w:hAnsi="宋体"/>
          <w:b/>
          <w:kern w:val="44"/>
          <w:sz w:val="24"/>
        </w:rPr>
      </w:pPr>
      <w:r>
        <w:rPr>
          <w:rFonts w:hint="eastAsia" w:ascii="宋体" w:hAnsi="宋体"/>
          <w:b/>
          <w:kern w:val="44"/>
          <w:sz w:val="24"/>
        </w:rPr>
        <w:t>目   录</w:t>
      </w:r>
    </w:p>
    <w:p w14:paraId="06EA60DD">
      <w:pPr>
        <w:spacing w:line="480" w:lineRule="auto"/>
        <w:jc w:val="center"/>
        <w:rPr>
          <w:rFonts w:ascii="宋体" w:hAnsi="宋体"/>
          <w:b/>
          <w:kern w:val="44"/>
          <w:sz w:val="24"/>
        </w:rPr>
      </w:pPr>
    </w:p>
    <w:bookmarkEnd w:id="0"/>
    <w:p w14:paraId="1E2B7745">
      <w:pPr>
        <w:pStyle w:val="7"/>
        <w:tabs>
          <w:tab w:val="right" w:leader="dot" w:pos="9525"/>
        </w:tabs>
        <w:spacing w:line="480" w:lineRule="auto"/>
        <w:rPr>
          <w:rFonts w:ascii="宋体" w:hAnsi="宋体" w:cs="宋体"/>
          <w:sz w:val="24"/>
        </w:rPr>
      </w:pPr>
      <w:bookmarkStart w:id="1" w:name="_Toc16520163"/>
      <w:bookmarkStart w:id="2" w:name="_Toc523220931"/>
      <w:bookmarkStart w:id="3" w:name="_Toc525811562"/>
      <w:r>
        <w:rPr>
          <w:rFonts w:ascii="宋体" w:hAnsi="宋体"/>
          <w:bCs/>
          <w:sz w:val="24"/>
        </w:rPr>
        <w:fldChar w:fldCharType="begin"/>
      </w:r>
      <w:r>
        <w:rPr>
          <w:rFonts w:ascii="宋体" w:hAnsi="宋体"/>
          <w:bCs/>
          <w:sz w:val="24"/>
        </w:rPr>
        <w:instrText xml:space="preserve"> </w:instrText>
      </w:r>
      <w:r>
        <w:rPr>
          <w:rFonts w:hint="eastAsia" w:ascii="宋体" w:hAnsi="宋体"/>
          <w:bCs/>
          <w:sz w:val="24"/>
        </w:rPr>
        <w:instrText xml:space="preserve">TOC \o "1-2" \h \z \u</w:instrText>
      </w:r>
      <w:r>
        <w:rPr>
          <w:rFonts w:ascii="宋体" w:hAnsi="宋体"/>
          <w:bCs/>
          <w:sz w:val="24"/>
        </w:rPr>
        <w:instrText xml:space="preserve"> </w:instrText>
      </w:r>
      <w:r>
        <w:rPr>
          <w:rFonts w:ascii="宋体" w:hAnsi="宋体"/>
          <w:bCs/>
          <w:sz w:val="24"/>
        </w:rPr>
        <w:fldChar w:fldCharType="separate"/>
      </w:r>
      <w:r>
        <w:fldChar w:fldCharType="begin"/>
      </w:r>
      <w:r>
        <w:instrText xml:space="preserve"> HYPERLINK \l "_Toc19523" </w:instrText>
      </w:r>
      <w:r>
        <w:fldChar w:fldCharType="separate"/>
      </w:r>
      <w:r>
        <w:rPr>
          <w:rFonts w:hint="eastAsia" w:ascii="宋体" w:hAnsi="宋体" w:cs="宋体"/>
          <w:bCs/>
          <w:sz w:val="24"/>
        </w:rPr>
        <w:t>第一章 竞争性磋商公告</w:t>
      </w:r>
      <w:r>
        <w:rPr>
          <w:rFonts w:hint="eastAsia" w:ascii="宋体" w:hAnsi="宋体" w:cs="宋体"/>
          <w:sz w:val="24"/>
        </w:rPr>
        <w:tab/>
      </w:r>
      <w:r>
        <w:rPr>
          <w:rFonts w:hint="eastAsia" w:ascii="宋体" w:hAnsi="宋体" w:cs="宋体"/>
          <w:sz w:val="24"/>
        </w:rPr>
        <w:t>1</w:t>
      </w:r>
      <w:r>
        <w:rPr>
          <w:rFonts w:hint="eastAsia" w:ascii="宋体" w:hAnsi="宋体" w:cs="宋体"/>
          <w:sz w:val="24"/>
        </w:rPr>
        <w:fldChar w:fldCharType="end"/>
      </w:r>
    </w:p>
    <w:p w14:paraId="5DA5296E">
      <w:pPr>
        <w:pStyle w:val="7"/>
        <w:tabs>
          <w:tab w:val="right" w:leader="dot" w:pos="9525"/>
        </w:tabs>
        <w:spacing w:line="480" w:lineRule="auto"/>
        <w:rPr>
          <w:rFonts w:ascii="宋体" w:hAnsi="宋体" w:cs="宋体"/>
          <w:sz w:val="24"/>
        </w:rPr>
      </w:pPr>
      <w:r>
        <w:fldChar w:fldCharType="begin"/>
      </w:r>
      <w:r>
        <w:instrText xml:space="preserve"> HYPERLINK \l "_Toc24661" </w:instrText>
      </w:r>
      <w:r>
        <w:fldChar w:fldCharType="separate"/>
      </w:r>
      <w:r>
        <w:rPr>
          <w:rFonts w:hint="eastAsia" w:ascii="宋体" w:hAnsi="宋体" w:cs="宋体"/>
          <w:bCs/>
          <w:sz w:val="24"/>
        </w:rPr>
        <w:t>第二章 供应商须知</w:t>
      </w:r>
      <w:r>
        <w:rPr>
          <w:rFonts w:hint="eastAsia" w:ascii="宋体" w:hAnsi="宋体" w:cs="宋体"/>
          <w:sz w:val="24"/>
        </w:rPr>
        <w:tab/>
      </w:r>
      <w:r>
        <w:rPr>
          <w:rFonts w:hint="eastAsia" w:ascii="宋体" w:hAnsi="宋体" w:cs="宋体"/>
          <w:sz w:val="24"/>
        </w:rPr>
        <w:t>5</w:t>
      </w:r>
      <w:r>
        <w:rPr>
          <w:rFonts w:hint="eastAsia" w:ascii="宋体" w:hAnsi="宋体" w:cs="宋体"/>
          <w:sz w:val="24"/>
        </w:rPr>
        <w:fldChar w:fldCharType="end"/>
      </w:r>
    </w:p>
    <w:p w14:paraId="167051F9">
      <w:pPr>
        <w:pStyle w:val="7"/>
        <w:tabs>
          <w:tab w:val="right" w:leader="dot" w:pos="9525"/>
        </w:tabs>
        <w:spacing w:line="480" w:lineRule="auto"/>
        <w:rPr>
          <w:rFonts w:hint="eastAsia" w:ascii="宋体" w:hAnsi="宋体" w:eastAsia="宋体" w:cs="宋体"/>
          <w:sz w:val="24"/>
          <w:lang w:val="en-US" w:eastAsia="zh-CN"/>
        </w:rPr>
      </w:pPr>
      <w:r>
        <w:fldChar w:fldCharType="begin"/>
      </w:r>
      <w:r>
        <w:instrText xml:space="preserve"> HYPERLINK \l "_Toc31108" </w:instrText>
      </w:r>
      <w:r>
        <w:fldChar w:fldCharType="separate"/>
      </w:r>
      <w:r>
        <w:rPr>
          <w:rFonts w:hint="eastAsia" w:ascii="宋体" w:hAnsi="宋体" w:cs="宋体"/>
          <w:bCs/>
          <w:sz w:val="24"/>
        </w:rPr>
        <w:t>第三章 采购服务内容及要求</w:t>
      </w:r>
      <w:r>
        <w:rPr>
          <w:rFonts w:hint="eastAsia" w:ascii="宋体" w:hAnsi="宋体" w:cs="宋体"/>
          <w:sz w:val="24"/>
        </w:rPr>
        <w:tab/>
      </w:r>
      <w:r>
        <w:rPr>
          <w:rFonts w:hint="eastAsia" w:ascii="宋体" w:hAnsi="宋体" w:cs="宋体"/>
          <w:sz w:val="24"/>
        </w:rPr>
        <w:t>2</w:t>
      </w:r>
      <w:r>
        <w:rPr>
          <w:rFonts w:hint="eastAsia" w:ascii="宋体" w:hAnsi="宋体" w:cs="宋体"/>
          <w:sz w:val="24"/>
        </w:rPr>
        <w:fldChar w:fldCharType="end"/>
      </w:r>
      <w:r>
        <w:rPr>
          <w:rFonts w:hint="eastAsia" w:ascii="宋体" w:hAnsi="宋体" w:cs="宋体"/>
          <w:sz w:val="24"/>
          <w:lang w:val="en-US" w:eastAsia="zh-CN"/>
        </w:rPr>
        <w:t>3</w:t>
      </w:r>
    </w:p>
    <w:p w14:paraId="7F30D06F">
      <w:pPr>
        <w:pStyle w:val="7"/>
        <w:tabs>
          <w:tab w:val="right" w:leader="dot" w:pos="9525"/>
        </w:tabs>
        <w:spacing w:line="480" w:lineRule="auto"/>
        <w:rPr>
          <w:rFonts w:hint="eastAsia" w:ascii="宋体" w:hAnsi="宋体" w:eastAsia="宋体" w:cs="宋体"/>
          <w:sz w:val="24"/>
          <w:lang w:val="en-US" w:eastAsia="zh-CN"/>
        </w:rPr>
      </w:pPr>
      <w:r>
        <w:fldChar w:fldCharType="begin"/>
      </w:r>
      <w:r>
        <w:instrText xml:space="preserve"> HYPERLINK \l "_Toc32215" </w:instrText>
      </w:r>
      <w:r>
        <w:fldChar w:fldCharType="separate"/>
      </w:r>
      <w:r>
        <w:rPr>
          <w:rFonts w:hint="eastAsia" w:ascii="宋体" w:hAnsi="宋体" w:cs="宋体"/>
          <w:bCs/>
          <w:sz w:val="24"/>
        </w:rPr>
        <w:t>第四章 评审办法</w:t>
      </w:r>
      <w:r>
        <w:rPr>
          <w:rFonts w:hint="eastAsia" w:ascii="宋体" w:hAnsi="宋体" w:cs="宋体"/>
          <w:sz w:val="24"/>
        </w:rPr>
        <w:tab/>
      </w:r>
      <w:r>
        <w:rPr>
          <w:rFonts w:hint="eastAsia" w:ascii="宋体" w:hAnsi="宋体" w:cs="宋体"/>
          <w:sz w:val="24"/>
        </w:rPr>
        <w:t>2</w:t>
      </w:r>
      <w:r>
        <w:rPr>
          <w:rFonts w:hint="eastAsia" w:ascii="宋体" w:hAnsi="宋体" w:cs="宋体"/>
          <w:sz w:val="24"/>
        </w:rPr>
        <w:fldChar w:fldCharType="end"/>
      </w:r>
      <w:r>
        <w:rPr>
          <w:rFonts w:hint="eastAsia" w:ascii="宋体" w:hAnsi="宋体" w:cs="宋体"/>
          <w:sz w:val="24"/>
          <w:lang w:val="en-US" w:eastAsia="zh-CN"/>
        </w:rPr>
        <w:t>7</w:t>
      </w:r>
    </w:p>
    <w:p w14:paraId="41005345">
      <w:pPr>
        <w:pStyle w:val="7"/>
        <w:tabs>
          <w:tab w:val="right" w:leader="dot" w:pos="9525"/>
        </w:tabs>
        <w:spacing w:line="480" w:lineRule="auto"/>
        <w:rPr>
          <w:rFonts w:hint="eastAsia" w:ascii="宋体" w:hAnsi="宋体" w:eastAsia="宋体" w:cs="宋体"/>
          <w:sz w:val="24"/>
          <w:lang w:val="en-US" w:eastAsia="zh-CN"/>
        </w:rPr>
      </w:pPr>
      <w:r>
        <w:fldChar w:fldCharType="begin"/>
      </w:r>
      <w:r>
        <w:instrText xml:space="preserve"> HYPERLINK \l "_Toc19507" </w:instrText>
      </w:r>
      <w:r>
        <w:fldChar w:fldCharType="separate"/>
      </w:r>
      <w:r>
        <w:rPr>
          <w:rFonts w:hint="eastAsia" w:ascii="宋体" w:hAnsi="宋体" w:cs="宋体"/>
          <w:bCs/>
          <w:sz w:val="24"/>
        </w:rPr>
        <w:t>第五章 合同协议书（样本）</w:t>
      </w:r>
      <w:r>
        <w:rPr>
          <w:rFonts w:hint="eastAsia" w:ascii="宋体" w:hAnsi="宋体" w:cs="宋体"/>
          <w:sz w:val="24"/>
        </w:rPr>
        <w:tab/>
      </w:r>
      <w:r>
        <w:rPr>
          <w:rFonts w:hint="eastAsia" w:ascii="宋体" w:hAnsi="宋体" w:cs="宋体"/>
          <w:sz w:val="24"/>
        </w:rPr>
        <w:t>3</w:t>
      </w:r>
      <w:r>
        <w:rPr>
          <w:rFonts w:hint="eastAsia" w:ascii="宋体" w:hAnsi="宋体" w:cs="宋体"/>
          <w:sz w:val="24"/>
        </w:rPr>
        <w:fldChar w:fldCharType="end"/>
      </w:r>
      <w:r>
        <w:rPr>
          <w:rFonts w:hint="eastAsia" w:ascii="宋体" w:hAnsi="宋体" w:cs="宋体"/>
          <w:sz w:val="24"/>
          <w:lang w:val="en-US" w:eastAsia="zh-CN"/>
        </w:rPr>
        <w:t>7</w:t>
      </w:r>
    </w:p>
    <w:p w14:paraId="0588A803">
      <w:pPr>
        <w:pStyle w:val="7"/>
        <w:tabs>
          <w:tab w:val="right" w:leader="dot" w:pos="9525"/>
        </w:tabs>
        <w:spacing w:line="480" w:lineRule="auto"/>
        <w:rPr>
          <w:rFonts w:hint="eastAsia" w:ascii="宋体" w:hAnsi="宋体" w:eastAsia="宋体" w:cs="宋体"/>
          <w:sz w:val="24"/>
          <w:lang w:val="en-US" w:eastAsia="zh-CN"/>
        </w:rPr>
      </w:pPr>
      <w:r>
        <w:fldChar w:fldCharType="begin"/>
      </w:r>
      <w:r>
        <w:instrText xml:space="preserve"> HYPERLINK \l "_Toc8657" </w:instrText>
      </w:r>
      <w:r>
        <w:fldChar w:fldCharType="separate"/>
      </w:r>
      <w:r>
        <w:rPr>
          <w:rFonts w:hint="eastAsia" w:ascii="宋体" w:hAnsi="宋体" w:cs="宋体"/>
          <w:bCs/>
          <w:sz w:val="24"/>
        </w:rPr>
        <w:t>第六章 响应性文件部分格式</w:t>
      </w:r>
      <w:r>
        <w:rPr>
          <w:rFonts w:hint="eastAsia" w:ascii="宋体" w:hAnsi="宋体" w:cs="宋体"/>
          <w:sz w:val="24"/>
        </w:rPr>
        <w:tab/>
      </w:r>
      <w:r>
        <w:rPr>
          <w:rFonts w:hint="eastAsia" w:ascii="宋体" w:hAnsi="宋体" w:cs="宋体"/>
          <w:sz w:val="24"/>
        </w:rPr>
        <w:t>4</w:t>
      </w:r>
      <w:r>
        <w:rPr>
          <w:rFonts w:hint="eastAsia" w:ascii="宋体" w:hAnsi="宋体" w:cs="宋体"/>
          <w:sz w:val="24"/>
        </w:rPr>
        <w:fldChar w:fldCharType="end"/>
      </w:r>
      <w:r>
        <w:rPr>
          <w:rFonts w:hint="eastAsia" w:ascii="宋体" w:hAnsi="宋体" w:cs="宋体"/>
          <w:sz w:val="24"/>
          <w:lang w:val="en-US" w:eastAsia="zh-CN"/>
        </w:rPr>
        <w:t>5</w:t>
      </w:r>
    </w:p>
    <w:p w14:paraId="7A93441A">
      <w:pPr>
        <w:spacing w:line="480" w:lineRule="auto"/>
        <w:rPr>
          <w:rFonts w:ascii="宋体" w:hAnsi="宋体"/>
          <w:bCs/>
          <w:sz w:val="24"/>
        </w:rPr>
        <w:sectPr>
          <w:headerReference r:id="rId3" w:type="default"/>
          <w:footerReference r:id="rId4" w:type="default"/>
          <w:pgSz w:w="11906" w:h="16838"/>
          <w:pgMar w:top="1418" w:right="1134" w:bottom="1134" w:left="1247" w:header="851" w:footer="907" w:gutter="0"/>
          <w:cols w:space="720" w:num="1"/>
          <w:docGrid w:type="lines" w:linePitch="312" w:charSpace="0"/>
        </w:sectPr>
      </w:pPr>
    </w:p>
    <w:p w14:paraId="32D3F776">
      <w:pPr>
        <w:spacing w:line="480" w:lineRule="auto"/>
        <w:rPr>
          <w:rFonts w:ascii="宋体" w:hAnsi="宋体"/>
          <w:b/>
          <w:bCs/>
          <w:sz w:val="36"/>
          <w:szCs w:val="36"/>
        </w:rPr>
      </w:pPr>
      <w:r>
        <w:rPr>
          <w:rFonts w:ascii="宋体" w:hAnsi="宋体"/>
          <w:bCs/>
          <w:sz w:val="24"/>
        </w:rPr>
        <w:fldChar w:fldCharType="end"/>
      </w:r>
      <w:bookmarkStart w:id="4" w:name="_Toc19523"/>
    </w:p>
    <w:p w14:paraId="00D20494">
      <w:pPr>
        <w:spacing w:line="360" w:lineRule="auto"/>
        <w:jc w:val="center"/>
        <w:outlineLvl w:val="0"/>
        <w:rPr>
          <w:rFonts w:ascii="宋体" w:hAnsi="宋体"/>
          <w:b/>
          <w:bCs/>
          <w:sz w:val="36"/>
          <w:szCs w:val="36"/>
        </w:rPr>
      </w:pPr>
      <w:r>
        <w:rPr>
          <w:rFonts w:hint="eastAsia" w:ascii="宋体" w:hAnsi="宋体"/>
          <w:b/>
          <w:bCs/>
          <w:sz w:val="36"/>
          <w:szCs w:val="36"/>
        </w:rPr>
        <w:t>第一章  竞争性磋商公告</w:t>
      </w:r>
      <w:bookmarkEnd w:id="4"/>
    </w:p>
    <w:bookmarkEnd w:id="1"/>
    <w:bookmarkEnd w:id="2"/>
    <w:bookmarkEnd w:id="3"/>
    <w:p w14:paraId="0D4256DA">
      <w:pPr>
        <w:widowControl/>
        <w:spacing w:line="420" w:lineRule="exact"/>
        <w:jc w:val="left"/>
        <w:rPr>
          <w:rFonts w:hint="eastAsia" w:ascii="宋体" w:hAnsi="宋体" w:eastAsia="宋体" w:cs="宋体"/>
          <w:sz w:val="24"/>
          <w:lang w:eastAsia="zh-CN"/>
        </w:rPr>
      </w:pPr>
      <w:bookmarkStart w:id="5" w:name="_Toc508179883"/>
      <w:bookmarkStart w:id="6" w:name="_Toc16520164"/>
      <w:bookmarkStart w:id="7" w:name="_Toc16520676"/>
      <w:r>
        <w:rPr>
          <w:rFonts w:hint="eastAsia" w:ascii="宋体" w:hAnsi="宋体" w:eastAsia="宋体" w:cs="宋体"/>
          <w:sz w:val="24"/>
          <w:lang w:eastAsia="zh-CN"/>
        </w:rPr>
        <w:t>项目概况</w:t>
      </w:r>
    </w:p>
    <w:p w14:paraId="69FD8B85">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三门峡市湖滨区建设局三门峡市湖滨区城市社区专项体检及报告编制项目招标项目的潜在供应商应在三门峡市公共资源交易中心网（网址：http://gzjy.smx.gov.cn/）获取招标文件，并于</w:t>
      </w:r>
      <w:r>
        <w:rPr>
          <w:rFonts w:hint="eastAsia" w:ascii="宋体" w:hAnsi="宋体" w:eastAsia="宋体" w:cs="宋体"/>
          <w:sz w:val="24"/>
          <w:lang w:val="zh-CN" w:eastAsia="zh-CN"/>
        </w:rPr>
        <w:t>2026年</w:t>
      </w:r>
      <w:r>
        <w:rPr>
          <w:rFonts w:hint="eastAsia" w:ascii="宋体" w:hAnsi="宋体" w:eastAsia="宋体" w:cs="宋体"/>
          <w:sz w:val="24"/>
          <w:lang w:val="en-US" w:eastAsia="zh-CN"/>
        </w:rPr>
        <w:t xml:space="preserve"> 11 </w:t>
      </w:r>
      <w:r>
        <w:rPr>
          <w:rFonts w:hint="eastAsia" w:ascii="宋体" w:hAnsi="宋体" w:eastAsia="宋体" w:cs="宋体"/>
          <w:sz w:val="24"/>
          <w:lang w:val="zh-CN" w:eastAsia="zh-CN"/>
        </w:rPr>
        <w:t>月</w:t>
      </w:r>
      <w:r>
        <w:rPr>
          <w:rFonts w:hint="eastAsia" w:ascii="宋体" w:hAnsi="宋体" w:eastAsia="宋体" w:cs="宋体"/>
          <w:sz w:val="24"/>
          <w:lang w:val="en-US" w:eastAsia="zh-CN"/>
        </w:rPr>
        <w:t xml:space="preserve"> 3</w:t>
      </w:r>
      <w:r>
        <w:rPr>
          <w:rFonts w:hint="eastAsia" w:ascii="宋体" w:hAnsi="宋体" w:eastAsia="宋体" w:cs="宋体"/>
          <w:sz w:val="24"/>
          <w:lang w:val="zh-CN" w:eastAsia="zh-CN"/>
        </w:rPr>
        <w:t>日</w:t>
      </w:r>
      <w:r>
        <w:rPr>
          <w:rFonts w:hint="eastAsia" w:ascii="宋体" w:hAnsi="宋体" w:eastAsia="宋体" w:cs="宋体"/>
          <w:sz w:val="24"/>
          <w:lang w:val="en-US" w:eastAsia="zh-CN"/>
        </w:rPr>
        <w:t>08</w:t>
      </w:r>
      <w:r>
        <w:rPr>
          <w:rFonts w:hint="eastAsia" w:ascii="宋体" w:hAnsi="宋体" w:eastAsia="宋体" w:cs="宋体"/>
          <w:sz w:val="24"/>
          <w:lang w:val="zh-CN" w:eastAsia="zh-CN"/>
        </w:rPr>
        <w:t>时</w:t>
      </w:r>
      <w:r>
        <w:rPr>
          <w:rFonts w:hint="eastAsia" w:ascii="宋体" w:hAnsi="宋体" w:eastAsia="宋体" w:cs="宋体"/>
          <w:sz w:val="24"/>
          <w:lang w:val="en-US" w:eastAsia="zh-CN"/>
        </w:rPr>
        <w:t>30</w:t>
      </w:r>
      <w:r>
        <w:rPr>
          <w:rFonts w:hint="eastAsia" w:ascii="宋体" w:hAnsi="宋体" w:eastAsia="宋体" w:cs="宋体"/>
          <w:sz w:val="24"/>
          <w:lang w:val="zh-CN" w:eastAsia="zh-CN"/>
        </w:rPr>
        <w:t>分</w:t>
      </w:r>
      <w:r>
        <w:rPr>
          <w:rFonts w:hint="eastAsia" w:ascii="宋体" w:hAnsi="宋体" w:eastAsia="宋体" w:cs="宋体"/>
          <w:sz w:val="24"/>
          <w:lang w:eastAsia="zh-CN"/>
        </w:rPr>
        <w:t>（北京时间）前递交响应文件。</w:t>
      </w:r>
    </w:p>
    <w:p w14:paraId="57E24DD4">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一、项目基本情况</w:t>
      </w:r>
    </w:p>
    <w:p w14:paraId="59A8E578">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1.采购项目编号：</w:t>
      </w:r>
      <w:r>
        <w:rPr>
          <w:rFonts w:hint="eastAsia" w:ascii="宋体" w:hAnsi="宋体" w:eastAsia="宋体" w:cs="宋体"/>
          <w:sz w:val="24"/>
          <w:lang w:val="en-US" w:eastAsia="zh-CN"/>
        </w:rPr>
        <w:t xml:space="preserve">湖滨竞磋采购-2026-36  SGZ[2026]347-ZC250 </w:t>
      </w:r>
    </w:p>
    <w:p w14:paraId="6C1A4BBB">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2.采购项目名称：三门峡市湖滨区建设局三门峡市湖滨区城市社区专项体检及报告编制项目</w:t>
      </w:r>
    </w:p>
    <w:p w14:paraId="6E837145">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3.采购方式：竞争性磋商</w:t>
      </w:r>
    </w:p>
    <w:p w14:paraId="4A8C393D">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4.预算金额：</w:t>
      </w:r>
      <w:r>
        <w:rPr>
          <w:rFonts w:hint="eastAsia" w:ascii="宋体" w:hAnsi="宋体" w:eastAsia="宋体" w:cs="宋体"/>
          <w:sz w:val="24"/>
          <w:lang w:val="en-US" w:eastAsia="zh-CN"/>
        </w:rPr>
        <w:t>440000元</w:t>
      </w:r>
    </w:p>
    <w:p w14:paraId="54FCABC0">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最高限价：440000元</w:t>
      </w:r>
    </w:p>
    <w:tbl>
      <w:tblPr>
        <w:tblStyle w:val="10"/>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63"/>
        <w:gridCol w:w="2519"/>
        <w:gridCol w:w="1701"/>
        <w:gridCol w:w="1984"/>
      </w:tblGrid>
      <w:tr w14:paraId="1DBC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675" w:type="dxa"/>
            <w:noWrap w:val="0"/>
            <w:vAlign w:val="center"/>
          </w:tcPr>
          <w:p w14:paraId="720423A2">
            <w:pPr>
              <w:widowControl/>
              <w:spacing w:line="420" w:lineRule="exact"/>
              <w:jc w:val="left"/>
              <w:rPr>
                <w:rFonts w:hint="eastAsia" w:ascii="宋体" w:hAnsi="宋体" w:eastAsia="宋体" w:cs="宋体"/>
                <w:sz w:val="24"/>
              </w:rPr>
            </w:pPr>
            <w:r>
              <w:rPr>
                <w:rFonts w:hint="eastAsia" w:ascii="宋体" w:hAnsi="宋体" w:eastAsia="宋体" w:cs="宋体"/>
                <w:sz w:val="24"/>
              </w:rPr>
              <w:t>序号</w:t>
            </w:r>
          </w:p>
        </w:tc>
        <w:tc>
          <w:tcPr>
            <w:tcW w:w="1763" w:type="dxa"/>
            <w:noWrap w:val="0"/>
            <w:vAlign w:val="center"/>
          </w:tcPr>
          <w:p w14:paraId="7F0C0647">
            <w:pPr>
              <w:widowControl/>
              <w:spacing w:line="420" w:lineRule="exact"/>
              <w:jc w:val="left"/>
              <w:rPr>
                <w:rFonts w:hint="eastAsia" w:ascii="宋体" w:hAnsi="宋体" w:eastAsia="宋体" w:cs="宋体"/>
                <w:sz w:val="24"/>
              </w:rPr>
            </w:pPr>
            <w:r>
              <w:rPr>
                <w:rFonts w:hint="eastAsia" w:ascii="宋体" w:hAnsi="宋体" w:eastAsia="宋体" w:cs="宋体"/>
                <w:sz w:val="24"/>
              </w:rPr>
              <w:t>包号</w:t>
            </w:r>
          </w:p>
        </w:tc>
        <w:tc>
          <w:tcPr>
            <w:tcW w:w="2519" w:type="dxa"/>
            <w:noWrap w:val="0"/>
            <w:vAlign w:val="center"/>
          </w:tcPr>
          <w:p w14:paraId="08BF3A8C">
            <w:pPr>
              <w:widowControl/>
              <w:spacing w:line="420" w:lineRule="exact"/>
              <w:jc w:val="left"/>
              <w:rPr>
                <w:rFonts w:hint="eastAsia" w:ascii="宋体" w:hAnsi="宋体" w:eastAsia="宋体" w:cs="宋体"/>
                <w:sz w:val="24"/>
              </w:rPr>
            </w:pPr>
            <w:r>
              <w:rPr>
                <w:rFonts w:hint="eastAsia" w:ascii="宋体" w:hAnsi="宋体" w:eastAsia="宋体" w:cs="宋体"/>
                <w:sz w:val="24"/>
              </w:rPr>
              <w:t>包名称</w:t>
            </w:r>
          </w:p>
        </w:tc>
        <w:tc>
          <w:tcPr>
            <w:tcW w:w="1701" w:type="dxa"/>
            <w:noWrap w:val="0"/>
            <w:vAlign w:val="center"/>
          </w:tcPr>
          <w:p w14:paraId="3811A1BC">
            <w:pPr>
              <w:widowControl/>
              <w:spacing w:line="420" w:lineRule="exact"/>
              <w:jc w:val="left"/>
              <w:rPr>
                <w:rFonts w:hint="eastAsia" w:ascii="宋体" w:hAnsi="宋体" w:eastAsia="宋体" w:cs="宋体"/>
                <w:sz w:val="24"/>
              </w:rPr>
            </w:pPr>
            <w:r>
              <w:rPr>
                <w:rFonts w:hint="eastAsia" w:ascii="宋体" w:hAnsi="宋体" w:eastAsia="宋体" w:cs="宋体"/>
                <w:sz w:val="24"/>
              </w:rPr>
              <w:t>包预算(元)</w:t>
            </w:r>
          </w:p>
        </w:tc>
        <w:tc>
          <w:tcPr>
            <w:tcW w:w="1984" w:type="dxa"/>
            <w:noWrap w:val="0"/>
            <w:vAlign w:val="center"/>
          </w:tcPr>
          <w:p w14:paraId="78FF51F7">
            <w:pPr>
              <w:widowControl/>
              <w:spacing w:line="420" w:lineRule="exact"/>
              <w:jc w:val="left"/>
              <w:rPr>
                <w:rFonts w:hint="eastAsia" w:ascii="宋体" w:hAnsi="宋体" w:eastAsia="宋体" w:cs="宋体"/>
                <w:sz w:val="24"/>
              </w:rPr>
            </w:pPr>
            <w:r>
              <w:rPr>
                <w:rFonts w:hint="eastAsia" w:ascii="宋体" w:hAnsi="宋体" w:eastAsia="宋体" w:cs="宋体"/>
                <w:sz w:val="24"/>
              </w:rPr>
              <w:t>包最高限价（元）</w:t>
            </w:r>
          </w:p>
        </w:tc>
      </w:tr>
      <w:tr w14:paraId="6C9A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675" w:type="dxa"/>
            <w:noWrap w:val="0"/>
            <w:vAlign w:val="center"/>
          </w:tcPr>
          <w:p w14:paraId="487ECFDB">
            <w:pPr>
              <w:widowControl/>
              <w:spacing w:line="420" w:lineRule="exact"/>
              <w:jc w:val="left"/>
              <w:rPr>
                <w:rFonts w:hint="eastAsia" w:ascii="宋体" w:hAnsi="宋体" w:eastAsia="宋体" w:cs="宋体"/>
                <w:sz w:val="24"/>
              </w:rPr>
            </w:pPr>
            <w:r>
              <w:rPr>
                <w:rFonts w:hint="eastAsia" w:ascii="宋体" w:hAnsi="宋体" w:eastAsia="宋体" w:cs="宋体"/>
                <w:sz w:val="24"/>
              </w:rPr>
              <w:t>1</w:t>
            </w:r>
          </w:p>
        </w:tc>
        <w:tc>
          <w:tcPr>
            <w:tcW w:w="1763" w:type="dxa"/>
            <w:noWrap w:val="0"/>
            <w:vAlign w:val="center"/>
          </w:tcPr>
          <w:p w14:paraId="2EC821B9">
            <w:pPr>
              <w:widowControl/>
              <w:spacing w:line="420" w:lineRule="exact"/>
              <w:jc w:val="left"/>
              <w:rPr>
                <w:rFonts w:hint="default" w:ascii="宋体" w:hAnsi="宋体" w:eastAsia="宋体" w:cs="宋体"/>
                <w:sz w:val="24"/>
                <w:lang w:val="en-US"/>
              </w:rPr>
            </w:pPr>
            <w:r>
              <w:rPr>
                <w:rFonts w:hint="eastAsia" w:ascii="宋体" w:hAnsi="宋体" w:eastAsia="宋体" w:cs="宋体"/>
                <w:sz w:val="24"/>
                <w:lang w:val="en-US" w:eastAsia="zh-CN"/>
              </w:rPr>
              <w:t xml:space="preserve">湖滨竞磋采购-2026-36  SGZ[2026]347-ZC250 </w:t>
            </w:r>
          </w:p>
        </w:tc>
        <w:tc>
          <w:tcPr>
            <w:tcW w:w="2519" w:type="dxa"/>
            <w:noWrap w:val="0"/>
            <w:vAlign w:val="center"/>
          </w:tcPr>
          <w:p w14:paraId="2406D2CC">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三门峡市湖滨区建设局三门峡市湖滨区城市社区专项体检及报告编制项目</w:t>
            </w:r>
          </w:p>
        </w:tc>
        <w:tc>
          <w:tcPr>
            <w:tcW w:w="1701" w:type="dxa"/>
            <w:noWrap w:val="0"/>
            <w:vAlign w:val="center"/>
          </w:tcPr>
          <w:p w14:paraId="5F865480">
            <w:pPr>
              <w:widowControl/>
              <w:spacing w:line="420" w:lineRule="exact"/>
              <w:jc w:val="left"/>
              <w:rPr>
                <w:rFonts w:hint="eastAsia" w:ascii="宋体" w:hAnsi="宋体" w:eastAsia="宋体" w:cs="宋体"/>
                <w:sz w:val="24"/>
              </w:rPr>
            </w:pPr>
            <w:r>
              <w:rPr>
                <w:rFonts w:hint="eastAsia" w:ascii="宋体" w:hAnsi="宋体" w:eastAsia="宋体" w:cs="宋体"/>
                <w:sz w:val="24"/>
                <w:lang w:eastAsia="zh-CN"/>
              </w:rPr>
              <w:t>440000</w:t>
            </w:r>
          </w:p>
        </w:tc>
        <w:tc>
          <w:tcPr>
            <w:tcW w:w="1984" w:type="dxa"/>
            <w:noWrap w:val="0"/>
            <w:vAlign w:val="center"/>
          </w:tcPr>
          <w:p w14:paraId="04554556">
            <w:pPr>
              <w:widowControl/>
              <w:spacing w:line="420" w:lineRule="exact"/>
              <w:jc w:val="left"/>
              <w:rPr>
                <w:rFonts w:hint="eastAsia" w:ascii="宋体" w:hAnsi="宋体" w:eastAsia="宋体" w:cs="宋体"/>
                <w:sz w:val="24"/>
              </w:rPr>
            </w:pPr>
            <w:r>
              <w:rPr>
                <w:rFonts w:hint="eastAsia" w:ascii="宋体" w:hAnsi="宋体" w:eastAsia="宋体" w:cs="宋体"/>
                <w:sz w:val="24"/>
                <w:lang w:eastAsia="zh-CN"/>
              </w:rPr>
              <w:t>440000</w:t>
            </w:r>
          </w:p>
        </w:tc>
      </w:tr>
    </w:tbl>
    <w:p w14:paraId="07ADC360">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5.采购需求（包括但不限于标的名称、数量、简要技术要求等）</w:t>
      </w:r>
    </w:p>
    <w:p w14:paraId="67A2E36D">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eastAsia="zh-CN"/>
        </w:rPr>
        <w:t>5.1采购内容：</w:t>
      </w:r>
      <w:r>
        <w:rPr>
          <w:rFonts w:hint="eastAsia" w:ascii="宋体" w:hAnsi="宋体" w:eastAsia="宋体" w:cs="宋体"/>
          <w:sz w:val="24"/>
          <w:lang w:val="en-US" w:eastAsia="zh-CN"/>
        </w:rPr>
        <w:t>全面完成转区城市体检社区现场踏勘、数据采集、资料整理、居民问卷调研、问题摸排研判，建立完整、详实、可溯源的社区体检问题台账和需求台账。高质里完成《湖滨区城市社区专项体检报告》编制，完善附图、附表、问题整改建议、短板提升方案及更新项目谋划清单。</w:t>
      </w:r>
    </w:p>
    <w:p w14:paraId="46D28E75">
      <w:pPr>
        <w:widowControl/>
        <w:spacing w:line="420" w:lineRule="exact"/>
        <w:jc w:val="left"/>
        <w:rPr>
          <w:rFonts w:hint="default" w:ascii="宋体" w:hAnsi="宋体" w:eastAsia="宋体" w:cs="宋体"/>
          <w:sz w:val="24"/>
          <w:lang w:val="en-US" w:eastAsia="zh-CN"/>
        </w:rPr>
      </w:pPr>
      <w:r>
        <w:rPr>
          <w:rFonts w:hint="eastAsia" w:ascii="宋体" w:hAnsi="宋体" w:eastAsia="宋体" w:cs="宋体"/>
          <w:sz w:val="24"/>
          <w:lang w:val="en-US" w:eastAsia="zh-CN"/>
        </w:rPr>
        <w:t>5.2磋商范围：磋商文件、项目内容及服务需求包含的全部内容。</w:t>
      </w:r>
    </w:p>
    <w:p w14:paraId="0FFF49AF">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5.</w:t>
      </w:r>
      <w:r>
        <w:rPr>
          <w:rFonts w:hint="eastAsia" w:ascii="宋体" w:hAnsi="宋体" w:eastAsia="宋体" w:cs="宋体"/>
          <w:sz w:val="24"/>
          <w:lang w:val="en-US" w:eastAsia="zh-CN"/>
        </w:rPr>
        <w:t>3</w:t>
      </w:r>
      <w:r>
        <w:rPr>
          <w:rFonts w:hint="eastAsia" w:ascii="宋体" w:hAnsi="宋体" w:eastAsia="宋体" w:cs="宋体"/>
          <w:sz w:val="24"/>
          <w:lang w:eastAsia="zh-CN"/>
        </w:rPr>
        <w:t>资金来源：财政资金。</w:t>
      </w:r>
    </w:p>
    <w:p w14:paraId="63B5ED43">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5.</w:t>
      </w:r>
      <w:r>
        <w:rPr>
          <w:rFonts w:hint="eastAsia" w:ascii="宋体" w:hAnsi="宋体" w:eastAsia="宋体" w:cs="宋体"/>
          <w:sz w:val="24"/>
          <w:lang w:val="en-US" w:eastAsia="zh-CN"/>
        </w:rPr>
        <w:t>4</w:t>
      </w:r>
      <w:r>
        <w:rPr>
          <w:rFonts w:hint="eastAsia" w:ascii="宋体" w:hAnsi="宋体" w:eastAsia="宋体" w:cs="宋体"/>
          <w:sz w:val="24"/>
          <w:lang w:eastAsia="zh-CN"/>
        </w:rPr>
        <w:t>质量要求：</w:t>
      </w:r>
      <w:r>
        <w:rPr>
          <w:rFonts w:hint="eastAsia" w:ascii="宋体" w:hAnsi="宋体" w:eastAsia="宋体" w:cs="宋体"/>
          <w:sz w:val="24"/>
          <w:lang w:val="en-US" w:eastAsia="zh-CN"/>
        </w:rPr>
        <w:t>符合国家现行规范标准及行业最新规定，并通过相关部门审查。</w:t>
      </w:r>
    </w:p>
    <w:p w14:paraId="4DD2534F">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5.</w:t>
      </w:r>
      <w:r>
        <w:rPr>
          <w:rFonts w:hint="eastAsia" w:ascii="宋体" w:hAnsi="宋体" w:eastAsia="宋体" w:cs="宋体"/>
          <w:sz w:val="24"/>
          <w:lang w:val="en-US" w:eastAsia="zh-CN"/>
        </w:rPr>
        <w:t>5服务期限：自合同签订之日起，至本项目城市体检全套成果通过省级主管部门评审并完成资料归档之日止。</w:t>
      </w:r>
    </w:p>
    <w:p w14:paraId="38EA63CA">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5.</w:t>
      </w:r>
      <w:r>
        <w:rPr>
          <w:rFonts w:hint="eastAsia" w:ascii="宋体" w:hAnsi="宋体" w:eastAsia="宋体" w:cs="宋体"/>
          <w:sz w:val="24"/>
          <w:lang w:val="en-US" w:eastAsia="zh-CN"/>
        </w:rPr>
        <w:t>6服务地点：采购人指定地点。</w:t>
      </w:r>
    </w:p>
    <w:p w14:paraId="599CF50A">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 xml:space="preserve">6、合同履行期限：同服务期限。 </w:t>
      </w:r>
    </w:p>
    <w:p w14:paraId="61F5EECD">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 xml:space="preserve">7、本项目是否接受联合体投标：否 </w:t>
      </w:r>
    </w:p>
    <w:p w14:paraId="678C12E2">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8、是否接受进口产品：否</w:t>
      </w:r>
    </w:p>
    <w:p w14:paraId="4D9A5E6B">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9、是否专门面向中小企业：是</w:t>
      </w:r>
    </w:p>
    <w:p w14:paraId="25B69A11">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eastAsia="zh-CN"/>
        </w:rPr>
        <w:t>二、申请人资格要求：</w:t>
      </w:r>
    </w:p>
    <w:p w14:paraId="39FBEF57">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1、符合《中华人民共和国政府采购法》第二十二条之规定：</w:t>
      </w:r>
    </w:p>
    <w:p w14:paraId="1F5C6B29">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2、落实政府采购政策满足的资格要求：</w:t>
      </w:r>
    </w:p>
    <w:p w14:paraId="7CCF68AC">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本项目专门面向中小微企业采购项目,执行促进中小企业（监狱企业、残疾人福利性企业）发展等政府采购政策。</w:t>
      </w:r>
    </w:p>
    <w:p w14:paraId="6D60B9D7">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3、本项目的特定资格要求：</w:t>
      </w:r>
    </w:p>
    <w:p w14:paraId="2F855847">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3.1 注册于中华人民共和国境内，具有独立承担民事责任能力，提供合法有效的营业执照（或事业单位法人证书）；</w:t>
      </w:r>
    </w:p>
    <w:p w14:paraId="764953E1">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3.2 投标人须具有城乡规划（国土空间规划）编制乙级及以上资质。</w:t>
      </w:r>
    </w:p>
    <w:p w14:paraId="337D3CEE">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3.3 项目负责人须具备注册城乡规划师执业资格，且与投标企业存在合法有效的劳动合同关系（提供劳动合同、参加社会养老保险的缴费证明）。</w:t>
      </w:r>
    </w:p>
    <w:p w14:paraId="53DF2977">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3.4 投标人出具“中国裁判文书网”网站 （https://wenshu.court.gov.cn/）近三年无行贿犯罪查询记录或承诺书（查询/承诺对象：企业、法定代表人、拟派项目负责人）；</w:t>
      </w:r>
    </w:p>
    <w:p w14:paraId="1C8D59FD">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 xml:space="preserve">3.5 投标人出具本企业近三年无商业贿赂及无不正当竞争行为的承诺书（承诺对象：企业、法定代表人、项目负责人）； </w:t>
      </w:r>
    </w:p>
    <w:p w14:paraId="3B72C5B4">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3.6 根据《关于在政府采购活动中查询及使用信用记录有关问题的通知》（财库【2016】125号和豫财购【2016】15号的规定），对列入“信用中国”www.creditchina.gov.cn网站的“失信被执行人”、“重大税收违法失信主体”、“政府采购严重违法失信行为记录名单”及“中国政府采购网”www.ccgp.gov.cn网站的“政府采购严重违法失信行为信息记录”的，拒绝参与本项目采购活动〔查询渠道：“中国执行信息公开网”网站（http://zxgk.court.gov.cn/shixin）“信用中国”网站（www.creditchina.gov.cn）、中国政府采购网（www.ccgp.gov.cn），提供网站的查询信息截图，信用报告，查询时间自公告发布之日起，开标截止时间止〕；</w:t>
      </w:r>
    </w:p>
    <w:p w14:paraId="4726B467">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3.7 法定代表人为同一人或者存在直接控股、管理关系的不同供应商，不得参加同一合同项下的政府采购活动（提供“国家企业信用信息公示系统”网站查询结果，查询结果应包含公司基本信息、股东及出资信息，查询日期自公告发布之日起，开标截止时间止）；</w:t>
      </w:r>
    </w:p>
    <w:p w14:paraId="3C1AA2B4">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3.8 供应商与采购人、招标代理机构及其附属机构没有行政或经济关联；</w:t>
      </w:r>
    </w:p>
    <w:p w14:paraId="77012292">
      <w:pPr>
        <w:widowControl/>
        <w:spacing w:line="420" w:lineRule="exact"/>
        <w:jc w:val="left"/>
        <w:rPr>
          <w:rFonts w:hint="eastAsia" w:ascii="宋体" w:hAnsi="宋体" w:eastAsia="宋体" w:cs="宋体"/>
          <w:sz w:val="24"/>
          <w:lang w:eastAsia="zh-CN"/>
        </w:rPr>
      </w:pPr>
      <w:r>
        <w:rPr>
          <w:rFonts w:hint="eastAsia" w:ascii="宋体" w:hAnsi="宋体" w:eastAsia="宋体" w:cs="宋体"/>
          <w:sz w:val="24"/>
          <w:lang w:val="en-US" w:eastAsia="zh-CN"/>
        </w:rPr>
        <w:t>3.9本项目不接受联合体投标。</w:t>
      </w:r>
    </w:p>
    <w:p w14:paraId="415C970D">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三、获取采购文件</w:t>
      </w:r>
    </w:p>
    <w:p w14:paraId="6CBE79CD">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1.时间：2026年10月22日 至 2026年11月02日，每天上午00:00至12:00，下午12:00至23:59</w:t>
      </w:r>
    </w:p>
    <w:p w14:paraId="05831A2E">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2.地点：三门峡市公共资源交易中心</w:t>
      </w:r>
      <w:r>
        <w:rPr>
          <w:rFonts w:hint="eastAsia" w:ascii="宋体" w:hAnsi="宋体" w:eastAsia="宋体" w:cs="宋体"/>
          <w:sz w:val="24"/>
        </w:rPr>
        <w:t>（</w:t>
      </w:r>
      <w:r>
        <w:rPr>
          <w:rFonts w:hint="eastAsia" w:ascii="宋体" w:hAnsi="宋体" w:eastAsia="宋体" w:cs="宋体"/>
          <w:sz w:val="24"/>
          <w:lang w:val="zh-CN" w:eastAsia="zh-CN"/>
        </w:rPr>
        <w:t>网址：http://gzjy.smx.gov.cn/</w:t>
      </w:r>
      <w:r>
        <w:rPr>
          <w:rFonts w:hint="eastAsia" w:ascii="宋体" w:hAnsi="宋体" w:eastAsia="宋体" w:cs="宋体"/>
          <w:sz w:val="24"/>
        </w:rPr>
        <w:t>）</w:t>
      </w:r>
    </w:p>
    <w:p w14:paraId="5E63638C">
      <w:pPr>
        <w:widowControl/>
        <w:spacing w:line="420" w:lineRule="exact"/>
        <w:jc w:val="left"/>
        <w:rPr>
          <w:rFonts w:hint="eastAsia" w:ascii="宋体" w:hAnsi="宋体" w:eastAsia="宋体" w:cs="宋体"/>
          <w:sz w:val="24"/>
        </w:rPr>
      </w:pPr>
      <w:r>
        <w:rPr>
          <w:rFonts w:hint="eastAsia" w:ascii="宋体" w:hAnsi="宋体" w:eastAsia="宋体" w:cs="宋体"/>
          <w:sz w:val="24"/>
          <w:lang w:val="zh-CN" w:eastAsia="zh-CN"/>
        </w:rPr>
        <w:t>3.方式：</w:t>
      </w:r>
      <w:r>
        <w:rPr>
          <w:rFonts w:hint="eastAsia" w:ascii="宋体" w:hAnsi="宋体" w:eastAsia="宋体" w:cs="宋体"/>
          <w:sz w:val="24"/>
        </w:rPr>
        <w:t>供应商凭CA数字证书通过三门峡市公共资源交易中心网（网址：http://gzjy.smx.gov.cn/），点击交易平台选择“市场主体登录”，登陆系统后，点击采购业务-业务管理-竞争性磋商文件领取菜单-点击领取按钮-领取.smxzf格式的电子竞争性磋商文件。</w:t>
      </w:r>
    </w:p>
    <w:p w14:paraId="6B79AF75">
      <w:pPr>
        <w:widowControl/>
        <w:spacing w:line="420" w:lineRule="exact"/>
        <w:jc w:val="left"/>
        <w:rPr>
          <w:rFonts w:hint="eastAsia" w:ascii="宋体" w:hAnsi="宋体" w:eastAsia="宋体" w:cs="宋体"/>
          <w:sz w:val="24"/>
        </w:rPr>
      </w:pPr>
      <w:r>
        <w:rPr>
          <w:rFonts w:hint="eastAsia" w:ascii="宋体" w:hAnsi="宋体" w:eastAsia="宋体" w:cs="宋体"/>
          <w:sz w:val="24"/>
        </w:rPr>
        <w:t>具体操作请查看以下链接：</w:t>
      </w:r>
    </w:p>
    <w:p w14:paraId="64459001">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三门峡市公共资源交易平台操作手册：http://gzjy.smx.gov.cn/fwzn/004003/20200325/2b5a3a5a-f987-405c-993f-88f43e1d1ac3.html</w:t>
      </w:r>
    </w:p>
    <w:p w14:paraId="01797970">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办理CA证书：</w:t>
      </w:r>
      <w:r>
        <w:rPr>
          <w:rFonts w:hint="eastAsia" w:ascii="宋体" w:hAnsi="宋体" w:eastAsia="宋体" w:cs="宋体"/>
          <w:sz w:val="24"/>
        </w:rPr>
        <w:t>http://gzjy.smx.gov.cn/bzzx/008001/20231102/4defc9b5-408e-47f2-9e9f-1f376a06ee1f.html</w:t>
      </w:r>
    </w:p>
    <w:p w14:paraId="47B73A61">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4.售价：0元</w:t>
      </w:r>
    </w:p>
    <w:p w14:paraId="7F0308D8">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四、响应文件提交</w:t>
      </w:r>
    </w:p>
    <w:p w14:paraId="69D2EC3C">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1.</w:t>
      </w:r>
      <w:bookmarkStart w:id="8" w:name="OLE_LINK5"/>
      <w:r>
        <w:rPr>
          <w:rFonts w:hint="eastAsia" w:ascii="宋体" w:hAnsi="宋体" w:eastAsia="宋体" w:cs="宋体"/>
          <w:sz w:val="24"/>
          <w:lang w:val="en-US" w:eastAsia="zh-CN"/>
        </w:rPr>
        <w:t>时间：2026年11月03日08时30分（北京时间）</w:t>
      </w:r>
    </w:p>
    <w:bookmarkEnd w:id="8"/>
    <w:p w14:paraId="69D8F3D1">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2.地点：</w:t>
      </w:r>
      <w:bookmarkStart w:id="9" w:name="OLE_LINK6"/>
      <w:r>
        <w:rPr>
          <w:rFonts w:hint="eastAsia" w:ascii="宋体" w:hAnsi="宋体" w:eastAsia="宋体" w:cs="宋体"/>
          <w:sz w:val="24"/>
          <w:lang w:eastAsia="zh-CN"/>
        </w:rPr>
        <w:t>加密电子竞争性磋商响应文件须在磋商截止时间前通过三门峡市公共资源交易中心电子交易平台加密上传。</w:t>
      </w:r>
      <w:r>
        <w:rPr>
          <w:rFonts w:hint="eastAsia" w:ascii="宋体" w:hAnsi="宋体" w:eastAsia="宋体" w:cs="宋体"/>
          <w:sz w:val="24"/>
          <w:lang w:val="en-US" w:eastAsia="zh-CN"/>
        </w:rPr>
        <w:t>注：</w:t>
      </w:r>
      <w:r>
        <w:rPr>
          <w:rFonts w:hint="eastAsia" w:ascii="宋体" w:hAnsi="宋体" w:eastAsia="宋体" w:cs="宋体"/>
          <w:sz w:val="24"/>
          <w:lang w:eastAsia="zh-CN"/>
        </w:rPr>
        <w:t>逾期上传递交响应文件的，</w:t>
      </w:r>
      <w:r>
        <w:rPr>
          <w:rFonts w:hint="eastAsia" w:ascii="宋体" w:hAnsi="宋体" w:eastAsia="宋体" w:cs="宋体"/>
          <w:sz w:val="24"/>
        </w:rPr>
        <w:t>采购人不予受理。</w:t>
      </w:r>
    </w:p>
    <w:bookmarkEnd w:id="9"/>
    <w:p w14:paraId="20772E28">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五、响应文件开启</w:t>
      </w:r>
    </w:p>
    <w:p w14:paraId="16ACC0DB">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1.时间：2026年11月03日08时30分（北京时间）</w:t>
      </w:r>
    </w:p>
    <w:p w14:paraId="2C804706">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2.地点：三门峡市公共资源交易中心五楼开标区</w:t>
      </w:r>
    </w:p>
    <w:p w14:paraId="62989990">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六、发布公告的媒介及公告期限</w:t>
      </w:r>
    </w:p>
    <w:p w14:paraId="15B8DC6C">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本次招标公告在《河南省政府采购网》、《中国采购与招标网》、《三门峡公共资源交易中心网》上发布，招标公告期限为三个工作日 。</w:t>
      </w:r>
    </w:p>
    <w:p w14:paraId="765C36F6">
      <w:pPr>
        <w:widowControl/>
        <w:spacing w:line="420" w:lineRule="exact"/>
        <w:jc w:val="left"/>
        <w:rPr>
          <w:rFonts w:hint="eastAsia" w:ascii="宋体" w:hAnsi="宋体" w:eastAsia="宋体" w:cs="宋体"/>
          <w:sz w:val="24"/>
          <w:lang w:val="zh-CN" w:eastAsia="zh-CN"/>
        </w:rPr>
      </w:pPr>
      <w:r>
        <w:rPr>
          <w:rFonts w:hint="eastAsia" w:ascii="宋体" w:hAnsi="宋体" w:eastAsia="宋体" w:cs="宋体"/>
          <w:sz w:val="24"/>
          <w:lang w:val="zh-CN" w:eastAsia="zh-CN"/>
        </w:rPr>
        <w:t>七、其他补充事宜</w:t>
      </w:r>
    </w:p>
    <w:p w14:paraId="05DC9057">
      <w:pPr>
        <w:widowControl/>
        <w:spacing w:line="420" w:lineRule="exact"/>
        <w:ind w:firstLine="480" w:firstLineChars="200"/>
        <w:jc w:val="left"/>
        <w:rPr>
          <w:rFonts w:hint="eastAsia" w:ascii="宋体" w:hAnsi="宋体" w:eastAsia="宋体" w:cs="宋体"/>
          <w:sz w:val="24"/>
          <w:lang w:val="zh-CN" w:eastAsia="zh-CN"/>
        </w:rPr>
      </w:pPr>
      <w:r>
        <w:rPr>
          <w:rFonts w:hint="eastAsia" w:ascii="宋体" w:hAnsi="宋体" w:eastAsia="宋体" w:cs="宋体"/>
          <w:sz w:val="24"/>
          <w:lang w:val="zh-CN" w:eastAsia="zh-CN"/>
        </w:rPr>
        <w:t>1.本项目为不见面开标项目，开标当日，供应商无需到开标现场参加开标会议，供应商应当在投标截止时间前，登陆不见面开标大厅选择登陆三门峡市公共资源电子招投标系统进行登陆（网址为</w:t>
      </w:r>
      <w:r>
        <w:rPr>
          <w:rFonts w:hint="eastAsia" w:ascii="宋体" w:hAnsi="宋体" w:eastAsia="宋体" w:cs="宋体"/>
          <w:sz w:val="24"/>
        </w:rPr>
        <w:t>http://120.194.249.36:10094/BidOpening/bidopeninghallaction/hall/login</w:t>
      </w:r>
      <w:r>
        <w:rPr>
          <w:rFonts w:hint="eastAsia" w:ascii="宋体" w:hAnsi="宋体" w:eastAsia="宋体" w:cs="宋体"/>
          <w:sz w:val="24"/>
          <w:lang w:val="zh-CN" w:eastAsia="zh-CN"/>
        </w:rPr>
        <w:t>）,在线准时参加开标活动并进行磋商响应文件解密等。每位供应商的解密时间为开标时间起30分钟内完成。因供应商原因未能解密、解密失败或解密超时的将被拒绝。</w:t>
      </w:r>
      <w:r>
        <w:rPr>
          <w:rFonts w:hint="eastAsia" w:ascii="宋体" w:hAnsi="宋体" w:eastAsia="宋体" w:cs="宋体"/>
          <w:sz w:val="24"/>
          <w:lang w:val="zh-CN" w:eastAsia="zh-CN"/>
        </w:rPr>
        <w:br w:type="textWrapping"/>
      </w:r>
      <w:r>
        <w:rPr>
          <w:rFonts w:hint="eastAsia" w:ascii="宋体" w:hAnsi="宋体" w:eastAsia="宋体" w:cs="宋体"/>
          <w:sz w:val="24"/>
          <w:lang w:val="en-US" w:eastAsia="zh-CN"/>
        </w:rPr>
        <w:t xml:space="preserve">  </w:t>
      </w:r>
      <w:r>
        <w:rPr>
          <w:rFonts w:hint="eastAsia" w:ascii="宋体" w:hAnsi="宋体" w:eastAsia="宋体" w:cs="宋体"/>
          <w:sz w:val="24"/>
          <w:lang w:val="zh-CN" w:eastAsia="zh-CN"/>
        </w:rPr>
        <w:t>2.本项目实行资格后审，审查内容以响应文件为准，其资料真实性由供应商自行承担。</w:t>
      </w:r>
      <w:r>
        <w:rPr>
          <w:rFonts w:hint="eastAsia" w:ascii="宋体" w:hAnsi="宋体" w:eastAsia="宋体" w:cs="宋体"/>
          <w:sz w:val="24"/>
          <w:lang w:val="zh-CN" w:eastAsia="zh-CN"/>
        </w:rPr>
        <w:br w:type="textWrapping"/>
      </w:r>
      <w:r>
        <w:rPr>
          <w:rFonts w:hint="eastAsia" w:ascii="宋体" w:hAnsi="宋体" w:eastAsia="宋体" w:cs="宋体"/>
          <w:sz w:val="24"/>
          <w:lang w:val="zh-CN" w:eastAsia="zh-CN"/>
        </w:rPr>
        <w:t>3.评审打分部分按照100分制原则进行，涉及到资格审查、企业业绩等计分部分时，以供应商自行上传到响应文件中的各类相应内容为准。</w:t>
      </w:r>
      <w:r>
        <w:rPr>
          <w:rFonts w:hint="eastAsia" w:ascii="宋体" w:hAnsi="宋体" w:eastAsia="宋体" w:cs="宋体"/>
          <w:sz w:val="24"/>
          <w:lang w:val="zh-CN" w:eastAsia="zh-CN"/>
        </w:rPr>
        <w:br w:type="textWrapping"/>
      </w:r>
      <w:r>
        <w:rPr>
          <w:rFonts w:hint="eastAsia" w:ascii="宋体" w:hAnsi="宋体" w:eastAsia="宋体" w:cs="宋体"/>
          <w:sz w:val="24"/>
          <w:lang w:val="zh-CN" w:eastAsia="zh-CN"/>
        </w:rPr>
        <w:t>4.在竞争性磋商文件中要求供应商按照磋商文件格式进行响应文件编制，在响应文件编制时，应明确将供应商企业基本情况、业绩情况编入响应文件中，便于进行资格审查及评标打分。</w:t>
      </w:r>
      <w:r>
        <w:rPr>
          <w:rFonts w:hint="eastAsia" w:ascii="宋体" w:hAnsi="宋体" w:eastAsia="宋体" w:cs="宋体"/>
          <w:sz w:val="24"/>
          <w:lang w:val="zh-CN" w:eastAsia="zh-CN"/>
        </w:rPr>
        <w:br w:type="textWrapping"/>
      </w:r>
      <w:r>
        <w:rPr>
          <w:rFonts w:hint="eastAsia" w:ascii="宋体" w:hAnsi="宋体" w:eastAsia="宋体" w:cs="宋体"/>
          <w:sz w:val="24"/>
          <w:lang w:val="zh-CN" w:eastAsia="zh-CN"/>
        </w:rPr>
        <w:t>5.本项目为电子化、无纸化交易项目，开标时不再接受任何纸质资料，为保证您能投标成功，请需仔细阅读竞争性磋商文件和三门峡市公共资源交易中心官网业务办理指南。</w:t>
      </w:r>
      <w:r>
        <w:rPr>
          <w:rFonts w:hint="eastAsia" w:ascii="宋体" w:hAnsi="宋体" w:eastAsia="宋体" w:cs="宋体"/>
          <w:sz w:val="24"/>
          <w:lang w:val="zh-CN" w:eastAsia="zh-CN"/>
        </w:rPr>
        <w:br w:type="textWrapping"/>
      </w:r>
      <w:r>
        <w:rPr>
          <w:rFonts w:hint="eastAsia" w:ascii="宋体" w:hAnsi="宋体" w:eastAsia="宋体" w:cs="宋体"/>
          <w:sz w:val="24"/>
          <w:lang w:val="zh-CN" w:eastAsia="zh-CN"/>
        </w:rPr>
        <w:t>6.根据《河南省财政厅关于优化政府采购营商环境有关问题的通知》（豫财购【2019】4号）第6条的规定，磋商保证金不再收取。</w:t>
      </w:r>
      <w:r>
        <w:rPr>
          <w:rFonts w:hint="eastAsia" w:ascii="宋体" w:hAnsi="宋体" w:eastAsia="宋体" w:cs="宋体"/>
          <w:sz w:val="24"/>
          <w:lang w:val="zh-CN" w:eastAsia="zh-CN"/>
        </w:rPr>
        <w:br w:type="textWrapping"/>
      </w:r>
      <w:r>
        <w:rPr>
          <w:rFonts w:hint="eastAsia" w:ascii="宋体" w:hAnsi="宋体" w:eastAsia="宋体" w:cs="宋体"/>
          <w:sz w:val="24"/>
          <w:lang w:val="zh-CN" w:eastAsia="zh-CN"/>
        </w:rPr>
        <w:t>7.我单位（采购人）严格按三财购【2021】9号文要求的时限发布成交结果公告，发出成交通知书，签订采购合同，上传采购合同。</w:t>
      </w:r>
      <w:r>
        <w:rPr>
          <w:rFonts w:hint="eastAsia" w:ascii="宋体" w:hAnsi="宋体" w:eastAsia="宋体" w:cs="宋体"/>
          <w:sz w:val="24"/>
          <w:lang w:val="zh-CN" w:eastAsia="zh-CN"/>
        </w:rPr>
        <w:br w:type="textWrapping"/>
      </w:r>
      <w:r>
        <w:rPr>
          <w:rFonts w:hint="eastAsia" w:ascii="宋体" w:hAnsi="宋体" w:eastAsia="宋体" w:cs="宋体"/>
          <w:sz w:val="24"/>
          <w:lang w:val="zh-CN" w:eastAsia="zh-CN"/>
        </w:rPr>
        <w:t xml:space="preserve">   八、凡对本次招标提出询问，请按以下方式联系：</w:t>
      </w:r>
    </w:p>
    <w:p w14:paraId="313BF50D">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1.采购人信息：</w:t>
      </w:r>
    </w:p>
    <w:p w14:paraId="27FD2768">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采购人：三门峡市湖滨区建设局</w:t>
      </w:r>
    </w:p>
    <w:p w14:paraId="28354770">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 xml:space="preserve">地址：三门峡市湖滨区科技创新服务大厦A座8楼  </w:t>
      </w:r>
    </w:p>
    <w:p w14:paraId="0E9B6423">
      <w:pPr>
        <w:widowControl/>
        <w:spacing w:line="420" w:lineRule="exact"/>
        <w:jc w:val="left"/>
        <w:rPr>
          <w:rFonts w:hint="default" w:ascii="宋体" w:hAnsi="宋体" w:eastAsia="宋体" w:cs="宋体"/>
          <w:sz w:val="24"/>
          <w:lang w:val="en-US" w:eastAsia="zh-CN"/>
        </w:rPr>
      </w:pPr>
      <w:r>
        <w:rPr>
          <w:rFonts w:hint="eastAsia" w:ascii="宋体" w:hAnsi="宋体" w:eastAsia="宋体" w:cs="宋体"/>
          <w:sz w:val="24"/>
          <w:lang w:val="en-US" w:eastAsia="zh-CN"/>
        </w:rPr>
        <w:t>联 系 人：赵希  18625898833</w:t>
      </w:r>
    </w:p>
    <w:p w14:paraId="7FD7C4A4">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监督单位信息：</w:t>
      </w:r>
    </w:p>
    <w:p w14:paraId="768514F2">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名称：三门峡市湖滨区政府采购管理办公室</w:t>
      </w:r>
    </w:p>
    <w:p w14:paraId="111F098B">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联系方式：0398-2957328</w:t>
      </w:r>
    </w:p>
    <w:p w14:paraId="167A40E8">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 xml:space="preserve">3.采购代理机构：中赋安工程项目管理(四川)有限公司    </w:t>
      </w:r>
    </w:p>
    <w:p w14:paraId="6945A7F6">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地    址：四川省成都市金牛区一品天下大街399号1栋5层143号</w:t>
      </w:r>
    </w:p>
    <w:p w14:paraId="42414D9E">
      <w:pPr>
        <w:widowControl/>
        <w:spacing w:line="420" w:lineRule="exact"/>
        <w:jc w:val="left"/>
        <w:rPr>
          <w:rFonts w:hint="eastAsia" w:ascii="宋体" w:hAnsi="宋体" w:eastAsia="宋体" w:cs="宋体"/>
          <w:sz w:val="24"/>
          <w:lang w:val="en-US" w:eastAsia="zh-CN"/>
        </w:rPr>
      </w:pPr>
      <w:r>
        <w:rPr>
          <w:rFonts w:hint="eastAsia" w:ascii="宋体" w:hAnsi="宋体" w:eastAsia="宋体" w:cs="宋体"/>
          <w:sz w:val="24"/>
          <w:lang w:val="en-US" w:eastAsia="zh-CN"/>
        </w:rPr>
        <w:t>联 系 人：刘广华   18639784773</w:t>
      </w:r>
    </w:p>
    <w:p w14:paraId="22E0CA6F">
      <w:pPr>
        <w:spacing w:line="360" w:lineRule="auto"/>
        <w:jc w:val="center"/>
        <w:outlineLvl w:val="0"/>
        <w:rPr>
          <w:rFonts w:ascii="宋体" w:hAnsi="宋体"/>
          <w:b/>
          <w:bCs/>
          <w:sz w:val="36"/>
          <w:szCs w:val="36"/>
        </w:rPr>
      </w:pPr>
      <w:r>
        <w:rPr>
          <w:rFonts w:ascii="宋体" w:hAnsi="宋体"/>
          <w:b/>
          <w:bCs/>
          <w:sz w:val="36"/>
          <w:szCs w:val="36"/>
        </w:rPr>
        <w:br w:type="page"/>
      </w:r>
      <w:bookmarkStart w:id="10" w:name="_Toc24661"/>
      <w:r>
        <w:rPr>
          <w:rFonts w:hint="eastAsia" w:ascii="宋体" w:hAnsi="宋体"/>
          <w:b/>
          <w:bCs/>
          <w:sz w:val="36"/>
          <w:szCs w:val="36"/>
        </w:rPr>
        <w:t>第二章 供应商须知</w:t>
      </w:r>
      <w:bookmarkEnd w:id="5"/>
      <w:bookmarkEnd w:id="6"/>
      <w:bookmarkEnd w:id="7"/>
      <w:bookmarkEnd w:id="10"/>
    </w:p>
    <w:p w14:paraId="02C8F9E6">
      <w:pPr>
        <w:jc w:val="center"/>
        <w:outlineLvl w:val="1"/>
        <w:rPr>
          <w:rFonts w:ascii="宋体" w:hAnsi="宋体" w:cs="宋体"/>
          <w:b/>
          <w:bCs/>
          <w:sz w:val="24"/>
        </w:rPr>
      </w:pPr>
      <w:bookmarkStart w:id="11" w:name="_Toc19812"/>
      <w:r>
        <w:rPr>
          <w:rFonts w:hint="eastAsia" w:ascii="宋体" w:hAnsi="宋体" w:cs="宋体"/>
          <w:b/>
          <w:bCs/>
          <w:sz w:val="24"/>
        </w:rPr>
        <w:t>供应商须知前附表</w:t>
      </w:r>
      <w:bookmarkEnd w:id="11"/>
    </w:p>
    <w:tbl>
      <w:tblPr>
        <w:tblStyle w:val="10"/>
        <w:tblW w:w="9773" w:type="dxa"/>
        <w:jc w:val="center"/>
        <w:tblLayout w:type="fixed"/>
        <w:tblCellMar>
          <w:top w:w="0" w:type="dxa"/>
          <w:left w:w="108" w:type="dxa"/>
          <w:bottom w:w="0" w:type="dxa"/>
          <w:right w:w="108" w:type="dxa"/>
        </w:tblCellMar>
      </w:tblPr>
      <w:tblGrid>
        <w:gridCol w:w="987"/>
        <w:gridCol w:w="2657"/>
        <w:gridCol w:w="6129"/>
      </w:tblGrid>
      <w:tr w14:paraId="35329858">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CEA0DD8">
            <w:pPr>
              <w:spacing w:line="360" w:lineRule="auto"/>
              <w:jc w:val="center"/>
              <w:rPr>
                <w:rFonts w:ascii="宋体" w:hAnsi="宋体" w:cs="宋体"/>
                <w:b/>
                <w:sz w:val="24"/>
              </w:rPr>
            </w:pPr>
            <w:r>
              <w:rPr>
                <w:rFonts w:hint="eastAsia" w:ascii="宋体" w:hAnsi="宋体" w:cs="宋体"/>
                <w:b/>
                <w:sz w:val="24"/>
              </w:rPr>
              <w:t>条款号</w:t>
            </w:r>
          </w:p>
        </w:tc>
        <w:tc>
          <w:tcPr>
            <w:tcW w:w="2657" w:type="dxa"/>
            <w:tcBorders>
              <w:top w:val="single" w:color="auto" w:sz="4" w:space="0"/>
              <w:left w:val="single" w:color="auto" w:sz="4" w:space="0"/>
              <w:bottom w:val="single" w:color="auto" w:sz="4" w:space="0"/>
              <w:right w:val="single" w:color="auto" w:sz="4" w:space="0"/>
            </w:tcBorders>
            <w:vAlign w:val="center"/>
          </w:tcPr>
          <w:p w14:paraId="77BF7C8F">
            <w:pPr>
              <w:spacing w:line="360" w:lineRule="auto"/>
              <w:jc w:val="center"/>
              <w:rPr>
                <w:rFonts w:ascii="宋体" w:hAnsi="宋体" w:cs="宋体"/>
                <w:b/>
                <w:sz w:val="24"/>
              </w:rPr>
            </w:pPr>
            <w:r>
              <w:rPr>
                <w:rFonts w:hint="eastAsia" w:ascii="宋体" w:hAnsi="宋体" w:cs="宋体"/>
                <w:b/>
                <w:sz w:val="24"/>
              </w:rPr>
              <w:t>条  款  名  称</w:t>
            </w:r>
          </w:p>
        </w:tc>
        <w:tc>
          <w:tcPr>
            <w:tcW w:w="6129" w:type="dxa"/>
            <w:tcBorders>
              <w:top w:val="single" w:color="auto" w:sz="4" w:space="0"/>
              <w:left w:val="single" w:color="auto" w:sz="4" w:space="0"/>
              <w:bottom w:val="single" w:color="auto" w:sz="4" w:space="0"/>
              <w:right w:val="single" w:color="auto" w:sz="4" w:space="0"/>
            </w:tcBorders>
            <w:vAlign w:val="center"/>
          </w:tcPr>
          <w:p w14:paraId="337883C2">
            <w:pPr>
              <w:spacing w:line="360" w:lineRule="auto"/>
              <w:jc w:val="center"/>
              <w:rPr>
                <w:rFonts w:ascii="宋体" w:hAnsi="宋体" w:cs="宋体"/>
                <w:b/>
                <w:sz w:val="24"/>
              </w:rPr>
            </w:pPr>
            <w:r>
              <w:rPr>
                <w:rFonts w:hint="eastAsia" w:ascii="宋体" w:hAnsi="宋体" w:cs="宋体"/>
                <w:b/>
                <w:sz w:val="24"/>
              </w:rPr>
              <w:t>编  列  内  容</w:t>
            </w:r>
          </w:p>
        </w:tc>
      </w:tr>
      <w:tr w14:paraId="24A0B9F9">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3DED19A">
            <w:pPr>
              <w:spacing w:line="450" w:lineRule="exact"/>
              <w:jc w:val="center"/>
              <w:rPr>
                <w:rFonts w:ascii="宋体" w:hAnsi="宋体" w:cs="宋体"/>
                <w:sz w:val="24"/>
              </w:rPr>
            </w:pPr>
            <w:r>
              <w:rPr>
                <w:rFonts w:hint="eastAsia" w:ascii="宋体" w:hAnsi="宋体" w:cs="宋体"/>
                <w:sz w:val="24"/>
              </w:rPr>
              <w:t>1</w:t>
            </w:r>
          </w:p>
        </w:tc>
        <w:tc>
          <w:tcPr>
            <w:tcW w:w="2657" w:type="dxa"/>
            <w:tcBorders>
              <w:top w:val="single" w:color="auto" w:sz="4" w:space="0"/>
              <w:left w:val="single" w:color="auto" w:sz="4" w:space="0"/>
              <w:bottom w:val="single" w:color="auto" w:sz="4" w:space="0"/>
              <w:right w:val="single" w:color="auto" w:sz="4" w:space="0"/>
            </w:tcBorders>
            <w:vAlign w:val="center"/>
          </w:tcPr>
          <w:p w14:paraId="5FCE52AC">
            <w:pPr>
              <w:spacing w:line="450" w:lineRule="exact"/>
              <w:jc w:val="center"/>
              <w:rPr>
                <w:rFonts w:ascii="宋体" w:hAnsi="宋体" w:cs="宋体"/>
                <w:sz w:val="24"/>
              </w:rPr>
            </w:pPr>
            <w:r>
              <w:rPr>
                <w:rFonts w:hint="eastAsia" w:ascii="宋体" w:hAnsi="宋体" w:cs="宋体"/>
                <w:sz w:val="24"/>
              </w:rPr>
              <w:t>采 购 人</w:t>
            </w:r>
          </w:p>
        </w:tc>
        <w:tc>
          <w:tcPr>
            <w:tcW w:w="6129" w:type="dxa"/>
            <w:tcBorders>
              <w:top w:val="single" w:color="auto" w:sz="4" w:space="0"/>
              <w:left w:val="single" w:color="auto" w:sz="4" w:space="0"/>
              <w:bottom w:val="single" w:color="auto" w:sz="4" w:space="0"/>
              <w:right w:val="single" w:color="auto" w:sz="4" w:space="0"/>
            </w:tcBorders>
            <w:vAlign w:val="center"/>
          </w:tcPr>
          <w:p w14:paraId="44202676">
            <w:pPr>
              <w:widowControl/>
              <w:spacing w:line="420" w:lineRule="exact"/>
              <w:jc w:val="left"/>
              <w:rPr>
                <w:rFonts w:ascii="宋体" w:hAnsi="宋体" w:cs="仿宋_GB2312"/>
                <w:kern w:val="0"/>
                <w:sz w:val="24"/>
              </w:rPr>
            </w:pPr>
            <w:r>
              <w:rPr>
                <w:rFonts w:hint="eastAsia" w:ascii="宋体" w:hAnsi="宋体" w:cs="仿宋_GB2312"/>
                <w:kern w:val="0"/>
                <w:sz w:val="24"/>
              </w:rPr>
              <w:t>采购人：三门峡市湖滨区建设局</w:t>
            </w:r>
          </w:p>
          <w:p w14:paraId="48E68F67">
            <w:pPr>
              <w:widowControl/>
              <w:spacing w:line="420" w:lineRule="exact"/>
              <w:jc w:val="left"/>
              <w:rPr>
                <w:rFonts w:ascii="宋体" w:hAnsi="宋体" w:cs="仿宋_GB2312"/>
                <w:kern w:val="0"/>
                <w:sz w:val="24"/>
              </w:rPr>
            </w:pPr>
            <w:r>
              <w:rPr>
                <w:rFonts w:hint="eastAsia" w:ascii="宋体" w:hAnsi="宋体" w:cs="仿宋_GB2312"/>
                <w:kern w:val="0"/>
                <w:sz w:val="24"/>
              </w:rPr>
              <w:t>地址：</w:t>
            </w:r>
            <w:r>
              <w:rPr>
                <w:rFonts w:hint="eastAsia" w:ascii="宋体" w:hAnsi="宋体" w:cs="宋体"/>
                <w:sz w:val="24"/>
              </w:rPr>
              <w:t>三门峡市湖滨区科技创新服务大厦A座8楼</w:t>
            </w:r>
            <w:r>
              <w:rPr>
                <w:rFonts w:hint="eastAsia" w:ascii="宋体" w:hAnsi="宋体" w:cs="仿宋_GB2312"/>
                <w:kern w:val="0"/>
                <w:sz w:val="24"/>
              </w:rPr>
              <w:t xml:space="preserve"> </w:t>
            </w:r>
          </w:p>
          <w:p w14:paraId="77ACED64">
            <w:pPr>
              <w:widowControl/>
              <w:spacing w:line="420" w:lineRule="exact"/>
              <w:jc w:val="left"/>
              <w:rPr>
                <w:rFonts w:ascii="宋体" w:hAnsi="宋体" w:cs="宋体"/>
                <w:sz w:val="24"/>
              </w:rPr>
            </w:pPr>
            <w:r>
              <w:rPr>
                <w:rFonts w:hint="eastAsia" w:ascii="宋体" w:hAnsi="宋体" w:cs="仿宋_GB2312"/>
                <w:kern w:val="0"/>
                <w:sz w:val="24"/>
              </w:rPr>
              <w:t xml:space="preserve">联 系 人：赵希  </w:t>
            </w:r>
            <w:r>
              <w:rPr>
                <w:rFonts w:hint="eastAsia" w:ascii="宋体" w:hAnsi="宋体" w:eastAsia="宋体" w:cs="宋体"/>
                <w:sz w:val="24"/>
                <w:lang w:val="en-US" w:eastAsia="zh-CN"/>
              </w:rPr>
              <w:t>18625898833</w:t>
            </w:r>
          </w:p>
        </w:tc>
      </w:tr>
      <w:tr w14:paraId="7E8E7AAA">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3394579">
            <w:pPr>
              <w:widowControl/>
              <w:spacing w:line="420" w:lineRule="exact"/>
              <w:jc w:val="center"/>
              <w:rPr>
                <w:rFonts w:ascii="宋体" w:hAnsi="宋体" w:cs="宋体"/>
                <w:sz w:val="24"/>
              </w:rPr>
            </w:pPr>
            <w:r>
              <w:rPr>
                <w:rFonts w:hint="eastAsia" w:ascii="宋体" w:hAnsi="宋体" w:cs="宋体"/>
                <w:sz w:val="24"/>
              </w:rPr>
              <w:t>2</w:t>
            </w:r>
          </w:p>
        </w:tc>
        <w:tc>
          <w:tcPr>
            <w:tcW w:w="2657" w:type="dxa"/>
            <w:tcBorders>
              <w:top w:val="single" w:color="auto" w:sz="4" w:space="0"/>
              <w:left w:val="single" w:color="auto" w:sz="4" w:space="0"/>
              <w:bottom w:val="single" w:color="auto" w:sz="4" w:space="0"/>
              <w:right w:val="single" w:color="auto" w:sz="4" w:space="0"/>
            </w:tcBorders>
            <w:vAlign w:val="center"/>
          </w:tcPr>
          <w:p w14:paraId="12A6F7B1">
            <w:pPr>
              <w:widowControl/>
              <w:spacing w:line="420" w:lineRule="exact"/>
              <w:jc w:val="center"/>
              <w:rPr>
                <w:rFonts w:ascii="宋体" w:hAnsi="宋体" w:cs="宋体"/>
                <w:sz w:val="24"/>
              </w:rPr>
            </w:pPr>
            <w:r>
              <w:rPr>
                <w:rFonts w:hint="eastAsia" w:ascii="宋体" w:hAnsi="宋体" w:cs="宋体"/>
                <w:sz w:val="24"/>
              </w:rPr>
              <w:t>采购代理机构</w:t>
            </w:r>
          </w:p>
        </w:tc>
        <w:tc>
          <w:tcPr>
            <w:tcW w:w="6129" w:type="dxa"/>
            <w:tcBorders>
              <w:top w:val="single" w:color="auto" w:sz="4" w:space="0"/>
              <w:left w:val="single" w:color="auto" w:sz="4" w:space="0"/>
              <w:bottom w:val="single" w:color="auto" w:sz="4" w:space="0"/>
              <w:right w:val="single" w:color="auto" w:sz="4" w:space="0"/>
            </w:tcBorders>
            <w:vAlign w:val="center"/>
          </w:tcPr>
          <w:p w14:paraId="7AFD6A41">
            <w:pPr>
              <w:widowControl/>
              <w:spacing w:line="420" w:lineRule="exact"/>
              <w:jc w:val="left"/>
              <w:rPr>
                <w:rFonts w:ascii="宋体" w:hAnsi="宋体" w:cs="宋体"/>
                <w:sz w:val="24"/>
              </w:rPr>
            </w:pPr>
            <w:r>
              <w:rPr>
                <w:rFonts w:hint="eastAsia" w:ascii="宋体" w:hAnsi="宋体" w:cs="宋体"/>
                <w:sz w:val="24"/>
              </w:rPr>
              <w:t>招标代理机构：</w:t>
            </w:r>
            <w:r>
              <w:rPr>
                <w:rFonts w:hint="eastAsia" w:ascii="宋体" w:hAnsi="宋体"/>
                <w:sz w:val="24"/>
              </w:rPr>
              <w:t>中赋安工程项目管理(四川)有限公司</w:t>
            </w:r>
          </w:p>
          <w:p w14:paraId="60B05C40">
            <w:pPr>
              <w:widowControl/>
              <w:spacing w:line="420" w:lineRule="exact"/>
              <w:jc w:val="left"/>
              <w:rPr>
                <w:rFonts w:hint="eastAsia" w:ascii="宋体" w:hAnsi="宋体" w:eastAsia="宋体" w:cs="仿宋_GB2312"/>
                <w:kern w:val="0"/>
                <w:sz w:val="24"/>
                <w:lang w:eastAsia="zh-CN"/>
              </w:rPr>
            </w:pPr>
            <w:r>
              <w:rPr>
                <w:rFonts w:hint="eastAsia" w:ascii="宋体" w:hAnsi="宋体" w:cs="宋体"/>
                <w:sz w:val="24"/>
              </w:rPr>
              <w:t>地址：</w:t>
            </w:r>
            <w:r>
              <w:rPr>
                <w:rFonts w:hint="eastAsia" w:ascii="宋体" w:hAnsi="宋体" w:cs="仿宋_GB2312"/>
                <w:color w:val="auto"/>
                <w:kern w:val="0"/>
                <w:sz w:val="24"/>
                <w:lang w:eastAsia="zh-CN"/>
              </w:rPr>
              <w:t>四川省成都市金牛区一品天下大街399号1栋5层143号</w:t>
            </w:r>
          </w:p>
          <w:p w14:paraId="7592D429">
            <w:pPr>
              <w:widowControl/>
              <w:spacing w:line="420" w:lineRule="exact"/>
              <w:jc w:val="left"/>
              <w:rPr>
                <w:rFonts w:ascii="宋体" w:hAnsi="宋体" w:cs="宋体"/>
                <w:sz w:val="24"/>
              </w:rPr>
            </w:pPr>
            <w:r>
              <w:rPr>
                <w:rFonts w:hint="eastAsia" w:ascii="宋体" w:hAnsi="宋体" w:cs="宋体"/>
                <w:sz w:val="24"/>
              </w:rPr>
              <w:t>联系人：</w:t>
            </w:r>
            <w:r>
              <w:rPr>
                <w:rFonts w:hint="eastAsia" w:ascii="宋体" w:hAnsi="宋体" w:cs="仿宋_GB2312"/>
                <w:kern w:val="0"/>
                <w:sz w:val="24"/>
              </w:rPr>
              <w:t>刘广华   18639784773</w:t>
            </w:r>
          </w:p>
        </w:tc>
      </w:tr>
      <w:tr w14:paraId="5A4E7933">
        <w:tblPrEx>
          <w:tblCellMar>
            <w:top w:w="0" w:type="dxa"/>
            <w:left w:w="108" w:type="dxa"/>
            <w:bottom w:w="0" w:type="dxa"/>
            <w:right w:w="108" w:type="dxa"/>
          </w:tblCellMar>
        </w:tblPrEx>
        <w:trPr>
          <w:trHeight w:val="5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9CF659C">
            <w:pPr>
              <w:widowControl/>
              <w:spacing w:line="420" w:lineRule="exact"/>
              <w:jc w:val="center"/>
              <w:rPr>
                <w:rFonts w:ascii="宋体" w:hAnsi="宋体" w:cs="宋体"/>
                <w:sz w:val="24"/>
              </w:rPr>
            </w:pPr>
            <w:r>
              <w:rPr>
                <w:rFonts w:hint="eastAsia" w:ascii="宋体" w:hAnsi="宋体" w:cs="宋体"/>
                <w:sz w:val="24"/>
              </w:rPr>
              <w:t>3</w:t>
            </w:r>
          </w:p>
        </w:tc>
        <w:tc>
          <w:tcPr>
            <w:tcW w:w="2657" w:type="dxa"/>
            <w:tcBorders>
              <w:top w:val="single" w:color="auto" w:sz="4" w:space="0"/>
              <w:left w:val="single" w:color="auto" w:sz="4" w:space="0"/>
              <w:bottom w:val="single" w:color="auto" w:sz="4" w:space="0"/>
              <w:right w:val="single" w:color="auto" w:sz="4" w:space="0"/>
            </w:tcBorders>
            <w:vAlign w:val="center"/>
          </w:tcPr>
          <w:p w14:paraId="5AC17B01">
            <w:pPr>
              <w:widowControl/>
              <w:spacing w:line="420" w:lineRule="exact"/>
              <w:jc w:val="center"/>
              <w:rPr>
                <w:rFonts w:ascii="宋体" w:hAnsi="宋体" w:cs="宋体"/>
                <w:sz w:val="24"/>
              </w:rPr>
            </w:pPr>
            <w:r>
              <w:rPr>
                <w:rFonts w:hint="eastAsia" w:ascii="宋体" w:hAnsi="宋体" w:cs="宋体"/>
                <w:sz w:val="24"/>
              </w:rPr>
              <w:t>项目名称</w:t>
            </w:r>
          </w:p>
        </w:tc>
        <w:tc>
          <w:tcPr>
            <w:tcW w:w="6129" w:type="dxa"/>
            <w:tcBorders>
              <w:top w:val="single" w:color="auto" w:sz="4" w:space="0"/>
              <w:left w:val="single" w:color="auto" w:sz="4" w:space="0"/>
              <w:bottom w:val="single" w:color="auto" w:sz="4" w:space="0"/>
              <w:right w:val="single" w:color="auto" w:sz="4" w:space="0"/>
            </w:tcBorders>
            <w:vAlign w:val="center"/>
          </w:tcPr>
          <w:p w14:paraId="325F7371">
            <w:pPr>
              <w:widowControl/>
              <w:spacing w:line="420" w:lineRule="exact"/>
              <w:jc w:val="left"/>
              <w:rPr>
                <w:rFonts w:ascii="宋体" w:hAnsi="宋体" w:cs="宋体"/>
                <w:sz w:val="24"/>
              </w:rPr>
            </w:pPr>
            <w:r>
              <w:rPr>
                <w:rFonts w:hint="eastAsia" w:ascii="宋体" w:hAnsi="宋体" w:cs="宋体"/>
                <w:sz w:val="24"/>
              </w:rPr>
              <w:t>三门峡市湖滨区建设局三门峡市湖滨区城市社区专项体检及报告编制项目</w:t>
            </w:r>
          </w:p>
        </w:tc>
      </w:tr>
      <w:tr w14:paraId="4B165693">
        <w:tblPrEx>
          <w:tblCellMar>
            <w:top w:w="0" w:type="dxa"/>
            <w:left w:w="108" w:type="dxa"/>
            <w:bottom w:w="0" w:type="dxa"/>
            <w:right w:w="108" w:type="dxa"/>
          </w:tblCellMar>
        </w:tblPrEx>
        <w:trPr>
          <w:trHeight w:val="1145"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6F229F1">
            <w:pPr>
              <w:widowControl/>
              <w:spacing w:line="420" w:lineRule="exact"/>
              <w:jc w:val="center"/>
              <w:rPr>
                <w:rFonts w:ascii="宋体" w:hAnsi="宋体" w:cs="宋体"/>
                <w:sz w:val="24"/>
              </w:rPr>
            </w:pPr>
            <w:r>
              <w:rPr>
                <w:rFonts w:hint="eastAsia" w:ascii="宋体" w:hAnsi="宋体" w:cs="宋体"/>
                <w:sz w:val="24"/>
              </w:rPr>
              <w:t>4</w:t>
            </w:r>
          </w:p>
        </w:tc>
        <w:tc>
          <w:tcPr>
            <w:tcW w:w="2657" w:type="dxa"/>
            <w:tcBorders>
              <w:top w:val="single" w:color="auto" w:sz="4" w:space="0"/>
              <w:left w:val="single" w:color="auto" w:sz="4" w:space="0"/>
              <w:bottom w:val="single" w:color="auto" w:sz="4" w:space="0"/>
              <w:right w:val="single" w:color="auto" w:sz="4" w:space="0"/>
            </w:tcBorders>
            <w:vAlign w:val="center"/>
          </w:tcPr>
          <w:p w14:paraId="36C360EB">
            <w:pPr>
              <w:widowControl/>
              <w:spacing w:line="420" w:lineRule="exact"/>
              <w:jc w:val="center"/>
              <w:rPr>
                <w:rFonts w:ascii="宋体" w:hAnsi="宋体" w:cs="宋体"/>
                <w:sz w:val="24"/>
              </w:rPr>
            </w:pPr>
            <w:r>
              <w:rPr>
                <w:rFonts w:hint="eastAsia" w:ascii="宋体" w:hAnsi="宋体" w:cs="宋体"/>
                <w:sz w:val="24"/>
              </w:rPr>
              <w:t>采购内容</w:t>
            </w:r>
          </w:p>
        </w:tc>
        <w:tc>
          <w:tcPr>
            <w:tcW w:w="6129" w:type="dxa"/>
            <w:tcBorders>
              <w:top w:val="single" w:color="auto" w:sz="4" w:space="0"/>
              <w:left w:val="single" w:color="auto" w:sz="4" w:space="0"/>
              <w:bottom w:val="single" w:color="auto" w:sz="4" w:space="0"/>
              <w:right w:val="single" w:color="auto" w:sz="4" w:space="0"/>
            </w:tcBorders>
            <w:vAlign w:val="center"/>
          </w:tcPr>
          <w:p w14:paraId="640B086A">
            <w:pPr>
              <w:widowControl/>
              <w:spacing w:line="420" w:lineRule="exact"/>
              <w:jc w:val="left"/>
              <w:rPr>
                <w:rFonts w:ascii="宋体" w:hAnsi="宋体" w:cs="宋体"/>
                <w:sz w:val="24"/>
              </w:rPr>
            </w:pPr>
            <w:r>
              <w:rPr>
                <w:rFonts w:hint="eastAsia" w:ascii="宋体" w:hAnsi="宋体" w:cs="宋体"/>
                <w:sz w:val="24"/>
              </w:rPr>
              <w:t>全面完成转区城市体检社区现场踏勘、数据采集、资料整理、居民问卷调研、问题摸排研判，建立完整、详实、可溯源的社区体检问题台账和需求台账。高质里完成《湖滨区城市社区专项体检报告》编制，完善附图、附表、问题整改建议、短板提升方案及更新项目谋划清单。</w:t>
            </w:r>
          </w:p>
        </w:tc>
      </w:tr>
      <w:tr w14:paraId="2900101F">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31204B1C">
            <w:pPr>
              <w:widowControl/>
              <w:spacing w:line="420" w:lineRule="exact"/>
              <w:jc w:val="center"/>
              <w:rPr>
                <w:rFonts w:ascii="宋体" w:hAnsi="宋体" w:cs="宋体"/>
                <w:sz w:val="24"/>
              </w:rPr>
            </w:pPr>
            <w:r>
              <w:rPr>
                <w:rFonts w:hint="eastAsia" w:ascii="宋体" w:hAnsi="宋体" w:cs="宋体"/>
                <w:sz w:val="24"/>
              </w:rPr>
              <w:t>5</w:t>
            </w:r>
          </w:p>
        </w:tc>
        <w:tc>
          <w:tcPr>
            <w:tcW w:w="2657" w:type="dxa"/>
            <w:tcBorders>
              <w:top w:val="single" w:color="auto" w:sz="4" w:space="0"/>
              <w:left w:val="single" w:color="auto" w:sz="4" w:space="0"/>
              <w:bottom w:val="single" w:color="auto" w:sz="4" w:space="0"/>
              <w:right w:val="single" w:color="auto" w:sz="4" w:space="0"/>
            </w:tcBorders>
            <w:vAlign w:val="center"/>
          </w:tcPr>
          <w:p w14:paraId="1CC3DE3A">
            <w:pPr>
              <w:widowControl/>
              <w:spacing w:line="420" w:lineRule="exact"/>
              <w:jc w:val="center"/>
              <w:rPr>
                <w:rFonts w:ascii="宋体" w:hAnsi="宋体" w:cs="宋体"/>
                <w:b/>
                <w:bCs/>
                <w:sz w:val="24"/>
              </w:rPr>
            </w:pPr>
            <w:r>
              <w:rPr>
                <w:rFonts w:hint="eastAsia" w:ascii="宋体" w:hAnsi="宋体" w:cs="宋体"/>
                <w:sz w:val="24"/>
              </w:rPr>
              <w:t>质量要求</w:t>
            </w:r>
          </w:p>
        </w:tc>
        <w:tc>
          <w:tcPr>
            <w:tcW w:w="6129" w:type="dxa"/>
            <w:tcBorders>
              <w:top w:val="single" w:color="auto" w:sz="4" w:space="0"/>
              <w:left w:val="single" w:color="auto" w:sz="4" w:space="0"/>
              <w:bottom w:val="single" w:color="auto" w:sz="4" w:space="0"/>
              <w:right w:val="single" w:color="auto" w:sz="4" w:space="0"/>
            </w:tcBorders>
            <w:vAlign w:val="center"/>
          </w:tcPr>
          <w:p w14:paraId="30DBF5A6">
            <w:pPr>
              <w:widowControl/>
              <w:spacing w:line="420" w:lineRule="exact"/>
              <w:jc w:val="left"/>
              <w:rPr>
                <w:rFonts w:ascii="宋体" w:hAnsi="宋体" w:cs="宋体"/>
                <w:sz w:val="24"/>
              </w:rPr>
            </w:pPr>
            <w:r>
              <w:rPr>
                <w:rFonts w:hint="eastAsia" w:ascii="宋体" w:hAnsi="宋体" w:cs="宋体"/>
                <w:sz w:val="24"/>
              </w:rPr>
              <w:t>符合国家现行规范标准及行业最新规定，并通过相关部门审查。</w:t>
            </w:r>
          </w:p>
        </w:tc>
      </w:tr>
      <w:tr w14:paraId="0044AEF9">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2117EE87">
            <w:pPr>
              <w:widowControl/>
              <w:spacing w:line="420" w:lineRule="exact"/>
              <w:jc w:val="center"/>
              <w:rPr>
                <w:rFonts w:ascii="宋体" w:hAnsi="宋体" w:cs="宋体"/>
                <w:sz w:val="24"/>
              </w:rPr>
            </w:pPr>
            <w:r>
              <w:rPr>
                <w:rFonts w:hint="eastAsia" w:ascii="宋体" w:hAnsi="宋体" w:cs="宋体"/>
                <w:sz w:val="24"/>
              </w:rPr>
              <w:t>6</w:t>
            </w:r>
          </w:p>
        </w:tc>
        <w:tc>
          <w:tcPr>
            <w:tcW w:w="2657" w:type="dxa"/>
            <w:tcBorders>
              <w:top w:val="single" w:color="auto" w:sz="4" w:space="0"/>
              <w:left w:val="single" w:color="auto" w:sz="4" w:space="0"/>
              <w:bottom w:val="single" w:color="auto" w:sz="4" w:space="0"/>
              <w:right w:val="single" w:color="auto" w:sz="4" w:space="0"/>
            </w:tcBorders>
            <w:vAlign w:val="center"/>
          </w:tcPr>
          <w:p w14:paraId="7265C97A">
            <w:pPr>
              <w:widowControl/>
              <w:spacing w:line="420" w:lineRule="exact"/>
              <w:jc w:val="center"/>
              <w:rPr>
                <w:rFonts w:ascii="宋体" w:hAnsi="宋体" w:cs="宋体"/>
                <w:sz w:val="24"/>
              </w:rPr>
            </w:pPr>
            <w:r>
              <w:rPr>
                <w:rFonts w:hint="eastAsia" w:ascii="宋体" w:hAnsi="宋体" w:cs="宋体"/>
                <w:sz w:val="24"/>
              </w:rPr>
              <w:t>服务期限</w:t>
            </w:r>
          </w:p>
        </w:tc>
        <w:tc>
          <w:tcPr>
            <w:tcW w:w="6129" w:type="dxa"/>
            <w:tcBorders>
              <w:top w:val="single" w:color="auto" w:sz="4" w:space="0"/>
              <w:left w:val="single" w:color="auto" w:sz="4" w:space="0"/>
              <w:bottom w:val="single" w:color="auto" w:sz="4" w:space="0"/>
              <w:right w:val="single" w:color="auto" w:sz="4" w:space="0"/>
            </w:tcBorders>
            <w:vAlign w:val="center"/>
          </w:tcPr>
          <w:p w14:paraId="640F7F5B">
            <w:pPr>
              <w:widowControl/>
              <w:spacing w:line="420" w:lineRule="exact"/>
              <w:jc w:val="left"/>
              <w:rPr>
                <w:rFonts w:ascii="宋体" w:hAnsi="宋体" w:cs="宋体"/>
                <w:sz w:val="24"/>
              </w:rPr>
            </w:pPr>
            <w:r>
              <w:rPr>
                <w:rFonts w:ascii="宋体" w:hAnsi="宋体" w:cs="宋体"/>
                <w:sz w:val="24"/>
              </w:rPr>
              <w:t>自合同签订之日起，至本项目城市体检全套成果通过省级主管部门评审并完成资料归档之日止。</w:t>
            </w:r>
          </w:p>
        </w:tc>
      </w:tr>
      <w:tr w14:paraId="21B77602">
        <w:tblPrEx>
          <w:tblCellMar>
            <w:top w:w="0" w:type="dxa"/>
            <w:left w:w="108" w:type="dxa"/>
            <w:bottom w:w="0" w:type="dxa"/>
            <w:right w:w="108" w:type="dxa"/>
          </w:tblCellMar>
        </w:tblPrEx>
        <w:trPr>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6C232445">
            <w:pPr>
              <w:widowControl/>
              <w:spacing w:line="420" w:lineRule="exact"/>
              <w:jc w:val="center"/>
              <w:rPr>
                <w:rFonts w:ascii="宋体" w:hAnsi="宋体" w:cs="宋体"/>
                <w:sz w:val="24"/>
              </w:rPr>
            </w:pPr>
            <w:r>
              <w:rPr>
                <w:rFonts w:hint="eastAsia" w:ascii="宋体" w:hAnsi="宋体" w:cs="宋体"/>
                <w:sz w:val="24"/>
              </w:rPr>
              <w:t>7</w:t>
            </w:r>
          </w:p>
        </w:tc>
        <w:tc>
          <w:tcPr>
            <w:tcW w:w="2657" w:type="dxa"/>
            <w:tcBorders>
              <w:top w:val="single" w:color="auto" w:sz="4" w:space="0"/>
              <w:left w:val="single" w:color="auto" w:sz="4" w:space="0"/>
              <w:bottom w:val="single" w:color="auto" w:sz="4" w:space="0"/>
              <w:right w:val="single" w:color="auto" w:sz="4" w:space="0"/>
            </w:tcBorders>
            <w:vAlign w:val="center"/>
          </w:tcPr>
          <w:p w14:paraId="4166D256">
            <w:pPr>
              <w:widowControl/>
              <w:spacing w:line="420" w:lineRule="exact"/>
              <w:jc w:val="center"/>
              <w:rPr>
                <w:rFonts w:ascii="宋体" w:hAnsi="宋体" w:cs="宋体"/>
                <w:sz w:val="24"/>
              </w:rPr>
            </w:pPr>
            <w:r>
              <w:rPr>
                <w:rFonts w:hint="eastAsia" w:ascii="宋体" w:hAnsi="宋体" w:cs="宋体"/>
                <w:sz w:val="24"/>
              </w:rPr>
              <w:t>服务地点</w:t>
            </w:r>
          </w:p>
        </w:tc>
        <w:tc>
          <w:tcPr>
            <w:tcW w:w="6129" w:type="dxa"/>
            <w:tcBorders>
              <w:top w:val="single" w:color="auto" w:sz="4" w:space="0"/>
              <w:left w:val="single" w:color="auto" w:sz="4" w:space="0"/>
              <w:bottom w:val="single" w:color="auto" w:sz="4" w:space="0"/>
              <w:right w:val="single" w:color="auto" w:sz="4" w:space="0"/>
            </w:tcBorders>
            <w:vAlign w:val="center"/>
          </w:tcPr>
          <w:p w14:paraId="186B94DE">
            <w:pPr>
              <w:widowControl/>
              <w:spacing w:line="420" w:lineRule="exact"/>
              <w:jc w:val="left"/>
              <w:rPr>
                <w:rFonts w:ascii="宋体" w:hAnsi="宋体" w:cs="宋体"/>
                <w:sz w:val="24"/>
              </w:rPr>
            </w:pPr>
            <w:r>
              <w:rPr>
                <w:rFonts w:hint="eastAsia" w:ascii="宋体" w:hAnsi="宋体" w:cs="宋体"/>
                <w:sz w:val="24"/>
              </w:rPr>
              <w:t>采购人指定地点</w:t>
            </w:r>
          </w:p>
        </w:tc>
      </w:tr>
      <w:tr w14:paraId="4C5ADAB7">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76FFECE">
            <w:pPr>
              <w:widowControl/>
              <w:spacing w:line="420" w:lineRule="exact"/>
              <w:jc w:val="center"/>
              <w:rPr>
                <w:rFonts w:ascii="宋体" w:hAnsi="宋体" w:cs="宋体"/>
                <w:sz w:val="24"/>
              </w:rPr>
            </w:pPr>
            <w:r>
              <w:rPr>
                <w:rFonts w:hint="eastAsia" w:ascii="宋体" w:hAnsi="宋体" w:cs="宋体"/>
                <w:sz w:val="24"/>
              </w:rPr>
              <w:t>8</w:t>
            </w:r>
          </w:p>
        </w:tc>
        <w:tc>
          <w:tcPr>
            <w:tcW w:w="2657" w:type="dxa"/>
            <w:tcBorders>
              <w:top w:val="single" w:color="auto" w:sz="4" w:space="0"/>
              <w:left w:val="single" w:color="auto" w:sz="4" w:space="0"/>
              <w:bottom w:val="single" w:color="auto" w:sz="4" w:space="0"/>
              <w:right w:val="single" w:color="auto" w:sz="4" w:space="0"/>
            </w:tcBorders>
            <w:vAlign w:val="center"/>
          </w:tcPr>
          <w:p w14:paraId="125631CA">
            <w:pPr>
              <w:widowControl/>
              <w:spacing w:line="420" w:lineRule="exact"/>
              <w:jc w:val="center"/>
              <w:rPr>
                <w:rFonts w:ascii="宋体" w:hAnsi="宋体" w:cs="宋体"/>
                <w:sz w:val="24"/>
              </w:rPr>
            </w:pPr>
            <w:r>
              <w:rPr>
                <w:rFonts w:hint="eastAsia" w:ascii="宋体" w:hAnsi="宋体" w:cs="宋体"/>
                <w:sz w:val="24"/>
              </w:rPr>
              <w:t>服务范围</w:t>
            </w:r>
          </w:p>
        </w:tc>
        <w:tc>
          <w:tcPr>
            <w:tcW w:w="6129" w:type="dxa"/>
            <w:tcBorders>
              <w:top w:val="single" w:color="auto" w:sz="4" w:space="0"/>
              <w:left w:val="single" w:color="auto" w:sz="4" w:space="0"/>
              <w:bottom w:val="single" w:color="auto" w:sz="4" w:space="0"/>
              <w:right w:val="single" w:color="auto" w:sz="4" w:space="0"/>
            </w:tcBorders>
            <w:vAlign w:val="center"/>
          </w:tcPr>
          <w:p w14:paraId="278AC84B">
            <w:pPr>
              <w:widowControl/>
              <w:spacing w:line="420" w:lineRule="exact"/>
              <w:jc w:val="left"/>
              <w:rPr>
                <w:rFonts w:ascii="宋体" w:hAnsi="宋体" w:cs="宋体"/>
                <w:sz w:val="24"/>
              </w:rPr>
            </w:pPr>
            <w:r>
              <w:rPr>
                <w:rFonts w:hint="eastAsia" w:ascii="宋体" w:hAnsi="宋体" w:cs="宋体"/>
                <w:sz w:val="24"/>
              </w:rPr>
              <w:t>磋商文件、项目内容及服务需求包含的全部内容</w:t>
            </w:r>
          </w:p>
        </w:tc>
      </w:tr>
      <w:tr w14:paraId="00EADD9D">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2603ABB">
            <w:pPr>
              <w:spacing w:line="450" w:lineRule="exact"/>
              <w:jc w:val="center"/>
              <w:rPr>
                <w:rFonts w:ascii="宋体" w:hAnsi="宋体" w:cs="宋体"/>
                <w:sz w:val="24"/>
              </w:rPr>
            </w:pPr>
            <w:r>
              <w:rPr>
                <w:rFonts w:hint="eastAsia" w:ascii="宋体" w:hAnsi="宋体" w:cs="宋体"/>
                <w:sz w:val="24"/>
              </w:rPr>
              <w:t>9</w:t>
            </w:r>
          </w:p>
        </w:tc>
        <w:tc>
          <w:tcPr>
            <w:tcW w:w="2657" w:type="dxa"/>
            <w:tcBorders>
              <w:top w:val="single" w:color="auto" w:sz="4" w:space="0"/>
              <w:left w:val="single" w:color="auto" w:sz="4" w:space="0"/>
              <w:bottom w:val="single" w:color="auto" w:sz="4" w:space="0"/>
              <w:right w:val="single" w:color="auto" w:sz="4" w:space="0"/>
            </w:tcBorders>
            <w:vAlign w:val="center"/>
          </w:tcPr>
          <w:p w14:paraId="2C984957">
            <w:pPr>
              <w:spacing w:line="450" w:lineRule="exact"/>
              <w:jc w:val="center"/>
              <w:rPr>
                <w:rFonts w:ascii="宋体" w:hAnsi="宋体" w:cs="宋体"/>
                <w:sz w:val="24"/>
              </w:rPr>
            </w:pPr>
            <w:r>
              <w:rPr>
                <w:rFonts w:hint="eastAsia" w:ascii="宋体" w:hAnsi="宋体" w:cs="宋体"/>
                <w:sz w:val="24"/>
              </w:rPr>
              <w:t>资金来源</w:t>
            </w:r>
          </w:p>
        </w:tc>
        <w:tc>
          <w:tcPr>
            <w:tcW w:w="6129" w:type="dxa"/>
            <w:tcBorders>
              <w:top w:val="single" w:color="auto" w:sz="4" w:space="0"/>
              <w:left w:val="single" w:color="auto" w:sz="4" w:space="0"/>
              <w:bottom w:val="single" w:color="auto" w:sz="4" w:space="0"/>
              <w:right w:val="single" w:color="auto" w:sz="4" w:space="0"/>
            </w:tcBorders>
            <w:vAlign w:val="center"/>
          </w:tcPr>
          <w:p w14:paraId="1FF8CC26">
            <w:pPr>
              <w:widowControl/>
              <w:spacing w:line="420" w:lineRule="exact"/>
              <w:jc w:val="left"/>
              <w:rPr>
                <w:rFonts w:ascii="宋体" w:hAnsi="宋体" w:cs="宋体"/>
                <w:sz w:val="24"/>
              </w:rPr>
            </w:pPr>
            <w:r>
              <w:rPr>
                <w:rFonts w:hint="eastAsia" w:ascii="宋体" w:hAnsi="宋体" w:cs="宋体"/>
                <w:sz w:val="24"/>
              </w:rPr>
              <w:t>财政资金</w:t>
            </w:r>
          </w:p>
        </w:tc>
      </w:tr>
      <w:tr w14:paraId="01BB9AA2">
        <w:tblPrEx>
          <w:tblCellMar>
            <w:top w:w="0" w:type="dxa"/>
            <w:left w:w="108" w:type="dxa"/>
            <w:bottom w:w="0" w:type="dxa"/>
            <w:right w:w="108" w:type="dxa"/>
          </w:tblCellMar>
        </w:tblPrEx>
        <w:trPr>
          <w:trHeight w:val="53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43ACC8EB">
            <w:pPr>
              <w:spacing w:line="450" w:lineRule="exact"/>
              <w:jc w:val="center"/>
              <w:rPr>
                <w:rFonts w:ascii="宋体" w:hAnsi="宋体" w:cs="宋体"/>
                <w:sz w:val="24"/>
              </w:rPr>
            </w:pPr>
            <w:r>
              <w:rPr>
                <w:rFonts w:hint="eastAsia" w:ascii="宋体" w:hAnsi="宋体" w:cs="宋体"/>
                <w:sz w:val="24"/>
              </w:rPr>
              <w:t>10</w:t>
            </w:r>
          </w:p>
        </w:tc>
        <w:tc>
          <w:tcPr>
            <w:tcW w:w="2657" w:type="dxa"/>
            <w:tcBorders>
              <w:top w:val="single" w:color="auto" w:sz="4" w:space="0"/>
              <w:left w:val="single" w:color="auto" w:sz="4" w:space="0"/>
              <w:bottom w:val="single" w:color="auto" w:sz="4" w:space="0"/>
              <w:right w:val="single" w:color="auto" w:sz="4" w:space="0"/>
            </w:tcBorders>
            <w:vAlign w:val="center"/>
          </w:tcPr>
          <w:p w14:paraId="697EF509">
            <w:pPr>
              <w:spacing w:line="450" w:lineRule="exact"/>
              <w:jc w:val="center"/>
              <w:rPr>
                <w:rFonts w:ascii="宋体" w:hAnsi="宋体" w:cs="宋体"/>
                <w:sz w:val="24"/>
              </w:rPr>
            </w:pPr>
            <w:r>
              <w:rPr>
                <w:rFonts w:hint="eastAsia" w:ascii="宋体" w:hAnsi="宋体" w:cs="宋体"/>
                <w:sz w:val="24"/>
              </w:rPr>
              <w:t>资金落实情况</w:t>
            </w:r>
          </w:p>
        </w:tc>
        <w:tc>
          <w:tcPr>
            <w:tcW w:w="6129" w:type="dxa"/>
            <w:tcBorders>
              <w:top w:val="single" w:color="auto" w:sz="4" w:space="0"/>
              <w:left w:val="single" w:color="auto" w:sz="4" w:space="0"/>
              <w:bottom w:val="single" w:color="auto" w:sz="4" w:space="0"/>
              <w:right w:val="single" w:color="auto" w:sz="4" w:space="0"/>
            </w:tcBorders>
            <w:vAlign w:val="center"/>
          </w:tcPr>
          <w:p w14:paraId="37CCA2C6">
            <w:pPr>
              <w:spacing w:line="450" w:lineRule="exact"/>
              <w:rPr>
                <w:rFonts w:ascii="宋体" w:hAnsi="宋体" w:cs="宋体"/>
                <w:sz w:val="24"/>
              </w:rPr>
            </w:pPr>
            <w:r>
              <w:rPr>
                <w:rFonts w:hint="eastAsia" w:ascii="宋体" w:hAnsi="宋体" w:cs="宋体"/>
                <w:sz w:val="24"/>
              </w:rPr>
              <w:t>已落实</w:t>
            </w:r>
          </w:p>
        </w:tc>
      </w:tr>
      <w:tr w14:paraId="1C014B33">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E1AED29">
            <w:pPr>
              <w:spacing w:line="450" w:lineRule="exact"/>
              <w:jc w:val="center"/>
              <w:rPr>
                <w:rFonts w:ascii="宋体" w:hAnsi="宋体" w:cs="宋体"/>
                <w:sz w:val="24"/>
              </w:rPr>
            </w:pPr>
            <w:r>
              <w:rPr>
                <w:rFonts w:hint="eastAsia" w:ascii="宋体" w:hAnsi="宋体" w:cs="宋体"/>
                <w:sz w:val="24"/>
              </w:rPr>
              <w:t>11</w:t>
            </w:r>
          </w:p>
        </w:tc>
        <w:tc>
          <w:tcPr>
            <w:tcW w:w="2657" w:type="dxa"/>
            <w:tcBorders>
              <w:top w:val="single" w:color="auto" w:sz="4" w:space="0"/>
              <w:left w:val="single" w:color="auto" w:sz="4" w:space="0"/>
              <w:bottom w:val="single" w:color="auto" w:sz="4" w:space="0"/>
              <w:right w:val="single" w:color="auto" w:sz="4" w:space="0"/>
            </w:tcBorders>
            <w:vAlign w:val="center"/>
          </w:tcPr>
          <w:p w14:paraId="3ABB23F1">
            <w:pPr>
              <w:spacing w:line="450" w:lineRule="exact"/>
              <w:jc w:val="center"/>
              <w:rPr>
                <w:rFonts w:ascii="宋体" w:hAnsi="宋体" w:cs="宋体"/>
                <w:sz w:val="24"/>
              </w:rPr>
            </w:pPr>
            <w:r>
              <w:rPr>
                <w:rFonts w:hint="eastAsia" w:ascii="宋体" w:hAnsi="宋体" w:cs="宋体"/>
                <w:sz w:val="24"/>
              </w:rPr>
              <w:t>供应商资质条件、能力</w:t>
            </w:r>
          </w:p>
        </w:tc>
        <w:tc>
          <w:tcPr>
            <w:tcW w:w="6129" w:type="dxa"/>
            <w:tcBorders>
              <w:top w:val="single" w:color="auto" w:sz="4" w:space="0"/>
              <w:left w:val="single" w:color="auto" w:sz="4" w:space="0"/>
              <w:bottom w:val="single" w:color="auto" w:sz="4" w:space="0"/>
              <w:right w:val="single" w:color="auto" w:sz="4" w:space="0"/>
            </w:tcBorders>
            <w:vAlign w:val="center"/>
          </w:tcPr>
          <w:p w14:paraId="78A99E1C">
            <w:pPr>
              <w:spacing w:line="420" w:lineRule="exact"/>
              <w:rPr>
                <w:rFonts w:ascii="宋体" w:hAnsi="宋体"/>
                <w:color w:val="000000"/>
                <w:sz w:val="24"/>
              </w:rPr>
            </w:pPr>
            <w:r>
              <w:rPr>
                <w:rFonts w:hint="eastAsia" w:ascii="宋体" w:hAnsi="宋体"/>
                <w:color w:val="000000"/>
                <w:sz w:val="24"/>
              </w:rPr>
              <w:t>1、符合《中华人民共和国政府采购法》第二十二条之规定：</w:t>
            </w:r>
          </w:p>
          <w:p w14:paraId="518A6D1B">
            <w:pPr>
              <w:spacing w:line="420" w:lineRule="exact"/>
              <w:rPr>
                <w:rFonts w:ascii="宋体" w:hAnsi="宋体"/>
                <w:color w:val="000000"/>
                <w:sz w:val="24"/>
              </w:rPr>
            </w:pPr>
            <w:r>
              <w:rPr>
                <w:rFonts w:hint="eastAsia" w:ascii="宋体" w:hAnsi="宋体"/>
                <w:color w:val="000000"/>
                <w:sz w:val="24"/>
              </w:rPr>
              <w:t>2、落实政府采购政策满足的资格要求：</w:t>
            </w:r>
          </w:p>
          <w:p w14:paraId="4B12F004">
            <w:pPr>
              <w:spacing w:line="420" w:lineRule="exact"/>
              <w:rPr>
                <w:rFonts w:ascii="宋体" w:hAnsi="宋体"/>
                <w:color w:val="000000"/>
                <w:sz w:val="24"/>
              </w:rPr>
            </w:pPr>
            <w:r>
              <w:rPr>
                <w:rFonts w:hint="eastAsia" w:ascii="宋体" w:hAnsi="宋体"/>
                <w:color w:val="000000"/>
                <w:sz w:val="24"/>
              </w:rPr>
              <w:t>本项目专门面向中小微企业采购项目,执行促进中小企业（监狱企业、残疾人福利性企业）发展等政府采购政策</w:t>
            </w:r>
          </w:p>
          <w:p w14:paraId="2577D5A1">
            <w:pPr>
              <w:spacing w:line="420" w:lineRule="exact"/>
              <w:rPr>
                <w:rFonts w:ascii="宋体" w:hAnsi="宋体"/>
                <w:color w:val="000000"/>
                <w:sz w:val="24"/>
              </w:rPr>
            </w:pPr>
            <w:r>
              <w:rPr>
                <w:rFonts w:hint="eastAsia" w:ascii="宋体" w:hAnsi="宋体"/>
                <w:color w:val="000000"/>
                <w:sz w:val="24"/>
              </w:rPr>
              <w:t>3、本项目的特定资格要求：</w:t>
            </w:r>
          </w:p>
          <w:p w14:paraId="12A2E05C">
            <w:pPr>
              <w:spacing w:line="420" w:lineRule="exact"/>
              <w:rPr>
                <w:rFonts w:ascii="宋体" w:hAnsi="宋体"/>
                <w:color w:val="000000"/>
                <w:sz w:val="24"/>
              </w:rPr>
            </w:pPr>
            <w:r>
              <w:rPr>
                <w:rFonts w:hint="eastAsia" w:ascii="宋体" w:hAnsi="宋体"/>
                <w:color w:val="000000"/>
                <w:sz w:val="24"/>
              </w:rPr>
              <w:t>3.1 注册于中华人民共和国境内，具有独立承担民事责任能力，提供合法有效的营业执照（或事业单位法人证书）；</w:t>
            </w:r>
          </w:p>
          <w:p w14:paraId="300B28EF">
            <w:pPr>
              <w:spacing w:line="480" w:lineRule="exact"/>
              <w:jc w:val="left"/>
              <w:rPr>
                <w:rFonts w:ascii="宋体" w:hAnsi="宋体" w:cs="宋体"/>
                <w:sz w:val="24"/>
              </w:rPr>
            </w:pPr>
            <w:r>
              <w:rPr>
                <w:rFonts w:hint="eastAsia" w:ascii="宋体" w:hAnsi="宋体" w:cs="宋体"/>
                <w:sz w:val="24"/>
              </w:rPr>
              <w:t>3.2 投标人须具有</w:t>
            </w:r>
            <w:r>
              <w:rPr>
                <w:rFonts w:ascii="宋体" w:hAnsi="宋体" w:cs="宋体"/>
                <w:sz w:val="24"/>
              </w:rPr>
              <w:t>城乡规划（国土空间规划）编制</w:t>
            </w:r>
            <w:r>
              <w:rPr>
                <w:rFonts w:hint="eastAsia" w:ascii="宋体" w:hAnsi="宋体" w:cs="宋体"/>
                <w:sz w:val="24"/>
              </w:rPr>
              <w:t>乙级及以上资质。</w:t>
            </w:r>
          </w:p>
          <w:p w14:paraId="6B751BBD">
            <w:pPr>
              <w:spacing w:line="420" w:lineRule="exact"/>
              <w:rPr>
                <w:rFonts w:ascii="宋体" w:hAnsi="宋体" w:cs="宋体"/>
                <w:sz w:val="24"/>
              </w:rPr>
            </w:pPr>
            <w:r>
              <w:rPr>
                <w:rFonts w:hint="eastAsia" w:ascii="宋体" w:hAnsi="宋体" w:cs="宋体"/>
                <w:sz w:val="24"/>
              </w:rPr>
              <w:t>3.3 项目负责人须具备注册城乡规划师执业资格，且与投标企业存在合法有效的劳动合同关系（提供劳动合同、参加社会养老保险的缴费证明）。</w:t>
            </w:r>
          </w:p>
          <w:p w14:paraId="144DD870">
            <w:pPr>
              <w:spacing w:line="420" w:lineRule="exact"/>
              <w:rPr>
                <w:rFonts w:ascii="宋体" w:hAnsi="宋体"/>
                <w:color w:val="000000"/>
                <w:sz w:val="24"/>
              </w:rPr>
            </w:pPr>
            <w:r>
              <w:rPr>
                <w:rFonts w:hint="eastAsia" w:ascii="宋体" w:hAnsi="宋体"/>
                <w:color w:val="000000"/>
                <w:sz w:val="24"/>
              </w:rPr>
              <w:t>3.4 投标人出具“中国裁判文书网”网站 （https://wenshu.court.gov.cn/）近三年无行贿犯罪查询记录或承诺书（查询/承诺对象：企业、法定代表人、拟派项目负责人）；</w:t>
            </w:r>
          </w:p>
          <w:p w14:paraId="4ACCE4E6">
            <w:pPr>
              <w:spacing w:line="420" w:lineRule="exact"/>
              <w:rPr>
                <w:rFonts w:ascii="宋体" w:hAnsi="宋体"/>
                <w:color w:val="000000"/>
                <w:sz w:val="24"/>
              </w:rPr>
            </w:pPr>
            <w:r>
              <w:rPr>
                <w:rFonts w:hint="eastAsia" w:ascii="宋体" w:hAnsi="宋体"/>
                <w:color w:val="000000"/>
                <w:sz w:val="24"/>
              </w:rPr>
              <w:t xml:space="preserve">3.5 投标人出具本企业近三年无商业贿赂及无不正当竞争行为的承诺书（承诺对象：企业、法定代表人、项目负责人）； </w:t>
            </w:r>
          </w:p>
          <w:p w14:paraId="6D04A8FC">
            <w:pPr>
              <w:spacing w:line="420" w:lineRule="exact"/>
              <w:rPr>
                <w:rFonts w:ascii="宋体" w:hAnsi="宋体"/>
                <w:color w:val="000000"/>
                <w:sz w:val="24"/>
              </w:rPr>
            </w:pPr>
            <w:r>
              <w:rPr>
                <w:rFonts w:hint="eastAsia" w:ascii="宋体" w:hAnsi="宋体"/>
                <w:color w:val="000000"/>
                <w:sz w:val="24"/>
              </w:rPr>
              <w:t>3.6 根据《关于在政府采购活动中查询及使用信用记录有关问题的通知》（财库【2016】125号和豫财购【2016】15号的规定），对列入“信用中国”www.creditchina.gov.cn网站的“失信被执行人”、“重大税收违法失信主体”、“政府采购严重违法失信行为记录名单”及“中国政府采购网”www.ccgp.gov.cn网站的“政府采购严重违法失信行为信息记录”的，拒绝参与本项目采购活动〔查询渠道：“中国执行信息公开网”网站（http://zxgk.court.gov.cn/shixin）“信用中国”网站（www.creditchina.gov.cn）、中国政府采购网（www.ccgp.gov.cn），提供网站的查询信息截图，信用报告，查询时间自公告发布之日起，开标截止时间止〕；</w:t>
            </w:r>
          </w:p>
          <w:p w14:paraId="6AC77B98">
            <w:pPr>
              <w:spacing w:line="420" w:lineRule="exact"/>
              <w:rPr>
                <w:rFonts w:ascii="宋体" w:hAnsi="宋体"/>
                <w:color w:val="000000"/>
                <w:sz w:val="24"/>
              </w:rPr>
            </w:pPr>
            <w:r>
              <w:rPr>
                <w:rFonts w:hint="eastAsia" w:ascii="宋体" w:hAnsi="宋体"/>
                <w:color w:val="000000"/>
                <w:sz w:val="24"/>
              </w:rPr>
              <w:t>3.7 法定代表人为同一人或者存在直接控股、管理关系的不同供应商，不得参加同一合同项下的政府采购活动（提供“国家企业信用信息公示系统”网站查询结果，查询结果应包含公司基本信息、股东及出资信息，查询日期自公告发布之日起，开标截止时间止）；</w:t>
            </w:r>
          </w:p>
          <w:p w14:paraId="5C79D0BF">
            <w:pPr>
              <w:spacing w:line="420" w:lineRule="exact"/>
              <w:rPr>
                <w:rFonts w:ascii="宋体" w:hAnsi="宋体"/>
                <w:color w:val="000000"/>
                <w:sz w:val="24"/>
              </w:rPr>
            </w:pPr>
            <w:r>
              <w:rPr>
                <w:rFonts w:hint="eastAsia" w:ascii="宋体" w:hAnsi="宋体"/>
                <w:color w:val="000000"/>
                <w:sz w:val="24"/>
              </w:rPr>
              <w:t>3.8 供应商与采购人、招标代理机构及其附属机构没有行政或经济关联；</w:t>
            </w:r>
          </w:p>
          <w:p w14:paraId="5E8B2C44">
            <w:pPr>
              <w:spacing w:line="420" w:lineRule="exact"/>
              <w:rPr>
                <w:rFonts w:ascii="宋体" w:hAnsi="宋体"/>
                <w:color w:val="000000"/>
                <w:sz w:val="24"/>
              </w:rPr>
            </w:pPr>
            <w:r>
              <w:rPr>
                <w:rFonts w:hint="eastAsia" w:ascii="宋体" w:hAnsi="宋体"/>
                <w:color w:val="000000"/>
                <w:sz w:val="24"/>
              </w:rPr>
              <w:t>3.9本项目不接受联合体投标。</w:t>
            </w:r>
          </w:p>
        </w:tc>
      </w:tr>
      <w:tr w14:paraId="4BE97C24">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4B15DC75">
            <w:pPr>
              <w:spacing w:line="450" w:lineRule="exact"/>
              <w:jc w:val="center"/>
              <w:rPr>
                <w:rFonts w:ascii="宋体" w:hAnsi="宋体" w:cs="宋体"/>
                <w:sz w:val="24"/>
              </w:rPr>
            </w:pPr>
            <w:r>
              <w:rPr>
                <w:rFonts w:hint="eastAsia" w:ascii="宋体" w:hAnsi="宋体" w:cs="宋体"/>
                <w:sz w:val="24"/>
              </w:rPr>
              <w:t>12</w:t>
            </w:r>
          </w:p>
        </w:tc>
        <w:tc>
          <w:tcPr>
            <w:tcW w:w="2657" w:type="dxa"/>
            <w:tcBorders>
              <w:top w:val="single" w:color="auto" w:sz="4" w:space="0"/>
              <w:left w:val="single" w:color="auto" w:sz="4" w:space="0"/>
              <w:bottom w:val="single" w:color="auto" w:sz="4" w:space="0"/>
              <w:right w:val="single" w:color="auto" w:sz="4" w:space="0"/>
            </w:tcBorders>
            <w:vAlign w:val="center"/>
          </w:tcPr>
          <w:p w14:paraId="17A3D5B7">
            <w:pPr>
              <w:spacing w:line="450" w:lineRule="exact"/>
              <w:jc w:val="center"/>
              <w:rPr>
                <w:rFonts w:ascii="宋体" w:hAnsi="宋体" w:cs="宋体"/>
                <w:sz w:val="24"/>
              </w:rPr>
            </w:pPr>
            <w:r>
              <w:rPr>
                <w:rFonts w:hint="eastAsia" w:ascii="宋体" w:hAnsi="宋体" w:cs="宋体"/>
                <w:sz w:val="24"/>
              </w:rPr>
              <w:t>投标预备会</w:t>
            </w:r>
          </w:p>
        </w:tc>
        <w:tc>
          <w:tcPr>
            <w:tcW w:w="6129" w:type="dxa"/>
            <w:tcBorders>
              <w:top w:val="single" w:color="auto" w:sz="4" w:space="0"/>
              <w:left w:val="single" w:color="auto" w:sz="4" w:space="0"/>
              <w:bottom w:val="single" w:color="auto" w:sz="4" w:space="0"/>
              <w:right w:val="single" w:color="auto" w:sz="4" w:space="0"/>
            </w:tcBorders>
            <w:vAlign w:val="center"/>
          </w:tcPr>
          <w:p w14:paraId="68DA61BC">
            <w:pPr>
              <w:spacing w:line="450" w:lineRule="exact"/>
              <w:rPr>
                <w:rFonts w:ascii="宋体" w:hAnsi="宋体" w:cs="宋体"/>
                <w:sz w:val="24"/>
              </w:rPr>
            </w:pPr>
            <w:r>
              <w:rPr>
                <w:rFonts w:hint="eastAsia" w:ascii="宋体" w:hAnsi="宋体" w:cs="宋体"/>
                <w:sz w:val="24"/>
              </w:rPr>
              <w:t>不召开</w:t>
            </w:r>
          </w:p>
        </w:tc>
      </w:tr>
      <w:tr w14:paraId="1DC7BB4C">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C44862D">
            <w:pPr>
              <w:spacing w:line="450" w:lineRule="exact"/>
              <w:jc w:val="center"/>
              <w:rPr>
                <w:rFonts w:ascii="宋体" w:hAnsi="宋体" w:cs="宋体"/>
                <w:sz w:val="24"/>
              </w:rPr>
            </w:pPr>
            <w:r>
              <w:rPr>
                <w:rFonts w:hint="eastAsia" w:ascii="宋体" w:hAnsi="宋体" w:cs="宋体"/>
                <w:sz w:val="24"/>
              </w:rPr>
              <w:t>13</w:t>
            </w:r>
          </w:p>
        </w:tc>
        <w:tc>
          <w:tcPr>
            <w:tcW w:w="2657" w:type="dxa"/>
            <w:tcBorders>
              <w:top w:val="single" w:color="auto" w:sz="4" w:space="0"/>
              <w:left w:val="single" w:color="auto" w:sz="4" w:space="0"/>
              <w:bottom w:val="single" w:color="auto" w:sz="4" w:space="0"/>
              <w:right w:val="single" w:color="auto" w:sz="4" w:space="0"/>
            </w:tcBorders>
            <w:vAlign w:val="center"/>
          </w:tcPr>
          <w:p w14:paraId="044817CE">
            <w:pPr>
              <w:spacing w:line="450" w:lineRule="exact"/>
              <w:jc w:val="center"/>
              <w:rPr>
                <w:rFonts w:ascii="宋体" w:hAnsi="宋体" w:cs="宋体"/>
                <w:sz w:val="24"/>
              </w:rPr>
            </w:pPr>
            <w:r>
              <w:rPr>
                <w:rFonts w:hint="eastAsia" w:ascii="宋体" w:hAnsi="宋体" w:cs="宋体"/>
                <w:sz w:val="24"/>
              </w:rPr>
              <w:t>分包</w:t>
            </w:r>
          </w:p>
        </w:tc>
        <w:tc>
          <w:tcPr>
            <w:tcW w:w="6129" w:type="dxa"/>
            <w:tcBorders>
              <w:top w:val="single" w:color="auto" w:sz="4" w:space="0"/>
              <w:left w:val="single" w:color="auto" w:sz="4" w:space="0"/>
              <w:bottom w:val="single" w:color="auto" w:sz="4" w:space="0"/>
              <w:right w:val="single" w:color="auto" w:sz="4" w:space="0"/>
            </w:tcBorders>
            <w:vAlign w:val="center"/>
          </w:tcPr>
          <w:p w14:paraId="7A03A7B2">
            <w:pPr>
              <w:spacing w:line="450" w:lineRule="exact"/>
              <w:rPr>
                <w:rFonts w:ascii="宋体" w:hAnsi="宋体" w:cs="宋体"/>
                <w:sz w:val="24"/>
              </w:rPr>
            </w:pPr>
            <w:r>
              <w:rPr>
                <w:rFonts w:hint="eastAsia" w:ascii="宋体" w:hAnsi="宋体" w:cs="宋体"/>
                <w:sz w:val="24"/>
              </w:rPr>
              <w:t>不允许</w:t>
            </w:r>
          </w:p>
        </w:tc>
      </w:tr>
      <w:tr w14:paraId="0E401F34">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5D7BBC37">
            <w:pPr>
              <w:spacing w:line="450" w:lineRule="exact"/>
              <w:jc w:val="center"/>
              <w:rPr>
                <w:rFonts w:ascii="宋体" w:hAnsi="宋体" w:cs="宋体"/>
                <w:sz w:val="24"/>
              </w:rPr>
            </w:pPr>
            <w:r>
              <w:rPr>
                <w:rFonts w:hint="eastAsia" w:ascii="宋体" w:hAnsi="宋体" w:cs="宋体"/>
                <w:sz w:val="24"/>
              </w:rPr>
              <w:t>14</w:t>
            </w:r>
          </w:p>
        </w:tc>
        <w:tc>
          <w:tcPr>
            <w:tcW w:w="2657" w:type="dxa"/>
            <w:tcBorders>
              <w:top w:val="single" w:color="auto" w:sz="4" w:space="0"/>
              <w:left w:val="single" w:color="auto" w:sz="4" w:space="0"/>
              <w:bottom w:val="single" w:color="auto" w:sz="4" w:space="0"/>
              <w:right w:val="single" w:color="auto" w:sz="4" w:space="0"/>
            </w:tcBorders>
            <w:vAlign w:val="center"/>
          </w:tcPr>
          <w:p w14:paraId="59612BCC">
            <w:pPr>
              <w:spacing w:line="450" w:lineRule="exact"/>
              <w:jc w:val="center"/>
              <w:rPr>
                <w:rFonts w:ascii="宋体" w:hAnsi="宋体" w:cs="宋体"/>
                <w:sz w:val="24"/>
              </w:rPr>
            </w:pPr>
            <w:r>
              <w:rPr>
                <w:rFonts w:hint="eastAsia" w:ascii="宋体" w:hAnsi="宋体" w:cs="宋体"/>
                <w:sz w:val="24"/>
              </w:rPr>
              <w:t>偏离</w:t>
            </w:r>
          </w:p>
        </w:tc>
        <w:tc>
          <w:tcPr>
            <w:tcW w:w="6129" w:type="dxa"/>
            <w:tcBorders>
              <w:top w:val="single" w:color="auto" w:sz="4" w:space="0"/>
              <w:left w:val="single" w:color="auto" w:sz="4" w:space="0"/>
              <w:bottom w:val="single" w:color="auto" w:sz="4" w:space="0"/>
              <w:right w:val="single" w:color="auto" w:sz="4" w:space="0"/>
            </w:tcBorders>
            <w:vAlign w:val="center"/>
          </w:tcPr>
          <w:p w14:paraId="194E9093">
            <w:pPr>
              <w:spacing w:line="450" w:lineRule="exact"/>
              <w:rPr>
                <w:rFonts w:ascii="宋体" w:hAnsi="宋体" w:cs="宋体"/>
                <w:sz w:val="24"/>
              </w:rPr>
            </w:pPr>
            <w:r>
              <w:rPr>
                <w:rFonts w:hint="eastAsia" w:ascii="宋体" w:hAnsi="宋体" w:cs="宋体"/>
                <w:sz w:val="24"/>
              </w:rPr>
              <w:t>不允许偏离</w:t>
            </w:r>
          </w:p>
        </w:tc>
      </w:tr>
      <w:tr w14:paraId="609212F6">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C22B9E4">
            <w:pPr>
              <w:spacing w:line="450" w:lineRule="exact"/>
              <w:jc w:val="center"/>
              <w:rPr>
                <w:rFonts w:ascii="宋体" w:hAnsi="宋体" w:cs="宋体"/>
                <w:sz w:val="24"/>
              </w:rPr>
            </w:pPr>
            <w:r>
              <w:rPr>
                <w:rFonts w:hint="eastAsia" w:ascii="宋体" w:hAnsi="宋体" w:cs="宋体"/>
                <w:sz w:val="24"/>
              </w:rPr>
              <w:t>15</w:t>
            </w:r>
          </w:p>
        </w:tc>
        <w:tc>
          <w:tcPr>
            <w:tcW w:w="2657" w:type="dxa"/>
            <w:tcBorders>
              <w:top w:val="single" w:color="auto" w:sz="4" w:space="0"/>
              <w:left w:val="single" w:color="auto" w:sz="4" w:space="0"/>
              <w:bottom w:val="single" w:color="auto" w:sz="4" w:space="0"/>
              <w:right w:val="single" w:color="auto" w:sz="4" w:space="0"/>
            </w:tcBorders>
            <w:vAlign w:val="center"/>
          </w:tcPr>
          <w:p w14:paraId="7834CBC6">
            <w:pPr>
              <w:spacing w:line="450" w:lineRule="exact"/>
              <w:jc w:val="center"/>
              <w:rPr>
                <w:rFonts w:ascii="宋体" w:hAnsi="宋体" w:cs="宋体"/>
                <w:sz w:val="24"/>
              </w:rPr>
            </w:pPr>
            <w:r>
              <w:rPr>
                <w:rFonts w:hint="eastAsia" w:ascii="宋体" w:hAnsi="宋体" w:cs="宋体"/>
                <w:sz w:val="24"/>
              </w:rPr>
              <w:t>供应商提出问题的截止时间</w:t>
            </w:r>
          </w:p>
        </w:tc>
        <w:tc>
          <w:tcPr>
            <w:tcW w:w="6129" w:type="dxa"/>
            <w:tcBorders>
              <w:top w:val="single" w:color="auto" w:sz="4" w:space="0"/>
              <w:left w:val="single" w:color="auto" w:sz="4" w:space="0"/>
              <w:bottom w:val="single" w:color="auto" w:sz="4" w:space="0"/>
              <w:right w:val="single" w:color="auto" w:sz="4" w:space="0"/>
            </w:tcBorders>
            <w:vAlign w:val="center"/>
          </w:tcPr>
          <w:p w14:paraId="1B6B8A60">
            <w:pPr>
              <w:spacing w:line="450" w:lineRule="exact"/>
              <w:rPr>
                <w:rFonts w:ascii="宋体" w:hAnsi="宋体" w:cs="宋体"/>
                <w:sz w:val="24"/>
              </w:rPr>
            </w:pPr>
            <w:r>
              <w:rPr>
                <w:rFonts w:hint="eastAsia" w:ascii="宋体" w:hAnsi="宋体" w:cs="宋体"/>
                <w:sz w:val="24"/>
              </w:rPr>
              <w:t>响应性文件递交截止时间5天前</w:t>
            </w:r>
          </w:p>
        </w:tc>
      </w:tr>
      <w:tr w14:paraId="7DE33534">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429E6C5">
            <w:pPr>
              <w:spacing w:line="450" w:lineRule="exact"/>
              <w:jc w:val="center"/>
              <w:rPr>
                <w:rFonts w:ascii="宋体" w:hAnsi="宋体" w:cs="宋体"/>
                <w:sz w:val="24"/>
              </w:rPr>
            </w:pPr>
            <w:r>
              <w:rPr>
                <w:rFonts w:hint="eastAsia" w:ascii="宋体" w:hAnsi="宋体" w:cs="宋体"/>
                <w:sz w:val="24"/>
              </w:rPr>
              <w:t>16</w:t>
            </w:r>
          </w:p>
        </w:tc>
        <w:tc>
          <w:tcPr>
            <w:tcW w:w="2657" w:type="dxa"/>
            <w:tcBorders>
              <w:top w:val="single" w:color="auto" w:sz="4" w:space="0"/>
              <w:left w:val="single" w:color="auto" w:sz="4" w:space="0"/>
              <w:bottom w:val="single" w:color="auto" w:sz="4" w:space="0"/>
              <w:right w:val="single" w:color="auto" w:sz="4" w:space="0"/>
            </w:tcBorders>
            <w:vAlign w:val="center"/>
          </w:tcPr>
          <w:p w14:paraId="622242BA">
            <w:pPr>
              <w:spacing w:line="450" w:lineRule="exact"/>
              <w:jc w:val="center"/>
              <w:rPr>
                <w:rFonts w:ascii="宋体" w:hAnsi="宋体" w:cs="宋体"/>
                <w:sz w:val="24"/>
              </w:rPr>
            </w:pPr>
            <w:r>
              <w:rPr>
                <w:rFonts w:hint="eastAsia" w:ascii="宋体" w:hAnsi="宋体" w:cs="宋体"/>
                <w:sz w:val="24"/>
              </w:rPr>
              <w:t>采购人书面澄清的时间</w:t>
            </w:r>
          </w:p>
        </w:tc>
        <w:tc>
          <w:tcPr>
            <w:tcW w:w="6129" w:type="dxa"/>
            <w:tcBorders>
              <w:top w:val="single" w:color="auto" w:sz="4" w:space="0"/>
              <w:left w:val="single" w:color="auto" w:sz="4" w:space="0"/>
              <w:bottom w:val="single" w:color="auto" w:sz="4" w:space="0"/>
              <w:right w:val="single" w:color="auto" w:sz="4" w:space="0"/>
            </w:tcBorders>
            <w:vAlign w:val="center"/>
          </w:tcPr>
          <w:p w14:paraId="2F277955">
            <w:pPr>
              <w:spacing w:line="450" w:lineRule="exact"/>
              <w:rPr>
                <w:rFonts w:ascii="宋体" w:hAnsi="宋体" w:cs="宋体"/>
                <w:sz w:val="24"/>
              </w:rPr>
            </w:pPr>
            <w:r>
              <w:rPr>
                <w:rFonts w:hint="eastAsia" w:ascii="宋体" w:hAnsi="宋体" w:cs="宋体"/>
                <w:sz w:val="24"/>
              </w:rPr>
              <w:t>响应性文件递交截止时间5天前</w:t>
            </w:r>
          </w:p>
        </w:tc>
      </w:tr>
      <w:tr w14:paraId="4A6B03ED">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17E8C1B">
            <w:pPr>
              <w:spacing w:line="450" w:lineRule="exact"/>
              <w:jc w:val="center"/>
              <w:rPr>
                <w:rFonts w:ascii="宋体" w:hAnsi="宋体" w:cs="宋体"/>
                <w:sz w:val="24"/>
              </w:rPr>
            </w:pPr>
            <w:r>
              <w:rPr>
                <w:rFonts w:hint="eastAsia" w:ascii="宋体" w:hAnsi="宋体" w:cs="宋体"/>
                <w:sz w:val="24"/>
              </w:rPr>
              <w:t>17</w:t>
            </w:r>
          </w:p>
        </w:tc>
        <w:tc>
          <w:tcPr>
            <w:tcW w:w="2657" w:type="dxa"/>
            <w:tcBorders>
              <w:top w:val="single" w:color="auto" w:sz="4" w:space="0"/>
              <w:left w:val="single" w:color="auto" w:sz="4" w:space="0"/>
              <w:bottom w:val="single" w:color="auto" w:sz="4" w:space="0"/>
              <w:right w:val="single" w:color="auto" w:sz="4" w:space="0"/>
            </w:tcBorders>
            <w:vAlign w:val="center"/>
          </w:tcPr>
          <w:p w14:paraId="223B720C">
            <w:pPr>
              <w:spacing w:line="450" w:lineRule="exact"/>
              <w:jc w:val="center"/>
              <w:rPr>
                <w:rFonts w:ascii="宋体" w:hAnsi="宋体" w:cs="宋体"/>
                <w:color w:val="auto"/>
                <w:sz w:val="24"/>
              </w:rPr>
            </w:pPr>
            <w:r>
              <w:rPr>
                <w:rFonts w:hint="eastAsia" w:ascii="宋体" w:hAnsi="宋体" w:cs="宋体"/>
                <w:color w:val="auto"/>
                <w:sz w:val="24"/>
              </w:rPr>
              <w:t>响应性文件递交截止时间</w:t>
            </w:r>
          </w:p>
        </w:tc>
        <w:tc>
          <w:tcPr>
            <w:tcW w:w="6129" w:type="dxa"/>
            <w:tcBorders>
              <w:top w:val="single" w:color="auto" w:sz="4" w:space="0"/>
              <w:left w:val="single" w:color="auto" w:sz="4" w:space="0"/>
              <w:bottom w:val="single" w:color="auto" w:sz="4" w:space="0"/>
              <w:right w:val="single" w:color="auto" w:sz="4" w:space="0"/>
            </w:tcBorders>
            <w:vAlign w:val="center"/>
          </w:tcPr>
          <w:p w14:paraId="205A09E6">
            <w:pPr>
              <w:spacing w:line="450" w:lineRule="exact"/>
              <w:rPr>
                <w:rFonts w:ascii="宋体" w:hAnsi="宋体" w:cs="宋体"/>
                <w:color w:val="auto"/>
                <w:sz w:val="24"/>
              </w:rPr>
            </w:pPr>
            <w:r>
              <w:rPr>
                <w:rFonts w:hint="eastAsia" w:ascii="宋体" w:hAnsi="宋体" w:cs="宋体"/>
                <w:color w:val="auto"/>
                <w:sz w:val="24"/>
                <w:lang w:val="en-US" w:eastAsia="zh-CN"/>
              </w:rPr>
              <w:t>2026年11月3日</w:t>
            </w:r>
            <w:r>
              <w:rPr>
                <w:rFonts w:hint="eastAsia" w:ascii="宋体" w:hAnsi="宋体" w:cs="宋体"/>
                <w:color w:val="auto"/>
                <w:sz w:val="24"/>
              </w:rPr>
              <w:t xml:space="preserve"> </w:t>
            </w:r>
            <w:r>
              <w:rPr>
                <w:rFonts w:hint="eastAsia" w:ascii="宋体" w:hAnsi="宋体" w:cs="宋体"/>
                <w:color w:val="auto"/>
                <w:sz w:val="24"/>
                <w:lang w:val="en-US" w:eastAsia="zh-CN"/>
              </w:rPr>
              <w:t>8</w:t>
            </w:r>
            <w:r>
              <w:rPr>
                <w:rFonts w:hint="eastAsia" w:ascii="宋体" w:hAnsi="宋体" w:cs="宋体"/>
                <w:color w:val="auto"/>
                <w:sz w:val="24"/>
              </w:rPr>
              <w:t xml:space="preserve"> 时 </w:t>
            </w:r>
            <w:r>
              <w:rPr>
                <w:rFonts w:hint="eastAsia" w:ascii="宋体" w:hAnsi="宋体" w:cs="宋体"/>
                <w:color w:val="auto"/>
                <w:sz w:val="24"/>
                <w:lang w:val="en-US" w:eastAsia="zh-CN"/>
              </w:rPr>
              <w:t>30</w:t>
            </w:r>
            <w:r>
              <w:rPr>
                <w:rFonts w:hint="eastAsia" w:ascii="宋体" w:hAnsi="宋体" w:cs="宋体"/>
                <w:color w:val="auto"/>
                <w:sz w:val="24"/>
              </w:rPr>
              <w:t xml:space="preserve"> 分</w:t>
            </w:r>
          </w:p>
        </w:tc>
      </w:tr>
      <w:tr w14:paraId="10B1FB56">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3F199F9C">
            <w:pPr>
              <w:spacing w:line="450" w:lineRule="exact"/>
              <w:jc w:val="center"/>
              <w:rPr>
                <w:rFonts w:ascii="宋体" w:hAnsi="宋体" w:cs="宋体"/>
                <w:sz w:val="24"/>
              </w:rPr>
            </w:pPr>
            <w:r>
              <w:rPr>
                <w:rFonts w:hint="eastAsia" w:ascii="宋体" w:hAnsi="宋体" w:cs="宋体"/>
                <w:sz w:val="24"/>
              </w:rPr>
              <w:t>18</w:t>
            </w:r>
          </w:p>
        </w:tc>
        <w:tc>
          <w:tcPr>
            <w:tcW w:w="2657" w:type="dxa"/>
            <w:tcBorders>
              <w:top w:val="single" w:color="auto" w:sz="4" w:space="0"/>
              <w:left w:val="single" w:color="auto" w:sz="4" w:space="0"/>
              <w:bottom w:val="single" w:color="auto" w:sz="4" w:space="0"/>
              <w:right w:val="single" w:color="auto" w:sz="4" w:space="0"/>
            </w:tcBorders>
            <w:vAlign w:val="center"/>
          </w:tcPr>
          <w:p w14:paraId="559213F6">
            <w:pPr>
              <w:spacing w:line="450" w:lineRule="exact"/>
              <w:jc w:val="center"/>
              <w:rPr>
                <w:rFonts w:ascii="宋体" w:hAnsi="宋体" w:cs="宋体"/>
                <w:sz w:val="24"/>
              </w:rPr>
            </w:pPr>
            <w:r>
              <w:rPr>
                <w:rFonts w:hint="eastAsia" w:ascii="宋体" w:hAnsi="宋体" w:cs="宋体"/>
                <w:sz w:val="24"/>
              </w:rPr>
              <w:t>供应商确认收到竞争性磋商文件的澄清时间</w:t>
            </w:r>
          </w:p>
        </w:tc>
        <w:tc>
          <w:tcPr>
            <w:tcW w:w="6129" w:type="dxa"/>
            <w:tcBorders>
              <w:top w:val="single" w:color="auto" w:sz="4" w:space="0"/>
              <w:left w:val="single" w:color="auto" w:sz="4" w:space="0"/>
              <w:bottom w:val="single" w:color="auto" w:sz="4" w:space="0"/>
              <w:right w:val="single" w:color="auto" w:sz="4" w:space="0"/>
            </w:tcBorders>
            <w:vAlign w:val="center"/>
          </w:tcPr>
          <w:p w14:paraId="2A4C3604">
            <w:pPr>
              <w:spacing w:line="450" w:lineRule="exact"/>
              <w:rPr>
                <w:rFonts w:ascii="宋体" w:hAnsi="宋体" w:cs="宋体"/>
                <w:sz w:val="24"/>
              </w:rPr>
            </w:pPr>
            <w:r>
              <w:rPr>
                <w:rFonts w:hint="eastAsia" w:ascii="宋体" w:hAnsi="宋体" w:cs="宋体"/>
                <w:sz w:val="24"/>
              </w:rPr>
              <w:t>磋商公告给予确认回函，</w:t>
            </w:r>
            <w:r>
              <w:rPr>
                <w:rFonts w:hint="eastAsia" w:ascii="宋体" w:hAnsi="宋体"/>
                <w:color w:val="000000"/>
                <w:sz w:val="24"/>
              </w:rPr>
              <w:t>未回函视为默认收到。</w:t>
            </w:r>
          </w:p>
        </w:tc>
      </w:tr>
      <w:tr w14:paraId="4A656B46">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ED5EDCC">
            <w:pPr>
              <w:spacing w:line="450" w:lineRule="exact"/>
              <w:jc w:val="center"/>
              <w:rPr>
                <w:rFonts w:ascii="宋体" w:hAnsi="宋体" w:cs="宋体"/>
                <w:sz w:val="24"/>
              </w:rPr>
            </w:pPr>
            <w:r>
              <w:rPr>
                <w:rFonts w:hint="eastAsia" w:ascii="宋体" w:hAnsi="宋体" w:cs="宋体"/>
                <w:sz w:val="24"/>
              </w:rPr>
              <w:t>19</w:t>
            </w:r>
          </w:p>
        </w:tc>
        <w:tc>
          <w:tcPr>
            <w:tcW w:w="2657" w:type="dxa"/>
            <w:tcBorders>
              <w:top w:val="single" w:color="auto" w:sz="4" w:space="0"/>
              <w:left w:val="single" w:color="auto" w:sz="4" w:space="0"/>
              <w:bottom w:val="single" w:color="auto" w:sz="4" w:space="0"/>
              <w:right w:val="single" w:color="auto" w:sz="4" w:space="0"/>
            </w:tcBorders>
            <w:vAlign w:val="center"/>
          </w:tcPr>
          <w:p w14:paraId="68390DE3">
            <w:pPr>
              <w:spacing w:line="450" w:lineRule="exact"/>
              <w:jc w:val="center"/>
              <w:rPr>
                <w:rFonts w:ascii="宋体" w:hAnsi="宋体" w:cs="宋体"/>
                <w:sz w:val="24"/>
              </w:rPr>
            </w:pPr>
            <w:r>
              <w:rPr>
                <w:rFonts w:hint="eastAsia" w:ascii="宋体" w:hAnsi="宋体" w:cs="宋体"/>
                <w:sz w:val="24"/>
              </w:rPr>
              <w:t>供应商确认收到竞争性磋商文件的修改时间</w:t>
            </w:r>
          </w:p>
        </w:tc>
        <w:tc>
          <w:tcPr>
            <w:tcW w:w="6129" w:type="dxa"/>
            <w:tcBorders>
              <w:top w:val="single" w:color="auto" w:sz="4" w:space="0"/>
              <w:left w:val="single" w:color="auto" w:sz="4" w:space="0"/>
              <w:bottom w:val="single" w:color="auto" w:sz="4" w:space="0"/>
              <w:right w:val="single" w:color="auto" w:sz="4" w:space="0"/>
            </w:tcBorders>
            <w:vAlign w:val="center"/>
          </w:tcPr>
          <w:p w14:paraId="3E9E03F2">
            <w:pPr>
              <w:spacing w:line="450" w:lineRule="exact"/>
              <w:rPr>
                <w:rFonts w:ascii="宋体" w:hAnsi="宋体" w:cs="宋体"/>
                <w:sz w:val="24"/>
              </w:rPr>
            </w:pPr>
            <w:r>
              <w:rPr>
                <w:rFonts w:hint="eastAsia" w:ascii="宋体" w:hAnsi="宋体" w:cs="宋体"/>
                <w:sz w:val="24"/>
              </w:rPr>
              <w:t>磋商公告给予确认回函，</w:t>
            </w:r>
            <w:r>
              <w:rPr>
                <w:rFonts w:hint="eastAsia" w:ascii="宋体" w:hAnsi="宋体"/>
                <w:color w:val="000000"/>
                <w:sz w:val="24"/>
              </w:rPr>
              <w:t>未回函视为默认收到。</w:t>
            </w:r>
          </w:p>
        </w:tc>
      </w:tr>
      <w:tr w14:paraId="43B86E23">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D380011">
            <w:pPr>
              <w:spacing w:line="360" w:lineRule="auto"/>
              <w:jc w:val="center"/>
              <w:rPr>
                <w:rFonts w:ascii="宋体" w:hAnsi="宋体" w:cs="宋体"/>
                <w:sz w:val="24"/>
              </w:rPr>
            </w:pPr>
            <w:r>
              <w:rPr>
                <w:rFonts w:hint="eastAsia" w:ascii="宋体" w:hAnsi="宋体" w:cs="宋体"/>
                <w:sz w:val="24"/>
              </w:rPr>
              <w:t>20</w:t>
            </w:r>
          </w:p>
        </w:tc>
        <w:tc>
          <w:tcPr>
            <w:tcW w:w="2657" w:type="dxa"/>
            <w:tcBorders>
              <w:top w:val="single" w:color="auto" w:sz="4" w:space="0"/>
              <w:left w:val="single" w:color="auto" w:sz="4" w:space="0"/>
              <w:bottom w:val="single" w:color="auto" w:sz="4" w:space="0"/>
              <w:right w:val="single" w:color="auto" w:sz="4" w:space="0"/>
            </w:tcBorders>
            <w:vAlign w:val="center"/>
          </w:tcPr>
          <w:p w14:paraId="7BDC9D42">
            <w:pPr>
              <w:spacing w:line="450" w:lineRule="exact"/>
              <w:jc w:val="center"/>
              <w:rPr>
                <w:rFonts w:ascii="宋体" w:hAnsi="宋体" w:cs="宋体"/>
                <w:sz w:val="24"/>
              </w:rPr>
            </w:pPr>
            <w:r>
              <w:rPr>
                <w:rFonts w:hint="eastAsia" w:ascii="宋体" w:hAnsi="宋体" w:cs="宋体"/>
                <w:sz w:val="24"/>
              </w:rPr>
              <w:t>投标有效期</w:t>
            </w:r>
          </w:p>
        </w:tc>
        <w:tc>
          <w:tcPr>
            <w:tcW w:w="6129" w:type="dxa"/>
            <w:tcBorders>
              <w:top w:val="single" w:color="auto" w:sz="4" w:space="0"/>
              <w:left w:val="single" w:color="auto" w:sz="4" w:space="0"/>
              <w:bottom w:val="single" w:color="auto" w:sz="4" w:space="0"/>
              <w:right w:val="single" w:color="auto" w:sz="4" w:space="0"/>
            </w:tcBorders>
            <w:vAlign w:val="center"/>
          </w:tcPr>
          <w:p w14:paraId="58F48C9D">
            <w:pPr>
              <w:spacing w:line="450" w:lineRule="exact"/>
              <w:rPr>
                <w:rFonts w:ascii="宋体" w:hAnsi="宋体" w:cs="宋体"/>
                <w:sz w:val="24"/>
              </w:rPr>
            </w:pPr>
            <w:r>
              <w:rPr>
                <w:rFonts w:hint="eastAsia" w:ascii="宋体" w:hAnsi="宋体" w:cs="宋体"/>
                <w:sz w:val="24"/>
              </w:rPr>
              <w:t>自响应性文件递交截止之日起60日历天</w:t>
            </w:r>
          </w:p>
        </w:tc>
      </w:tr>
      <w:tr w14:paraId="1879B3A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777BB2B">
            <w:pPr>
              <w:spacing w:line="360" w:lineRule="auto"/>
              <w:jc w:val="center"/>
              <w:rPr>
                <w:rFonts w:ascii="宋体" w:hAnsi="宋体" w:cs="宋体"/>
                <w:sz w:val="24"/>
              </w:rPr>
            </w:pPr>
            <w:r>
              <w:rPr>
                <w:rFonts w:hint="eastAsia" w:ascii="宋体" w:hAnsi="宋体" w:cs="宋体"/>
                <w:sz w:val="24"/>
              </w:rPr>
              <w:t>21</w:t>
            </w:r>
          </w:p>
        </w:tc>
        <w:tc>
          <w:tcPr>
            <w:tcW w:w="2657" w:type="dxa"/>
            <w:tcBorders>
              <w:top w:val="single" w:color="auto" w:sz="4" w:space="0"/>
              <w:left w:val="single" w:color="auto" w:sz="4" w:space="0"/>
              <w:bottom w:val="single" w:color="auto" w:sz="4" w:space="0"/>
              <w:right w:val="single" w:color="auto" w:sz="4" w:space="0"/>
            </w:tcBorders>
            <w:vAlign w:val="center"/>
          </w:tcPr>
          <w:p w14:paraId="6F391933">
            <w:pPr>
              <w:spacing w:line="360" w:lineRule="auto"/>
              <w:jc w:val="center"/>
              <w:rPr>
                <w:rFonts w:ascii="宋体" w:hAnsi="宋体" w:cs="宋体"/>
                <w:sz w:val="24"/>
              </w:rPr>
            </w:pPr>
            <w:r>
              <w:rPr>
                <w:rFonts w:hint="eastAsia" w:ascii="宋体" w:hAnsi="宋体" w:cs="宋体"/>
                <w:sz w:val="24"/>
              </w:rPr>
              <w:t>磋商保证金</w:t>
            </w:r>
          </w:p>
        </w:tc>
        <w:tc>
          <w:tcPr>
            <w:tcW w:w="6129" w:type="dxa"/>
            <w:tcBorders>
              <w:top w:val="single" w:color="auto" w:sz="4" w:space="0"/>
              <w:left w:val="single" w:color="auto" w:sz="4" w:space="0"/>
              <w:bottom w:val="single" w:color="auto" w:sz="4" w:space="0"/>
              <w:right w:val="single" w:color="auto" w:sz="4" w:space="0"/>
            </w:tcBorders>
            <w:vAlign w:val="center"/>
          </w:tcPr>
          <w:p w14:paraId="7F64E4BD">
            <w:pPr>
              <w:spacing w:line="360" w:lineRule="auto"/>
              <w:rPr>
                <w:rFonts w:ascii="宋体" w:hAnsi="宋体" w:cs="宋体"/>
                <w:sz w:val="24"/>
              </w:rPr>
            </w:pPr>
            <w:r>
              <w:rPr>
                <w:rFonts w:hint="eastAsia" w:ascii="宋体" w:hAnsi="宋体" w:cs="宋体"/>
                <w:sz w:val="24"/>
              </w:rPr>
              <w:t>按照《河南省财政厅关于优化政府采购营商环境有关问题的通知》（豫财购[2019]4号文）的要求本项目不再收取投标保证金。</w:t>
            </w:r>
          </w:p>
        </w:tc>
      </w:tr>
      <w:tr w14:paraId="55CFB43E">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E7893BB">
            <w:pPr>
              <w:spacing w:line="360" w:lineRule="auto"/>
              <w:jc w:val="center"/>
              <w:rPr>
                <w:rFonts w:ascii="宋体" w:hAnsi="宋体" w:cs="宋体"/>
                <w:sz w:val="24"/>
              </w:rPr>
            </w:pPr>
            <w:r>
              <w:rPr>
                <w:rFonts w:hint="eastAsia" w:ascii="宋体" w:hAnsi="宋体" w:cs="宋体"/>
                <w:sz w:val="24"/>
              </w:rPr>
              <w:t>22</w:t>
            </w:r>
          </w:p>
        </w:tc>
        <w:tc>
          <w:tcPr>
            <w:tcW w:w="2657" w:type="dxa"/>
            <w:tcBorders>
              <w:top w:val="single" w:color="auto" w:sz="4" w:space="0"/>
              <w:left w:val="single" w:color="auto" w:sz="4" w:space="0"/>
              <w:bottom w:val="single" w:color="auto" w:sz="4" w:space="0"/>
              <w:right w:val="single" w:color="auto" w:sz="4" w:space="0"/>
            </w:tcBorders>
            <w:vAlign w:val="center"/>
          </w:tcPr>
          <w:p w14:paraId="3E6D6C9D">
            <w:pPr>
              <w:spacing w:line="360" w:lineRule="auto"/>
              <w:jc w:val="center"/>
              <w:rPr>
                <w:rFonts w:ascii="宋体" w:hAnsi="宋体" w:cs="宋体"/>
                <w:sz w:val="24"/>
              </w:rPr>
            </w:pPr>
            <w:r>
              <w:rPr>
                <w:rFonts w:hint="eastAsia" w:ascii="宋体" w:hAnsi="宋体" w:cs="宋体"/>
                <w:sz w:val="24"/>
              </w:rPr>
              <w:t>电子化响应文件的签章</w:t>
            </w:r>
          </w:p>
        </w:tc>
        <w:tc>
          <w:tcPr>
            <w:tcW w:w="6129" w:type="dxa"/>
            <w:tcBorders>
              <w:top w:val="single" w:color="auto" w:sz="4" w:space="0"/>
              <w:left w:val="single" w:color="auto" w:sz="4" w:space="0"/>
              <w:bottom w:val="single" w:color="auto" w:sz="4" w:space="0"/>
              <w:right w:val="single" w:color="auto" w:sz="4" w:space="0"/>
            </w:tcBorders>
            <w:vAlign w:val="center"/>
          </w:tcPr>
          <w:p w14:paraId="57DFDCB4">
            <w:pPr>
              <w:spacing w:line="360" w:lineRule="auto"/>
              <w:rPr>
                <w:rFonts w:ascii="宋体" w:hAnsi="宋体" w:cs="宋体"/>
                <w:color w:val="000000"/>
                <w:kern w:val="10"/>
                <w:sz w:val="24"/>
              </w:rPr>
            </w:pPr>
            <w:r>
              <w:rPr>
                <w:rFonts w:hint="eastAsia" w:ascii="宋体" w:hAnsi="宋体" w:cs="宋体"/>
                <w:color w:val="000000"/>
                <w:kern w:val="10"/>
                <w:sz w:val="24"/>
              </w:rPr>
              <w:t>1、供应商在生成电子化投标文件后，应对电子化投标文件进行签章，未进行签章的视为无效投标。</w:t>
            </w:r>
          </w:p>
          <w:p w14:paraId="06A25134">
            <w:pPr>
              <w:spacing w:line="360" w:lineRule="auto"/>
              <w:rPr>
                <w:rFonts w:ascii="宋体" w:hAnsi="宋体" w:cs="宋体"/>
                <w:sz w:val="24"/>
              </w:rPr>
            </w:pPr>
            <w:r>
              <w:rPr>
                <w:rFonts w:hint="eastAsia" w:ascii="宋体" w:hAnsi="宋体" w:cs="宋体"/>
                <w:color w:val="000000"/>
                <w:kern w:val="10"/>
                <w:sz w:val="24"/>
              </w:rPr>
              <w:t>2、</w:t>
            </w:r>
            <w:r>
              <w:rPr>
                <w:rFonts w:hint="eastAsia" w:ascii="宋体" w:hAnsi="宋体"/>
                <w:sz w:val="24"/>
              </w:rPr>
              <w:t>投标人在进行电子化投标文件签章时，磋商文件中要求投标人、</w:t>
            </w:r>
            <w:r>
              <w:rPr>
                <w:rFonts w:hint="eastAsia" w:ascii="宋体" w:hAnsi="宋体" w:cs="宋体"/>
                <w:sz w:val="24"/>
              </w:rPr>
              <w:t>法定代表人</w:t>
            </w:r>
            <w:r>
              <w:rPr>
                <w:rFonts w:hint="eastAsia" w:ascii="宋体" w:hAnsi="宋体"/>
                <w:sz w:val="24"/>
              </w:rPr>
              <w:t>盖章的，以电子签章为准；要求委托代理人签章或签字的以签字为准。</w:t>
            </w:r>
          </w:p>
        </w:tc>
      </w:tr>
      <w:tr w14:paraId="12A4641B">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C7E78BA">
            <w:pPr>
              <w:spacing w:line="360" w:lineRule="auto"/>
              <w:jc w:val="center"/>
              <w:rPr>
                <w:rFonts w:ascii="宋体" w:hAnsi="宋体" w:cs="宋体"/>
                <w:sz w:val="24"/>
              </w:rPr>
            </w:pPr>
            <w:r>
              <w:rPr>
                <w:rFonts w:hint="eastAsia" w:ascii="宋体" w:hAnsi="宋体" w:cs="宋体"/>
                <w:sz w:val="24"/>
              </w:rPr>
              <w:t>23</w:t>
            </w:r>
          </w:p>
        </w:tc>
        <w:tc>
          <w:tcPr>
            <w:tcW w:w="2657" w:type="dxa"/>
            <w:tcBorders>
              <w:top w:val="single" w:color="auto" w:sz="4" w:space="0"/>
              <w:left w:val="single" w:color="auto" w:sz="4" w:space="0"/>
              <w:bottom w:val="single" w:color="auto" w:sz="4" w:space="0"/>
              <w:right w:val="single" w:color="auto" w:sz="4" w:space="0"/>
            </w:tcBorders>
            <w:vAlign w:val="center"/>
          </w:tcPr>
          <w:p w14:paraId="130E1617">
            <w:pPr>
              <w:widowControl/>
              <w:spacing w:line="259" w:lineRule="auto"/>
              <w:rPr>
                <w:rFonts w:ascii="宋体" w:hAnsi="宋体" w:cs="宋体"/>
                <w:kern w:val="0"/>
                <w:sz w:val="24"/>
              </w:rPr>
            </w:pPr>
            <w:r>
              <w:rPr>
                <w:rFonts w:hint="eastAsia" w:ascii="宋体" w:hAnsi="宋体" w:cs="宋体"/>
                <w:sz w:val="24"/>
              </w:rPr>
              <w:t>电子化响应文件的格式及上传投标</w:t>
            </w:r>
          </w:p>
        </w:tc>
        <w:tc>
          <w:tcPr>
            <w:tcW w:w="6129" w:type="dxa"/>
            <w:tcBorders>
              <w:top w:val="single" w:color="auto" w:sz="4" w:space="0"/>
              <w:left w:val="single" w:color="auto" w:sz="4" w:space="0"/>
              <w:bottom w:val="single" w:color="auto" w:sz="4" w:space="0"/>
              <w:right w:val="single" w:color="auto" w:sz="4" w:space="0"/>
            </w:tcBorders>
          </w:tcPr>
          <w:p w14:paraId="3C0FEB5D">
            <w:pPr>
              <w:spacing w:line="360" w:lineRule="auto"/>
              <w:rPr>
                <w:rFonts w:ascii="宋体" w:hAnsi="宋体" w:cs="宋体"/>
                <w:spacing w:val="5"/>
                <w:sz w:val="24"/>
              </w:rPr>
            </w:pPr>
            <w:r>
              <w:rPr>
                <w:rFonts w:hint="eastAsia" w:ascii="宋体" w:hAnsi="宋体" w:cs="宋体"/>
                <w:spacing w:val="5"/>
                <w:sz w:val="24"/>
              </w:rPr>
              <w:t>1、供应商所上传的电子化响应文件，应是通过中心投标文件制作系统制作的（投标文件制作工具下载地址：</w:t>
            </w:r>
          </w:p>
          <w:p w14:paraId="5BA17524">
            <w:pPr>
              <w:widowControl/>
              <w:spacing w:line="360" w:lineRule="auto"/>
              <w:rPr>
                <w:rFonts w:ascii="宋体" w:hAnsi="宋体" w:cs="宋体"/>
                <w:spacing w:val="5"/>
                <w:sz w:val="24"/>
              </w:rPr>
            </w:pPr>
            <w:r>
              <w:rPr>
                <w:rFonts w:hint="eastAsia" w:ascii="宋体" w:hAnsi="宋体" w:cs="宋体"/>
                <w:spacing w:val="5"/>
                <w:sz w:val="24"/>
              </w:rPr>
              <w:t>（http://120.194.249.36:10094/BidOpening/bidopeninghallaction/hall/login），经过签章和加密后生成的电子版响应文件。生成的电子版响应文件包含用于响应文件上传的主文件和用于应急补救的响应文件备份文件，备份文件主要用于电子化开标出现技术问题后的补救。</w:t>
            </w:r>
          </w:p>
          <w:p w14:paraId="2D313907">
            <w:pPr>
              <w:widowControl/>
              <w:spacing w:line="360" w:lineRule="auto"/>
              <w:rPr>
                <w:rFonts w:ascii="宋体" w:hAnsi="宋体" w:cs="宋体"/>
                <w:spacing w:val="5"/>
                <w:sz w:val="24"/>
              </w:rPr>
            </w:pPr>
            <w:r>
              <w:rPr>
                <w:rFonts w:hint="eastAsia" w:ascii="宋体" w:hAnsi="宋体" w:cs="宋体"/>
                <w:spacing w:val="5"/>
                <w:sz w:val="24"/>
              </w:rPr>
              <w:t>注：供应商投报多个标段的，每个标段均要生成独立的电子响应文件。</w:t>
            </w:r>
          </w:p>
          <w:p w14:paraId="1627E679">
            <w:pPr>
              <w:widowControl/>
              <w:spacing w:line="360" w:lineRule="auto"/>
              <w:rPr>
                <w:rFonts w:ascii="宋体" w:hAnsi="宋体" w:cs="宋体"/>
                <w:spacing w:val="5"/>
                <w:sz w:val="24"/>
              </w:rPr>
            </w:pPr>
            <w:r>
              <w:rPr>
                <w:rFonts w:hint="eastAsia" w:ascii="宋体" w:hAnsi="宋体" w:cs="宋体"/>
                <w:spacing w:val="5"/>
                <w:sz w:val="24"/>
              </w:rPr>
              <w:t>2、电子化响应文件应在投标截止时间前成功上传至三门峡市公共资源电子化交易系统。至投标截止时间止，仍未上传成功的电子化响应文件将不予接收。</w:t>
            </w:r>
          </w:p>
          <w:p w14:paraId="4BB91679">
            <w:pPr>
              <w:widowControl/>
              <w:spacing w:line="360" w:lineRule="auto"/>
              <w:rPr>
                <w:rFonts w:ascii="宋体" w:hAnsi="宋体" w:cs="宋体"/>
                <w:spacing w:val="5"/>
                <w:sz w:val="24"/>
              </w:rPr>
            </w:pPr>
            <w:r>
              <w:rPr>
                <w:rFonts w:hint="eastAsia" w:ascii="宋体" w:hAnsi="宋体" w:cs="宋体"/>
                <w:spacing w:val="5"/>
                <w:sz w:val="24"/>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6A2A98A4">
            <w:pPr>
              <w:widowControl/>
              <w:spacing w:line="259" w:lineRule="auto"/>
              <w:ind w:right="105" w:rightChars="50"/>
              <w:jc w:val="left"/>
              <w:rPr>
                <w:rFonts w:ascii="宋体" w:hAnsi="宋体" w:cs="宋体"/>
                <w:kern w:val="0"/>
                <w:sz w:val="24"/>
              </w:rPr>
            </w:pPr>
            <w:r>
              <w:rPr>
                <w:rFonts w:hint="eastAsia" w:ascii="宋体" w:hAnsi="宋体" w:cs="宋体"/>
                <w:spacing w:val="5"/>
                <w:sz w:val="24"/>
              </w:rPr>
              <w:t>技术联系电话：4009980000</w:t>
            </w:r>
          </w:p>
        </w:tc>
      </w:tr>
      <w:tr w14:paraId="68FB6B0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2B08FA4">
            <w:pPr>
              <w:spacing w:line="360" w:lineRule="auto"/>
              <w:jc w:val="center"/>
              <w:rPr>
                <w:rFonts w:ascii="宋体" w:hAnsi="宋体" w:cs="宋体"/>
                <w:sz w:val="24"/>
              </w:rPr>
            </w:pPr>
            <w:r>
              <w:rPr>
                <w:rFonts w:hint="eastAsia" w:ascii="宋体" w:hAnsi="宋体" w:cs="宋体"/>
                <w:sz w:val="24"/>
              </w:rPr>
              <w:t>24</w:t>
            </w:r>
          </w:p>
        </w:tc>
        <w:tc>
          <w:tcPr>
            <w:tcW w:w="2657" w:type="dxa"/>
            <w:tcBorders>
              <w:top w:val="single" w:color="auto" w:sz="4" w:space="0"/>
              <w:left w:val="single" w:color="auto" w:sz="4" w:space="0"/>
              <w:bottom w:val="single" w:color="auto" w:sz="4" w:space="0"/>
              <w:right w:val="single" w:color="auto" w:sz="4" w:space="0"/>
            </w:tcBorders>
            <w:vAlign w:val="center"/>
          </w:tcPr>
          <w:p w14:paraId="3344A7D0">
            <w:pPr>
              <w:spacing w:line="360" w:lineRule="auto"/>
              <w:jc w:val="center"/>
              <w:rPr>
                <w:rFonts w:ascii="宋体" w:hAnsi="宋体" w:cs="宋体"/>
                <w:color w:val="000000"/>
                <w:kern w:val="10"/>
                <w:sz w:val="24"/>
              </w:rPr>
            </w:pPr>
            <w:r>
              <w:rPr>
                <w:rFonts w:hint="eastAsia" w:ascii="宋体" w:hAnsi="宋体" w:cs="宋体"/>
                <w:color w:val="000000"/>
                <w:kern w:val="10"/>
                <w:sz w:val="24"/>
              </w:rPr>
              <w:t>是否允许递交备选投标方案</w:t>
            </w:r>
          </w:p>
        </w:tc>
        <w:tc>
          <w:tcPr>
            <w:tcW w:w="6129" w:type="dxa"/>
            <w:tcBorders>
              <w:top w:val="single" w:color="auto" w:sz="4" w:space="0"/>
              <w:left w:val="single" w:color="auto" w:sz="4" w:space="0"/>
              <w:bottom w:val="single" w:color="auto" w:sz="4" w:space="0"/>
              <w:right w:val="single" w:color="auto" w:sz="4" w:space="0"/>
            </w:tcBorders>
            <w:vAlign w:val="center"/>
          </w:tcPr>
          <w:p w14:paraId="702E9FEE">
            <w:pPr>
              <w:spacing w:line="360" w:lineRule="auto"/>
              <w:rPr>
                <w:rFonts w:ascii="宋体" w:hAnsi="宋体" w:cs="宋体"/>
                <w:color w:val="000000"/>
                <w:kern w:val="10"/>
                <w:sz w:val="24"/>
              </w:rPr>
            </w:pPr>
            <w:r>
              <w:rPr>
                <w:rFonts w:hint="eastAsia" w:ascii="宋体" w:hAnsi="宋体" w:cs="宋体"/>
                <w:color w:val="000000"/>
                <w:kern w:val="10"/>
                <w:sz w:val="24"/>
              </w:rPr>
              <w:t>不允许</w:t>
            </w:r>
          </w:p>
        </w:tc>
      </w:tr>
      <w:tr w14:paraId="69182FCD">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1529F722">
            <w:pPr>
              <w:spacing w:line="360" w:lineRule="auto"/>
              <w:jc w:val="center"/>
              <w:rPr>
                <w:rFonts w:ascii="宋体" w:hAnsi="宋体" w:cs="宋体"/>
                <w:sz w:val="24"/>
              </w:rPr>
            </w:pPr>
            <w:r>
              <w:rPr>
                <w:rFonts w:hint="eastAsia" w:ascii="宋体" w:hAnsi="宋体" w:cs="宋体"/>
                <w:sz w:val="24"/>
              </w:rPr>
              <w:t>25</w:t>
            </w:r>
          </w:p>
        </w:tc>
        <w:tc>
          <w:tcPr>
            <w:tcW w:w="2657" w:type="dxa"/>
            <w:tcBorders>
              <w:top w:val="single" w:color="auto" w:sz="4" w:space="0"/>
              <w:left w:val="single" w:color="auto" w:sz="4" w:space="0"/>
              <w:bottom w:val="single" w:color="auto" w:sz="4" w:space="0"/>
              <w:right w:val="single" w:color="auto" w:sz="4" w:space="0"/>
            </w:tcBorders>
            <w:vAlign w:val="center"/>
          </w:tcPr>
          <w:p w14:paraId="6E376610">
            <w:pPr>
              <w:spacing w:line="360" w:lineRule="auto"/>
              <w:jc w:val="center"/>
              <w:rPr>
                <w:rFonts w:ascii="宋体" w:hAnsi="宋体" w:cs="宋体"/>
                <w:sz w:val="24"/>
              </w:rPr>
            </w:pPr>
            <w:r>
              <w:rPr>
                <w:rFonts w:hint="eastAsia" w:ascii="宋体" w:hAnsi="宋体" w:cs="宋体"/>
                <w:sz w:val="24"/>
              </w:rPr>
              <w:t>是否退还响应性文件</w:t>
            </w:r>
          </w:p>
        </w:tc>
        <w:tc>
          <w:tcPr>
            <w:tcW w:w="6129" w:type="dxa"/>
            <w:tcBorders>
              <w:top w:val="single" w:color="auto" w:sz="4" w:space="0"/>
              <w:left w:val="single" w:color="auto" w:sz="4" w:space="0"/>
              <w:bottom w:val="single" w:color="auto" w:sz="4" w:space="0"/>
              <w:right w:val="single" w:color="auto" w:sz="4" w:space="0"/>
            </w:tcBorders>
            <w:vAlign w:val="center"/>
          </w:tcPr>
          <w:p w14:paraId="15748A2C">
            <w:pPr>
              <w:spacing w:line="360" w:lineRule="auto"/>
              <w:rPr>
                <w:rFonts w:ascii="宋体" w:hAnsi="宋体" w:cs="宋体"/>
                <w:sz w:val="24"/>
              </w:rPr>
            </w:pPr>
            <w:r>
              <w:rPr>
                <w:rFonts w:hint="eastAsia" w:ascii="宋体" w:hAnsi="宋体" w:cs="宋体"/>
                <w:sz w:val="24"/>
              </w:rPr>
              <w:t>■否</w:t>
            </w:r>
          </w:p>
        </w:tc>
      </w:tr>
      <w:tr w14:paraId="016767D1">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20331EE2">
            <w:pPr>
              <w:spacing w:line="360" w:lineRule="auto"/>
              <w:jc w:val="center"/>
              <w:rPr>
                <w:rFonts w:ascii="宋体" w:hAnsi="宋体" w:cs="宋体"/>
                <w:sz w:val="24"/>
              </w:rPr>
            </w:pPr>
            <w:r>
              <w:rPr>
                <w:rFonts w:hint="eastAsia" w:ascii="宋体" w:hAnsi="宋体" w:cs="宋体"/>
                <w:sz w:val="24"/>
              </w:rPr>
              <w:t>26</w:t>
            </w:r>
          </w:p>
        </w:tc>
        <w:tc>
          <w:tcPr>
            <w:tcW w:w="2657" w:type="dxa"/>
            <w:tcBorders>
              <w:top w:val="single" w:color="auto" w:sz="4" w:space="0"/>
              <w:left w:val="single" w:color="auto" w:sz="4" w:space="0"/>
              <w:bottom w:val="single" w:color="auto" w:sz="4" w:space="0"/>
              <w:right w:val="single" w:color="auto" w:sz="4" w:space="0"/>
            </w:tcBorders>
            <w:vAlign w:val="center"/>
          </w:tcPr>
          <w:p w14:paraId="5FC77C7E">
            <w:pPr>
              <w:spacing w:line="360" w:lineRule="auto"/>
              <w:jc w:val="center"/>
              <w:rPr>
                <w:rFonts w:ascii="宋体" w:hAnsi="宋体" w:cs="宋体"/>
                <w:sz w:val="24"/>
              </w:rPr>
            </w:pPr>
            <w:r>
              <w:rPr>
                <w:rFonts w:hint="eastAsia" w:ascii="宋体" w:hAnsi="宋体" w:cs="宋体"/>
                <w:sz w:val="24"/>
              </w:rPr>
              <w:t>是否提供样品</w:t>
            </w:r>
          </w:p>
        </w:tc>
        <w:tc>
          <w:tcPr>
            <w:tcW w:w="6129" w:type="dxa"/>
            <w:tcBorders>
              <w:top w:val="single" w:color="auto" w:sz="4" w:space="0"/>
              <w:left w:val="single" w:color="auto" w:sz="4" w:space="0"/>
              <w:bottom w:val="single" w:color="auto" w:sz="4" w:space="0"/>
              <w:right w:val="single" w:color="auto" w:sz="4" w:space="0"/>
            </w:tcBorders>
            <w:vAlign w:val="center"/>
          </w:tcPr>
          <w:p w14:paraId="5A1A3B2C">
            <w:pPr>
              <w:spacing w:line="360" w:lineRule="auto"/>
              <w:rPr>
                <w:rFonts w:ascii="宋体" w:hAnsi="宋体" w:cs="宋体"/>
                <w:sz w:val="24"/>
              </w:rPr>
            </w:pPr>
            <w:r>
              <w:rPr>
                <w:rFonts w:hint="eastAsia" w:ascii="宋体" w:hAnsi="宋体" w:cs="宋体"/>
                <w:sz w:val="24"/>
              </w:rPr>
              <w:t>否</w:t>
            </w:r>
          </w:p>
        </w:tc>
      </w:tr>
      <w:tr w14:paraId="3E8FA421">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0296F3C5">
            <w:pPr>
              <w:spacing w:line="360" w:lineRule="auto"/>
              <w:jc w:val="center"/>
              <w:rPr>
                <w:rFonts w:ascii="宋体" w:hAnsi="宋体" w:cs="宋体"/>
                <w:sz w:val="24"/>
              </w:rPr>
            </w:pPr>
            <w:r>
              <w:rPr>
                <w:rFonts w:hint="eastAsia" w:ascii="宋体" w:hAnsi="宋体" w:cs="宋体"/>
                <w:sz w:val="24"/>
              </w:rPr>
              <w:t>27</w:t>
            </w:r>
          </w:p>
        </w:tc>
        <w:tc>
          <w:tcPr>
            <w:tcW w:w="2657" w:type="dxa"/>
            <w:tcBorders>
              <w:top w:val="single" w:color="auto" w:sz="4" w:space="0"/>
              <w:left w:val="single" w:color="auto" w:sz="4" w:space="0"/>
              <w:bottom w:val="single" w:color="auto" w:sz="4" w:space="0"/>
              <w:right w:val="single" w:color="auto" w:sz="4" w:space="0"/>
            </w:tcBorders>
            <w:vAlign w:val="center"/>
          </w:tcPr>
          <w:p w14:paraId="5BAB999F">
            <w:pPr>
              <w:spacing w:line="360" w:lineRule="auto"/>
              <w:jc w:val="center"/>
              <w:rPr>
                <w:rFonts w:ascii="宋体" w:hAnsi="宋体" w:cs="宋体"/>
                <w:sz w:val="24"/>
              </w:rPr>
            </w:pPr>
            <w:r>
              <w:rPr>
                <w:rFonts w:hint="eastAsia" w:ascii="宋体" w:hAnsi="宋体" w:cs="宋体"/>
                <w:sz w:val="24"/>
              </w:rPr>
              <w:t>磋商时间和地点</w:t>
            </w:r>
          </w:p>
        </w:tc>
        <w:tc>
          <w:tcPr>
            <w:tcW w:w="6129" w:type="dxa"/>
            <w:tcBorders>
              <w:top w:val="single" w:color="auto" w:sz="4" w:space="0"/>
              <w:left w:val="single" w:color="auto" w:sz="4" w:space="0"/>
              <w:bottom w:val="single" w:color="auto" w:sz="4" w:space="0"/>
              <w:right w:val="single" w:color="auto" w:sz="4" w:space="0"/>
            </w:tcBorders>
            <w:vAlign w:val="center"/>
          </w:tcPr>
          <w:p w14:paraId="1757CE57">
            <w:pPr>
              <w:spacing w:line="360" w:lineRule="auto"/>
              <w:rPr>
                <w:rFonts w:ascii="宋体" w:hAnsi="宋体" w:cs="宋体"/>
                <w:sz w:val="24"/>
              </w:rPr>
            </w:pPr>
            <w:r>
              <w:rPr>
                <w:rFonts w:hint="eastAsia" w:ascii="宋体" w:hAnsi="宋体" w:cs="宋体"/>
                <w:sz w:val="24"/>
              </w:rPr>
              <w:t>磋商时间：同递交响应性文件截止时间</w:t>
            </w:r>
          </w:p>
          <w:p w14:paraId="00F8D8AC">
            <w:pPr>
              <w:spacing w:line="360" w:lineRule="auto"/>
              <w:rPr>
                <w:rFonts w:ascii="宋体" w:hAnsi="宋体" w:cs="宋体"/>
                <w:sz w:val="24"/>
              </w:rPr>
            </w:pPr>
            <w:r>
              <w:rPr>
                <w:rFonts w:hint="eastAsia" w:ascii="宋体" w:hAnsi="宋体" w:cs="宋体"/>
                <w:sz w:val="24"/>
              </w:rPr>
              <w:t>磋商地点：同递交响应性文件地点</w:t>
            </w:r>
          </w:p>
        </w:tc>
      </w:tr>
      <w:tr w14:paraId="747A5438">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64F263BD">
            <w:pPr>
              <w:spacing w:line="360" w:lineRule="auto"/>
              <w:jc w:val="center"/>
              <w:rPr>
                <w:rFonts w:ascii="宋体" w:hAnsi="宋体" w:cs="宋体"/>
                <w:sz w:val="24"/>
              </w:rPr>
            </w:pPr>
            <w:r>
              <w:rPr>
                <w:rFonts w:hint="eastAsia" w:ascii="宋体" w:hAnsi="宋体" w:cs="宋体"/>
                <w:sz w:val="24"/>
              </w:rPr>
              <w:t>28</w:t>
            </w:r>
          </w:p>
        </w:tc>
        <w:tc>
          <w:tcPr>
            <w:tcW w:w="2657" w:type="dxa"/>
            <w:tcBorders>
              <w:top w:val="single" w:color="auto" w:sz="4" w:space="0"/>
              <w:left w:val="single" w:color="auto" w:sz="4" w:space="0"/>
              <w:bottom w:val="single" w:color="auto" w:sz="4" w:space="0"/>
              <w:right w:val="single" w:color="auto" w:sz="4" w:space="0"/>
            </w:tcBorders>
            <w:vAlign w:val="center"/>
          </w:tcPr>
          <w:p w14:paraId="07F1B859">
            <w:pPr>
              <w:spacing w:line="360" w:lineRule="auto"/>
              <w:jc w:val="center"/>
              <w:rPr>
                <w:rFonts w:ascii="宋体" w:hAnsi="宋体" w:cs="宋体"/>
                <w:sz w:val="24"/>
              </w:rPr>
            </w:pPr>
            <w:r>
              <w:rPr>
                <w:rFonts w:hint="eastAsia" w:ascii="宋体" w:hAnsi="宋体" w:cs="宋体"/>
                <w:sz w:val="24"/>
              </w:rPr>
              <w:t>磋商小组</w:t>
            </w:r>
          </w:p>
        </w:tc>
        <w:tc>
          <w:tcPr>
            <w:tcW w:w="6129" w:type="dxa"/>
            <w:tcBorders>
              <w:top w:val="single" w:color="auto" w:sz="4" w:space="0"/>
              <w:left w:val="single" w:color="auto" w:sz="4" w:space="0"/>
              <w:bottom w:val="single" w:color="auto" w:sz="4" w:space="0"/>
              <w:right w:val="single" w:color="auto" w:sz="4" w:space="0"/>
            </w:tcBorders>
            <w:vAlign w:val="center"/>
          </w:tcPr>
          <w:p w14:paraId="0B1A66CA">
            <w:pPr>
              <w:spacing w:line="360" w:lineRule="auto"/>
              <w:rPr>
                <w:rFonts w:ascii="宋体" w:hAnsi="宋体" w:cs="宋体"/>
                <w:sz w:val="24"/>
              </w:rPr>
            </w:pPr>
            <w:r>
              <w:rPr>
                <w:rFonts w:hint="eastAsia" w:ascii="宋体" w:hAnsi="宋体" w:cs="宋体"/>
                <w:sz w:val="24"/>
              </w:rPr>
              <w:t>按照国家相关规定组建，磋商小组由采购人代表及有关技术、经济等方面的专家组成，成员为3人。其中：采购人代表1人，技术和经济方面专家各1人（技术和经济方面专家从专家库抽取）</w:t>
            </w:r>
          </w:p>
        </w:tc>
      </w:tr>
      <w:tr w14:paraId="313DEF0A">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79CDE71">
            <w:pPr>
              <w:spacing w:line="360" w:lineRule="auto"/>
              <w:jc w:val="center"/>
              <w:rPr>
                <w:rFonts w:ascii="宋体" w:hAnsi="宋体" w:cs="宋体"/>
                <w:sz w:val="24"/>
              </w:rPr>
            </w:pPr>
            <w:r>
              <w:rPr>
                <w:rFonts w:hint="eastAsia" w:ascii="宋体" w:hAnsi="宋体" w:cs="宋体"/>
                <w:sz w:val="24"/>
              </w:rPr>
              <w:t>29</w:t>
            </w:r>
          </w:p>
        </w:tc>
        <w:tc>
          <w:tcPr>
            <w:tcW w:w="2657" w:type="dxa"/>
            <w:tcBorders>
              <w:top w:val="single" w:color="auto" w:sz="4" w:space="0"/>
              <w:left w:val="single" w:color="auto" w:sz="4" w:space="0"/>
              <w:bottom w:val="single" w:color="auto" w:sz="4" w:space="0"/>
              <w:right w:val="single" w:color="auto" w:sz="4" w:space="0"/>
            </w:tcBorders>
            <w:vAlign w:val="center"/>
          </w:tcPr>
          <w:p w14:paraId="32093115">
            <w:pPr>
              <w:spacing w:line="360" w:lineRule="auto"/>
              <w:jc w:val="center"/>
              <w:rPr>
                <w:rFonts w:ascii="宋体" w:hAnsi="宋体" w:cs="宋体"/>
                <w:sz w:val="24"/>
              </w:rPr>
            </w:pPr>
            <w:r>
              <w:rPr>
                <w:rFonts w:hint="eastAsia" w:ascii="宋体" w:hAnsi="宋体" w:cs="宋体"/>
                <w:sz w:val="24"/>
              </w:rPr>
              <w:t>是否授权磋商小组确定成交供应商</w:t>
            </w:r>
          </w:p>
        </w:tc>
        <w:tc>
          <w:tcPr>
            <w:tcW w:w="6129" w:type="dxa"/>
            <w:tcBorders>
              <w:top w:val="single" w:color="auto" w:sz="4" w:space="0"/>
              <w:left w:val="single" w:color="auto" w:sz="4" w:space="0"/>
              <w:bottom w:val="single" w:color="auto" w:sz="4" w:space="0"/>
              <w:right w:val="single" w:color="auto" w:sz="4" w:space="0"/>
            </w:tcBorders>
            <w:vAlign w:val="center"/>
          </w:tcPr>
          <w:p w14:paraId="0741088F">
            <w:pPr>
              <w:spacing w:line="360" w:lineRule="auto"/>
              <w:rPr>
                <w:rFonts w:ascii="宋体" w:hAnsi="宋体" w:cs="宋体"/>
                <w:sz w:val="24"/>
              </w:rPr>
            </w:pPr>
            <w:r>
              <w:rPr>
                <w:rFonts w:hint="eastAsia" w:ascii="宋体" w:hAnsi="宋体" w:cs="宋体"/>
                <w:sz w:val="24"/>
              </w:rPr>
              <w:t>■否</w:t>
            </w:r>
            <w:r>
              <w:rPr>
                <w:rFonts w:hint="eastAsia" w:ascii="宋体" w:hAnsi="宋体" w:cs="宋体"/>
                <w:color w:val="0000FF"/>
                <w:sz w:val="24"/>
              </w:rPr>
              <w:t>，</w:t>
            </w:r>
            <w:r>
              <w:rPr>
                <w:rFonts w:hint="eastAsia" w:ascii="宋体" w:hAnsi="宋体" w:cs="宋体"/>
                <w:sz w:val="24"/>
              </w:rPr>
              <w:t>推荐成交候选人数：1-3人</w:t>
            </w:r>
          </w:p>
        </w:tc>
      </w:tr>
      <w:tr w14:paraId="72E131A5">
        <w:tblPrEx>
          <w:tblCellMar>
            <w:top w:w="0" w:type="dxa"/>
            <w:left w:w="108" w:type="dxa"/>
            <w:bottom w:w="0" w:type="dxa"/>
            <w:right w:w="108" w:type="dxa"/>
          </w:tblCellMar>
        </w:tblPrEx>
        <w:trPr>
          <w:jc w:val="center"/>
        </w:trPr>
        <w:tc>
          <w:tcPr>
            <w:tcW w:w="987" w:type="dxa"/>
            <w:tcBorders>
              <w:top w:val="single" w:color="auto" w:sz="4" w:space="0"/>
              <w:left w:val="single" w:color="auto" w:sz="4" w:space="0"/>
              <w:bottom w:val="single" w:color="auto" w:sz="4" w:space="0"/>
              <w:right w:val="single" w:color="auto" w:sz="4" w:space="0"/>
            </w:tcBorders>
            <w:vAlign w:val="center"/>
          </w:tcPr>
          <w:p w14:paraId="71CB6FD8">
            <w:pPr>
              <w:spacing w:line="360" w:lineRule="auto"/>
              <w:jc w:val="center"/>
              <w:rPr>
                <w:rFonts w:ascii="宋体" w:hAnsi="宋体" w:cs="宋体"/>
                <w:sz w:val="24"/>
              </w:rPr>
            </w:pPr>
            <w:r>
              <w:rPr>
                <w:rFonts w:hint="eastAsia" w:ascii="宋体" w:hAnsi="宋体" w:cs="宋体"/>
                <w:sz w:val="24"/>
              </w:rPr>
              <w:t>30</w:t>
            </w:r>
          </w:p>
        </w:tc>
        <w:tc>
          <w:tcPr>
            <w:tcW w:w="2657" w:type="dxa"/>
            <w:tcBorders>
              <w:top w:val="single" w:color="auto" w:sz="4" w:space="0"/>
              <w:left w:val="single" w:color="auto" w:sz="4" w:space="0"/>
              <w:bottom w:val="single" w:color="auto" w:sz="4" w:space="0"/>
              <w:right w:val="single" w:color="auto" w:sz="4" w:space="0"/>
            </w:tcBorders>
            <w:vAlign w:val="center"/>
          </w:tcPr>
          <w:p w14:paraId="54D269FC">
            <w:pPr>
              <w:spacing w:line="360" w:lineRule="auto"/>
              <w:jc w:val="center"/>
              <w:rPr>
                <w:rFonts w:ascii="宋体" w:hAnsi="宋体" w:cs="宋体"/>
                <w:sz w:val="24"/>
              </w:rPr>
            </w:pPr>
            <w:r>
              <w:rPr>
                <w:rFonts w:hint="eastAsia" w:ascii="宋体" w:hAnsi="宋体" w:cs="宋体"/>
                <w:sz w:val="24"/>
              </w:rPr>
              <w:t>履约担保</w:t>
            </w:r>
          </w:p>
        </w:tc>
        <w:tc>
          <w:tcPr>
            <w:tcW w:w="6129" w:type="dxa"/>
            <w:tcBorders>
              <w:top w:val="single" w:color="auto" w:sz="4" w:space="0"/>
              <w:left w:val="single" w:color="auto" w:sz="4" w:space="0"/>
              <w:bottom w:val="single" w:color="auto" w:sz="4" w:space="0"/>
              <w:right w:val="single" w:color="auto" w:sz="4" w:space="0"/>
            </w:tcBorders>
            <w:vAlign w:val="center"/>
          </w:tcPr>
          <w:p w14:paraId="0708A547">
            <w:pPr>
              <w:widowControl/>
              <w:spacing w:line="420" w:lineRule="exact"/>
              <w:jc w:val="left"/>
              <w:rPr>
                <w:rFonts w:ascii="宋体" w:hAnsi="宋体" w:cs="宋体"/>
                <w:kern w:val="0"/>
                <w:sz w:val="24"/>
              </w:rPr>
            </w:pPr>
            <w:r>
              <w:rPr>
                <w:rFonts w:hint="eastAsia" w:ascii="宋体" w:hAnsi="宋体"/>
                <w:sz w:val="24"/>
              </w:rPr>
              <w:t>根据三门峡市财政局三财购【2021】14号文的规定，本项目不收取履约保证金。</w:t>
            </w:r>
          </w:p>
        </w:tc>
      </w:tr>
      <w:tr w14:paraId="76878E57">
        <w:tblPrEx>
          <w:tblCellMar>
            <w:top w:w="0" w:type="dxa"/>
            <w:left w:w="108" w:type="dxa"/>
            <w:bottom w:w="0" w:type="dxa"/>
            <w:right w:w="108" w:type="dxa"/>
          </w:tblCellMar>
        </w:tblPrEx>
        <w:trPr>
          <w:trHeight w:val="523"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7584029">
            <w:pPr>
              <w:spacing w:line="360" w:lineRule="auto"/>
              <w:jc w:val="center"/>
              <w:rPr>
                <w:rFonts w:ascii="宋体" w:hAnsi="宋体" w:cs="宋体"/>
                <w:sz w:val="24"/>
              </w:rPr>
            </w:pPr>
            <w:r>
              <w:rPr>
                <w:rFonts w:hint="eastAsia" w:ascii="宋体" w:hAnsi="宋体" w:cs="宋体"/>
                <w:sz w:val="24"/>
              </w:rPr>
              <w:t>31</w:t>
            </w:r>
          </w:p>
        </w:tc>
        <w:tc>
          <w:tcPr>
            <w:tcW w:w="2657" w:type="dxa"/>
            <w:tcBorders>
              <w:top w:val="single" w:color="auto" w:sz="4" w:space="0"/>
              <w:left w:val="single" w:color="auto" w:sz="4" w:space="0"/>
              <w:bottom w:val="single" w:color="auto" w:sz="4" w:space="0"/>
              <w:right w:val="single" w:color="auto" w:sz="4" w:space="0"/>
            </w:tcBorders>
            <w:vAlign w:val="center"/>
          </w:tcPr>
          <w:p w14:paraId="5C09B6DE">
            <w:pPr>
              <w:spacing w:line="360" w:lineRule="auto"/>
              <w:jc w:val="center"/>
              <w:rPr>
                <w:rFonts w:ascii="宋体" w:hAnsi="宋体" w:cs="宋体"/>
                <w:sz w:val="24"/>
              </w:rPr>
            </w:pPr>
            <w:r>
              <w:rPr>
                <w:rFonts w:hint="eastAsia" w:ascii="宋体" w:hAnsi="宋体" w:cs="宋体"/>
                <w:sz w:val="24"/>
              </w:rPr>
              <w:t>采购控制价</w:t>
            </w:r>
          </w:p>
        </w:tc>
        <w:tc>
          <w:tcPr>
            <w:tcW w:w="6129" w:type="dxa"/>
            <w:tcBorders>
              <w:top w:val="single" w:color="auto" w:sz="4" w:space="0"/>
              <w:left w:val="single" w:color="auto" w:sz="4" w:space="0"/>
              <w:bottom w:val="single" w:color="auto" w:sz="4" w:space="0"/>
              <w:right w:val="single" w:color="auto" w:sz="4" w:space="0"/>
            </w:tcBorders>
            <w:vAlign w:val="center"/>
          </w:tcPr>
          <w:p w14:paraId="2805ECA1">
            <w:pPr>
              <w:widowControl/>
              <w:spacing w:line="420" w:lineRule="exact"/>
              <w:jc w:val="left"/>
              <w:rPr>
                <w:rFonts w:ascii="宋体" w:hAnsi="宋体"/>
                <w:color w:val="FF0000"/>
                <w:sz w:val="24"/>
              </w:rPr>
            </w:pPr>
            <w:r>
              <w:rPr>
                <w:rFonts w:hint="eastAsia" w:ascii="宋体" w:hAnsi="宋体"/>
                <w:sz w:val="24"/>
              </w:rPr>
              <w:t>人民币肆拾玖万元整（￥440000元）</w:t>
            </w:r>
          </w:p>
          <w:p w14:paraId="582B85EB">
            <w:pPr>
              <w:widowControl/>
              <w:spacing w:line="420" w:lineRule="exact"/>
              <w:jc w:val="left"/>
              <w:rPr>
                <w:rFonts w:ascii="宋体" w:hAnsi="宋体"/>
                <w:sz w:val="24"/>
              </w:rPr>
            </w:pPr>
            <w:r>
              <w:rPr>
                <w:rFonts w:hint="eastAsia" w:ascii="宋体" w:hAnsi="宋体"/>
                <w:sz w:val="24"/>
              </w:rPr>
              <w:t>供应商的总报价不得高于采购控制价，否则其响应商文件将被否决。</w:t>
            </w:r>
          </w:p>
        </w:tc>
      </w:tr>
      <w:tr w14:paraId="77148AB4">
        <w:tblPrEx>
          <w:tblCellMar>
            <w:top w:w="0" w:type="dxa"/>
            <w:left w:w="108" w:type="dxa"/>
            <w:bottom w:w="0" w:type="dxa"/>
            <w:right w:w="108" w:type="dxa"/>
          </w:tblCellMar>
        </w:tblPrEx>
        <w:trPr>
          <w:trHeight w:val="545"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0CEA1500">
            <w:pPr>
              <w:spacing w:line="360" w:lineRule="auto"/>
              <w:jc w:val="center"/>
              <w:rPr>
                <w:rFonts w:ascii="宋体" w:hAnsi="宋体" w:cs="宋体"/>
                <w:sz w:val="24"/>
              </w:rPr>
            </w:pPr>
            <w:r>
              <w:rPr>
                <w:rFonts w:hint="eastAsia" w:ascii="宋体" w:hAnsi="宋体" w:cs="宋体"/>
                <w:sz w:val="24"/>
              </w:rPr>
              <w:t>32</w:t>
            </w:r>
          </w:p>
        </w:tc>
        <w:tc>
          <w:tcPr>
            <w:tcW w:w="2657" w:type="dxa"/>
            <w:tcBorders>
              <w:top w:val="single" w:color="auto" w:sz="4" w:space="0"/>
              <w:left w:val="single" w:color="auto" w:sz="4" w:space="0"/>
              <w:bottom w:val="single" w:color="auto" w:sz="4" w:space="0"/>
              <w:right w:val="single" w:color="auto" w:sz="4" w:space="0"/>
            </w:tcBorders>
            <w:vAlign w:val="center"/>
          </w:tcPr>
          <w:p w14:paraId="600E7814">
            <w:pPr>
              <w:widowControl/>
              <w:spacing w:line="420" w:lineRule="exact"/>
              <w:jc w:val="center"/>
              <w:rPr>
                <w:rFonts w:ascii="宋体" w:hAnsi="宋体"/>
                <w:color w:val="auto"/>
                <w:sz w:val="24"/>
              </w:rPr>
            </w:pPr>
            <w:r>
              <w:rPr>
                <w:rFonts w:hint="eastAsia" w:ascii="宋体" w:hAnsi="宋体"/>
                <w:color w:val="auto"/>
                <w:sz w:val="24"/>
              </w:rPr>
              <w:t>付款方式</w:t>
            </w:r>
          </w:p>
        </w:tc>
        <w:tc>
          <w:tcPr>
            <w:tcW w:w="6129" w:type="dxa"/>
            <w:tcBorders>
              <w:top w:val="single" w:color="auto" w:sz="4" w:space="0"/>
              <w:left w:val="single" w:color="auto" w:sz="4" w:space="0"/>
              <w:bottom w:val="single" w:color="auto" w:sz="4" w:space="0"/>
              <w:right w:val="single" w:color="auto" w:sz="4" w:space="0"/>
            </w:tcBorders>
            <w:vAlign w:val="center"/>
          </w:tcPr>
          <w:p w14:paraId="74EC0C13">
            <w:pPr>
              <w:widowControl/>
              <w:spacing w:line="420" w:lineRule="exact"/>
              <w:jc w:val="left"/>
              <w:rPr>
                <w:rFonts w:ascii="宋体" w:hAnsi="宋体"/>
                <w:color w:val="auto"/>
                <w:sz w:val="24"/>
              </w:rPr>
            </w:pPr>
            <w:r>
              <w:rPr>
                <w:rFonts w:hint="eastAsia" w:ascii="宋体" w:hAnsi="宋体"/>
                <w:color w:val="auto"/>
                <w:sz w:val="24"/>
              </w:rPr>
              <w:t xml:space="preserve">签订合同时，双方另行协商。      </w:t>
            </w:r>
          </w:p>
        </w:tc>
      </w:tr>
      <w:tr w14:paraId="1AA8DC6D">
        <w:tblPrEx>
          <w:tblCellMar>
            <w:top w:w="0" w:type="dxa"/>
            <w:left w:w="108" w:type="dxa"/>
            <w:bottom w:w="0" w:type="dxa"/>
            <w:right w:w="108" w:type="dxa"/>
          </w:tblCellMar>
        </w:tblPrEx>
        <w:trPr>
          <w:trHeight w:val="15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4923ADAB">
            <w:pPr>
              <w:spacing w:line="360" w:lineRule="auto"/>
              <w:jc w:val="center"/>
              <w:rPr>
                <w:rFonts w:ascii="宋体" w:hAnsi="宋体" w:cs="宋体"/>
                <w:sz w:val="24"/>
              </w:rPr>
            </w:pPr>
            <w:r>
              <w:rPr>
                <w:rFonts w:hint="eastAsia" w:ascii="宋体" w:hAnsi="宋体" w:cs="宋体"/>
                <w:sz w:val="24"/>
              </w:rPr>
              <w:t>33</w:t>
            </w:r>
          </w:p>
        </w:tc>
        <w:tc>
          <w:tcPr>
            <w:tcW w:w="2657" w:type="dxa"/>
            <w:tcBorders>
              <w:top w:val="single" w:color="auto" w:sz="4" w:space="0"/>
              <w:left w:val="single" w:color="auto" w:sz="4" w:space="0"/>
              <w:bottom w:val="single" w:color="auto" w:sz="4" w:space="0"/>
              <w:right w:val="single" w:color="auto" w:sz="4" w:space="0"/>
            </w:tcBorders>
            <w:vAlign w:val="center"/>
          </w:tcPr>
          <w:p w14:paraId="76A3DA79">
            <w:pPr>
              <w:spacing w:line="360" w:lineRule="auto"/>
              <w:jc w:val="center"/>
              <w:rPr>
                <w:rFonts w:ascii="宋体" w:hAnsi="宋体" w:cs="宋体"/>
                <w:sz w:val="24"/>
              </w:rPr>
            </w:pPr>
            <w:r>
              <w:rPr>
                <w:rFonts w:hint="eastAsia" w:ascii="宋体" w:hAnsi="宋体" w:cs="宋体"/>
                <w:sz w:val="24"/>
              </w:rPr>
              <w:t xml:space="preserve">报价及招标代理服务费 </w:t>
            </w:r>
          </w:p>
        </w:tc>
        <w:tc>
          <w:tcPr>
            <w:tcW w:w="6129" w:type="dxa"/>
            <w:tcBorders>
              <w:top w:val="single" w:color="auto" w:sz="4" w:space="0"/>
              <w:left w:val="single" w:color="auto" w:sz="4" w:space="0"/>
              <w:bottom w:val="single" w:color="auto" w:sz="4" w:space="0"/>
              <w:right w:val="single" w:color="auto" w:sz="4" w:space="0"/>
            </w:tcBorders>
            <w:vAlign w:val="center"/>
          </w:tcPr>
          <w:p w14:paraId="174F12EB">
            <w:pPr>
              <w:spacing w:line="360" w:lineRule="auto"/>
              <w:rPr>
                <w:rFonts w:ascii="宋体" w:hAnsi="宋体" w:cs="宋体"/>
                <w:sz w:val="24"/>
                <w:highlight w:val="yellow"/>
              </w:rPr>
            </w:pPr>
            <w:r>
              <w:rPr>
                <w:rFonts w:hint="eastAsia" w:ascii="宋体" w:hAnsi="宋体" w:cs="宋体"/>
                <w:color w:val="000000"/>
                <w:kern w:val="10"/>
                <w:sz w:val="24"/>
              </w:rPr>
              <w:t>1</w:t>
            </w:r>
            <w:r>
              <w:rPr>
                <w:rFonts w:hint="eastAsia" w:ascii="宋体" w:hAnsi="宋体" w:cs="宋体"/>
                <w:sz w:val="24"/>
              </w:rPr>
              <w:t>．本项目以人民币报价，</w:t>
            </w:r>
            <w:r>
              <w:rPr>
                <w:rFonts w:ascii="宋体" w:hAnsi="宋体" w:cs="宋体"/>
                <w:sz w:val="24"/>
              </w:rPr>
              <w:t>投标人报价为完成2026年度城市体检全部技术服务工作的固定包干总价，涵盖人员技术服务、全域实地踏勘、居民满意度调研、大数据采购、指标测算诊断、全套体检成果编制、各级专家评审配合、全国城市体检平台填报、纸质及电子成果印制归档、评审通过后长期技术支撑、差旅交通、劳务、耗材、税费、管理费、风险金等完成本项目全部工作内容所需的一切费用。采购人在合同履行全过程不再支付任何额外费用。</w:t>
            </w:r>
          </w:p>
          <w:p w14:paraId="39462040">
            <w:pPr>
              <w:spacing w:line="450" w:lineRule="exact"/>
              <w:rPr>
                <w:rFonts w:ascii="宋体" w:hAnsi="宋体" w:cs="宋体"/>
                <w:sz w:val="24"/>
              </w:rPr>
            </w:pPr>
            <w:r>
              <w:rPr>
                <w:rFonts w:hint="eastAsia" w:ascii="宋体" w:hAnsi="宋体" w:cs="宋体"/>
                <w:sz w:val="24"/>
              </w:rPr>
              <w:t>2.</w:t>
            </w:r>
            <w:r>
              <w:rPr>
                <w:rFonts w:hint="eastAsia" w:ascii="宋体" w:hAnsi="宋体" w:cs="宋体"/>
                <w:sz w:val="24"/>
                <w:shd w:val="clear" w:color="050000" w:fill="auto"/>
              </w:rPr>
              <w:t>本项目招标代理费由中标单位承担，收费标准参照豫招协【2023】002号文件所规定的收费标准收取，代理费和产生的其它费用由成交单位承担。此费由投标人综合考虑到投标报价中，不再单独列项。</w:t>
            </w:r>
          </w:p>
        </w:tc>
      </w:tr>
      <w:tr w14:paraId="588E8577">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B041295">
            <w:pPr>
              <w:spacing w:line="360" w:lineRule="auto"/>
              <w:jc w:val="center"/>
              <w:rPr>
                <w:rFonts w:ascii="宋体" w:hAnsi="宋体" w:cs="宋体"/>
                <w:sz w:val="24"/>
              </w:rPr>
            </w:pPr>
            <w:r>
              <w:rPr>
                <w:rFonts w:hint="eastAsia" w:ascii="宋体" w:hAnsi="宋体" w:cs="宋体"/>
                <w:sz w:val="24"/>
              </w:rPr>
              <w:t>34</w:t>
            </w:r>
          </w:p>
        </w:tc>
        <w:tc>
          <w:tcPr>
            <w:tcW w:w="2657" w:type="dxa"/>
            <w:tcBorders>
              <w:top w:val="single" w:color="auto" w:sz="4" w:space="0"/>
              <w:left w:val="single" w:color="auto" w:sz="4" w:space="0"/>
              <w:bottom w:val="single" w:color="auto" w:sz="4" w:space="0"/>
              <w:right w:val="single" w:color="auto" w:sz="4" w:space="0"/>
            </w:tcBorders>
            <w:vAlign w:val="center"/>
          </w:tcPr>
          <w:p w14:paraId="6D7389AE">
            <w:pPr>
              <w:spacing w:line="360" w:lineRule="auto"/>
              <w:jc w:val="center"/>
              <w:rPr>
                <w:rFonts w:ascii="宋体" w:hAnsi="宋体" w:cs="宋体"/>
                <w:color w:val="000000"/>
                <w:kern w:val="10"/>
                <w:sz w:val="24"/>
              </w:rPr>
            </w:pPr>
            <w:r>
              <w:rPr>
                <w:rFonts w:hint="eastAsia" w:ascii="宋体" w:hAnsi="宋体" w:cs="宋体"/>
                <w:color w:val="000000"/>
                <w:kern w:val="10"/>
                <w:sz w:val="24"/>
              </w:rPr>
              <w:t>中标结果</w:t>
            </w:r>
          </w:p>
        </w:tc>
        <w:tc>
          <w:tcPr>
            <w:tcW w:w="6129" w:type="dxa"/>
            <w:tcBorders>
              <w:top w:val="single" w:color="auto" w:sz="4" w:space="0"/>
              <w:left w:val="single" w:color="auto" w:sz="4" w:space="0"/>
              <w:bottom w:val="single" w:color="auto" w:sz="4" w:space="0"/>
              <w:right w:val="single" w:color="auto" w:sz="4" w:space="0"/>
            </w:tcBorders>
            <w:vAlign w:val="center"/>
          </w:tcPr>
          <w:p w14:paraId="5A40A868">
            <w:pPr>
              <w:spacing w:line="360" w:lineRule="auto"/>
              <w:jc w:val="left"/>
              <w:rPr>
                <w:rFonts w:ascii="宋体" w:hAnsi="宋体" w:cs="宋体"/>
                <w:color w:val="000000"/>
                <w:kern w:val="10"/>
                <w:sz w:val="24"/>
              </w:rPr>
            </w:pPr>
            <w:r>
              <w:rPr>
                <w:rFonts w:hint="eastAsia" w:ascii="宋体" w:hAnsi="宋体"/>
                <w:sz w:val="24"/>
              </w:rPr>
              <w:t>在《河南省政府采购网》、《中国采购与招标网》和《三门峡市公共资源交易中心网》等网站同步发布。</w:t>
            </w:r>
          </w:p>
        </w:tc>
      </w:tr>
      <w:tr w14:paraId="186676D1">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53790CF6">
            <w:pPr>
              <w:spacing w:line="360" w:lineRule="auto"/>
              <w:jc w:val="center"/>
              <w:rPr>
                <w:rFonts w:ascii="宋体" w:hAnsi="宋体" w:cs="宋体"/>
                <w:sz w:val="24"/>
              </w:rPr>
            </w:pPr>
            <w:r>
              <w:rPr>
                <w:rFonts w:hint="eastAsia" w:ascii="宋体" w:hAnsi="宋体" w:cs="宋体"/>
                <w:sz w:val="24"/>
              </w:rPr>
              <w:t>35</w:t>
            </w:r>
          </w:p>
        </w:tc>
        <w:tc>
          <w:tcPr>
            <w:tcW w:w="2657" w:type="dxa"/>
            <w:tcBorders>
              <w:top w:val="single" w:color="auto" w:sz="4" w:space="0"/>
              <w:left w:val="single" w:color="auto" w:sz="4" w:space="0"/>
              <w:bottom w:val="single" w:color="auto" w:sz="4" w:space="0"/>
              <w:right w:val="single" w:color="auto" w:sz="4" w:space="0"/>
            </w:tcBorders>
            <w:vAlign w:val="center"/>
          </w:tcPr>
          <w:p w14:paraId="541EDCF1">
            <w:pPr>
              <w:spacing w:line="360" w:lineRule="auto"/>
              <w:jc w:val="center"/>
              <w:rPr>
                <w:rFonts w:ascii="宋体" w:hAnsi="宋体" w:cs="宋体"/>
                <w:color w:val="000000"/>
                <w:kern w:val="10"/>
                <w:sz w:val="24"/>
              </w:rPr>
            </w:pPr>
            <w:r>
              <w:rPr>
                <w:rFonts w:hint="eastAsia" w:ascii="宋体" w:hAnsi="宋体" w:cs="宋体"/>
                <w:color w:val="000000"/>
                <w:kern w:val="10"/>
                <w:sz w:val="24"/>
              </w:rPr>
              <w:t>磋商文件解释</w:t>
            </w:r>
          </w:p>
        </w:tc>
        <w:tc>
          <w:tcPr>
            <w:tcW w:w="6129" w:type="dxa"/>
            <w:tcBorders>
              <w:top w:val="single" w:color="auto" w:sz="4" w:space="0"/>
              <w:left w:val="single" w:color="auto" w:sz="4" w:space="0"/>
              <w:bottom w:val="single" w:color="auto" w:sz="4" w:space="0"/>
              <w:right w:val="single" w:color="auto" w:sz="4" w:space="0"/>
            </w:tcBorders>
            <w:vAlign w:val="center"/>
          </w:tcPr>
          <w:p w14:paraId="04A5FC64">
            <w:pPr>
              <w:numPr>
                <w:ilvl w:val="0"/>
                <w:numId w:val="1"/>
              </w:numPr>
              <w:spacing w:line="360" w:lineRule="auto"/>
              <w:rPr>
                <w:rFonts w:ascii="宋体" w:hAnsi="宋体" w:cs="宋体"/>
                <w:color w:val="000000"/>
                <w:kern w:val="10"/>
                <w:sz w:val="24"/>
              </w:rPr>
            </w:pPr>
            <w:r>
              <w:rPr>
                <w:rFonts w:hint="eastAsia" w:ascii="宋体" w:hAnsi="宋体" w:cs="宋体"/>
                <w:color w:val="000000"/>
                <w:kern w:val="10"/>
                <w:sz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磋商文件的最终解释权归采购人。</w:t>
            </w:r>
          </w:p>
          <w:p w14:paraId="2B5E2E41">
            <w:pPr>
              <w:numPr>
                <w:ilvl w:val="0"/>
                <w:numId w:val="1"/>
              </w:numPr>
              <w:spacing w:line="360" w:lineRule="auto"/>
              <w:rPr>
                <w:rFonts w:ascii="宋体" w:hAnsi="宋体" w:cs="宋体"/>
                <w:color w:val="000000"/>
                <w:kern w:val="10"/>
                <w:sz w:val="24"/>
              </w:rPr>
            </w:pPr>
            <w:r>
              <w:rPr>
                <w:rFonts w:hint="eastAsia" w:ascii="宋体" w:hAnsi="宋体" w:cs="宋体"/>
                <w:color w:val="000000"/>
                <w:kern w:val="10"/>
                <w:sz w:val="24"/>
              </w:rPr>
              <w:t>本文件中“招标文件”、“采购文件”所表述的为同一内容；本文件中“招标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工期”、“交货及完工期”“完成期限”所表述的为同一内容，本文件中“货物名称”、 “投标货物名称”“产品名称”、“投标产品名称”所表述的为同一内容。</w:t>
            </w:r>
          </w:p>
          <w:p w14:paraId="2D8EC76D">
            <w:pPr>
              <w:numPr>
                <w:ilvl w:val="0"/>
                <w:numId w:val="1"/>
              </w:numPr>
              <w:spacing w:line="360" w:lineRule="auto"/>
              <w:rPr>
                <w:rFonts w:ascii="宋体" w:hAnsi="宋体"/>
                <w:sz w:val="24"/>
              </w:rPr>
            </w:pPr>
            <w:r>
              <w:rPr>
                <w:rFonts w:hint="eastAsia" w:ascii="宋体" w:hAnsi="宋体" w:cs="宋体"/>
                <w:color w:val="000000"/>
                <w:kern w:val="10"/>
                <w:sz w:val="24"/>
              </w:rPr>
              <w:t>其它未尽事宜，按国家有关法律、法规执行。</w:t>
            </w:r>
          </w:p>
        </w:tc>
      </w:tr>
      <w:tr w14:paraId="7890F4DF">
        <w:tblPrEx>
          <w:tblCellMar>
            <w:top w:w="0" w:type="dxa"/>
            <w:left w:w="108" w:type="dxa"/>
            <w:bottom w:w="0" w:type="dxa"/>
            <w:right w:w="108" w:type="dxa"/>
          </w:tblCellMar>
        </w:tblPrEx>
        <w:trPr>
          <w:trHeight w:val="520"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498C441">
            <w:pPr>
              <w:spacing w:line="360" w:lineRule="auto"/>
              <w:jc w:val="center"/>
              <w:rPr>
                <w:rFonts w:ascii="宋体" w:hAnsi="宋体" w:cs="宋体"/>
                <w:sz w:val="24"/>
              </w:rPr>
            </w:pPr>
            <w:r>
              <w:rPr>
                <w:rFonts w:hint="eastAsia" w:ascii="宋体" w:hAnsi="宋体" w:cs="宋体"/>
                <w:sz w:val="24"/>
              </w:rPr>
              <w:t>36</w:t>
            </w:r>
          </w:p>
        </w:tc>
        <w:tc>
          <w:tcPr>
            <w:tcW w:w="2657" w:type="dxa"/>
            <w:tcBorders>
              <w:top w:val="single" w:color="auto" w:sz="4" w:space="0"/>
              <w:left w:val="single" w:color="auto" w:sz="4" w:space="0"/>
              <w:bottom w:val="single" w:color="auto" w:sz="4" w:space="0"/>
              <w:right w:val="single" w:color="auto" w:sz="4" w:space="0"/>
            </w:tcBorders>
            <w:vAlign w:val="center"/>
          </w:tcPr>
          <w:p w14:paraId="698AD537">
            <w:pPr>
              <w:spacing w:line="360" w:lineRule="auto"/>
              <w:ind w:firstLine="480" w:firstLineChars="200"/>
              <w:rPr>
                <w:rFonts w:ascii="宋体" w:hAnsi="宋体" w:cs="宋体"/>
                <w:sz w:val="24"/>
              </w:rPr>
            </w:pPr>
            <w:r>
              <w:rPr>
                <w:rFonts w:hint="eastAsia" w:ascii="宋体" w:hAnsi="宋体" w:cs="宋体"/>
                <w:sz w:val="24"/>
              </w:rPr>
              <w:t>政府采购政策</w:t>
            </w:r>
          </w:p>
        </w:tc>
        <w:tc>
          <w:tcPr>
            <w:tcW w:w="6129" w:type="dxa"/>
            <w:tcBorders>
              <w:top w:val="single" w:color="auto" w:sz="4" w:space="0"/>
              <w:left w:val="single" w:color="auto" w:sz="4" w:space="0"/>
              <w:bottom w:val="single" w:color="auto" w:sz="4" w:space="0"/>
              <w:right w:val="single" w:color="auto" w:sz="4" w:space="0"/>
            </w:tcBorders>
            <w:vAlign w:val="center"/>
          </w:tcPr>
          <w:p w14:paraId="6ADBEF31">
            <w:pPr>
              <w:spacing w:line="480" w:lineRule="exact"/>
              <w:jc w:val="left"/>
              <w:rPr>
                <w:rFonts w:ascii="宋体" w:hAnsi="宋体" w:cs="宋体"/>
                <w:sz w:val="24"/>
              </w:rPr>
            </w:pPr>
            <w:r>
              <w:rPr>
                <w:rFonts w:hint="eastAsia" w:ascii="宋体" w:hAnsi="宋体" w:cs="宋体"/>
                <w:sz w:val="24"/>
              </w:rPr>
              <w:t>1、采购项目涉及节能产品的，将按《节能产品政府采购实施意见》(财库【2004】185号)的规定执行。“节能产品政府采购清单”在中国政府采购网、中国环境资源信息网、中国节能节水认证网发布，属于清单内的产品，供应商优先采用该产品。供应商应当列明项目中所投的“节能产品清单”并提供相关有效证明材料,否则不予认可。</w:t>
            </w:r>
          </w:p>
          <w:p w14:paraId="33F213B2">
            <w:pPr>
              <w:spacing w:line="480" w:lineRule="exact"/>
              <w:jc w:val="left"/>
              <w:rPr>
                <w:rFonts w:ascii="宋体" w:hAnsi="宋体" w:cs="宋体"/>
                <w:sz w:val="24"/>
              </w:rPr>
            </w:pPr>
            <w:r>
              <w:rPr>
                <w:rFonts w:hint="eastAsia" w:ascii="宋体" w:hAnsi="宋体" w:cs="宋体"/>
                <w:sz w:val="24"/>
              </w:rPr>
              <w:t>2、采购项目涉及环境标志产品的，将按《环境标志产品政府采购实施意见》(财库【2006】90号）的规定执行。“环境标志产品政府采购清单”在中国政府采购网、中国绿色采购网、国家环境保护总局网发布，属于清单内的产品，供应商优先采用该产品。供应商应当列明本项目中所投的“环境标志产品清单”并提供相关有效证明材料，否则不予认可。</w:t>
            </w:r>
          </w:p>
          <w:p w14:paraId="659957F7">
            <w:pPr>
              <w:spacing w:line="480" w:lineRule="exact"/>
              <w:jc w:val="left"/>
              <w:rPr>
                <w:rFonts w:ascii="宋体" w:hAnsi="宋体" w:cs="宋体"/>
                <w:sz w:val="24"/>
              </w:rPr>
            </w:pPr>
            <w:r>
              <w:rPr>
                <w:rFonts w:hint="eastAsia" w:ascii="宋体" w:hAnsi="宋体" w:cs="宋体"/>
                <w:sz w:val="24"/>
              </w:rPr>
              <w:t>3、采购项目涉及计算机办公设备的，必须执行国家版权局、信息产业部、财政部等部门规定，供应商所投货物必须是国家信息部、版权局、商务部等部门认可的预装正版操作系统软件的计算机产品。</w:t>
            </w:r>
          </w:p>
          <w:p w14:paraId="46926910">
            <w:pPr>
              <w:spacing w:line="600" w:lineRule="exact"/>
              <w:jc w:val="left"/>
              <w:rPr>
                <w:rFonts w:ascii="宋体" w:hAnsi="宋体" w:cs="宋体"/>
                <w:sz w:val="24"/>
              </w:rPr>
            </w:pPr>
            <w:r>
              <w:rPr>
                <w:rFonts w:hint="eastAsia" w:ascii="宋体" w:hAnsi="宋体" w:cs="宋体"/>
                <w:sz w:val="24"/>
              </w:rPr>
              <w:t>4、本项目支持河南省政府采购合同融资政策和资格信用承诺制。</w:t>
            </w:r>
          </w:p>
          <w:p w14:paraId="1613239C">
            <w:pPr>
              <w:spacing w:line="480" w:lineRule="exact"/>
              <w:jc w:val="left"/>
              <w:rPr>
                <w:rFonts w:ascii="宋体" w:hAnsi="宋体" w:cs="宋体"/>
                <w:sz w:val="24"/>
              </w:rPr>
            </w:pPr>
            <w:r>
              <w:rPr>
                <w:rFonts w:hint="eastAsia" w:ascii="宋体" w:hAnsi="宋体" w:cs="宋体"/>
                <w:sz w:val="24"/>
              </w:rPr>
              <w:t>5、落实政府采购政策</w:t>
            </w:r>
          </w:p>
          <w:p w14:paraId="25184F44">
            <w:pPr>
              <w:spacing w:line="480" w:lineRule="exact"/>
              <w:ind w:firstLine="480" w:firstLineChars="200"/>
              <w:jc w:val="left"/>
              <w:rPr>
                <w:rFonts w:ascii="宋体" w:hAnsi="宋体" w:cs="宋体"/>
                <w:sz w:val="24"/>
              </w:rPr>
            </w:pPr>
            <w:r>
              <w:rPr>
                <w:rFonts w:hint="eastAsia" w:ascii="宋体" w:hAnsi="宋体" w:cs="宋体"/>
                <w:sz w:val="24"/>
              </w:rPr>
              <w:t>5.1 财政部、工业和信息化部《政府采购促进中小企业发展管理办法》（财库〔2020〕46号）的规定；</w:t>
            </w:r>
          </w:p>
          <w:p w14:paraId="6D65EB01">
            <w:pPr>
              <w:spacing w:line="480" w:lineRule="exact"/>
              <w:ind w:firstLine="480" w:firstLineChars="200"/>
              <w:jc w:val="left"/>
              <w:rPr>
                <w:rFonts w:ascii="宋体" w:hAnsi="宋体" w:cs="宋体"/>
                <w:sz w:val="24"/>
              </w:rPr>
            </w:pPr>
            <w:r>
              <w:rPr>
                <w:rFonts w:hint="eastAsia" w:ascii="宋体" w:hAnsi="宋体" w:cs="宋体"/>
                <w:sz w:val="24"/>
              </w:rPr>
              <w:t xml:space="preserve">5.2 执行《财政部关于进一步加大政府采购支持中小企业力度的通知》财库〔2022〕19号，对小型和微型企业产品的价格给予10%的扣除，用扣除后的价格参与评审； </w:t>
            </w:r>
          </w:p>
          <w:p w14:paraId="32AED883">
            <w:pPr>
              <w:spacing w:line="480" w:lineRule="exact"/>
              <w:ind w:firstLine="480" w:firstLineChars="200"/>
              <w:jc w:val="left"/>
              <w:rPr>
                <w:rFonts w:ascii="宋体" w:hAnsi="宋体" w:cs="宋体"/>
                <w:sz w:val="24"/>
              </w:rPr>
            </w:pPr>
            <w:r>
              <w:rPr>
                <w:rFonts w:hint="eastAsia" w:ascii="宋体" w:hAnsi="宋体" w:cs="宋体"/>
                <w:sz w:val="24"/>
              </w:rPr>
              <w:t>5.3 执行财政部、司法部《关于政府采购支持监狱企业发展有关问题的通知》(财库〔2014〕68号)；</w:t>
            </w:r>
          </w:p>
          <w:p w14:paraId="558EB07F">
            <w:pPr>
              <w:spacing w:line="480" w:lineRule="exact"/>
              <w:ind w:firstLine="480" w:firstLineChars="200"/>
              <w:jc w:val="left"/>
              <w:rPr>
                <w:rFonts w:ascii="宋体" w:hAnsi="宋体" w:cs="宋体"/>
                <w:sz w:val="24"/>
              </w:rPr>
            </w:pPr>
            <w:r>
              <w:rPr>
                <w:rFonts w:hint="eastAsia" w:ascii="宋体" w:hAnsi="宋体" w:cs="宋体"/>
                <w:sz w:val="24"/>
              </w:rPr>
              <w:t>5.4 执行财政部、民政部、中国残疾人联合会《关于促进残疾人就业政府采购政策的通知》(财库〔2017)141号)；</w:t>
            </w:r>
          </w:p>
          <w:p w14:paraId="639A36ED">
            <w:pPr>
              <w:spacing w:line="480" w:lineRule="exact"/>
              <w:ind w:firstLine="480" w:firstLineChars="200"/>
              <w:jc w:val="left"/>
              <w:rPr>
                <w:rFonts w:ascii="宋体" w:hAnsi="宋体" w:cs="宋体"/>
                <w:sz w:val="24"/>
              </w:rPr>
            </w:pPr>
            <w:r>
              <w:rPr>
                <w:rFonts w:hint="eastAsia" w:ascii="宋体" w:hAnsi="宋体" w:cs="宋体"/>
                <w:sz w:val="24"/>
              </w:rPr>
              <w:t>备注：1）中小企业参加政府采购活动时应当出具《中小企业声明函》，否则不享受相关中小企业扶持政策。</w:t>
            </w:r>
          </w:p>
          <w:p w14:paraId="4CDA750A">
            <w:pPr>
              <w:spacing w:line="480" w:lineRule="exact"/>
              <w:ind w:firstLine="480" w:firstLineChars="200"/>
              <w:jc w:val="left"/>
              <w:rPr>
                <w:rFonts w:ascii="宋体" w:hAnsi="宋体" w:cs="宋体"/>
                <w:sz w:val="24"/>
              </w:rPr>
            </w:pPr>
            <w:r>
              <w:rPr>
                <w:rFonts w:hint="eastAsia" w:ascii="宋体" w:hAnsi="宋体" w:cs="宋体"/>
                <w:sz w:val="24"/>
              </w:rPr>
              <w:t>2）同一供应商（包括联合体），中小企业产品、监狱企业产品、残疾人福利性单位产品价格扣除优惠只享受一次，不得重复享受。</w:t>
            </w:r>
          </w:p>
          <w:p w14:paraId="1400135B">
            <w:pPr>
              <w:spacing w:line="480" w:lineRule="exact"/>
              <w:ind w:firstLine="480" w:firstLineChars="200"/>
              <w:jc w:val="left"/>
              <w:rPr>
                <w:rFonts w:ascii="宋体" w:hAnsi="宋体" w:cs="宋体"/>
                <w:sz w:val="24"/>
              </w:rPr>
            </w:pPr>
            <w:r>
              <w:rPr>
                <w:rFonts w:hint="eastAsia" w:ascii="宋体" w:hAnsi="宋体" w:cs="宋体"/>
                <w:sz w:val="24"/>
              </w:rPr>
              <w:t>5.5中小企业划分标准：按照《国家统计局关于印发&lt;统计上大中小微型企业划分办法（2017）&gt;的通知》国统字【2017】213号文件及《工业和信息化部、国家统计局、国家发展和改革委员会、财政部关于印发&lt;中小企业划型标准规定&gt;（工信部联企业〔2011〕300号）规定的划分标准为依据。</w:t>
            </w:r>
            <w:r>
              <w:rPr>
                <w:rFonts w:hint="eastAsia" w:ascii="宋体" w:hAnsi="宋体" w:cs="宋体"/>
                <w:color w:val="000000" w:themeColor="text1"/>
                <w:sz w:val="24"/>
                <w14:textFill>
                  <w14:solidFill>
                    <w14:schemeClr w14:val="tx1"/>
                  </w14:solidFill>
                </w14:textFill>
              </w:rPr>
              <w:t>采购标的所属行业：其他未列明行业</w:t>
            </w:r>
            <w:r>
              <w:rPr>
                <w:rFonts w:hint="eastAsia" w:ascii="宋体" w:hAnsi="宋体" w:cs="宋体"/>
                <w:sz w:val="24"/>
              </w:rPr>
              <w:t>。</w:t>
            </w:r>
          </w:p>
        </w:tc>
      </w:tr>
      <w:tr w14:paraId="6583C874">
        <w:tblPrEx>
          <w:tblCellMar>
            <w:top w:w="0" w:type="dxa"/>
            <w:left w:w="108" w:type="dxa"/>
            <w:bottom w:w="0" w:type="dxa"/>
            <w:right w:w="108" w:type="dxa"/>
          </w:tblCellMar>
        </w:tblPrEx>
        <w:trPr>
          <w:trHeight w:val="633"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1891823A">
            <w:pPr>
              <w:spacing w:line="360" w:lineRule="auto"/>
              <w:jc w:val="center"/>
              <w:rPr>
                <w:rFonts w:ascii="宋体" w:hAnsi="宋体" w:cs="宋体"/>
                <w:sz w:val="24"/>
              </w:rPr>
            </w:pPr>
            <w:r>
              <w:rPr>
                <w:rFonts w:hint="eastAsia" w:ascii="宋体" w:hAnsi="宋体" w:cs="宋体"/>
                <w:sz w:val="24"/>
              </w:rPr>
              <w:t>37</w:t>
            </w:r>
          </w:p>
        </w:tc>
        <w:tc>
          <w:tcPr>
            <w:tcW w:w="8786" w:type="dxa"/>
            <w:gridSpan w:val="2"/>
            <w:tcBorders>
              <w:top w:val="single" w:color="auto" w:sz="4" w:space="0"/>
              <w:left w:val="single" w:color="auto" w:sz="4" w:space="0"/>
              <w:bottom w:val="single" w:color="auto" w:sz="4" w:space="0"/>
              <w:right w:val="single" w:color="auto" w:sz="4" w:space="0"/>
            </w:tcBorders>
          </w:tcPr>
          <w:p w14:paraId="21D19621">
            <w:pPr>
              <w:widowControl/>
              <w:spacing w:line="360" w:lineRule="auto"/>
              <w:rPr>
                <w:rFonts w:ascii="宋体" w:hAnsi="宋体" w:cs="宋体"/>
                <w:spacing w:val="5"/>
                <w:sz w:val="24"/>
              </w:rPr>
            </w:pPr>
            <w:r>
              <w:rPr>
                <w:rFonts w:hint="eastAsia" w:ascii="宋体" w:hAnsi="宋体" w:cs="宋体"/>
                <w:spacing w:val="5"/>
                <w:sz w:val="24"/>
              </w:rPr>
              <w:t>1、本项目采用电子化、无纸化进行招标，供应商应当在投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5322EC3B">
            <w:pPr>
              <w:widowControl/>
              <w:spacing w:line="360" w:lineRule="auto"/>
              <w:rPr>
                <w:rFonts w:ascii="宋体" w:hAnsi="宋体" w:cs="宋体"/>
                <w:spacing w:val="5"/>
                <w:sz w:val="24"/>
              </w:rPr>
            </w:pPr>
            <w:r>
              <w:rPr>
                <w:rFonts w:hint="eastAsia" w:ascii="宋体" w:hAnsi="宋体" w:cs="宋体"/>
                <w:spacing w:val="5"/>
                <w:sz w:val="24"/>
              </w:rPr>
              <w:t>2、电子化响应文件采用一次加密方式。开标时，由供应商使用CA 证书，在规定时间内对其电子化响应文件进行解密。每位供应商的解密时间为开标时间起30分钟内，如在规定时间内未完成解密的，其响应文件不予开标、唱标。</w:t>
            </w:r>
          </w:p>
          <w:p w14:paraId="07F95DF0">
            <w:pPr>
              <w:widowControl/>
              <w:spacing w:line="360" w:lineRule="auto"/>
              <w:rPr>
                <w:rFonts w:ascii="宋体" w:hAnsi="宋体" w:cs="宋体"/>
                <w:spacing w:val="5"/>
                <w:sz w:val="24"/>
              </w:rPr>
            </w:pPr>
            <w:r>
              <w:rPr>
                <w:rFonts w:hint="eastAsia" w:ascii="宋体" w:hAnsi="宋体" w:cs="宋体"/>
                <w:spacing w:val="5"/>
                <w:sz w:val="24"/>
              </w:rPr>
              <w:t>3、电子化响应文件异常情况的处理</w:t>
            </w:r>
          </w:p>
          <w:p w14:paraId="0DB540A5">
            <w:pPr>
              <w:widowControl/>
              <w:spacing w:line="360" w:lineRule="auto"/>
              <w:rPr>
                <w:rFonts w:ascii="宋体" w:hAnsi="宋体" w:cs="宋体"/>
                <w:spacing w:val="5"/>
                <w:sz w:val="24"/>
              </w:rPr>
            </w:pPr>
            <w:r>
              <w:rPr>
                <w:rFonts w:hint="eastAsia" w:ascii="宋体" w:hAnsi="宋体" w:cs="宋体"/>
                <w:spacing w:val="5"/>
                <w:sz w:val="24"/>
              </w:rPr>
              <w:t>如出现供应商的电子响应文件无法解密等异常情况，供应商应及时致电中介服务机构说明。响应文件异常，按以下步骤进行处理：</w:t>
            </w:r>
          </w:p>
          <w:p w14:paraId="5875EF46">
            <w:pPr>
              <w:widowControl/>
              <w:spacing w:line="360" w:lineRule="auto"/>
              <w:rPr>
                <w:rFonts w:ascii="宋体" w:hAnsi="宋体" w:cs="宋体"/>
                <w:spacing w:val="5"/>
                <w:sz w:val="24"/>
              </w:rPr>
            </w:pPr>
            <w:r>
              <w:rPr>
                <w:rFonts w:hint="eastAsia" w:ascii="宋体" w:hAnsi="宋体" w:cs="宋体"/>
                <w:spacing w:val="5"/>
                <w:sz w:val="24"/>
              </w:rPr>
              <w:t>（1）首先由技术人员进行问题排查。</w:t>
            </w:r>
          </w:p>
          <w:p w14:paraId="5A498E9F">
            <w:pPr>
              <w:widowControl/>
              <w:spacing w:line="360" w:lineRule="auto"/>
              <w:rPr>
                <w:rFonts w:ascii="宋体" w:hAnsi="宋体" w:cs="宋体"/>
                <w:spacing w:val="5"/>
                <w:sz w:val="24"/>
              </w:rPr>
            </w:pPr>
            <w:r>
              <w:rPr>
                <w:rFonts w:hint="eastAsia" w:ascii="宋体" w:hAnsi="宋体" w:cs="宋体"/>
                <w:spacing w:val="5"/>
                <w:sz w:val="24"/>
              </w:rPr>
              <w:t>（2）经技术人员排查后，是供应商文件自身问题导致投标文件无法解密的，该响应文件将不予接收、解密和唱标。开标会议继续进行。</w:t>
            </w:r>
          </w:p>
          <w:p w14:paraId="07A9E5F2">
            <w:pPr>
              <w:widowControl/>
              <w:spacing w:line="360" w:lineRule="auto"/>
              <w:rPr>
                <w:rFonts w:ascii="宋体" w:hAnsi="宋体" w:cs="宋体"/>
                <w:spacing w:val="5"/>
                <w:sz w:val="24"/>
              </w:rPr>
            </w:pPr>
            <w:r>
              <w:rPr>
                <w:rFonts w:hint="eastAsia" w:ascii="宋体" w:hAnsi="宋体" w:cs="宋体"/>
                <w:spacing w:val="5"/>
                <w:sz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A280902">
            <w:pPr>
              <w:widowControl/>
              <w:spacing w:line="360" w:lineRule="auto"/>
              <w:rPr>
                <w:rFonts w:ascii="宋体" w:hAnsi="宋体" w:cs="宋体"/>
                <w:spacing w:val="5"/>
                <w:sz w:val="24"/>
              </w:rPr>
            </w:pPr>
            <w:r>
              <w:rPr>
                <w:rFonts w:hint="eastAsia" w:ascii="宋体" w:hAnsi="宋体" w:cs="宋体"/>
                <w:spacing w:val="5"/>
                <w:sz w:val="24"/>
              </w:rPr>
              <w:t>4、待所有供应商响应文件解密完成后，由中介服务机构操作，对所有已解密响应文件进行唱标。</w:t>
            </w:r>
          </w:p>
          <w:p w14:paraId="59D7F92C">
            <w:pPr>
              <w:widowControl/>
              <w:spacing w:line="360" w:lineRule="auto"/>
              <w:rPr>
                <w:rFonts w:ascii="宋体" w:hAnsi="宋体" w:cs="宋体"/>
                <w:spacing w:val="5"/>
                <w:sz w:val="24"/>
              </w:rPr>
            </w:pPr>
            <w:r>
              <w:rPr>
                <w:rFonts w:hint="eastAsia" w:ascii="宋体" w:hAnsi="宋体" w:cs="宋体"/>
                <w:spacing w:val="5"/>
                <w:sz w:val="24"/>
              </w:rPr>
              <w:t>供应商应保证在开标期间电话、电脑、网络能够正常工作，供应商因停电、电脑病毒、网络堵塞等原因，未在规定的解密时间内对响应文件进行解密的，其响应文件不予接收、唱标。</w:t>
            </w:r>
          </w:p>
          <w:p w14:paraId="4CFF2515">
            <w:pPr>
              <w:widowControl/>
              <w:spacing w:line="360" w:lineRule="auto"/>
              <w:rPr>
                <w:rFonts w:ascii="宋体" w:hAnsi="宋体" w:cs="宋体"/>
                <w:spacing w:val="5"/>
                <w:sz w:val="24"/>
              </w:rPr>
            </w:pPr>
            <w:r>
              <w:rPr>
                <w:rFonts w:hint="eastAsia" w:ascii="宋体" w:hAnsi="宋体" w:cs="宋体"/>
                <w:spacing w:val="5"/>
                <w:sz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3B95CF34">
            <w:pPr>
              <w:widowControl/>
              <w:spacing w:line="360" w:lineRule="auto"/>
              <w:rPr>
                <w:rFonts w:ascii="宋体" w:hAnsi="宋体" w:cs="宋体"/>
                <w:spacing w:val="5"/>
                <w:sz w:val="24"/>
              </w:rPr>
            </w:pPr>
            <w:r>
              <w:rPr>
                <w:rFonts w:hint="eastAsia" w:ascii="宋体" w:hAnsi="宋体" w:cs="宋体"/>
                <w:spacing w:val="5"/>
                <w:sz w:val="24"/>
              </w:rPr>
              <w:t>6、评标时，</w:t>
            </w:r>
            <w:r>
              <w:rPr>
                <w:rFonts w:hint="eastAsia" w:ascii="宋体" w:hAnsi="宋体" w:cs="宋体"/>
                <w:sz w:val="24"/>
              </w:rPr>
              <w:t>磋商小组</w:t>
            </w:r>
            <w:r>
              <w:rPr>
                <w:rFonts w:hint="eastAsia" w:ascii="宋体" w:hAnsi="宋体" w:cs="宋体"/>
                <w:spacing w:val="5"/>
                <w:sz w:val="24"/>
              </w:rPr>
              <w:t>对电子化响应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磋商小组。</w:t>
            </w:r>
          </w:p>
          <w:p w14:paraId="71286E70">
            <w:pPr>
              <w:widowControl/>
              <w:spacing w:line="360" w:lineRule="auto"/>
              <w:rPr>
                <w:rFonts w:ascii="宋体" w:hAnsi="宋体" w:cs="宋体"/>
                <w:spacing w:val="5"/>
                <w:sz w:val="24"/>
              </w:rPr>
            </w:pPr>
            <w:r>
              <w:rPr>
                <w:rFonts w:hint="eastAsia" w:ascii="宋体" w:hAnsi="宋体" w:cs="宋体"/>
                <w:spacing w:val="5"/>
                <w:sz w:val="24"/>
              </w:rPr>
              <w:t>7、如</w:t>
            </w:r>
            <w:r>
              <w:rPr>
                <w:rFonts w:hint="eastAsia" w:ascii="宋体" w:hAnsi="宋体" w:cs="宋体"/>
                <w:sz w:val="24"/>
              </w:rPr>
              <w:t>磋商小组</w:t>
            </w:r>
            <w:r>
              <w:rPr>
                <w:rFonts w:hint="eastAsia" w:ascii="宋体" w:hAnsi="宋体" w:cs="宋体"/>
                <w:spacing w:val="5"/>
                <w:sz w:val="24"/>
              </w:rPr>
              <w:t>对需要回复的供应商连续三次致电未接通的，视为供应商放弃回复，</w:t>
            </w:r>
            <w:r>
              <w:rPr>
                <w:rFonts w:hint="eastAsia" w:ascii="宋体" w:hAnsi="宋体" w:cs="宋体"/>
                <w:sz w:val="24"/>
              </w:rPr>
              <w:t>磋商小组</w:t>
            </w:r>
            <w:r>
              <w:rPr>
                <w:rFonts w:hint="eastAsia" w:ascii="宋体" w:hAnsi="宋体" w:cs="宋体"/>
                <w:spacing w:val="5"/>
                <w:sz w:val="24"/>
              </w:rPr>
              <w:t>将自行对需要回复的内容进行认定。</w:t>
            </w:r>
          </w:p>
        </w:tc>
      </w:tr>
    </w:tbl>
    <w:p w14:paraId="2195974F">
      <w:pPr>
        <w:widowControl/>
        <w:jc w:val="left"/>
        <w:rPr>
          <w:rFonts w:ascii="宋体" w:hAnsi="宋体" w:cs="宋体"/>
          <w:b/>
          <w:bCs/>
          <w:sz w:val="24"/>
        </w:rPr>
      </w:pPr>
      <w:bookmarkStart w:id="12" w:name="_Toc247085715"/>
      <w:bookmarkStart w:id="13" w:name="_Toc152045557"/>
      <w:bookmarkStart w:id="14" w:name="_Toc296602445"/>
      <w:bookmarkStart w:id="15" w:name="_Toc144974525"/>
      <w:bookmarkStart w:id="16" w:name="_Toc152042333"/>
      <w:bookmarkStart w:id="17" w:name="_Toc246996201"/>
      <w:bookmarkStart w:id="18" w:name="_Toc179632575"/>
      <w:bookmarkStart w:id="19" w:name="_Toc246996944"/>
    </w:p>
    <w:p w14:paraId="2B865DB0">
      <w:pPr>
        <w:spacing w:line="480" w:lineRule="exact"/>
        <w:ind w:firstLine="482" w:firstLineChars="200"/>
        <w:outlineLvl w:val="1"/>
        <w:rPr>
          <w:rFonts w:ascii="宋体" w:hAnsi="宋体" w:cs="宋体"/>
          <w:b/>
          <w:bCs/>
          <w:sz w:val="24"/>
        </w:rPr>
      </w:pPr>
      <w:bookmarkStart w:id="20" w:name="_Toc29773"/>
      <w:bookmarkStart w:id="21" w:name="_Toc149121922"/>
      <w:bookmarkStart w:id="22" w:name="_Toc127797694"/>
      <w:bookmarkStart w:id="23" w:name="_Toc18726"/>
      <w:bookmarkStart w:id="24" w:name="_Toc14807"/>
      <w:r>
        <w:rPr>
          <w:rFonts w:hint="eastAsia" w:ascii="宋体" w:hAnsi="宋体" w:cs="宋体"/>
          <w:b/>
          <w:bCs/>
          <w:sz w:val="24"/>
        </w:rPr>
        <w:t>1、适用范围</w:t>
      </w:r>
      <w:bookmarkEnd w:id="20"/>
      <w:bookmarkEnd w:id="21"/>
      <w:bookmarkEnd w:id="22"/>
      <w:bookmarkEnd w:id="23"/>
      <w:bookmarkEnd w:id="24"/>
    </w:p>
    <w:p w14:paraId="2BCA55B3">
      <w:pPr>
        <w:spacing w:line="480" w:lineRule="exact"/>
        <w:ind w:firstLine="480" w:firstLineChars="200"/>
        <w:rPr>
          <w:rFonts w:ascii="宋体" w:hAnsi="宋体" w:cs="宋体"/>
          <w:sz w:val="24"/>
        </w:rPr>
      </w:pPr>
      <w:r>
        <w:rPr>
          <w:rFonts w:hint="eastAsia" w:ascii="宋体" w:hAnsi="宋体" w:cs="宋体"/>
          <w:sz w:val="24"/>
        </w:rPr>
        <w:t>本竞争性磋商文件仅适用于本次竞争性磋商文件中的所叙述的内容。</w:t>
      </w:r>
    </w:p>
    <w:p w14:paraId="151C3814">
      <w:pPr>
        <w:spacing w:line="480" w:lineRule="exact"/>
        <w:ind w:firstLine="482" w:firstLineChars="200"/>
        <w:outlineLvl w:val="1"/>
        <w:rPr>
          <w:rFonts w:ascii="宋体" w:hAnsi="宋体" w:cs="宋体"/>
          <w:b/>
          <w:bCs/>
          <w:sz w:val="24"/>
        </w:rPr>
      </w:pPr>
      <w:bookmarkStart w:id="25" w:name="_Toc18686"/>
      <w:bookmarkStart w:id="26" w:name="_Toc127797695"/>
      <w:bookmarkStart w:id="27" w:name="_Toc149121923"/>
      <w:bookmarkStart w:id="28" w:name="_Toc23195"/>
      <w:bookmarkStart w:id="29" w:name="_Toc2892"/>
      <w:r>
        <w:rPr>
          <w:rFonts w:hint="eastAsia" w:ascii="宋体" w:hAnsi="宋体" w:cs="宋体"/>
          <w:b/>
          <w:bCs/>
          <w:sz w:val="24"/>
        </w:rPr>
        <w:t>2、合格的供应商</w:t>
      </w:r>
      <w:bookmarkEnd w:id="25"/>
      <w:bookmarkEnd w:id="26"/>
      <w:bookmarkEnd w:id="27"/>
      <w:bookmarkEnd w:id="28"/>
      <w:bookmarkEnd w:id="29"/>
    </w:p>
    <w:p w14:paraId="701ACA16">
      <w:pPr>
        <w:spacing w:line="480" w:lineRule="exact"/>
        <w:ind w:firstLine="480" w:firstLineChars="200"/>
        <w:rPr>
          <w:rFonts w:ascii="宋体" w:hAnsi="宋体" w:cs="宋体"/>
          <w:sz w:val="24"/>
        </w:rPr>
      </w:pPr>
      <w:r>
        <w:rPr>
          <w:rFonts w:hint="eastAsia" w:ascii="宋体" w:hAnsi="宋体" w:cs="宋体"/>
          <w:sz w:val="24"/>
        </w:rPr>
        <w:t>符合供应商须知前附表要求。</w:t>
      </w:r>
    </w:p>
    <w:p w14:paraId="562FBE95">
      <w:pPr>
        <w:spacing w:line="480" w:lineRule="exact"/>
        <w:ind w:firstLine="482" w:firstLineChars="200"/>
        <w:outlineLvl w:val="1"/>
        <w:rPr>
          <w:rFonts w:ascii="宋体" w:hAnsi="宋体" w:cs="宋体"/>
          <w:b/>
          <w:bCs/>
          <w:sz w:val="24"/>
        </w:rPr>
      </w:pPr>
      <w:bookmarkStart w:id="30" w:name="_Toc3990"/>
      <w:bookmarkStart w:id="31" w:name="_Toc127797696"/>
      <w:bookmarkStart w:id="32" w:name="_Toc32115"/>
      <w:bookmarkStart w:id="33" w:name="_Toc23800"/>
      <w:bookmarkStart w:id="34" w:name="_Toc149121924"/>
      <w:r>
        <w:rPr>
          <w:rFonts w:hint="eastAsia" w:ascii="宋体" w:hAnsi="宋体" w:cs="宋体"/>
          <w:b/>
          <w:bCs/>
          <w:sz w:val="24"/>
        </w:rPr>
        <w:t>3、其他</w:t>
      </w:r>
      <w:bookmarkEnd w:id="30"/>
      <w:bookmarkEnd w:id="31"/>
      <w:bookmarkEnd w:id="32"/>
      <w:bookmarkEnd w:id="33"/>
      <w:bookmarkEnd w:id="34"/>
    </w:p>
    <w:p w14:paraId="1B0E2E00">
      <w:pPr>
        <w:spacing w:line="480" w:lineRule="exact"/>
        <w:ind w:firstLine="480" w:firstLineChars="200"/>
        <w:rPr>
          <w:rFonts w:ascii="宋体" w:hAnsi="宋体" w:cs="宋体"/>
          <w:sz w:val="24"/>
        </w:rPr>
      </w:pPr>
      <w:r>
        <w:rPr>
          <w:rFonts w:hint="eastAsia" w:ascii="宋体" w:hAnsi="宋体" w:cs="宋体"/>
          <w:sz w:val="24"/>
        </w:rPr>
        <w:t>3.1 无论磋商中的做法和结果如何，供应商均应自行承担所有与参与磋商活动有关的全部费用。</w:t>
      </w:r>
    </w:p>
    <w:p w14:paraId="12785C2E">
      <w:pPr>
        <w:spacing w:line="480" w:lineRule="exact"/>
        <w:ind w:firstLine="480" w:firstLineChars="200"/>
        <w:rPr>
          <w:rFonts w:ascii="宋体" w:hAnsi="宋体" w:cs="宋体"/>
          <w:sz w:val="24"/>
        </w:rPr>
      </w:pPr>
      <w:r>
        <w:rPr>
          <w:rFonts w:hint="eastAsia" w:ascii="宋体" w:hAnsi="宋体" w:cs="宋体"/>
          <w:sz w:val="24"/>
        </w:rPr>
        <w:t>3.2 无论磋商结果如何，采购人均无向供应商解释其成交或未成交原因的义务。</w:t>
      </w:r>
    </w:p>
    <w:p w14:paraId="61BC3631">
      <w:pPr>
        <w:spacing w:line="480" w:lineRule="exact"/>
        <w:ind w:firstLine="480" w:firstLineChars="200"/>
        <w:rPr>
          <w:rFonts w:ascii="宋体" w:hAnsi="宋体" w:cs="宋体"/>
          <w:sz w:val="24"/>
        </w:rPr>
      </w:pPr>
      <w:r>
        <w:rPr>
          <w:rFonts w:hint="eastAsia" w:ascii="宋体" w:hAnsi="宋体" w:cs="宋体"/>
          <w:sz w:val="24"/>
        </w:rPr>
        <w:t>3.3 无论成交与否，已购买竞争性磋商文件的供应商对竞争性磋商文件负保密责任。</w:t>
      </w:r>
    </w:p>
    <w:p w14:paraId="7C2AF48A">
      <w:pPr>
        <w:spacing w:line="480" w:lineRule="exact"/>
        <w:ind w:firstLine="482" w:firstLineChars="200"/>
        <w:outlineLvl w:val="1"/>
        <w:rPr>
          <w:rFonts w:ascii="宋体" w:hAnsi="宋体" w:cs="宋体"/>
          <w:b/>
          <w:bCs/>
          <w:sz w:val="24"/>
        </w:rPr>
      </w:pPr>
      <w:bookmarkStart w:id="35" w:name="_Toc149121925"/>
      <w:bookmarkStart w:id="36" w:name="_Toc10903"/>
      <w:bookmarkStart w:id="37" w:name="_Toc12955"/>
      <w:bookmarkStart w:id="38" w:name="_Toc5318"/>
      <w:bookmarkStart w:id="39" w:name="_Toc127797697"/>
      <w:r>
        <w:rPr>
          <w:rFonts w:hint="eastAsia" w:ascii="宋体" w:hAnsi="宋体" w:cs="宋体"/>
          <w:b/>
          <w:bCs/>
          <w:sz w:val="24"/>
        </w:rPr>
        <w:t>4、竞争性磋商文件的组成</w:t>
      </w:r>
      <w:bookmarkEnd w:id="35"/>
      <w:bookmarkEnd w:id="36"/>
      <w:bookmarkEnd w:id="37"/>
      <w:bookmarkEnd w:id="38"/>
      <w:bookmarkEnd w:id="39"/>
    </w:p>
    <w:p w14:paraId="7F1AF501">
      <w:pPr>
        <w:spacing w:line="480" w:lineRule="exact"/>
        <w:ind w:firstLine="480" w:firstLineChars="200"/>
        <w:rPr>
          <w:rFonts w:ascii="宋体" w:hAnsi="宋体" w:cs="宋体"/>
          <w:b/>
          <w:bCs/>
          <w:sz w:val="24"/>
        </w:rPr>
      </w:pPr>
      <w:r>
        <w:rPr>
          <w:rFonts w:hint="eastAsia" w:ascii="宋体" w:hAnsi="宋体" w:cs="宋体"/>
          <w:sz w:val="24"/>
        </w:rPr>
        <w:t>4.1 竞争性磋商文件用于阐明采购项目的服务范围、磋商程序、磋商内容、合同草签和条款以及评定成交的标准。具体包括以下内容：</w:t>
      </w:r>
    </w:p>
    <w:p w14:paraId="4AA4AE40">
      <w:pPr>
        <w:spacing w:line="480" w:lineRule="exact"/>
        <w:ind w:firstLine="480" w:firstLineChars="200"/>
        <w:rPr>
          <w:rFonts w:ascii="宋体" w:hAnsi="宋体" w:cs="宋体"/>
          <w:sz w:val="24"/>
        </w:rPr>
      </w:pPr>
      <w:r>
        <w:rPr>
          <w:rFonts w:hint="eastAsia" w:ascii="宋体" w:hAnsi="宋体" w:cs="宋体"/>
          <w:sz w:val="24"/>
        </w:rPr>
        <w:t>（1）竞争性磋商公告</w:t>
      </w:r>
    </w:p>
    <w:p w14:paraId="3B7D7012">
      <w:pPr>
        <w:spacing w:line="480" w:lineRule="exact"/>
        <w:ind w:firstLine="480" w:firstLineChars="200"/>
        <w:rPr>
          <w:rFonts w:ascii="宋体" w:hAnsi="宋体" w:cs="宋体"/>
          <w:sz w:val="24"/>
        </w:rPr>
      </w:pPr>
      <w:r>
        <w:rPr>
          <w:rFonts w:hint="eastAsia" w:ascii="宋体" w:hAnsi="宋体" w:cs="宋体"/>
          <w:sz w:val="24"/>
        </w:rPr>
        <w:t>（2）供应商须知</w:t>
      </w:r>
    </w:p>
    <w:p w14:paraId="4B6C9777">
      <w:pPr>
        <w:spacing w:line="480" w:lineRule="exact"/>
        <w:ind w:firstLine="480" w:firstLineChars="200"/>
        <w:rPr>
          <w:rFonts w:ascii="宋体" w:hAnsi="宋体" w:cs="宋体"/>
          <w:color w:val="FF0000"/>
          <w:sz w:val="24"/>
        </w:rPr>
      </w:pPr>
      <w:r>
        <w:rPr>
          <w:rFonts w:hint="eastAsia" w:ascii="宋体" w:hAnsi="宋体" w:cs="宋体"/>
          <w:sz w:val="24"/>
        </w:rPr>
        <w:t>（3）采购内容及服务要求</w:t>
      </w:r>
    </w:p>
    <w:p w14:paraId="41ED6F02">
      <w:pPr>
        <w:spacing w:line="480" w:lineRule="exact"/>
        <w:ind w:firstLine="480" w:firstLineChars="200"/>
        <w:rPr>
          <w:rFonts w:ascii="宋体" w:hAnsi="宋体" w:cs="宋体"/>
          <w:sz w:val="24"/>
        </w:rPr>
      </w:pPr>
      <w:r>
        <w:rPr>
          <w:rFonts w:hint="eastAsia" w:ascii="宋体" w:hAnsi="宋体" w:cs="宋体"/>
          <w:sz w:val="24"/>
        </w:rPr>
        <w:t>（4）评审办法</w:t>
      </w:r>
    </w:p>
    <w:p w14:paraId="1D28BBF5">
      <w:pPr>
        <w:spacing w:line="480" w:lineRule="exact"/>
        <w:ind w:firstLine="480" w:firstLineChars="200"/>
        <w:rPr>
          <w:rFonts w:ascii="宋体" w:hAnsi="宋体" w:cs="宋体"/>
          <w:sz w:val="24"/>
        </w:rPr>
      </w:pPr>
      <w:r>
        <w:rPr>
          <w:rFonts w:hint="eastAsia" w:ascii="宋体" w:hAnsi="宋体" w:cs="宋体"/>
          <w:sz w:val="24"/>
        </w:rPr>
        <w:t>（5）合同协议书</w:t>
      </w:r>
    </w:p>
    <w:p w14:paraId="7878A231">
      <w:pPr>
        <w:spacing w:line="480" w:lineRule="exact"/>
        <w:ind w:firstLine="480" w:firstLineChars="200"/>
        <w:rPr>
          <w:rFonts w:ascii="宋体" w:hAnsi="宋体" w:cs="宋体"/>
          <w:sz w:val="24"/>
        </w:rPr>
      </w:pPr>
      <w:r>
        <w:rPr>
          <w:rFonts w:hint="eastAsia" w:ascii="宋体" w:hAnsi="宋体" w:cs="宋体"/>
          <w:sz w:val="24"/>
        </w:rPr>
        <w:t>（6）响应文件格式</w:t>
      </w:r>
    </w:p>
    <w:p w14:paraId="0E387033">
      <w:pPr>
        <w:spacing w:line="480" w:lineRule="exact"/>
        <w:ind w:firstLine="480" w:firstLineChars="200"/>
        <w:rPr>
          <w:rFonts w:ascii="宋体" w:hAnsi="宋体" w:cs="宋体"/>
          <w:sz w:val="24"/>
        </w:rPr>
      </w:pPr>
      <w:r>
        <w:rPr>
          <w:rFonts w:hint="eastAsia" w:ascii="宋体" w:hAnsi="宋体" w:cs="宋体"/>
          <w:sz w:val="24"/>
        </w:rPr>
        <w:t>4.2 竞争性磋商文件以中文编印，且以中文为准。</w:t>
      </w:r>
    </w:p>
    <w:p w14:paraId="404FD784">
      <w:pPr>
        <w:spacing w:line="480" w:lineRule="exact"/>
        <w:ind w:firstLine="480" w:firstLineChars="200"/>
        <w:rPr>
          <w:rFonts w:ascii="宋体" w:hAnsi="宋体" w:cs="宋体"/>
          <w:sz w:val="24"/>
        </w:rPr>
      </w:pPr>
      <w:r>
        <w:rPr>
          <w:rFonts w:hint="eastAsia" w:ascii="宋体" w:hAnsi="宋体" w:cs="宋体"/>
          <w:sz w:val="24"/>
        </w:rPr>
        <w:t>4.3 除非有特殊要求，竞争性磋商文件不单独提供项目所在地的自然环境、气候条件、公用设施等情况，供应商被视为熟悉上述与履行合同有关的一切情况。</w:t>
      </w:r>
    </w:p>
    <w:p w14:paraId="06260439">
      <w:pPr>
        <w:spacing w:line="480" w:lineRule="exact"/>
        <w:ind w:firstLine="480" w:firstLineChars="200"/>
        <w:rPr>
          <w:rFonts w:ascii="宋体" w:hAnsi="宋体" w:cs="宋体"/>
          <w:sz w:val="24"/>
        </w:rPr>
      </w:pPr>
      <w:r>
        <w:rPr>
          <w:rFonts w:hint="eastAsia" w:ascii="宋体" w:hAnsi="宋体" w:cs="宋体"/>
          <w:sz w:val="24"/>
        </w:rPr>
        <w:t>4.4 竞争性磋商文件的澄清和修改</w:t>
      </w:r>
    </w:p>
    <w:p w14:paraId="6C4AABE9">
      <w:pPr>
        <w:spacing w:line="480" w:lineRule="exact"/>
        <w:ind w:firstLine="480" w:firstLineChars="200"/>
        <w:rPr>
          <w:rFonts w:ascii="宋体" w:hAnsi="宋体" w:cs="宋体"/>
          <w:sz w:val="24"/>
        </w:rPr>
      </w:pPr>
      <w:r>
        <w:rPr>
          <w:rFonts w:hint="eastAsia" w:ascii="宋体" w:hAnsi="宋体" w:cs="宋体"/>
          <w:sz w:val="24"/>
        </w:rPr>
        <w:t>4.4.1供应商对竞争性磋商文件如有需要澄清或疑问，应当在系统内提出。代理机构将视情况在响应性文件递交截止时间五日前以公告形式予以答复。</w:t>
      </w:r>
    </w:p>
    <w:p w14:paraId="3CD1A305">
      <w:pPr>
        <w:spacing w:line="480" w:lineRule="exact"/>
        <w:ind w:firstLine="480" w:firstLineChars="200"/>
        <w:rPr>
          <w:rFonts w:ascii="宋体" w:hAnsi="宋体" w:cs="宋体"/>
          <w:sz w:val="24"/>
        </w:rPr>
      </w:pPr>
      <w:r>
        <w:rPr>
          <w:rFonts w:hint="eastAsia" w:ascii="宋体" w:hAnsi="宋体" w:cs="宋体"/>
          <w:sz w:val="24"/>
        </w:rPr>
        <w:t>4.4.2在磋商文件中所述的响应性文件递交截止时间五日前，采购代理机构可主动地或在解答供应商提出的澄清问题时对竞争性磋商文件进行修改。</w:t>
      </w:r>
    </w:p>
    <w:p w14:paraId="37A03553">
      <w:pPr>
        <w:spacing w:line="480" w:lineRule="exact"/>
        <w:ind w:firstLine="480" w:firstLineChars="200"/>
        <w:rPr>
          <w:rFonts w:ascii="宋体" w:hAnsi="宋体" w:cs="宋体"/>
          <w:sz w:val="24"/>
        </w:rPr>
      </w:pPr>
      <w:r>
        <w:rPr>
          <w:rFonts w:hint="eastAsia" w:ascii="宋体" w:hAnsi="宋体" w:cs="宋体"/>
          <w:sz w:val="24"/>
        </w:rPr>
        <w:t>4.4.3竞争性磋商文件的修改将以公告形式予以修改，并构成竞争性磋商文件的一部分，对所有供应商均具有约束力。</w:t>
      </w:r>
    </w:p>
    <w:p w14:paraId="47F712C8">
      <w:pPr>
        <w:spacing w:line="480" w:lineRule="exact"/>
        <w:ind w:firstLine="480" w:firstLineChars="200"/>
        <w:rPr>
          <w:rFonts w:ascii="宋体" w:hAnsi="宋体" w:cs="宋体"/>
          <w:sz w:val="24"/>
        </w:rPr>
      </w:pPr>
      <w:r>
        <w:rPr>
          <w:rFonts w:hint="eastAsia" w:ascii="宋体" w:hAnsi="宋体" w:cs="宋体"/>
          <w:sz w:val="24"/>
        </w:rPr>
        <w:t>4.4.4如果修改竞争性磋商文件，会在三门峡市公共资源交易中心网发布变更公告，不再发纸质的变更信息。提醒供应商随时注意网上发布的信息。如因供应商自身原因未看到信息，因此造成的一切后果由供应商自行承担。</w:t>
      </w:r>
    </w:p>
    <w:p w14:paraId="5CDE0464">
      <w:pPr>
        <w:spacing w:line="480" w:lineRule="exact"/>
        <w:ind w:firstLine="480" w:firstLineChars="200"/>
        <w:rPr>
          <w:rFonts w:ascii="宋体" w:hAnsi="宋体" w:cs="宋体"/>
          <w:sz w:val="24"/>
        </w:rPr>
      </w:pPr>
      <w:r>
        <w:rPr>
          <w:rFonts w:hint="eastAsia" w:ascii="宋体" w:hAnsi="宋体" w:cs="宋体"/>
          <w:sz w:val="24"/>
        </w:rPr>
        <w:t>4.4.5为使供应商有充分的时间对竞争性磋商文件的修改部分进行研究，采购代理机构可适当延长响应性文件递交截止时间。</w:t>
      </w:r>
    </w:p>
    <w:p w14:paraId="2E382779">
      <w:pPr>
        <w:spacing w:line="480" w:lineRule="exact"/>
        <w:ind w:firstLine="482" w:firstLineChars="200"/>
        <w:outlineLvl w:val="1"/>
        <w:rPr>
          <w:rFonts w:ascii="宋体" w:hAnsi="宋体" w:cs="宋体"/>
          <w:b/>
          <w:bCs/>
          <w:sz w:val="24"/>
        </w:rPr>
      </w:pPr>
      <w:bookmarkStart w:id="40" w:name="_Toc14402"/>
      <w:bookmarkStart w:id="41" w:name="_Toc9736"/>
      <w:bookmarkStart w:id="42" w:name="_Toc29369"/>
      <w:bookmarkStart w:id="43" w:name="_Toc149121926"/>
      <w:bookmarkStart w:id="44" w:name="_Toc127797698"/>
      <w:r>
        <w:rPr>
          <w:rFonts w:hint="eastAsia" w:ascii="宋体" w:hAnsi="宋体" w:cs="宋体"/>
          <w:b/>
          <w:bCs/>
          <w:sz w:val="24"/>
        </w:rPr>
        <w:t>5、响应性文件的组成</w:t>
      </w:r>
      <w:bookmarkEnd w:id="40"/>
      <w:bookmarkEnd w:id="41"/>
      <w:bookmarkEnd w:id="42"/>
      <w:bookmarkEnd w:id="43"/>
      <w:bookmarkEnd w:id="44"/>
    </w:p>
    <w:p w14:paraId="4FEEF2F3">
      <w:pPr>
        <w:spacing w:line="480" w:lineRule="exact"/>
        <w:ind w:firstLine="480" w:firstLineChars="200"/>
        <w:rPr>
          <w:rFonts w:ascii="宋体" w:hAnsi="宋体" w:cs="宋体"/>
          <w:sz w:val="24"/>
        </w:rPr>
      </w:pPr>
      <w:bookmarkStart w:id="45" w:name="_Toc127797700"/>
      <w:bookmarkStart w:id="46" w:name="_Toc149121928"/>
      <w:bookmarkStart w:id="47" w:name="_Toc17403"/>
      <w:r>
        <w:rPr>
          <w:rFonts w:hint="eastAsia" w:ascii="宋体" w:hAnsi="宋体" w:cs="宋体"/>
          <w:sz w:val="24"/>
        </w:rPr>
        <w:fldChar w:fldCharType="begin"/>
      </w:r>
      <w:r>
        <w:rPr>
          <w:rFonts w:hint="eastAsia" w:ascii="宋体" w:hAnsi="宋体" w:cs="宋体"/>
          <w:sz w:val="24"/>
        </w:rPr>
        <w:instrText xml:space="preserve"> HYPERLINK \l _Toc20884 </w:instrText>
      </w:r>
      <w:r>
        <w:rPr>
          <w:rFonts w:hint="eastAsia" w:ascii="宋体" w:hAnsi="宋体" w:cs="宋体"/>
          <w:sz w:val="24"/>
        </w:rPr>
        <w:fldChar w:fldCharType="separate"/>
      </w:r>
      <w:r>
        <w:rPr>
          <w:rFonts w:hint="eastAsia" w:ascii="宋体" w:hAnsi="宋体" w:cs="宋体"/>
          <w:sz w:val="24"/>
        </w:rPr>
        <w:t>5.1磋商申请函及投标函附录</w:t>
      </w:r>
      <w:r>
        <w:rPr>
          <w:rFonts w:hint="eastAsia" w:ascii="宋体" w:hAnsi="宋体" w:cs="宋体"/>
          <w:sz w:val="24"/>
        </w:rPr>
        <w:fldChar w:fldCharType="end"/>
      </w:r>
    </w:p>
    <w:p w14:paraId="728741F6">
      <w:pPr>
        <w:spacing w:line="480" w:lineRule="exact"/>
        <w:ind w:firstLine="420" w:firstLineChars="200"/>
        <w:rPr>
          <w:rFonts w:ascii="宋体" w:hAnsi="宋体" w:cs="宋体"/>
          <w:sz w:val="24"/>
        </w:rPr>
      </w:pPr>
      <w:r>
        <w:fldChar w:fldCharType="begin"/>
      </w:r>
      <w:r>
        <w:instrText xml:space="preserve"> HYPERLINK \l "_Toc5977" </w:instrText>
      </w:r>
      <w:r>
        <w:fldChar w:fldCharType="separate"/>
      </w:r>
      <w:r>
        <w:rPr>
          <w:rFonts w:hint="eastAsia" w:ascii="宋体" w:hAnsi="宋体" w:cs="宋体"/>
          <w:sz w:val="24"/>
        </w:rPr>
        <w:t>5.2法定代表人身份证明及授权委托书</w:t>
      </w:r>
      <w:r>
        <w:rPr>
          <w:rFonts w:hint="eastAsia" w:ascii="宋体" w:hAnsi="宋体" w:cs="宋体"/>
          <w:sz w:val="24"/>
        </w:rPr>
        <w:fldChar w:fldCharType="end"/>
      </w:r>
    </w:p>
    <w:p w14:paraId="578EE5D5">
      <w:pPr>
        <w:spacing w:line="480" w:lineRule="exact"/>
        <w:ind w:firstLine="480" w:firstLineChars="200"/>
        <w:rPr>
          <w:rFonts w:hint="eastAsia" w:ascii="宋体" w:hAnsi="宋体" w:eastAsia="宋体" w:cs="宋体"/>
          <w:sz w:val="24"/>
          <w:lang w:val="en-US" w:eastAsia="zh-CN"/>
        </w:rPr>
      </w:pPr>
      <w:r>
        <w:rPr>
          <w:rFonts w:hint="eastAsia" w:ascii="宋体" w:hAnsi="宋体" w:cs="宋体"/>
          <w:sz w:val="24"/>
        </w:rPr>
        <w:t>5.3投标承诺</w:t>
      </w:r>
      <w:r>
        <w:rPr>
          <w:rFonts w:hint="eastAsia" w:ascii="宋体" w:hAnsi="宋体" w:cs="宋体"/>
          <w:sz w:val="24"/>
          <w:lang w:val="en-US" w:eastAsia="zh-CN"/>
        </w:rPr>
        <w:t>函</w:t>
      </w:r>
    </w:p>
    <w:p w14:paraId="218359D8">
      <w:pPr>
        <w:spacing w:line="480" w:lineRule="exact"/>
        <w:ind w:firstLine="480" w:firstLineChars="200"/>
        <w:rPr>
          <w:rFonts w:ascii="宋体" w:hAnsi="宋体" w:cs="宋体"/>
          <w:color w:val="FF0000"/>
          <w:sz w:val="24"/>
        </w:rPr>
      </w:pPr>
      <w:r>
        <w:rPr>
          <w:rFonts w:hint="eastAsia" w:ascii="宋体" w:hAnsi="宋体" w:cs="宋体"/>
          <w:sz w:val="24"/>
        </w:rPr>
        <w:fldChar w:fldCharType="begin"/>
      </w:r>
      <w:r>
        <w:rPr>
          <w:rFonts w:hint="eastAsia" w:ascii="宋体" w:hAnsi="宋体" w:cs="宋体"/>
          <w:sz w:val="24"/>
        </w:rPr>
        <w:instrText xml:space="preserve"> HYPERLINK \l _Toc30617 </w:instrText>
      </w:r>
      <w:r>
        <w:rPr>
          <w:rFonts w:hint="eastAsia" w:ascii="宋体" w:hAnsi="宋体" w:cs="宋体"/>
          <w:sz w:val="24"/>
        </w:rPr>
        <w:fldChar w:fldCharType="separate"/>
      </w:r>
      <w:r>
        <w:rPr>
          <w:rFonts w:hint="eastAsia" w:ascii="宋体" w:hAnsi="宋体" w:cs="宋体"/>
          <w:sz w:val="24"/>
        </w:rPr>
        <w:t xml:space="preserve">5.4供应商基本情况    </w:t>
      </w:r>
    </w:p>
    <w:p w14:paraId="528885E0">
      <w:pPr>
        <w:spacing w:line="480" w:lineRule="exact"/>
        <w:ind w:firstLine="480" w:firstLineChars="200"/>
        <w:rPr>
          <w:rFonts w:ascii="宋体" w:hAnsi="宋体" w:cs="宋体"/>
          <w:sz w:val="24"/>
        </w:rPr>
      </w:pPr>
      <w:r>
        <w:rPr>
          <w:rFonts w:hint="eastAsia" w:ascii="宋体" w:hAnsi="宋体" w:cs="宋体"/>
          <w:sz w:val="24"/>
        </w:rPr>
        <w:t>5.5技术方案</w:t>
      </w:r>
    </w:p>
    <w:p w14:paraId="5A3C2A6C">
      <w:pPr>
        <w:spacing w:line="480" w:lineRule="exact"/>
        <w:ind w:firstLine="480" w:firstLineChars="200"/>
        <w:rPr>
          <w:rFonts w:ascii="宋体" w:hAnsi="宋体" w:cs="宋体"/>
          <w:sz w:val="24"/>
        </w:rPr>
      </w:pPr>
      <w:r>
        <w:rPr>
          <w:rFonts w:hint="eastAsia" w:ascii="宋体" w:hAnsi="宋体" w:cs="宋体"/>
          <w:sz w:val="24"/>
        </w:rPr>
        <w:t xml:space="preserve">5.6履职尽责及服务承诺 </w:t>
      </w:r>
    </w:p>
    <w:p w14:paraId="3BD69759">
      <w:pPr>
        <w:spacing w:line="480" w:lineRule="exact"/>
        <w:ind w:firstLine="480" w:firstLineChars="200"/>
        <w:rPr>
          <w:rFonts w:ascii="宋体" w:hAnsi="宋体" w:cs="宋体"/>
          <w:sz w:val="24"/>
        </w:rPr>
      </w:pPr>
      <w:r>
        <w:rPr>
          <w:rFonts w:hint="eastAsia" w:ascii="宋体" w:hAnsi="宋体" w:cs="宋体"/>
          <w:sz w:val="24"/>
        </w:rPr>
        <w:t>5.7</w:t>
      </w:r>
      <w:r>
        <w:rPr>
          <w:rFonts w:hint="eastAsia" w:ascii="宋体" w:hAnsi="宋体" w:cs="宋体"/>
          <w:sz w:val="24"/>
          <w:lang w:val="zh-CN"/>
        </w:rPr>
        <w:t>投标供应商认为需提供的其他资料</w:t>
      </w:r>
      <w:r>
        <w:rPr>
          <w:rFonts w:hint="eastAsia" w:ascii="宋体" w:hAnsi="宋体" w:cs="宋体"/>
          <w:sz w:val="24"/>
        </w:rPr>
        <w:fldChar w:fldCharType="end"/>
      </w:r>
    </w:p>
    <w:p w14:paraId="661C8719">
      <w:pPr>
        <w:spacing w:line="480" w:lineRule="exact"/>
        <w:ind w:firstLine="482" w:firstLineChars="200"/>
        <w:contextualSpacing/>
        <w:outlineLvl w:val="1"/>
        <w:rPr>
          <w:rFonts w:ascii="宋体" w:hAnsi="宋体" w:cs="宋体"/>
          <w:b/>
          <w:kern w:val="1"/>
          <w:sz w:val="24"/>
        </w:rPr>
      </w:pPr>
      <w:bookmarkStart w:id="48" w:name="_Toc19532"/>
      <w:bookmarkStart w:id="49" w:name="_Toc5719"/>
      <w:r>
        <w:rPr>
          <w:rFonts w:hint="eastAsia" w:ascii="宋体" w:hAnsi="宋体" w:cs="宋体"/>
          <w:b/>
          <w:kern w:val="1"/>
          <w:sz w:val="24"/>
        </w:rPr>
        <w:t>6、响应性文件的编制</w:t>
      </w:r>
      <w:bookmarkEnd w:id="45"/>
      <w:bookmarkEnd w:id="46"/>
      <w:bookmarkEnd w:id="47"/>
      <w:bookmarkEnd w:id="48"/>
      <w:bookmarkEnd w:id="49"/>
    </w:p>
    <w:p w14:paraId="4EEA0815">
      <w:pPr>
        <w:spacing w:line="480" w:lineRule="exact"/>
        <w:ind w:firstLine="480" w:firstLineChars="200"/>
        <w:rPr>
          <w:rFonts w:ascii="宋体" w:hAnsi="宋体" w:cs="宋体"/>
          <w:sz w:val="24"/>
        </w:rPr>
      </w:pPr>
      <w:r>
        <w:rPr>
          <w:rFonts w:hint="eastAsia" w:ascii="宋体" w:hAnsi="宋体" w:cs="宋体"/>
          <w:sz w:val="24"/>
        </w:rPr>
        <w:t>6.1、响应性文件应按 “响应性文件格式”进行编写，如有必要，可以增加附页，作为响应性文件的组成部分。其中，报价一览表在满足竞争性磋商文件实质性要求的基础上，可以提出比竞争性磋商文件要求更有利于采购人的承诺。</w:t>
      </w:r>
    </w:p>
    <w:p w14:paraId="6678AA4C">
      <w:pPr>
        <w:spacing w:line="480" w:lineRule="exact"/>
        <w:ind w:firstLine="480" w:firstLineChars="200"/>
        <w:rPr>
          <w:rFonts w:ascii="宋体" w:hAnsi="宋体" w:cs="宋体"/>
          <w:sz w:val="24"/>
        </w:rPr>
      </w:pPr>
      <w:r>
        <w:rPr>
          <w:rFonts w:hint="eastAsia" w:ascii="宋体" w:hAnsi="宋体" w:cs="宋体"/>
          <w:sz w:val="24"/>
        </w:rPr>
        <w:t>6.2、响应文件应当对磋商文件有关服务期限、磋商有效期、质量要求、采购内容等实质性内容作出响应。</w:t>
      </w:r>
    </w:p>
    <w:p w14:paraId="5FE50AF3">
      <w:pPr>
        <w:spacing w:line="480" w:lineRule="exact"/>
        <w:ind w:firstLine="480" w:firstLineChars="200"/>
        <w:rPr>
          <w:rFonts w:ascii="宋体" w:hAnsi="宋体" w:cs="宋体"/>
          <w:sz w:val="24"/>
        </w:rPr>
      </w:pPr>
      <w:r>
        <w:rPr>
          <w:rFonts w:hint="eastAsia" w:ascii="宋体" w:hAnsi="宋体" w:cs="宋体"/>
          <w:sz w:val="24"/>
        </w:rPr>
        <w:t>6.3各供应商应结合自身能力，充分考虑服务期间全方面因素，自主慎重报价。</w:t>
      </w:r>
    </w:p>
    <w:p w14:paraId="58932424">
      <w:pPr>
        <w:spacing w:line="480" w:lineRule="exact"/>
        <w:ind w:firstLine="480" w:firstLineChars="200"/>
        <w:rPr>
          <w:rFonts w:hint="eastAsia" w:ascii="宋体" w:hAnsi="宋体" w:eastAsia="宋体" w:cs="宋体"/>
          <w:sz w:val="24"/>
        </w:rPr>
      </w:pPr>
      <w:r>
        <w:rPr>
          <w:rFonts w:hint="eastAsia" w:ascii="宋体" w:hAnsi="宋体" w:eastAsia="宋体" w:cs="宋体"/>
          <w:sz w:val="24"/>
        </w:rPr>
        <w:t xml:space="preserve">6.4、磋商报价采用人民币报价。除特殊要求外，供应商只允许有一个报价，采购人不接受任何有选择的报价，最后报价不得超过项目采购预算。 </w:t>
      </w:r>
    </w:p>
    <w:p w14:paraId="14B53DD1">
      <w:pPr>
        <w:spacing w:line="480" w:lineRule="exact"/>
        <w:ind w:firstLine="480" w:firstLineChars="200"/>
        <w:rPr>
          <w:rFonts w:hint="eastAsia" w:ascii="宋体" w:hAnsi="宋体" w:eastAsia="宋体" w:cs="宋体"/>
          <w:sz w:val="24"/>
        </w:rPr>
      </w:pPr>
      <w:r>
        <w:rPr>
          <w:rFonts w:hint="eastAsia" w:ascii="宋体" w:hAnsi="宋体" w:eastAsia="宋体" w:cs="宋体"/>
          <w:sz w:val="24"/>
        </w:rPr>
        <w:t>6.5、本次竞争性磋商分为两轮报价（特殊情况，磋商小组可以根据实际情况再增加轮次报价）。供应商响应性文件中的报价作为第一次报价，不得高于项目预算金额且不公开；第二轮报价不得高于第一轮报价,参与评标报价以最终报价为准。</w:t>
      </w:r>
    </w:p>
    <w:p w14:paraId="28F55DEF">
      <w:pPr>
        <w:spacing w:line="480" w:lineRule="exact"/>
        <w:ind w:firstLine="482" w:firstLineChars="200"/>
        <w:contextualSpacing/>
        <w:outlineLvl w:val="1"/>
        <w:rPr>
          <w:rFonts w:ascii="宋体" w:hAnsi="宋体" w:cs="宋体"/>
          <w:b/>
          <w:kern w:val="1"/>
          <w:sz w:val="24"/>
        </w:rPr>
      </w:pPr>
      <w:bookmarkStart w:id="50" w:name="_Toc16827"/>
      <w:bookmarkStart w:id="51" w:name="_Toc15722"/>
      <w:bookmarkStart w:id="52" w:name="_Toc149121929"/>
      <w:bookmarkStart w:id="53" w:name="_Toc1980"/>
      <w:bookmarkStart w:id="54" w:name="_Toc127797701"/>
      <w:r>
        <w:rPr>
          <w:rFonts w:hint="eastAsia" w:ascii="宋体" w:hAnsi="宋体" w:cs="宋体"/>
          <w:b/>
          <w:bCs/>
          <w:sz w:val="24"/>
        </w:rPr>
        <w:t>7、</w:t>
      </w:r>
      <w:r>
        <w:rPr>
          <w:rFonts w:hint="eastAsia" w:ascii="宋体" w:hAnsi="宋体" w:cs="宋体"/>
          <w:b/>
          <w:kern w:val="1"/>
          <w:sz w:val="24"/>
        </w:rPr>
        <w:t>响应性文件的递交</w:t>
      </w:r>
      <w:bookmarkEnd w:id="50"/>
      <w:bookmarkEnd w:id="51"/>
      <w:bookmarkEnd w:id="52"/>
      <w:bookmarkEnd w:id="53"/>
      <w:bookmarkEnd w:id="54"/>
    </w:p>
    <w:p w14:paraId="5AF5EA5C">
      <w:pPr>
        <w:widowControl/>
        <w:spacing w:line="480" w:lineRule="exact"/>
        <w:ind w:firstLine="500" w:firstLineChars="200"/>
        <w:rPr>
          <w:rFonts w:ascii="宋体" w:hAnsi="宋体" w:cs="宋体"/>
          <w:spacing w:val="5"/>
          <w:sz w:val="24"/>
        </w:rPr>
      </w:pPr>
      <w:r>
        <w:rPr>
          <w:rFonts w:hint="eastAsia" w:ascii="宋体" w:hAnsi="宋体" w:cs="宋体"/>
          <w:spacing w:val="5"/>
          <w:sz w:val="24"/>
        </w:rPr>
        <w:t>7.1、供应商所上传的电子化响应文件，应是通过中心投标文件制作系统制作的，经过签章和加密后生成的电子版响应文件。生成的电子版响应文件包含用于响应文件上传的主文件和用于应急补救的响应文件备份文件，备份文件主要用于电子化开标出现技术问题后的补救。</w:t>
      </w:r>
    </w:p>
    <w:p w14:paraId="0E8BBF2C">
      <w:pPr>
        <w:widowControl/>
        <w:spacing w:line="480" w:lineRule="exact"/>
        <w:ind w:firstLine="500" w:firstLineChars="200"/>
        <w:rPr>
          <w:rFonts w:ascii="宋体" w:hAnsi="宋体" w:cs="宋体"/>
          <w:spacing w:val="5"/>
          <w:sz w:val="24"/>
        </w:rPr>
      </w:pPr>
      <w:r>
        <w:rPr>
          <w:rFonts w:hint="eastAsia" w:ascii="宋体" w:hAnsi="宋体" w:cs="宋体"/>
          <w:spacing w:val="5"/>
          <w:sz w:val="24"/>
        </w:rPr>
        <w:t>注：供应商投报多个标段的，每个标段均要生成独立的电子响应文件。</w:t>
      </w:r>
    </w:p>
    <w:p w14:paraId="35866CB1">
      <w:pPr>
        <w:widowControl/>
        <w:spacing w:line="480" w:lineRule="exact"/>
        <w:ind w:firstLine="500" w:firstLineChars="200"/>
        <w:rPr>
          <w:rFonts w:ascii="宋体" w:hAnsi="宋体" w:cs="宋体"/>
          <w:spacing w:val="5"/>
          <w:sz w:val="24"/>
        </w:rPr>
      </w:pPr>
      <w:r>
        <w:rPr>
          <w:rFonts w:hint="eastAsia" w:ascii="宋体" w:hAnsi="宋体" w:cs="宋体"/>
          <w:spacing w:val="5"/>
          <w:sz w:val="24"/>
        </w:rPr>
        <w:t>7.2、电子化响应文件应在投标截止时间前成功上传至三门峡市公共资源电子化交易系统。至投标截止时间止，仍未上传成功的电子化响应文件将不予接收。</w:t>
      </w:r>
    </w:p>
    <w:p w14:paraId="3EF0AE89">
      <w:pPr>
        <w:widowControl/>
        <w:spacing w:line="480" w:lineRule="exact"/>
        <w:ind w:firstLine="500" w:firstLineChars="200"/>
        <w:rPr>
          <w:rFonts w:ascii="宋体" w:hAnsi="宋体" w:cs="宋体"/>
          <w:spacing w:val="5"/>
          <w:sz w:val="24"/>
        </w:rPr>
      </w:pPr>
      <w:r>
        <w:rPr>
          <w:rFonts w:hint="eastAsia" w:ascii="宋体" w:hAnsi="宋体" w:cs="宋体"/>
          <w:spacing w:val="5"/>
          <w:sz w:val="24"/>
        </w:rPr>
        <w:t>注：如按照电子化投标操作教材制作完成的电子化响应文件无法上传的，供应商应在投标截止时间前尽早的联系中心技术人员，以便有充分的时间进行处理。供应商应充分考虑到处理技术问题和上传数据等工作所需的时间问题，响应文件未在投标截止时间前成功上传的，其响应文件不予接收。</w:t>
      </w:r>
    </w:p>
    <w:p w14:paraId="787A4AB9">
      <w:pPr>
        <w:widowControl/>
        <w:spacing w:line="480" w:lineRule="exact"/>
        <w:ind w:firstLine="500" w:firstLineChars="200"/>
        <w:rPr>
          <w:rFonts w:ascii="宋体" w:hAnsi="宋体" w:cs="宋体"/>
          <w:spacing w:val="5"/>
          <w:sz w:val="24"/>
        </w:rPr>
      </w:pPr>
      <w:r>
        <w:rPr>
          <w:rFonts w:hint="eastAsia" w:ascii="宋体" w:hAnsi="宋体" w:cs="宋体"/>
          <w:spacing w:val="5"/>
          <w:sz w:val="24"/>
        </w:rPr>
        <w:t>技术联系电话：0398-3117871</w:t>
      </w:r>
    </w:p>
    <w:p w14:paraId="4713475C">
      <w:pPr>
        <w:spacing w:line="480" w:lineRule="exact"/>
        <w:ind w:firstLine="482" w:firstLineChars="200"/>
        <w:outlineLvl w:val="1"/>
        <w:rPr>
          <w:rFonts w:ascii="宋体" w:hAnsi="宋体" w:cs="宋体"/>
          <w:b/>
          <w:kern w:val="1"/>
          <w:sz w:val="24"/>
        </w:rPr>
      </w:pPr>
      <w:bookmarkStart w:id="55" w:name="_Toc31521"/>
      <w:bookmarkStart w:id="56" w:name="_Toc29548"/>
      <w:bookmarkStart w:id="57" w:name="_Toc127797702"/>
      <w:bookmarkStart w:id="58" w:name="_Toc26718"/>
      <w:bookmarkStart w:id="59" w:name="_Toc149121930"/>
      <w:r>
        <w:rPr>
          <w:rFonts w:hint="eastAsia" w:ascii="宋体" w:hAnsi="宋体" w:cs="宋体"/>
          <w:b/>
          <w:bCs/>
          <w:kern w:val="1"/>
          <w:sz w:val="24"/>
        </w:rPr>
        <w:t>8、</w:t>
      </w:r>
      <w:bookmarkStart w:id="60" w:name="_Toc511663232"/>
      <w:bookmarkEnd w:id="60"/>
      <w:bookmarkStart w:id="61" w:name="_Toc530663936"/>
      <w:bookmarkEnd w:id="61"/>
      <w:bookmarkStart w:id="62" w:name="_Toc530665439"/>
      <w:bookmarkEnd w:id="62"/>
      <w:bookmarkStart w:id="63" w:name="_Toc511897549"/>
      <w:bookmarkEnd w:id="63"/>
      <w:bookmarkStart w:id="64" w:name="_Toc531936128"/>
      <w:bookmarkEnd w:id="64"/>
      <w:bookmarkStart w:id="65" w:name="_Toc530664092"/>
      <w:bookmarkEnd w:id="65"/>
      <w:r>
        <w:rPr>
          <w:rFonts w:hint="eastAsia" w:ascii="宋体" w:hAnsi="宋体" w:cs="宋体"/>
          <w:b/>
          <w:kern w:val="1"/>
          <w:sz w:val="24"/>
        </w:rPr>
        <w:t>电子化项目开标、解密、唱标、评标</w:t>
      </w:r>
      <w:bookmarkEnd w:id="55"/>
      <w:bookmarkEnd w:id="56"/>
      <w:bookmarkEnd w:id="57"/>
      <w:bookmarkEnd w:id="58"/>
      <w:bookmarkEnd w:id="59"/>
    </w:p>
    <w:p w14:paraId="16C47593">
      <w:pPr>
        <w:widowControl/>
        <w:spacing w:line="480" w:lineRule="exact"/>
        <w:ind w:firstLine="500" w:firstLineChars="200"/>
        <w:rPr>
          <w:rFonts w:ascii="宋体" w:hAnsi="宋体" w:cs="宋体"/>
          <w:spacing w:val="5"/>
          <w:sz w:val="24"/>
        </w:rPr>
      </w:pPr>
      <w:r>
        <w:rPr>
          <w:rFonts w:hint="eastAsia" w:ascii="宋体" w:hAnsi="宋体" w:cs="宋体"/>
          <w:spacing w:val="5"/>
          <w:sz w:val="24"/>
        </w:rPr>
        <w:t>8.1、本项目采用电子化、无纸化进行招标，供应商应当在投标截止时间前，登陆不见面开标大厅选择登陆三门峡市公共资源电子招投标系统进行登陆（网址http://120.194.249.36:10094/BidOpening/bidopeninghallaction/hall/login）,在线准时参加开标活动并进行响应文件解密等。每位供应商的解密时间为开标时间起30分钟内完成。因供应商原因未能解密、解密失败或解密超时的将被拒绝。</w:t>
      </w:r>
    </w:p>
    <w:p w14:paraId="06C2CB31">
      <w:pPr>
        <w:widowControl/>
        <w:spacing w:line="480" w:lineRule="exact"/>
        <w:ind w:firstLine="500" w:firstLineChars="200"/>
        <w:rPr>
          <w:rFonts w:ascii="宋体" w:hAnsi="宋体" w:cs="宋体"/>
          <w:spacing w:val="5"/>
          <w:sz w:val="24"/>
        </w:rPr>
      </w:pPr>
      <w:r>
        <w:rPr>
          <w:rFonts w:hint="eastAsia" w:ascii="宋体" w:hAnsi="宋体" w:cs="宋体"/>
          <w:spacing w:val="5"/>
          <w:sz w:val="24"/>
        </w:rPr>
        <w:t>8.2、电子化响应文件采用一次加密方式。开标时，由供应商使用CA 证书，在规定时间内对其电子化响应文件进行解密。每位供应商的解密时间为开标时间起30分钟内，如在规定时间内未完成解密的，其响应文件不予开标、唱标。</w:t>
      </w:r>
    </w:p>
    <w:p w14:paraId="6D15601E">
      <w:pPr>
        <w:widowControl/>
        <w:spacing w:line="480" w:lineRule="exact"/>
        <w:ind w:firstLine="500" w:firstLineChars="200"/>
        <w:rPr>
          <w:rFonts w:ascii="宋体" w:hAnsi="宋体" w:cs="宋体"/>
          <w:spacing w:val="5"/>
          <w:sz w:val="24"/>
        </w:rPr>
      </w:pPr>
      <w:r>
        <w:rPr>
          <w:rFonts w:hint="eastAsia" w:ascii="宋体" w:hAnsi="宋体" w:cs="宋体"/>
          <w:spacing w:val="5"/>
          <w:sz w:val="24"/>
        </w:rPr>
        <w:t>8.3、电子化响应文件异常情况的处理</w:t>
      </w:r>
    </w:p>
    <w:p w14:paraId="2FFA48DE">
      <w:pPr>
        <w:widowControl/>
        <w:spacing w:line="480" w:lineRule="exact"/>
        <w:ind w:firstLine="500" w:firstLineChars="200"/>
        <w:rPr>
          <w:rFonts w:ascii="宋体" w:hAnsi="宋体" w:cs="宋体"/>
          <w:spacing w:val="5"/>
          <w:sz w:val="24"/>
        </w:rPr>
      </w:pPr>
      <w:r>
        <w:rPr>
          <w:rFonts w:hint="eastAsia" w:ascii="宋体" w:hAnsi="宋体" w:cs="宋体"/>
          <w:spacing w:val="5"/>
          <w:sz w:val="24"/>
        </w:rPr>
        <w:t>如出现供应商的电子响应文件无法解密等异常情况，供应商应及时致电中介服务机构说明。响应文件异常，按以下步骤进行处理：</w:t>
      </w:r>
    </w:p>
    <w:p w14:paraId="724C1A36">
      <w:pPr>
        <w:widowControl/>
        <w:spacing w:line="480" w:lineRule="exact"/>
        <w:ind w:firstLine="500" w:firstLineChars="200"/>
        <w:rPr>
          <w:rFonts w:ascii="宋体" w:hAnsi="宋体" w:cs="宋体"/>
          <w:spacing w:val="5"/>
          <w:sz w:val="24"/>
        </w:rPr>
      </w:pPr>
      <w:r>
        <w:rPr>
          <w:rFonts w:hint="eastAsia" w:ascii="宋体" w:hAnsi="宋体" w:cs="宋体"/>
          <w:spacing w:val="5"/>
          <w:sz w:val="24"/>
        </w:rPr>
        <w:t>（1）首先由技术人员进行问题排查。</w:t>
      </w:r>
    </w:p>
    <w:p w14:paraId="68067BFF">
      <w:pPr>
        <w:widowControl/>
        <w:spacing w:line="480" w:lineRule="exact"/>
        <w:ind w:firstLine="500" w:firstLineChars="200"/>
        <w:rPr>
          <w:rFonts w:ascii="宋体" w:hAnsi="宋体" w:cs="宋体"/>
          <w:spacing w:val="5"/>
          <w:sz w:val="24"/>
        </w:rPr>
      </w:pPr>
      <w:r>
        <w:rPr>
          <w:rFonts w:hint="eastAsia" w:ascii="宋体" w:hAnsi="宋体" w:cs="宋体"/>
          <w:spacing w:val="5"/>
          <w:sz w:val="24"/>
        </w:rPr>
        <w:t>（2）经技术人员排查后，是供应商文件自身问题导致投标文件无法解密的，该响应文件将不予接收、解密和唱标。开标会议继续进行。</w:t>
      </w:r>
    </w:p>
    <w:p w14:paraId="6FAEDA1B">
      <w:pPr>
        <w:widowControl/>
        <w:spacing w:line="480" w:lineRule="exact"/>
        <w:ind w:firstLine="500" w:firstLineChars="200"/>
        <w:rPr>
          <w:rFonts w:ascii="宋体" w:hAnsi="宋体" w:cs="宋体"/>
          <w:spacing w:val="5"/>
          <w:sz w:val="24"/>
        </w:rPr>
      </w:pPr>
      <w:r>
        <w:rPr>
          <w:rFonts w:hint="eastAsia" w:ascii="宋体" w:hAnsi="宋体" w:cs="宋体"/>
          <w:spacing w:val="5"/>
          <w:sz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D267D03">
      <w:pPr>
        <w:widowControl/>
        <w:spacing w:line="480" w:lineRule="exact"/>
        <w:ind w:firstLine="500" w:firstLineChars="200"/>
        <w:rPr>
          <w:rFonts w:ascii="宋体" w:hAnsi="宋体" w:cs="宋体"/>
          <w:spacing w:val="5"/>
          <w:sz w:val="24"/>
        </w:rPr>
      </w:pPr>
      <w:r>
        <w:rPr>
          <w:rFonts w:hint="eastAsia" w:ascii="宋体" w:hAnsi="宋体" w:cs="宋体"/>
          <w:spacing w:val="5"/>
          <w:sz w:val="24"/>
        </w:rPr>
        <w:t>8.4、待所有供应商响应文件解密完成后，由中介服务机构操作，对所有已解密响应文件进行唱标。供应商应保证在开标期间电话、电脑、网络能够正常工作，供应商因停电、电脑病毒、网络堵塞等原因，未在规定的解密时间内对响应文件进行解密的，其响应文件不予接收、唱标。</w:t>
      </w:r>
    </w:p>
    <w:p w14:paraId="09016814">
      <w:pPr>
        <w:widowControl/>
        <w:spacing w:line="480" w:lineRule="exact"/>
        <w:ind w:firstLine="500" w:firstLineChars="200"/>
        <w:rPr>
          <w:rFonts w:ascii="宋体" w:hAnsi="宋体" w:cs="宋体"/>
          <w:spacing w:val="5"/>
          <w:sz w:val="24"/>
        </w:rPr>
      </w:pPr>
      <w:r>
        <w:rPr>
          <w:rFonts w:hint="eastAsia" w:ascii="宋体" w:hAnsi="宋体" w:cs="宋体"/>
          <w:spacing w:val="5"/>
          <w:sz w:val="24"/>
        </w:rPr>
        <w:t>8.5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09E99E9F">
      <w:pPr>
        <w:widowControl/>
        <w:spacing w:line="480" w:lineRule="exact"/>
        <w:ind w:firstLine="500" w:firstLineChars="200"/>
        <w:rPr>
          <w:rFonts w:ascii="宋体" w:hAnsi="宋体" w:cs="宋体"/>
          <w:spacing w:val="5"/>
          <w:sz w:val="24"/>
        </w:rPr>
      </w:pPr>
      <w:r>
        <w:rPr>
          <w:rFonts w:hint="eastAsia" w:ascii="宋体" w:hAnsi="宋体" w:cs="宋体"/>
          <w:spacing w:val="5"/>
          <w:sz w:val="24"/>
        </w:rPr>
        <w:t>8.6、评标时，磋商小组对电子化响应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评标委员会。</w:t>
      </w:r>
    </w:p>
    <w:p w14:paraId="075D7293">
      <w:pPr>
        <w:spacing w:line="480" w:lineRule="exact"/>
        <w:ind w:firstLine="500" w:firstLineChars="200"/>
        <w:contextualSpacing/>
        <w:rPr>
          <w:rFonts w:ascii="宋体" w:hAnsi="宋体" w:cs="宋体"/>
          <w:spacing w:val="5"/>
          <w:sz w:val="24"/>
        </w:rPr>
      </w:pPr>
      <w:r>
        <w:rPr>
          <w:rFonts w:hint="eastAsia" w:ascii="宋体" w:hAnsi="宋体" w:cs="宋体"/>
          <w:spacing w:val="5"/>
          <w:sz w:val="24"/>
        </w:rPr>
        <w:t>8.7、如磋商小组对需要回复的供应商连续三次致电未接通的，视为供应商放弃回复，磋商小组将自行对需要回复的内容进行认定。</w:t>
      </w:r>
    </w:p>
    <w:p w14:paraId="45522387">
      <w:pPr>
        <w:spacing w:line="480" w:lineRule="exact"/>
        <w:ind w:firstLine="482" w:firstLineChars="200"/>
        <w:contextualSpacing/>
        <w:outlineLvl w:val="1"/>
        <w:rPr>
          <w:rFonts w:ascii="宋体" w:hAnsi="宋体" w:cs="宋体"/>
          <w:b/>
          <w:bCs/>
          <w:sz w:val="24"/>
        </w:rPr>
      </w:pPr>
      <w:bookmarkStart w:id="66" w:name="_Toc30026"/>
      <w:bookmarkStart w:id="67" w:name="_Toc149121931"/>
      <w:bookmarkStart w:id="68" w:name="_Toc16935"/>
      <w:bookmarkStart w:id="69" w:name="_Toc127797703"/>
      <w:bookmarkStart w:id="70" w:name="_Toc24766"/>
      <w:r>
        <w:rPr>
          <w:rFonts w:hint="eastAsia" w:ascii="宋体" w:hAnsi="宋体" w:cs="宋体"/>
          <w:b/>
          <w:bCs/>
          <w:sz w:val="24"/>
        </w:rPr>
        <w:t>9、磋商过程的保密性</w:t>
      </w:r>
      <w:bookmarkEnd w:id="66"/>
      <w:bookmarkEnd w:id="67"/>
      <w:bookmarkEnd w:id="68"/>
      <w:bookmarkEnd w:id="69"/>
      <w:bookmarkEnd w:id="70"/>
    </w:p>
    <w:p w14:paraId="2A7704B6">
      <w:pPr>
        <w:spacing w:line="480" w:lineRule="exact"/>
        <w:ind w:firstLine="480" w:firstLineChars="200"/>
        <w:contextualSpacing/>
        <w:rPr>
          <w:rFonts w:ascii="宋体" w:hAnsi="宋体" w:cs="宋体"/>
          <w:kern w:val="1"/>
          <w:sz w:val="24"/>
        </w:rPr>
      </w:pPr>
      <w:r>
        <w:rPr>
          <w:rFonts w:hint="eastAsia" w:ascii="宋体" w:hAnsi="宋体" w:cs="宋体"/>
          <w:kern w:val="1"/>
          <w:sz w:val="24"/>
        </w:rPr>
        <w:t>9.1、磋商期间，直到授予成交人合同止，凡是与响应文件审查、澄清、评价、比较以及推荐成交人等方面的情况，均不得向供应商或其他无关的人员透露。</w:t>
      </w:r>
    </w:p>
    <w:p w14:paraId="5C9E7071">
      <w:pPr>
        <w:spacing w:line="480" w:lineRule="exact"/>
        <w:ind w:firstLine="480" w:firstLineChars="200"/>
        <w:contextualSpacing/>
        <w:rPr>
          <w:rFonts w:ascii="宋体" w:hAnsi="宋体" w:cs="宋体"/>
          <w:kern w:val="1"/>
          <w:sz w:val="24"/>
        </w:rPr>
      </w:pPr>
      <w:r>
        <w:rPr>
          <w:rFonts w:hint="eastAsia" w:ascii="宋体" w:hAnsi="宋体" w:cs="宋体"/>
          <w:kern w:val="1"/>
          <w:sz w:val="24"/>
        </w:rPr>
        <w:t>9.1.2在磋商过程中，供应商如向磋商小组成员施加任何影响，都将会导致其磋商被拒绝，政府招标监管部门将记录其不良行为。</w:t>
      </w:r>
    </w:p>
    <w:p w14:paraId="77AB2048">
      <w:pPr>
        <w:spacing w:line="480" w:lineRule="exact"/>
        <w:ind w:firstLine="482" w:firstLineChars="200"/>
        <w:outlineLvl w:val="1"/>
        <w:rPr>
          <w:rFonts w:ascii="宋体" w:hAnsi="宋体" w:cs="宋体"/>
          <w:bCs/>
          <w:sz w:val="24"/>
        </w:rPr>
      </w:pPr>
      <w:bookmarkStart w:id="71" w:name="_Toc31094"/>
      <w:bookmarkStart w:id="72" w:name="_Toc127797704"/>
      <w:bookmarkStart w:id="73" w:name="_Toc3826"/>
      <w:bookmarkStart w:id="74" w:name="_Toc149121932"/>
      <w:bookmarkStart w:id="75" w:name="_Toc27744"/>
      <w:r>
        <w:rPr>
          <w:rFonts w:hint="eastAsia" w:ascii="宋体" w:hAnsi="宋体" w:cs="宋体"/>
          <w:b/>
          <w:bCs/>
          <w:sz w:val="24"/>
        </w:rPr>
        <w:t>10、竞争性磋商</w:t>
      </w:r>
      <w:bookmarkEnd w:id="71"/>
      <w:bookmarkEnd w:id="72"/>
      <w:bookmarkEnd w:id="73"/>
      <w:bookmarkEnd w:id="74"/>
      <w:bookmarkEnd w:id="75"/>
    </w:p>
    <w:p w14:paraId="5352C73B">
      <w:pPr>
        <w:spacing w:line="480" w:lineRule="exact"/>
        <w:ind w:firstLine="480" w:firstLineChars="200"/>
        <w:rPr>
          <w:rFonts w:ascii="宋体" w:hAnsi="宋体" w:cs="宋体"/>
          <w:bCs/>
          <w:sz w:val="24"/>
        </w:rPr>
      </w:pPr>
      <w:r>
        <w:rPr>
          <w:rFonts w:hint="eastAsia" w:ascii="宋体" w:hAnsi="宋体" w:cs="宋体"/>
          <w:bCs/>
          <w:sz w:val="24"/>
        </w:rPr>
        <w:t>10.1、采购单位据本项目的特点组成磋商小组，其成员</w:t>
      </w:r>
      <w:r>
        <w:rPr>
          <w:rFonts w:hint="eastAsia" w:ascii="宋体" w:hAnsi="宋体" w:cs="宋体"/>
          <w:sz w:val="24"/>
        </w:rPr>
        <w:t>由采购人代表及有关技术、经济等方面的专家组成</w:t>
      </w:r>
      <w:r>
        <w:rPr>
          <w:rFonts w:hint="eastAsia" w:ascii="宋体" w:hAnsi="宋体" w:cs="宋体"/>
          <w:bCs/>
          <w:sz w:val="24"/>
        </w:rPr>
        <w:t>等3人组成</w:t>
      </w:r>
      <w:r>
        <w:rPr>
          <w:rFonts w:hint="eastAsia" w:ascii="宋体" w:hAnsi="宋体" w:cs="宋体"/>
          <w:sz w:val="24"/>
        </w:rPr>
        <w:t>，其中：采购人代表1人，技术和经济方面专家各1人（技术和经济方面专家从专家库抽取）</w:t>
      </w:r>
      <w:r>
        <w:rPr>
          <w:rFonts w:hint="eastAsia" w:ascii="宋体" w:hAnsi="宋体" w:cs="宋体"/>
          <w:bCs/>
          <w:sz w:val="24"/>
        </w:rPr>
        <w:t>。</w:t>
      </w:r>
    </w:p>
    <w:p w14:paraId="7BD87F20">
      <w:pPr>
        <w:spacing w:line="480" w:lineRule="exact"/>
        <w:ind w:firstLine="480" w:firstLineChars="200"/>
        <w:rPr>
          <w:rFonts w:ascii="宋体" w:hAnsi="宋体" w:cs="宋体"/>
          <w:bCs/>
          <w:sz w:val="24"/>
        </w:rPr>
      </w:pPr>
      <w:r>
        <w:rPr>
          <w:rFonts w:hint="eastAsia" w:ascii="宋体" w:hAnsi="宋体" w:cs="宋体"/>
          <w:bCs/>
          <w:sz w:val="24"/>
        </w:rPr>
        <w:t>10.2、磋商小组制定磋商文件或确认磋商文件符合政府招标政策规定，整个磋商过程将严格按照 “公开、公平、公正”的原则进行。</w:t>
      </w:r>
    </w:p>
    <w:p w14:paraId="3BE94BC0">
      <w:pPr>
        <w:spacing w:line="480" w:lineRule="exact"/>
        <w:ind w:firstLine="480" w:firstLineChars="200"/>
        <w:rPr>
          <w:rFonts w:ascii="宋体" w:hAnsi="宋体" w:cs="宋体"/>
          <w:bCs/>
          <w:sz w:val="24"/>
        </w:rPr>
      </w:pPr>
      <w:r>
        <w:rPr>
          <w:rFonts w:hint="eastAsia" w:ascii="宋体" w:hAnsi="宋体" w:cs="宋体"/>
          <w:bCs/>
          <w:sz w:val="24"/>
        </w:rPr>
        <w:t>10.3、磋商小组推荐1-3名成交候选人。</w:t>
      </w:r>
    </w:p>
    <w:p w14:paraId="0856AE20">
      <w:pPr>
        <w:spacing w:line="480" w:lineRule="exact"/>
        <w:ind w:firstLine="480" w:firstLineChars="200"/>
        <w:rPr>
          <w:rFonts w:ascii="宋体" w:hAnsi="宋体" w:cs="宋体"/>
          <w:bCs/>
          <w:sz w:val="24"/>
        </w:rPr>
      </w:pPr>
      <w:r>
        <w:rPr>
          <w:rFonts w:hint="eastAsia" w:ascii="宋体" w:hAnsi="宋体" w:cs="宋体"/>
          <w:bCs/>
          <w:sz w:val="24"/>
        </w:rPr>
        <w:t>10.4、磋商小组首先要对各供应商的资格性、递交的响应文件的响应性进行审阅，以判定各供应商资格、响应文件的有效性，审阅结束后，要确定进入最终报价磋商阶段的供应商名单；</w:t>
      </w:r>
    </w:p>
    <w:p w14:paraId="714D1A8D">
      <w:pPr>
        <w:spacing w:line="480" w:lineRule="exact"/>
        <w:ind w:firstLine="480" w:firstLineChars="200"/>
        <w:rPr>
          <w:rFonts w:ascii="宋体" w:hAnsi="宋体" w:cs="宋体"/>
          <w:bCs/>
          <w:sz w:val="24"/>
        </w:rPr>
      </w:pPr>
      <w:r>
        <w:rPr>
          <w:rFonts w:hint="eastAsia" w:ascii="宋体" w:hAnsi="宋体" w:cs="宋体"/>
          <w:bCs/>
          <w:sz w:val="24"/>
        </w:rPr>
        <w:t>10.4.1在初审阶段，属于下列情况的响应文件将不得进入磋商阶段：</w:t>
      </w:r>
    </w:p>
    <w:p w14:paraId="3D884322">
      <w:pPr>
        <w:spacing w:line="480" w:lineRule="exact"/>
        <w:ind w:firstLine="480" w:firstLineChars="200"/>
        <w:rPr>
          <w:rFonts w:ascii="宋体" w:hAnsi="宋体" w:cs="宋体"/>
          <w:bCs/>
          <w:sz w:val="24"/>
        </w:rPr>
      </w:pPr>
      <w:r>
        <w:rPr>
          <w:rFonts w:hint="eastAsia" w:ascii="宋体" w:hAnsi="宋体" w:cs="宋体"/>
          <w:bCs/>
          <w:sz w:val="24"/>
        </w:rPr>
        <w:t>（1）供应商在生成电子化响应文件后，应对电子化响应文件进行签章，未进行</w:t>
      </w:r>
    </w:p>
    <w:p w14:paraId="3434680E">
      <w:pPr>
        <w:spacing w:line="480" w:lineRule="exact"/>
        <w:ind w:firstLine="480" w:firstLineChars="200"/>
        <w:rPr>
          <w:rFonts w:ascii="宋体" w:hAnsi="宋体" w:cs="宋体"/>
          <w:bCs/>
          <w:sz w:val="24"/>
        </w:rPr>
      </w:pPr>
      <w:r>
        <w:rPr>
          <w:rFonts w:hint="eastAsia" w:ascii="宋体" w:hAnsi="宋体" w:cs="宋体"/>
          <w:bCs/>
          <w:sz w:val="24"/>
        </w:rPr>
        <w:t>签章的视为无效投标。</w:t>
      </w:r>
    </w:p>
    <w:p w14:paraId="0D149AB8">
      <w:pPr>
        <w:spacing w:line="480" w:lineRule="exact"/>
        <w:ind w:firstLine="480" w:firstLineChars="200"/>
        <w:rPr>
          <w:rFonts w:ascii="宋体" w:hAnsi="宋体" w:cs="宋体"/>
          <w:bCs/>
          <w:sz w:val="24"/>
        </w:rPr>
      </w:pPr>
      <w:r>
        <w:rPr>
          <w:rFonts w:hint="eastAsia" w:ascii="宋体" w:hAnsi="宋体" w:cs="宋体"/>
          <w:bCs/>
          <w:sz w:val="24"/>
        </w:rPr>
        <w:t>（2）响应文件中有采购人不能接受的其它条件；</w:t>
      </w:r>
    </w:p>
    <w:p w14:paraId="6AE00E31">
      <w:pPr>
        <w:spacing w:line="480" w:lineRule="exact"/>
        <w:ind w:firstLine="480" w:firstLineChars="200"/>
        <w:rPr>
          <w:rFonts w:ascii="宋体" w:hAnsi="宋体" w:cs="宋体"/>
          <w:bCs/>
          <w:sz w:val="24"/>
        </w:rPr>
      </w:pPr>
      <w:r>
        <w:rPr>
          <w:rFonts w:hint="eastAsia" w:ascii="宋体" w:hAnsi="宋体" w:cs="宋体"/>
          <w:bCs/>
          <w:sz w:val="24"/>
        </w:rPr>
        <w:t>（3）资格不合格的供应商。</w:t>
      </w:r>
    </w:p>
    <w:p w14:paraId="6B43AB52">
      <w:pPr>
        <w:spacing w:line="480" w:lineRule="exact"/>
        <w:ind w:firstLine="480" w:firstLineChars="200"/>
        <w:rPr>
          <w:rFonts w:ascii="宋体" w:hAnsi="宋体" w:cs="宋体"/>
          <w:bCs/>
          <w:sz w:val="24"/>
        </w:rPr>
      </w:pPr>
      <w:r>
        <w:rPr>
          <w:rFonts w:hint="eastAsia" w:ascii="宋体" w:hAnsi="宋体" w:cs="宋体"/>
          <w:bCs/>
          <w:sz w:val="24"/>
        </w:rPr>
        <w:t>10.4.2在初审阶段,响应文件出现以下情况之一者，属于重大偏差，为未能对磋商文件作出实质性响应，作废标处理：</w:t>
      </w:r>
    </w:p>
    <w:p w14:paraId="52146E03">
      <w:pPr>
        <w:spacing w:line="480" w:lineRule="exact"/>
        <w:ind w:firstLine="480" w:firstLineChars="200"/>
        <w:rPr>
          <w:rFonts w:ascii="宋体" w:hAnsi="宋体" w:cs="宋体"/>
          <w:bCs/>
          <w:sz w:val="24"/>
        </w:rPr>
      </w:pPr>
      <w:r>
        <w:rPr>
          <w:rFonts w:hint="eastAsia" w:ascii="宋体" w:hAnsi="宋体" w:cs="宋体"/>
          <w:bCs/>
          <w:sz w:val="24"/>
        </w:rPr>
        <w:t>（1）响应文件未按规定的格式填写、内容不全的；</w:t>
      </w:r>
    </w:p>
    <w:p w14:paraId="6DFE44A7">
      <w:pPr>
        <w:spacing w:line="480" w:lineRule="exact"/>
        <w:ind w:firstLine="480" w:firstLineChars="200"/>
        <w:rPr>
          <w:rFonts w:ascii="宋体" w:hAnsi="宋体" w:cs="宋体"/>
          <w:bCs/>
          <w:sz w:val="24"/>
        </w:rPr>
      </w:pPr>
      <w:r>
        <w:rPr>
          <w:rFonts w:hint="eastAsia" w:ascii="宋体" w:hAnsi="宋体" w:cs="宋体"/>
          <w:bCs/>
          <w:sz w:val="24"/>
        </w:rPr>
        <w:t>（2）响应文件中无报价、无交货期、无质量等达不到磋商文件要求的；</w:t>
      </w:r>
    </w:p>
    <w:p w14:paraId="1E47FE02">
      <w:pPr>
        <w:spacing w:line="480" w:lineRule="exact"/>
        <w:ind w:firstLine="480" w:firstLineChars="200"/>
        <w:rPr>
          <w:rFonts w:ascii="宋体" w:hAnsi="宋体" w:cs="宋体"/>
          <w:bCs/>
          <w:sz w:val="24"/>
        </w:rPr>
      </w:pPr>
      <w:r>
        <w:rPr>
          <w:rFonts w:hint="eastAsia" w:ascii="宋体" w:hAnsi="宋体" w:cs="宋体"/>
          <w:bCs/>
          <w:sz w:val="24"/>
        </w:rPr>
        <w:t>（3）响应文件有保留或合同条款有采购人不可接受条件；</w:t>
      </w:r>
    </w:p>
    <w:p w14:paraId="493E9B52">
      <w:pPr>
        <w:spacing w:line="480" w:lineRule="exact"/>
        <w:ind w:firstLine="480" w:firstLineChars="200"/>
        <w:rPr>
          <w:rFonts w:ascii="宋体" w:hAnsi="宋体" w:cs="宋体"/>
          <w:bCs/>
          <w:sz w:val="24"/>
        </w:rPr>
      </w:pPr>
      <w:r>
        <w:rPr>
          <w:rFonts w:hint="eastAsia" w:ascii="宋体" w:hAnsi="宋体" w:cs="宋体"/>
          <w:bCs/>
          <w:sz w:val="24"/>
        </w:rPr>
        <w:t>（4）资格证明文件不全，或不满足磋商文件规定的供应商资质要求的；</w:t>
      </w:r>
    </w:p>
    <w:p w14:paraId="3C26FA03">
      <w:pPr>
        <w:spacing w:line="480" w:lineRule="exact"/>
        <w:ind w:firstLine="480" w:firstLineChars="200"/>
        <w:rPr>
          <w:rFonts w:ascii="宋体" w:hAnsi="宋体" w:cs="宋体"/>
          <w:bCs/>
          <w:sz w:val="24"/>
        </w:rPr>
      </w:pPr>
      <w:r>
        <w:rPr>
          <w:rFonts w:hint="eastAsia" w:ascii="宋体" w:hAnsi="宋体" w:cs="宋体"/>
          <w:bCs/>
          <w:sz w:val="24"/>
        </w:rPr>
        <w:t>10.4.3详细磋商：</w:t>
      </w:r>
    </w:p>
    <w:p w14:paraId="4E049BAE">
      <w:pPr>
        <w:spacing w:line="480" w:lineRule="exact"/>
        <w:ind w:firstLine="480" w:firstLineChars="200"/>
        <w:rPr>
          <w:rFonts w:ascii="宋体" w:hAnsi="宋体" w:cs="宋体"/>
          <w:bCs/>
          <w:sz w:val="24"/>
        </w:rPr>
      </w:pPr>
      <w:r>
        <w:rPr>
          <w:rFonts w:hint="eastAsia" w:ascii="宋体" w:hAnsi="宋体" w:cs="宋体"/>
          <w:bCs/>
          <w:sz w:val="24"/>
        </w:rPr>
        <w:t>（1）磋商小组首先要对各供应商的资格性、递交的响应文件的符合性进行审阅，以判定各供应商资格、响应文件的有效性，审阅结束后，要确定进入最终报价磋商阶段的供应商名单；</w:t>
      </w:r>
    </w:p>
    <w:p w14:paraId="135EBBEA">
      <w:pPr>
        <w:spacing w:line="480" w:lineRule="exact"/>
        <w:ind w:firstLine="480" w:firstLineChars="200"/>
        <w:rPr>
          <w:rFonts w:ascii="宋体" w:hAnsi="宋体" w:cs="宋体"/>
          <w:bCs/>
          <w:sz w:val="24"/>
        </w:rPr>
      </w:pPr>
      <w:r>
        <w:rPr>
          <w:rFonts w:hint="eastAsia" w:ascii="宋体" w:hAnsi="宋体" w:cs="宋体"/>
          <w:bCs/>
          <w:sz w:val="24"/>
        </w:rPr>
        <w:t>（2）磋商小组集中与单一供应商分别进行磋商。在磋商中，磋商双方可以就磋商项目所涉及的价格、技术、服务等进行实质性磋商，但磋商的任何一方不得透露与磋商有关的其他供应商的商业秘密、技术资料、价格和其他信息，不得变动磋商文件中的其他内容。</w:t>
      </w:r>
    </w:p>
    <w:p w14:paraId="02A1F902">
      <w:pPr>
        <w:spacing w:line="480" w:lineRule="exact"/>
        <w:ind w:firstLine="480" w:firstLineChars="200"/>
        <w:rPr>
          <w:rFonts w:ascii="宋体" w:hAnsi="宋体" w:cs="宋体"/>
          <w:bCs/>
          <w:sz w:val="24"/>
        </w:rPr>
      </w:pPr>
      <w:r>
        <w:rPr>
          <w:rFonts w:hint="eastAsia" w:ascii="宋体" w:hAnsi="宋体" w:cs="宋体"/>
          <w:bCs/>
          <w:sz w:val="24"/>
        </w:rPr>
        <w:t>（3）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8ED65C8">
      <w:pPr>
        <w:spacing w:line="480" w:lineRule="exact"/>
        <w:ind w:firstLine="480" w:firstLineChars="200"/>
        <w:rPr>
          <w:rFonts w:ascii="宋体" w:hAnsi="宋体" w:cs="宋体"/>
          <w:bCs/>
          <w:sz w:val="24"/>
        </w:rPr>
      </w:pPr>
      <w:r>
        <w:rPr>
          <w:rFonts w:hint="eastAsia" w:ascii="宋体" w:hAnsi="宋体" w:cs="宋体"/>
          <w:bCs/>
          <w:sz w:val="24"/>
        </w:rPr>
        <w:t>（4）磋商小组要求供应商澄清、说明或者更正响应文件应当在系统内作出。</w:t>
      </w:r>
    </w:p>
    <w:p w14:paraId="2F2D5DDE">
      <w:pPr>
        <w:spacing w:line="480" w:lineRule="exact"/>
        <w:ind w:firstLine="480" w:firstLineChars="200"/>
        <w:rPr>
          <w:rFonts w:ascii="宋体" w:hAnsi="宋体" w:cs="宋体"/>
          <w:bCs/>
          <w:sz w:val="24"/>
        </w:rPr>
      </w:pPr>
      <w:r>
        <w:rPr>
          <w:rFonts w:hint="eastAsia" w:ascii="宋体" w:hAnsi="宋体" w:cs="宋体"/>
          <w:bCs/>
          <w:sz w:val="24"/>
        </w:rPr>
        <w:t>（5）在磋商过程中，磋商小组可以根据磋商文件和磋商情况实质性变动磋商需求中的技术、服务要求以及合同草案条款，但不得变动磋商文件中的其他内容。实质性变动的内容，须经采购人代表确认。对磋商文件作出的实质性变动是磋商文件的有效组成部分，磋商小组应当在系统内通知所有参加磋商的供应商。</w:t>
      </w:r>
    </w:p>
    <w:p w14:paraId="25AA6461">
      <w:pPr>
        <w:spacing w:line="480" w:lineRule="exact"/>
        <w:ind w:firstLine="480" w:firstLineChars="200"/>
        <w:rPr>
          <w:rFonts w:ascii="宋体" w:hAnsi="宋体" w:cs="宋体"/>
          <w:bCs/>
          <w:sz w:val="24"/>
        </w:rPr>
      </w:pPr>
      <w:r>
        <w:rPr>
          <w:rFonts w:hint="eastAsia" w:ascii="宋体" w:hAnsi="宋体" w:cs="宋体"/>
          <w:bCs/>
          <w:sz w:val="24"/>
        </w:rPr>
        <w:t>（6）磋商文件不能详细列明招标标的的技术、服务要求，需经磋商由供应商提供最终设计方案或解决方案的，磋商结束后，磋商小组应当按照少数服从多数的原则投票推荐3家以上供应商的设计方案或者解决方案，并要求其在规定时间内</w:t>
      </w:r>
      <w:r>
        <w:rPr>
          <w:rFonts w:hint="eastAsia"/>
          <w:bCs/>
          <w:color w:val="000000"/>
          <w:kern w:val="0"/>
          <w:sz w:val="24"/>
        </w:rPr>
        <w:t>（一般为3</w:t>
      </w:r>
      <w:r>
        <w:rPr>
          <w:bCs/>
          <w:color w:val="000000"/>
          <w:kern w:val="0"/>
          <w:sz w:val="24"/>
        </w:rPr>
        <w:t>0</w:t>
      </w:r>
      <w:r>
        <w:rPr>
          <w:rFonts w:hint="eastAsia"/>
          <w:bCs/>
          <w:color w:val="000000"/>
          <w:kern w:val="0"/>
          <w:sz w:val="24"/>
        </w:rPr>
        <w:t>分钟）通过交易中心系统以电子形式</w:t>
      </w:r>
      <w:r>
        <w:rPr>
          <w:rFonts w:hint="eastAsia" w:ascii="宋体" w:hAnsi="宋体" w:cs="宋体"/>
          <w:bCs/>
          <w:sz w:val="24"/>
        </w:rPr>
        <w:t>提交最后报价。凡是二轮报价没提交的，其一轮报价视为二轮报价，提交最后报价的投标人可以为两家。</w:t>
      </w:r>
    </w:p>
    <w:p w14:paraId="7B8AA6DA">
      <w:pPr>
        <w:spacing w:line="480" w:lineRule="exact"/>
        <w:ind w:firstLine="480" w:firstLineChars="200"/>
        <w:rPr>
          <w:rFonts w:ascii="宋体" w:hAnsi="宋体" w:cs="宋体"/>
          <w:bCs/>
          <w:sz w:val="24"/>
        </w:rPr>
      </w:pPr>
      <w:r>
        <w:rPr>
          <w:rFonts w:hint="eastAsia" w:ascii="宋体" w:hAnsi="宋体" w:cs="宋体"/>
          <w:bCs/>
          <w:sz w:val="24"/>
        </w:rPr>
        <w:t>（7）经磋商小组确定最终采购需求和提交最终报价的供应商后，由磋商小组采用综合评分法对提交最终报价的供应商的响应文件和最终报价进行综合评分。</w:t>
      </w:r>
    </w:p>
    <w:p w14:paraId="3B9B2579">
      <w:pPr>
        <w:spacing w:line="480" w:lineRule="exact"/>
        <w:ind w:firstLine="480" w:firstLineChars="200"/>
        <w:rPr>
          <w:rFonts w:ascii="宋体" w:hAnsi="宋体" w:cs="宋体"/>
          <w:bCs/>
          <w:sz w:val="24"/>
        </w:rPr>
      </w:pPr>
      <w:r>
        <w:rPr>
          <w:rFonts w:hint="eastAsia" w:ascii="宋体" w:hAnsi="宋体" w:cs="宋体"/>
          <w:bCs/>
          <w:sz w:val="24"/>
        </w:rPr>
        <w:t>10.4.4 成交原则</w:t>
      </w:r>
    </w:p>
    <w:p w14:paraId="2D9CDCB4">
      <w:pPr>
        <w:spacing w:line="480" w:lineRule="exact"/>
        <w:ind w:firstLine="480" w:firstLineChars="200"/>
        <w:rPr>
          <w:rFonts w:ascii="宋体" w:hAnsi="宋体" w:cs="宋体"/>
          <w:bCs/>
          <w:sz w:val="24"/>
        </w:rPr>
      </w:pPr>
      <w:r>
        <w:rPr>
          <w:rFonts w:hint="eastAsia" w:ascii="宋体" w:hAnsi="宋体" w:cs="宋体"/>
          <w:bCs/>
          <w:sz w:val="24"/>
        </w:rPr>
        <w:t>磋商小组根据综合评分情况，按照评审得分由高到低顺序推荐1-3名供应商，并编写评审报告。评审得分相同的，按照最后报价由低到高的顺序推荐，评审得分且最后报价相同的，按照技术指标优劣顺序推荐。</w:t>
      </w:r>
    </w:p>
    <w:p w14:paraId="1459E9C0">
      <w:pPr>
        <w:spacing w:line="480" w:lineRule="exact"/>
        <w:ind w:firstLine="480" w:firstLineChars="200"/>
        <w:rPr>
          <w:rFonts w:ascii="宋体" w:hAnsi="宋体" w:cs="宋体"/>
          <w:bCs/>
          <w:sz w:val="24"/>
        </w:rPr>
      </w:pPr>
      <w:r>
        <w:rPr>
          <w:rFonts w:hint="eastAsia" w:ascii="宋体" w:hAnsi="宋体" w:cs="宋体"/>
          <w:bCs/>
          <w:sz w:val="24"/>
        </w:rPr>
        <w:t>10.4.5 评审报告</w:t>
      </w:r>
    </w:p>
    <w:p w14:paraId="3285DC5D">
      <w:pPr>
        <w:spacing w:line="480" w:lineRule="exact"/>
        <w:ind w:firstLine="480" w:firstLineChars="200"/>
        <w:rPr>
          <w:rFonts w:ascii="宋体" w:hAnsi="宋体" w:cs="宋体"/>
          <w:bCs/>
          <w:sz w:val="24"/>
        </w:rPr>
      </w:pPr>
      <w:r>
        <w:rPr>
          <w:rFonts w:hint="eastAsia" w:ascii="宋体" w:hAnsi="宋体" w:cs="宋体"/>
          <w:bCs/>
          <w:sz w:val="24"/>
        </w:rPr>
        <w:t>磋商小组应当根据评审记录和评审结果编写评审报告，其主要内容包括：</w:t>
      </w:r>
    </w:p>
    <w:p w14:paraId="3C96F30D">
      <w:pPr>
        <w:spacing w:line="480" w:lineRule="exact"/>
        <w:ind w:firstLine="480" w:firstLineChars="200"/>
        <w:rPr>
          <w:rFonts w:ascii="宋体" w:hAnsi="宋体" w:cs="宋体"/>
          <w:bCs/>
          <w:sz w:val="24"/>
        </w:rPr>
      </w:pPr>
      <w:r>
        <w:rPr>
          <w:rFonts w:hint="eastAsia" w:ascii="宋体" w:hAnsi="宋体" w:cs="宋体"/>
          <w:bCs/>
          <w:sz w:val="24"/>
        </w:rPr>
        <w:t>（1）招标活动的具体方式和相关情况，以及参加招标活动的投标人名单；</w:t>
      </w:r>
    </w:p>
    <w:p w14:paraId="05B12C71">
      <w:pPr>
        <w:spacing w:line="480" w:lineRule="exact"/>
        <w:ind w:firstLine="480" w:firstLineChars="200"/>
        <w:rPr>
          <w:rFonts w:ascii="宋体" w:hAnsi="宋体" w:cs="宋体"/>
          <w:bCs/>
          <w:sz w:val="24"/>
        </w:rPr>
      </w:pPr>
      <w:r>
        <w:rPr>
          <w:rFonts w:hint="eastAsia" w:ascii="宋体" w:hAnsi="宋体" w:cs="宋体"/>
          <w:bCs/>
          <w:sz w:val="24"/>
        </w:rPr>
        <w:t>（2）评审日期和地点，磋商小组成员名单；</w:t>
      </w:r>
    </w:p>
    <w:p w14:paraId="6D2185DD">
      <w:pPr>
        <w:spacing w:line="480" w:lineRule="exact"/>
        <w:ind w:firstLine="480" w:firstLineChars="200"/>
        <w:rPr>
          <w:rFonts w:ascii="宋体" w:hAnsi="宋体" w:cs="宋体"/>
          <w:bCs/>
          <w:sz w:val="24"/>
        </w:rPr>
      </w:pPr>
      <w:r>
        <w:rPr>
          <w:rFonts w:hint="eastAsia" w:ascii="宋体" w:hAnsi="宋体" w:cs="宋体"/>
          <w:bCs/>
          <w:sz w:val="24"/>
        </w:rPr>
        <w:t>（3）评审情况记录和说明，包括对供应商的资格审查情况、响应文件评审情况、磋商情况、报价情况等；</w:t>
      </w:r>
    </w:p>
    <w:p w14:paraId="13B7707D">
      <w:pPr>
        <w:spacing w:line="480" w:lineRule="exact"/>
        <w:ind w:firstLine="480" w:firstLineChars="200"/>
        <w:rPr>
          <w:rFonts w:ascii="宋体" w:hAnsi="宋体" w:cs="宋体"/>
          <w:bCs/>
          <w:sz w:val="24"/>
        </w:rPr>
      </w:pPr>
      <w:r>
        <w:rPr>
          <w:rFonts w:hint="eastAsia" w:ascii="宋体" w:hAnsi="宋体" w:cs="宋体"/>
          <w:bCs/>
          <w:sz w:val="24"/>
        </w:rPr>
        <w:t>（4）提出的成交候选人的名单及理由。</w:t>
      </w:r>
    </w:p>
    <w:p w14:paraId="1E2EB8B9">
      <w:pPr>
        <w:spacing w:line="480" w:lineRule="exact"/>
        <w:ind w:firstLine="480" w:firstLineChars="200"/>
        <w:rPr>
          <w:rFonts w:ascii="宋体" w:hAnsi="宋体" w:cs="宋体"/>
          <w:sz w:val="24"/>
        </w:rPr>
      </w:pPr>
      <w:r>
        <w:rPr>
          <w:rFonts w:hint="eastAsia" w:ascii="宋体" w:hAnsi="宋体" w:cs="宋体"/>
          <w:bCs/>
          <w:sz w:val="24"/>
        </w:rPr>
        <w:t>评审报告应当由磋商小组全体人员签字认可。磋商小组成员对评审报告有异议的，磋商小组按照少数服从多数的原则推荐成交候选人，招标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62E27B0">
      <w:pPr>
        <w:spacing w:line="480" w:lineRule="exact"/>
        <w:ind w:firstLine="482" w:firstLineChars="200"/>
        <w:outlineLvl w:val="1"/>
        <w:rPr>
          <w:rFonts w:ascii="宋体" w:hAnsi="宋体" w:cs="宋体"/>
          <w:sz w:val="24"/>
        </w:rPr>
      </w:pPr>
      <w:bookmarkStart w:id="76" w:name="_Toc127797706"/>
      <w:bookmarkStart w:id="77" w:name="_Toc1515"/>
      <w:bookmarkStart w:id="78" w:name="_Toc149121934"/>
      <w:bookmarkStart w:id="79" w:name="_Toc19031"/>
      <w:bookmarkStart w:id="80" w:name="_Toc26261"/>
      <w:r>
        <w:rPr>
          <w:rFonts w:hint="eastAsia" w:ascii="宋体" w:hAnsi="宋体" w:cs="宋体"/>
          <w:b/>
          <w:bCs/>
          <w:sz w:val="24"/>
        </w:rPr>
        <w:t>11、</w:t>
      </w:r>
      <w:r>
        <w:rPr>
          <w:rFonts w:hint="eastAsia" w:ascii="宋体" w:hAnsi="宋体" w:cs="宋体"/>
          <w:b/>
          <w:sz w:val="24"/>
        </w:rPr>
        <w:t>终止竞争性磋商采购活动</w:t>
      </w:r>
      <w:bookmarkEnd w:id="76"/>
      <w:bookmarkEnd w:id="77"/>
      <w:bookmarkEnd w:id="78"/>
      <w:bookmarkEnd w:id="79"/>
      <w:bookmarkEnd w:id="80"/>
    </w:p>
    <w:p w14:paraId="3BE58740">
      <w:pPr>
        <w:spacing w:line="480" w:lineRule="exact"/>
        <w:ind w:firstLine="480" w:firstLineChars="200"/>
        <w:rPr>
          <w:rFonts w:ascii="宋体" w:hAnsi="宋体" w:cs="宋体"/>
          <w:sz w:val="24"/>
        </w:rPr>
      </w:pPr>
      <w:r>
        <w:rPr>
          <w:rFonts w:hint="eastAsia" w:ascii="宋体" w:hAnsi="宋体" w:cs="宋体"/>
          <w:sz w:val="24"/>
        </w:rPr>
        <w:t>出现下列情形之一的，采购人或者招标代理机构应当终止竞争性磋商采购活动，发布项目终止公告并说明原因，重新开展采购活动：</w:t>
      </w:r>
    </w:p>
    <w:p w14:paraId="25A74D35">
      <w:pPr>
        <w:spacing w:line="480" w:lineRule="exact"/>
        <w:ind w:firstLine="480" w:firstLineChars="200"/>
        <w:rPr>
          <w:rFonts w:ascii="宋体" w:hAnsi="宋体" w:cs="宋体"/>
          <w:sz w:val="24"/>
        </w:rPr>
      </w:pPr>
      <w:r>
        <w:rPr>
          <w:rFonts w:hint="eastAsia" w:ascii="宋体" w:hAnsi="宋体" w:cs="宋体"/>
          <w:sz w:val="24"/>
        </w:rPr>
        <w:t>（1）因情况变化，不再符合规定的竞争性磋商采购方式适用情形的；</w:t>
      </w:r>
    </w:p>
    <w:p w14:paraId="52DDF1A2">
      <w:pPr>
        <w:spacing w:line="480" w:lineRule="exact"/>
        <w:ind w:firstLine="480" w:firstLineChars="200"/>
        <w:rPr>
          <w:rFonts w:ascii="宋体" w:hAnsi="宋体" w:cs="宋体"/>
          <w:sz w:val="24"/>
        </w:rPr>
      </w:pPr>
      <w:r>
        <w:rPr>
          <w:rFonts w:hint="eastAsia" w:ascii="宋体" w:hAnsi="宋体" w:cs="宋体"/>
          <w:sz w:val="24"/>
        </w:rPr>
        <w:t>（2）出现影响采购公正的违法、违规行为的；</w:t>
      </w:r>
    </w:p>
    <w:p w14:paraId="5F055C09">
      <w:pPr>
        <w:spacing w:line="480" w:lineRule="exact"/>
        <w:ind w:firstLine="482" w:firstLineChars="200"/>
        <w:outlineLvl w:val="1"/>
        <w:rPr>
          <w:rFonts w:ascii="宋体" w:hAnsi="宋体" w:cs="宋体"/>
          <w:b/>
          <w:sz w:val="24"/>
        </w:rPr>
      </w:pPr>
      <w:bookmarkStart w:id="81" w:name="_Toc718"/>
      <w:bookmarkStart w:id="82" w:name="_Toc32728"/>
      <w:bookmarkStart w:id="83" w:name="_Toc20264"/>
      <w:bookmarkStart w:id="84" w:name="_Toc149121935"/>
      <w:bookmarkStart w:id="85" w:name="_Toc127797707"/>
      <w:r>
        <w:rPr>
          <w:rFonts w:hint="eastAsia" w:ascii="宋体" w:hAnsi="宋体" w:cs="宋体"/>
          <w:b/>
          <w:sz w:val="24"/>
        </w:rPr>
        <w:t>12、确定成交人</w:t>
      </w:r>
      <w:bookmarkEnd w:id="81"/>
      <w:bookmarkEnd w:id="82"/>
      <w:bookmarkEnd w:id="83"/>
      <w:bookmarkEnd w:id="84"/>
      <w:bookmarkEnd w:id="85"/>
    </w:p>
    <w:p w14:paraId="14380222">
      <w:pPr>
        <w:spacing w:line="360" w:lineRule="auto"/>
        <w:ind w:firstLine="480" w:firstLineChars="200"/>
        <w:rPr>
          <w:bCs/>
          <w:color w:val="000000"/>
          <w:kern w:val="0"/>
          <w:sz w:val="24"/>
        </w:rPr>
      </w:pPr>
      <w:r>
        <w:rPr>
          <w:rFonts w:hint="eastAsia" w:ascii="宋体" w:hAnsi="宋体" w:cs="宋体"/>
          <w:sz w:val="24"/>
        </w:rPr>
        <w:t>12.1、招标代理机构应当在磋商结束后2个工作日内将评审报告送采购人。采购人应当在收到评审报告后5个工作日内，</w:t>
      </w:r>
      <w:r>
        <w:rPr>
          <w:rFonts w:hint="eastAsia"/>
          <w:bCs/>
          <w:color w:val="000000"/>
          <w:kern w:val="0"/>
          <w:sz w:val="24"/>
        </w:rPr>
        <w:t>从评审报告提出的成交候选供应商中，按照排序由高到低的原则确定成交供应商。采购人逾期未确定成交供应商且不提出异议的，视为确定评审报告提出的排序第一的供应商为成交供应商；</w:t>
      </w:r>
    </w:p>
    <w:p w14:paraId="60E11EA3">
      <w:pPr>
        <w:spacing w:line="480" w:lineRule="exact"/>
        <w:ind w:firstLine="480" w:firstLineChars="200"/>
        <w:rPr>
          <w:rFonts w:ascii="宋体" w:hAnsi="宋体" w:cs="宋体"/>
          <w:bCs/>
          <w:sz w:val="24"/>
        </w:rPr>
      </w:pPr>
      <w:r>
        <w:rPr>
          <w:rFonts w:hint="eastAsia" w:ascii="宋体" w:hAnsi="宋体" w:cs="宋体"/>
          <w:sz w:val="24"/>
        </w:rPr>
        <w:t>12.2、采购人也可以授权磋商小组直接确定成交供应商。磋商小组直接确定成交供应商的应在磋商文件中写明。</w:t>
      </w:r>
    </w:p>
    <w:p w14:paraId="35858C3C">
      <w:pPr>
        <w:spacing w:line="480" w:lineRule="exact"/>
        <w:ind w:firstLine="482" w:firstLineChars="200"/>
        <w:contextualSpacing/>
        <w:outlineLvl w:val="1"/>
        <w:rPr>
          <w:rFonts w:ascii="宋体" w:hAnsi="宋体" w:cs="宋体"/>
          <w:kern w:val="1"/>
          <w:sz w:val="24"/>
        </w:rPr>
      </w:pPr>
      <w:bookmarkStart w:id="86" w:name="_Toc149121936"/>
      <w:bookmarkStart w:id="87" w:name="_Toc7628"/>
      <w:bookmarkStart w:id="88" w:name="_Toc9164"/>
      <w:bookmarkStart w:id="89" w:name="_Toc127797708"/>
      <w:bookmarkStart w:id="90" w:name="_Toc30009"/>
      <w:r>
        <w:rPr>
          <w:rFonts w:hint="eastAsia" w:ascii="宋体" w:hAnsi="宋体" w:cs="宋体"/>
          <w:b/>
          <w:sz w:val="24"/>
        </w:rPr>
        <w:t>13、</w:t>
      </w:r>
      <w:r>
        <w:rPr>
          <w:rFonts w:hint="eastAsia" w:ascii="宋体" w:hAnsi="宋体" w:cs="宋体"/>
          <w:b/>
          <w:kern w:val="1"/>
          <w:sz w:val="24"/>
        </w:rPr>
        <w:t>成交结果公告</w:t>
      </w:r>
      <w:bookmarkEnd w:id="86"/>
      <w:bookmarkEnd w:id="87"/>
      <w:bookmarkEnd w:id="88"/>
      <w:bookmarkEnd w:id="89"/>
      <w:bookmarkEnd w:id="90"/>
    </w:p>
    <w:p w14:paraId="0FEB510E">
      <w:pPr>
        <w:spacing w:line="480" w:lineRule="exact"/>
        <w:ind w:firstLine="480" w:firstLineChars="200"/>
        <w:contextualSpacing/>
        <w:rPr>
          <w:rFonts w:ascii="宋体" w:hAnsi="宋体" w:cs="宋体"/>
          <w:kern w:val="1"/>
          <w:sz w:val="24"/>
        </w:rPr>
      </w:pPr>
      <w:r>
        <w:rPr>
          <w:rFonts w:hint="eastAsia" w:ascii="宋体" w:hAnsi="宋体" w:cs="宋体"/>
          <w:kern w:val="1"/>
          <w:sz w:val="24"/>
        </w:rPr>
        <w:t>13.1、采购人应当在成交人确定后2个工作日内，在公告发布的同一媒介上发布成交结果，同时向成交供应商发出成交通知书，并将磋商文件随成交结果同时公告，公告期限1个工作日。</w:t>
      </w:r>
    </w:p>
    <w:p w14:paraId="345D497F">
      <w:pPr>
        <w:spacing w:line="480" w:lineRule="exact"/>
        <w:ind w:firstLine="480" w:firstLineChars="200"/>
        <w:rPr>
          <w:rFonts w:ascii="宋体" w:hAnsi="宋体" w:cs="宋体"/>
          <w:sz w:val="24"/>
        </w:rPr>
      </w:pPr>
      <w:bookmarkStart w:id="91" w:name="_Toc454788042"/>
      <w:bookmarkEnd w:id="91"/>
      <w:r>
        <w:rPr>
          <w:rFonts w:hint="eastAsia" w:ascii="宋体" w:hAnsi="宋体" w:cs="宋体"/>
          <w:kern w:val="1"/>
          <w:sz w:val="24"/>
        </w:rPr>
        <w:t>13.2、成交结果公告内容应当包括采购人和招标代理机构的名称、地址、联系方式，项目名称和项目编号，成交人名称、地址和成交金额，主要成交标的的名称、规格型号（服务范围）、数量、单价、服务质量或标的的基本概况以及磋商小组名单。</w:t>
      </w:r>
    </w:p>
    <w:p w14:paraId="42C868E5">
      <w:pPr>
        <w:spacing w:line="480" w:lineRule="exact"/>
        <w:ind w:firstLine="482" w:firstLineChars="200"/>
        <w:contextualSpacing/>
        <w:outlineLvl w:val="1"/>
        <w:rPr>
          <w:rFonts w:ascii="宋体" w:hAnsi="宋体" w:cs="宋体"/>
          <w:kern w:val="1"/>
          <w:sz w:val="24"/>
        </w:rPr>
      </w:pPr>
      <w:bookmarkStart w:id="92" w:name="_Toc13908"/>
      <w:bookmarkStart w:id="93" w:name="_Toc127797710"/>
      <w:bookmarkStart w:id="94" w:name="_Toc17303"/>
      <w:bookmarkStart w:id="95" w:name="_Toc28303"/>
      <w:bookmarkStart w:id="96" w:name="_Toc149121938"/>
      <w:bookmarkStart w:id="97" w:name="_Toc13403"/>
      <w:bookmarkStart w:id="98" w:name="_Toc127797709"/>
      <w:bookmarkStart w:id="99" w:name="_Toc14649"/>
      <w:bookmarkStart w:id="100" w:name="_Toc149121937"/>
      <w:r>
        <w:rPr>
          <w:rFonts w:hint="eastAsia" w:ascii="宋体" w:hAnsi="宋体" w:cs="宋体"/>
          <w:b/>
          <w:bCs/>
          <w:sz w:val="24"/>
        </w:rPr>
        <w:t>14、</w:t>
      </w:r>
      <w:r>
        <w:rPr>
          <w:rFonts w:hint="eastAsia" w:ascii="宋体" w:hAnsi="宋体" w:cs="宋体"/>
          <w:b/>
          <w:kern w:val="1"/>
          <w:sz w:val="24"/>
        </w:rPr>
        <w:t>履约保证金</w:t>
      </w:r>
      <w:bookmarkEnd w:id="92"/>
      <w:bookmarkEnd w:id="93"/>
      <w:bookmarkEnd w:id="94"/>
      <w:bookmarkEnd w:id="95"/>
      <w:bookmarkEnd w:id="96"/>
    </w:p>
    <w:p w14:paraId="26ED3364">
      <w:pPr>
        <w:spacing w:line="480" w:lineRule="exact"/>
        <w:ind w:firstLine="480" w:firstLineChars="200"/>
        <w:rPr>
          <w:rFonts w:ascii="宋体" w:hAnsi="宋体" w:cs="宋体"/>
          <w:b/>
          <w:sz w:val="24"/>
        </w:rPr>
      </w:pPr>
      <w:bookmarkStart w:id="101" w:name="_Toc463011504"/>
      <w:bookmarkEnd w:id="101"/>
      <w:bookmarkStart w:id="102" w:name="_Toc455678265"/>
      <w:bookmarkEnd w:id="102"/>
      <w:r>
        <w:rPr>
          <w:rFonts w:hint="eastAsia" w:ascii="宋体" w:hAnsi="宋体" w:cs="宋体"/>
          <w:kern w:val="1"/>
          <w:sz w:val="24"/>
        </w:rPr>
        <w:t>本项目不收取履约保证金。</w:t>
      </w:r>
    </w:p>
    <w:p w14:paraId="19D7C108">
      <w:pPr>
        <w:spacing w:line="480" w:lineRule="exact"/>
        <w:ind w:firstLine="482" w:firstLineChars="200"/>
        <w:contextualSpacing/>
        <w:outlineLvl w:val="1"/>
        <w:rPr>
          <w:rFonts w:ascii="宋体" w:hAnsi="宋体" w:cs="宋体"/>
          <w:kern w:val="1"/>
          <w:sz w:val="24"/>
        </w:rPr>
      </w:pPr>
      <w:bookmarkStart w:id="103" w:name="_Toc21244"/>
      <w:r>
        <w:rPr>
          <w:rFonts w:hint="eastAsia" w:ascii="宋体" w:hAnsi="宋体" w:cs="宋体"/>
          <w:b/>
          <w:sz w:val="24"/>
        </w:rPr>
        <w:t>15、</w:t>
      </w:r>
      <w:r>
        <w:rPr>
          <w:rFonts w:hint="eastAsia" w:ascii="宋体" w:hAnsi="宋体" w:cs="宋体"/>
          <w:b/>
          <w:kern w:val="1"/>
          <w:sz w:val="24"/>
        </w:rPr>
        <w:t>合同授予</w:t>
      </w:r>
      <w:bookmarkEnd w:id="97"/>
      <w:bookmarkEnd w:id="98"/>
      <w:bookmarkEnd w:id="99"/>
      <w:bookmarkEnd w:id="100"/>
      <w:bookmarkEnd w:id="103"/>
    </w:p>
    <w:p w14:paraId="0CDDD3CA">
      <w:pPr>
        <w:spacing w:line="480" w:lineRule="exact"/>
        <w:ind w:firstLine="480" w:firstLineChars="200"/>
        <w:contextualSpacing/>
        <w:rPr>
          <w:rFonts w:ascii="宋体" w:hAnsi="宋体" w:cs="宋体"/>
          <w:kern w:val="1"/>
          <w:sz w:val="24"/>
        </w:rPr>
      </w:pPr>
      <w:r>
        <w:rPr>
          <w:rFonts w:hint="eastAsia" w:ascii="宋体" w:hAnsi="宋体" w:cs="宋体"/>
          <w:kern w:val="1"/>
          <w:sz w:val="24"/>
        </w:rPr>
        <w:t>15.1、成交结果公示的同时，采购人以书面形式向成交人发出成交通知书。</w:t>
      </w:r>
    </w:p>
    <w:p w14:paraId="54405FA0">
      <w:pPr>
        <w:spacing w:line="480" w:lineRule="exact"/>
        <w:ind w:firstLine="480" w:firstLineChars="200"/>
        <w:contextualSpacing/>
        <w:rPr>
          <w:rFonts w:ascii="宋体" w:hAnsi="宋体" w:cs="宋体"/>
          <w:kern w:val="1"/>
          <w:sz w:val="24"/>
        </w:rPr>
      </w:pPr>
      <w:bookmarkStart w:id="104" w:name="_Toc511663240"/>
      <w:bookmarkEnd w:id="104"/>
      <w:bookmarkStart w:id="105" w:name="_Toc269470335"/>
      <w:bookmarkEnd w:id="105"/>
      <w:bookmarkStart w:id="106" w:name="_Toc455678262"/>
      <w:bookmarkEnd w:id="106"/>
      <w:bookmarkStart w:id="107" w:name="_Toc530664100"/>
      <w:bookmarkEnd w:id="107"/>
      <w:bookmarkStart w:id="108" w:name="_Toc530665447"/>
      <w:bookmarkEnd w:id="108"/>
      <w:bookmarkStart w:id="109" w:name="_Toc530663944"/>
      <w:bookmarkEnd w:id="109"/>
      <w:bookmarkStart w:id="110" w:name="_Toc511897557"/>
      <w:bookmarkEnd w:id="110"/>
      <w:bookmarkStart w:id="111" w:name="_Toc463011501"/>
      <w:bookmarkEnd w:id="111"/>
      <w:bookmarkStart w:id="112" w:name="_Toc531936136"/>
      <w:bookmarkEnd w:id="112"/>
      <w:r>
        <w:rPr>
          <w:rFonts w:hint="eastAsia" w:ascii="宋体" w:hAnsi="宋体" w:cs="宋体"/>
          <w:kern w:val="1"/>
          <w:sz w:val="24"/>
        </w:rPr>
        <w:t>15.2、成交供应商的最后一轮报价为成交价，成交价即为合同价。</w:t>
      </w:r>
    </w:p>
    <w:p w14:paraId="3DD45DEE">
      <w:pPr>
        <w:spacing w:line="480" w:lineRule="exact"/>
        <w:ind w:firstLine="480" w:firstLineChars="200"/>
        <w:contextualSpacing/>
        <w:rPr>
          <w:rFonts w:ascii="宋体" w:hAnsi="宋体" w:cs="宋体"/>
          <w:kern w:val="1"/>
          <w:sz w:val="24"/>
        </w:rPr>
      </w:pPr>
      <w:bookmarkStart w:id="113" w:name="_Toc530664101"/>
      <w:bookmarkEnd w:id="113"/>
      <w:bookmarkStart w:id="114" w:name="_Toc511663241"/>
      <w:bookmarkEnd w:id="114"/>
      <w:bookmarkStart w:id="115" w:name="_Toc531936137"/>
      <w:bookmarkEnd w:id="115"/>
      <w:bookmarkStart w:id="116" w:name="_Toc530663945"/>
      <w:bookmarkEnd w:id="116"/>
      <w:bookmarkStart w:id="117" w:name="_Toc530665448"/>
      <w:bookmarkEnd w:id="117"/>
      <w:bookmarkStart w:id="118" w:name="_Toc511897558"/>
      <w:bookmarkEnd w:id="118"/>
      <w:bookmarkStart w:id="119" w:name="_Toc463011502"/>
      <w:bookmarkEnd w:id="119"/>
      <w:bookmarkStart w:id="120" w:name="_Toc455678263"/>
      <w:bookmarkEnd w:id="120"/>
      <w:r>
        <w:rPr>
          <w:rFonts w:hint="eastAsia" w:ascii="宋体" w:hAnsi="宋体" w:cs="宋体"/>
          <w:kern w:val="1"/>
          <w:sz w:val="24"/>
        </w:rPr>
        <w:t>15.3、采购人和成交人应当自成交通知书发出之日起7天内，根据竞争性磋商文件、供应商的响应性文件及在磋商过程中对响应性文件作出的澄清、解释订立书面服务合同。供应商无正当理由拒签合同的，采购人取消其成交资格，并追究其违约责任。在此情况下，采购人可将合同授予排名次髙的供应商。</w:t>
      </w:r>
    </w:p>
    <w:p w14:paraId="56657CC1">
      <w:pPr>
        <w:spacing w:line="480" w:lineRule="exact"/>
        <w:ind w:firstLine="480" w:firstLineChars="200"/>
        <w:rPr>
          <w:rFonts w:ascii="宋体" w:hAnsi="宋体" w:cs="宋体"/>
          <w:sz w:val="24"/>
        </w:rPr>
      </w:pPr>
      <w:r>
        <w:rPr>
          <w:rFonts w:hint="eastAsia" w:ascii="宋体" w:hAnsi="宋体" w:cs="宋体"/>
          <w:kern w:val="1"/>
          <w:sz w:val="24"/>
        </w:rPr>
        <w:t>15.4、在签订合同过程中，如发现成交供应商以他人名义磋商或者以其他方式弄虚作假，骗取成交的，采购人有权取消其成交资格。</w:t>
      </w:r>
    </w:p>
    <w:p w14:paraId="5AD848F7">
      <w:pPr>
        <w:spacing w:line="480" w:lineRule="exact"/>
        <w:ind w:firstLine="482" w:firstLineChars="200"/>
        <w:contextualSpacing/>
        <w:outlineLvl w:val="1"/>
        <w:rPr>
          <w:rFonts w:ascii="宋体" w:hAnsi="宋体" w:cs="宋体"/>
          <w:kern w:val="1"/>
          <w:sz w:val="24"/>
        </w:rPr>
      </w:pPr>
      <w:bookmarkStart w:id="121" w:name="_Toc30014"/>
      <w:bookmarkStart w:id="122" w:name="_Toc127797712"/>
      <w:bookmarkStart w:id="123" w:name="_Toc4580"/>
      <w:bookmarkStart w:id="124" w:name="_Toc11717"/>
      <w:bookmarkStart w:id="125" w:name="_Toc149121940"/>
      <w:r>
        <w:rPr>
          <w:rFonts w:hint="eastAsia" w:ascii="宋体" w:hAnsi="宋体" w:cs="宋体"/>
          <w:b/>
          <w:bCs/>
          <w:sz w:val="24"/>
        </w:rPr>
        <w:t>16、</w:t>
      </w:r>
      <w:r>
        <w:rPr>
          <w:rFonts w:hint="eastAsia" w:ascii="宋体" w:hAnsi="宋体" w:cs="宋体"/>
          <w:b/>
          <w:kern w:val="1"/>
          <w:sz w:val="24"/>
        </w:rPr>
        <w:t>纪律和监督</w:t>
      </w:r>
      <w:bookmarkEnd w:id="121"/>
      <w:bookmarkEnd w:id="122"/>
      <w:bookmarkEnd w:id="123"/>
      <w:bookmarkEnd w:id="124"/>
      <w:bookmarkEnd w:id="125"/>
      <w:bookmarkStart w:id="126" w:name="_Toc531936143"/>
      <w:bookmarkEnd w:id="126"/>
      <w:bookmarkStart w:id="127" w:name="_Toc428276606"/>
      <w:bookmarkEnd w:id="127"/>
      <w:bookmarkStart w:id="128" w:name="_Toc270604611"/>
      <w:bookmarkEnd w:id="128"/>
      <w:bookmarkStart w:id="129" w:name="_Toc269470339"/>
      <w:bookmarkEnd w:id="129"/>
      <w:bookmarkStart w:id="130" w:name="_Toc455678274"/>
      <w:bookmarkEnd w:id="130"/>
      <w:bookmarkStart w:id="131" w:name="_Toc277149399"/>
      <w:bookmarkEnd w:id="131"/>
      <w:bookmarkStart w:id="132" w:name="_Toc454788293"/>
      <w:bookmarkEnd w:id="132"/>
      <w:bookmarkStart w:id="133" w:name="_Toc463011513"/>
      <w:bookmarkEnd w:id="133"/>
      <w:bookmarkStart w:id="134" w:name="_Toc511663247"/>
      <w:bookmarkEnd w:id="134"/>
      <w:bookmarkStart w:id="135" w:name="_Toc270604838"/>
      <w:bookmarkEnd w:id="135"/>
      <w:bookmarkStart w:id="136" w:name="_Toc511897564"/>
      <w:bookmarkEnd w:id="136"/>
      <w:bookmarkStart w:id="137" w:name="_Toc530664107"/>
      <w:bookmarkEnd w:id="137"/>
      <w:bookmarkStart w:id="138" w:name="_Toc530665454"/>
      <w:bookmarkEnd w:id="138"/>
      <w:bookmarkStart w:id="139" w:name="_Toc530663951"/>
      <w:bookmarkEnd w:id="139"/>
    </w:p>
    <w:p w14:paraId="12CF2801">
      <w:pPr>
        <w:tabs>
          <w:tab w:val="left" w:pos="540"/>
        </w:tabs>
        <w:autoSpaceDE w:val="0"/>
        <w:autoSpaceDN w:val="0"/>
        <w:adjustRightInd w:val="0"/>
        <w:spacing w:line="480" w:lineRule="exact"/>
        <w:ind w:firstLine="480" w:firstLineChars="200"/>
        <w:outlineLvl w:val="1"/>
        <w:rPr>
          <w:rFonts w:ascii="宋体" w:hAnsi="宋体" w:cs="宋体"/>
          <w:sz w:val="24"/>
        </w:rPr>
      </w:pPr>
      <w:bookmarkStart w:id="140" w:name="_Toc50397855"/>
      <w:bookmarkStart w:id="141" w:name="_Toc526682544"/>
      <w:bookmarkStart w:id="142" w:name="_Toc521488919"/>
      <w:bookmarkStart w:id="143" w:name="_Toc19521"/>
      <w:bookmarkStart w:id="144" w:name="_Toc127797713"/>
      <w:bookmarkStart w:id="145" w:name="_Toc13802"/>
      <w:bookmarkStart w:id="146" w:name="_Toc50397315"/>
      <w:bookmarkStart w:id="147" w:name="_Toc27652"/>
      <w:bookmarkStart w:id="148" w:name="_Toc515378707"/>
      <w:bookmarkStart w:id="149" w:name="_Toc149121941"/>
      <w:bookmarkStart w:id="150" w:name="_Toc3206130"/>
      <w:bookmarkStart w:id="151" w:name="_Toc14967"/>
      <w:bookmarkStart w:id="152" w:name="_Toc22486"/>
      <w:bookmarkStart w:id="153" w:name="_Toc25797"/>
      <w:bookmarkStart w:id="154" w:name="_Toc521488519"/>
      <w:bookmarkStart w:id="155" w:name="_Toc180580774"/>
      <w:bookmarkStart w:id="156" w:name="_Toc521486763"/>
      <w:bookmarkStart w:id="157" w:name="_Toc4248302"/>
      <w:bookmarkStart w:id="158" w:name="_Toc530142110"/>
      <w:bookmarkStart w:id="159" w:name="_Toc23882"/>
      <w:bookmarkStart w:id="160" w:name="_Toc528250057"/>
      <w:bookmarkStart w:id="161" w:name="_Toc521488759"/>
      <w:bookmarkStart w:id="162" w:name="_Toc21437473"/>
      <w:bookmarkStart w:id="163" w:name="_Toc17415"/>
      <w:bookmarkStart w:id="164" w:name="_Toc8363"/>
      <w:bookmarkStart w:id="165" w:name="_Toc22717750"/>
      <w:bookmarkStart w:id="166" w:name="_Toc514402140"/>
      <w:r>
        <w:rPr>
          <w:rFonts w:hint="eastAsia" w:ascii="宋体" w:hAnsi="宋体" w:cs="宋体"/>
          <w:sz w:val="24"/>
        </w:rPr>
        <w:t>16.1、对采购人的纪律要求</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1F35155">
      <w:pPr>
        <w:tabs>
          <w:tab w:val="left" w:pos="540"/>
        </w:tabs>
        <w:autoSpaceDE w:val="0"/>
        <w:autoSpaceDN w:val="0"/>
        <w:adjustRightInd w:val="0"/>
        <w:spacing w:line="480" w:lineRule="exact"/>
        <w:ind w:firstLine="480" w:firstLineChars="200"/>
        <w:outlineLvl w:val="1"/>
        <w:rPr>
          <w:rFonts w:ascii="宋体" w:hAnsi="宋体" w:cs="宋体"/>
          <w:color w:val="000000"/>
          <w:kern w:val="0"/>
          <w:sz w:val="24"/>
        </w:rPr>
      </w:pPr>
      <w:bookmarkStart w:id="167" w:name="_Toc3206131"/>
      <w:bookmarkStart w:id="168" w:name="_Toc26809"/>
      <w:bookmarkStart w:id="169" w:name="_Toc11242"/>
      <w:bookmarkStart w:id="170" w:name="_Toc50397316"/>
      <w:bookmarkStart w:id="171" w:name="_Toc27053"/>
      <w:bookmarkStart w:id="172" w:name="_Toc149121942"/>
      <w:bookmarkStart w:id="173" w:name="_Toc4248303"/>
      <w:bookmarkStart w:id="174" w:name="_Toc530142111"/>
      <w:bookmarkStart w:id="175" w:name="_Toc30898"/>
      <w:bookmarkStart w:id="176" w:name="_Toc180580775"/>
      <w:bookmarkStart w:id="177" w:name="_Toc22717751"/>
      <w:bookmarkStart w:id="178" w:name="_Toc127797714"/>
      <w:bookmarkStart w:id="179" w:name="_Toc50397856"/>
      <w:bookmarkStart w:id="180" w:name="_Toc21437474"/>
      <w:r>
        <w:rPr>
          <w:rFonts w:hint="eastAsia" w:ascii="宋体" w:hAnsi="宋体" w:cs="宋体"/>
          <w:sz w:val="24"/>
        </w:rPr>
        <w:t>采购人不得泄漏竞争性</w:t>
      </w:r>
      <w:r>
        <w:rPr>
          <w:rFonts w:hint="eastAsia" w:ascii="宋体" w:hAnsi="宋体" w:cs="宋体"/>
          <w:color w:val="000000"/>
          <w:kern w:val="0"/>
          <w:sz w:val="24"/>
        </w:rPr>
        <w:t>磋商中应当保密的情况和资料，不得与供应商串通损害国家利益、社会公共利益或者他人合法权益。</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08B458D0">
      <w:pPr>
        <w:tabs>
          <w:tab w:val="left" w:pos="540"/>
        </w:tabs>
        <w:autoSpaceDE w:val="0"/>
        <w:autoSpaceDN w:val="0"/>
        <w:adjustRightInd w:val="0"/>
        <w:spacing w:line="480" w:lineRule="exact"/>
        <w:ind w:firstLine="480" w:firstLineChars="200"/>
        <w:outlineLvl w:val="1"/>
        <w:rPr>
          <w:rFonts w:ascii="宋体" w:hAnsi="宋体" w:cs="宋体"/>
          <w:kern w:val="0"/>
          <w:sz w:val="24"/>
        </w:rPr>
      </w:pPr>
      <w:bookmarkStart w:id="181" w:name="_Toc269470340"/>
      <w:bookmarkStart w:id="182" w:name="_Toc22717752"/>
      <w:bookmarkStart w:id="183" w:name="_Toc488"/>
      <w:bookmarkStart w:id="184" w:name="_Toc530142112"/>
      <w:bookmarkStart w:id="185" w:name="_Toc50397317"/>
      <w:bookmarkStart w:id="186" w:name="_Toc270604839"/>
      <w:bookmarkStart w:id="187" w:name="_Toc521486764"/>
      <w:bookmarkStart w:id="188" w:name="_Toc521488920"/>
      <w:bookmarkStart w:id="189" w:name="_Toc521488520"/>
      <w:bookmarkStart w:id="190" w:name="_Toc277149400"/>
      <w:bookmarkStart w:id="191" w:name="_Toc2963"/>
      <w:bookmarkStart w:id="192" w:name="_Toc526682545"/>
      <w:bookmarkStart w:id="193" w:name="_Toc270604612"/>
      <w:bookmarkStart w:id="194" w:name="_Toc428276607"/>
      <w:bookmarkStart w:id="195" w:name="_Toc25647"/>
      <w:bookmarkStart w:id="196" w:name="_Toc528250058"/>
      <w:bookmarkStart w:id="197" w:name="_Toc5793"/>
      <w:bookmarkStart w:id="198" w:name="_Toc511897565"/>
      <w:bookmarkStart w:id="199" w:name="_Toc514402141"/>
      <w:bookmarkStart w:id="200" w:name="_Toc511663248"/>
      <w:bookmarkStart w:id="201" w:name="_Toc21437475"/>
      <w:bookmarkStart w:id="202" w:name="_Toc463011514"/>
      <w:bookmarkStart w:id="203" w:name="_Toc455678275"/>
      <w:bookmarkStart w:id="204" w:name="_Toc50397857"/>
      <w:bookmarkStart w:id="205" w:name="_Toc3096"/>
      <w:bookmarkStart w:id="206" w:name="_Toc127797715"/>
      <w:bookmarkStart w:id="207" w:name="_Toc515378708"/>
      <w:bookmarkStart w:id="208" w:name="_Toc3206132"/>
      <w:bookmarkStart w:id="209" w:name="_Toc23986"/>
      <w:bookmarkStart w:id="210" w:name="_Toc28577"/>
      <w:bookmarkStart w:id="211" w:name="_Toc21834"/>
      <w:bookmarkStart w:id="212" w:name="_Toc149121943"/>
      <w:bookmarkStart w:id="213" w:name="_Toc180580776"/>
      <w:bookmarkStart w:id="214" w:name="_Toc454788294"/>
      <w:bookmarkStart w:id="215" w:name="_Toc31355"/>
      <w:bookmarkStart w:id="216" w:name="_Toc521488760"/>
      <w:bookmarkStart w:id="217" w:name="_Toc4248304"/>
      <w:r>
        <w:rPr>
          <w:rFonts w:hint="eastAsia" w:ascii="宋体" w:hAnsi="宋体" w:cs="宋体"/>
          <w:kern w:val="0"/>
          <w:sz w:val="24"/>
        </w:rPr>
        <w:t>16.2、对供应商的纪律要求</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5ED0BBD5">
      <w:pPr>
        <w:autoSpaceDE w:val="0"/>
        <w:autoSpaceDN w:val="0"/>
        <w:adjustRightInd w:val="0"/>
        <w:spacing w:line="480" w:lineRule="exact"/>
        <w:ind w:firstLine="480" w:firstLineChars="200"/>
        <w:jc w:val="left"/>
        <w:rPr>
          <w:rFonts w:ascii="宋体" w:hAnsi="宋体" w:cs="宋体"/>
          <w:kern w:val="0"/>
          <w:sz w:val="24"/>
        </w:rPr>
      </w:pPr>
      <w:r>
        <w:rPr>
          <w:rFonts w:hint="eastAsia" w:ascii="宋体" w:hAnsi="宋体" w:cs="宋体"/>
          <w:kern w:val="0"/>
          <w:sz w:val="24"/>
        </w:rPr>
        <w:t>供应商不得相互串通或者与采购人串通，不得向采购人或者磋商小组成员行贿谋取</w:t>
      </w:r>
      <w:r>
        <w:rPr>
          <w:rFonts w:hint="eastAsia" w:ascii="宋体" w:hAnsi="宋体" w:cs="宋体"/>
          <w:sz w:val="24"/>
        </w:rPr>
        <w:t>成交</w:t>
      </w:r>
      <w:r>
        <w:rPr>
          <w:rFonts w:hint="eastAsia" w:ascii="宋体" w:hAnsi="宋体" w:cs="宋体"/>
          <w:kern w:val="0"/>
          <w:sz w:val="24"/>
        </w:rPr>
        <w:t>，不得以他人名义磋商或者以其他方式弄虚作假骗取</w:t>
      </w:r>
      <w:r>
        <w:rPr>
          <w:rFonts w:hint="eastAsia" w:ascii="宋体" w:hAnsi="宋体" w:cs="宋体"/>
          <w:sz w:val="24"/>
        </w:rPr>
        <w:t>成交</w:t>
      </w:r>
      <w:r>
        <w:rPr>
          <w:rFonts w:hint="eastAsia" w:ascii="宋体" w:hAnsi="宋体" w:cs="宋体"/>
          <w:kern w:val="0"/>
          <w:sz w:val="24"/>
        </w:rPr>
        <w:t>；供应商不得以任何方式干扰、影响磋商工作。</w:t>
      </w:r>
    </w:p>
    <w:p w14:paraId="72D41D63">
      <w:pPr>
        <w:tabs>
          <w:tab w:val="left" w:pos="540"/>
        </w:tabs>
        <w:autoSpaceDE w:val="0"/>
        <w:autoSpaceDN w:val="0"/>
        <w:adjustRightInd w:val="0"/>
        <w:spacing w:line="480" w:lineRule="exact"/>
        <w:ind w:firstLine="480" w:firstLineChars="200"/>
        <w:outlineLvl w:val="1"/>
        <w:rPr>
          <w:rFonts w:ascii="宋体" w:hAnsi="宋体" w:cs="宋体"/>
          <w:kern w:val="0"/>
          <w:sz w:val="24"/>
        </w:rPr>
      </w:pPr>
      <w:bookmarkStart w:id="218" w:name="_Toc12234"/>
      <w:bookmarkStart w:id="219" w:name="_Toc521488761"/>
      <w:bookmarkStart w:id="220" w:name="_Toc277149401"/>
      <w:bookmarkStart w:id="221" w:name="_Toc3206133"/>
      <w:bookmarkStart w:id="222" w:name="_Toc8673"/>
      <w:bookmarkStart w:id="223" w:name="_Toc521486765"/>
      <w:bookmarkStart w:id="224" w:name="_Toc515378709"/>
      <w:bookmarkStart w:id="225" w:name="_Toc270604840"/>
      <w:bookmarkStart w:id="226" w:name="_Toc514402142"/>
      <w:bookmarkStart w:id="227" w:name="_Toc22717753"/>
      <w:bookmarkStart w:id="228" w:name="_Toc127797716"/>
      <w:bookmarkStart w:id="229" w:name="_Toc428276608"/>
      <w:bookmarkStart w:id="230" w:name="_Toc1306"/>
      <w:bookmarkStart w:id="231" w:name="_Toc17302"/>
      <w:bookmarkStart w:id="232" w:name="_Toc4248305"/>
      <w:bookmarkStart w:id="233" w:name="_Toc526682546"/>
      <w:bookmarkStart w:id="234" w:name="_Toc454788295"/>
      <w:bookmarkStart w:id="235" w:name="_Toc50397858"/>
      <w:bookmarkStart w:id="236" w:name="_Toc455678276"/>
      <w:bookmarkStart w:id="237" w:name="_Toc32745"/>
      <w:bookmarkStart w:id="238" w:name="_Toc511897566"/>
      <w:bookmarkStart w:id="239" w:name="_Toc50397318"/>
      <w:bookmarkStart w:id="240" w:name="_Toc511663249"/>
      <w:bookmarkStart w:id="241" w:name="_Toc21437476"/>
      <w:bookmarkStart w:id="242" w:name="_Toc21252"/>
      <w:bookmarkStart w:id="243" w:name="_Toc530142113"/>
      <w:bookmarkStart w:id="244" w:name="_Toc463011515"/>
      <w:bookmarkStart w:id="245" w:name="_Toc23023"/>
      <w:bookmarkStart w:id="246" w:name="_Toc270604613"/>
      <w:bookmarkStart w:id="247" w:name="_Toc149121944"/>
      <w:bookmarkStart w:id="248" w:name="_Toc9361"/>
      <w:bookmarkStart w:id="249" w:name="_Toc269470341"/>
      <w:bookmarkStart w:id="250" w:name="_Toc12854"/>
      <w:bookmarkStart w:id="251" w:name="_Toc521488921"/>
      <w:bookmarkStart w:id="252" w:name="_Toc521488521"/>
      <w:bookmarkStart w:id="253" w:name="_Toc528250059"/>
      <w:bookmarkStart w:id="254" w:name="_Toc180580777"/>
      <w:r>
        <w:rPr>
          <w:rFonts w:hint="eastAsia" w:ascii="宋体" w:hAnsi="宋体" w:cs="宋体"/>
          <w:kern w:val="0"/>
          <w:sz w:val="24"/>
        </w:rPr>
        <w:t>16.3、对磋商小组成员的纪律要求</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4A376CB0">
      <w:pPr>
        <w:autoSpaceDE w:val="0"/>
        <w:autoSpaceDN w:val="0"/>
        <w:adjustRightInd w:val="0"/>
        <w:spacing w:line="480" w:lineRule="exact"/>
        <w:ind w:firstLine="480" w:firstLineChars="200"/>
        <w:jc w:val="left"/>
        <w:rPr>
          <w:rFonts w:ascii="宋体" w:hAnsi="宋体" w:cs="宋体"/>
          <w:kern w:val="0"/>
          <w:sz w:val="24"/>
        </w:rPr>
      </w:pPr>
      <w:r>
        <w:rPr>
          <w:rFonts w:hint="eastAsia" w:ascii="宋体" w:hAnsi="宋体" w:cs="宋体"/>
          <w:kern w:val="0"/>
          <w:sz w:val="24"/>
        </w:rPr>
        <w:t>磋商小组成员不得收受他人的财物或者其他好处，不得向他人透漏对响应文件的评审和比较、</w:t>
      </w:r>
      <w:r>
        <w:rPr>
          <w:rFonts w:hint="eastAsia" w:ascii="宋体" w:hAnsi="宋体" w:cs="宋体"/>
          <w:sz w:val="24"/>
        </w:rPr>
        <w:t>成交</w:t>
      </w:r>
      <w:r>
        <w:rPr>
          <w:rFonts w:hint="eastAsia" w:ascii="宋体" w:hAnsi="宋体" w:cs="宋体"/>
          <w:kern w:val="0"/>
          <w:sz w:val="24"/>
        </w:rPr>
        <w:t>候选人的推荐情况以及与磋商有关的其他情况。在磋商活动中，磋商小组成员不得擅离职守，影响磋商程序正常进行。</w:t>
      </w:r>
    </w:p>
    <w:p w14:paraId="4EA42514">
      <w:pPr>
        <w:tabs>
          <w:tab w:val="left" w:pos="540"/>
        </w:tabs>
        <w:autoSpaceDE w:val="0"/>
        <w:autoSpaceDN w:val="0"/>
        <w:adjustRightInd w:val="0"/>
        <w:spacing w:line="480" w:lineRule="exact"/>
        <w:ind w:firstLine="480" w:firstLineChars="200"/>
        <w:outlineLvl w:val="1"/>
        <w:rPr>
          <w:rFonts w:ascii="宋体" w:hAnsi="宋体" w:cs="宋体"/>
          <w:kern w:val="0"/>
          <w:sz w:val="24"/>
        </w:rPr>
      </w:pPr>
      <w:bookmarkStart w:id="255" w:name="_Toc29855"/>
      <w:bookmarkStart w:id="256" w:name="_Toc428276609"/>
      <w:bookmarkStart w:id="257" w:name="_Toc521488762"/>
      <w:bookmarkStart w:id="258" w:name="_Toc521488522"/>
      <w:bookmarkStart w:id="259" w:name="_Toc50397859"/>
      <w:bookmarkStart w:id="260" w:name="_Toc127797717"/>
      <w:bookmarkStart w:id="261" w:name="_Toc4248306"/>
      <w:bookmarkStart w:id="262" w:name="_Toc277149402"/>
      <w:bookmarkStart w:id="263" w:name="_Toc511663250"/>
      <w:bookmarkStart w:id="264" w:name="_Toc26852"/>
      <w:bookmarkStart w:id="265" w:name="_Toc515378710"/>
      <w:bookmarkStart w:id="266" w:name="_Toc455678277"/>
      <w:bookmarkStart w:id="267" w:name="_Toc514402143"/>
      <w:bookmarkStart w:id="268" w:name="_Toc23391"/>
      <w:bookmarkStart w:id="269" w:name="_Toc6842"/>
      <w:bookmarkStart w:id="270" w:name="_Toc22717754"/>
      <w:bookmarkStart w:id="271" w:name="_Toc454788296"/>
      <w:bookmarkStart w:id="272" w:name="_Toc521488922"/>
      <w:bookmarkStart w:id="273" w:name="_Toc528250060"/>
      <w:bookmarkStart w:id="274" w:name="_Toc50397319"/>
      <w:bookmarkStart w:id="275" w:name="_Toc3206134"/>
      <w:bookmarkStart w:id="276" w:name="_Toc270604841"/>
      <w:bookmarkStart w:id="277" w:name="_Toc149121945"/>
      <w:bookmarkStart w:id="278" w:name="_Toc521486766"/>
      <w:bookmarkStart w:id="279" w:name="_Toc14108"/>
      <w:bookmarkStart w:id="280" w:name="_Toc180580778"/>
      <w:bookmarkStart w:id="281" w:name="_Toc269470342"/>
      <w:bookmarkStart w:id="282" w:name="_Toc5597"/>
      <w:bookmarkStart w:id="283" w:name="_Toc270604614"/>
      <w:bookmarkStart w:id="284" w:name="_Toc8785"/>
      <w:bookmarkStart w:id="285" w:name="_Toc11428"/>
      <w:bookmarkStart w:id="286" w:name="_Toc526682547"/>
      <w:bookmarkStart w:id="287" w:name="_Toc511897567"/>
      <w:bookmarkStart w:id="288" w:name="_Toc13268"/>
      <w:bookmarkStart w:id="289" w:name="_Toc21437477"/>
      <w:bookmarkStart w:id="290" w:name="_Toc463011516"/>
      <w:bookmarkStart w:id="291" w:name="_Toc530142114"/>
      <w:r>
        <w:rPr>
          <w:rFonts w:hint="eastAsia" w:ascii="宋体" w:hAnsi="宋体" w:cs="宋体"/>
          <w:kern w:val="0"/>
          <w:sz w:val="24"/>
        </w:rPr>
        <w:t>16.4、对与磋商活动有关的工作人员的纪律要求</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3B4F00A7">
      <w:pPr>
        <w:autoSpaceDE w:val="0"/>
        <w:autoSpaceDN w:val="0"/>
        <w:adjustRightInd w:val="0"/>
        <w:spacing w:line="480" w:lineRule="exact"/>
        <w:ind w:firstLine="480" w:firstLineChars="200"/>
        <w:jc w:val="left"/>
        <w:rPr>
          <w:rFonts w:ascii="宋体" w:hAnsi="宋体" w:cs="宋体"/>
          <w:kern w:val="0"/>
          <w:sz w:val="24"/>
        </w:rPr>
      </w:pPr>
      <w:r>
        <w:rPr>
          <w:rFonts w:hint="eastAsia" w:ascii="宋体" w:hAnsi="宋体" w:cs="宋体"/>
          <w:kern w:val="0"/>
          <w:sz w:val="24"/>
        </w:rPr>
        <w:t>与磋商活动有关的工作人员不得收受他人的财物或者其他好处，不得向他人透漏对响应文件的评审和比较、</w:t>
      </w:r>
      <w:r>
        <w:rPr>
          <w:rFonts w:hint="eastAsia" w:ascii="宋体" w:hAnsi="宋体" w:cs="宋体"/>
          <w:sz w:val="24"/>
        </w:rPr>
        <w:t>成交</w:t>
      </w:r>
      <w:r>
        <w:rPr>
          <w:rFonts w:hint="eastAsia" w:ascii="宋体" w:hAnsi="宋体" w:cs="宋体"/>
          <w:kern w:val="0"/>
          <w:sz w:val="24"/>
        </w:rPr>
        <w:t>候选人的推荐情况以及与磋商有关的其他情况。在磋商活动中，与磋商活动有关的工作人员不得擅离职守，影响磋商程序正常进行。</w:t>
      </w:r>
    </w:p>
    <w:p w14:paraId="4CDC0D44">
      <w:pPr>
        <w:autoSpaceDE w:val="0"/>
        <w:autoSpaceDN w:val="0"/>
        <w:adjustRightInd w:val="0"/>
        <w:spacing w:line="480" w:lineRule="exact"/>
        <w:ind w:firstLine="480" w:firstLineChars="200"/>
        <w:jc w:val="left"/>
        <w:rPr>
          <w:rFonts w:ascii="宋体" w:hAnsi="宋体" w:cs="宋体"/>
          <w:kern w:val="0"/>
          <w:sz w:val="24"/>
        </w:rPr>
      </w:pPr>
      <w:bookmarkStart w:id="292" w:name="_Toc511663251"/>
      <w:bookmarkStart w:id="293" w:name="_Toc270604842"/>
      <w:bookmarkStart w:id="294" w:name="_Toc29575"/>
      <w:bookmarkStart w:id="295" w:name="_Toc428276610"/>
      <w:bookmarkStart w:id="296" w:name="_Toc270604615"/>
      <w:bookmarkStart w:id="297" w:name="_Toc269470343"/>
      <w:bookmarkStart w:id="298" w:name="_Toc521488923"/>
      <w:bookmarkStart w:id="299" w:name="_Toc12322"/>
      <w:bookmarkStart w:id="300" w:name="_Toc277149403"/>
      <w:bookmarkStart w:id="301" w:name="_Toc454788297"/>
      <w:bookmarkStart w:id="302" w:name="_Toc521488523"/>
      <w:bookmarkStart w:id="303" w:name="_Toc511897568"/>
      <w:bookmarkStart w:id="304" w:name="_Toc20395"/>
      <w:bookmarkStart w:id="305" w:name="_Toc25427"/>
      <w:bookmarkStart w:id="306" w:name="_Toc463011517"/>
      <w:bookmarkStart w:id="307" w:name="_Toc455678278"/>
      <w:bookmarkStart w:id="308" w:name="_Toc528250061"/>
      <w:bookmarkStart w:id="309" w:name="_Toc521488763"/>
      <w:bookmarkStart w:id="310" w:name="_Toc514402144"/>
      <w:bookmarkStart w:id="311" w:name="_Toc2654"/>
      <w:bookmarkStart w:id="312" w:name="_Toc521486767"/>
      <w:bookmarkStart w:id="313" w:name="_Toc515378711"/>
      <w:bookmarkStart w:id="314" w:name="_Toc526682548"/>
      <w:r>
        <w:rPr>
          <w:rFonts w:hint="eastAsia" w:ascii="宋体" w:hAnsi="宋体" w:cs="宋体"/>
          <w:kern w:val="0"/>
          <w:sz w:val="24"/>
        </w:rPr>
        <w:t>16.5、投诉</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191D3AFB">
      <w:pPr>
        <w:tabs>
          <w:tab w:val="left" w:pos="540"/>
        </w:tabs>
        <w:autoSpaceDE w:val="0"/>
        <w:autoSpaceDN w:val="0"/>
        <w:adjustRightInd w:val="0"/>
        <w:spacing w:line="480" w:lineRule="exact"/>
        <w:ind w:firstLine="480" w:firstLineChars="200"/>
        <w:outlineLvl w:val="1"/>
        <w:rPr>
          <w:rFonts w:ascii="宋体" w:hAnsi="宋体" w:cs="宋体"/>
          <w:sz w:val="24"/>
        </w:rPr>
      </w:pPr>
      <w:bookmarkStart w:id="315" w:name="_Toc4248307"/>
      <w:bookmarkStart w:id="316" w:name="_Toc3206135"/>
      <w:bookmarkStart w:id="317" w:name="_Toc149121946"/>
      <w:bookmarkStart w:id="318" w:name="_Toc22717755"/>
      <w:bookmarkStart w:id="319" w:name="_Toc50397320"/>
      <w:bookmarkStart w:id="320" w:name="_Toc14811"/>
      <w:bookmarkStart w:id="321" w:name="_Toc127797718"/>
      <w:bookmarkStart w:id="322" w:name="_Toc26104"/>
      <w:bookmarkStart w:id="323" w:name="_Toc180580779"/>
      <w:bookmarkStart w:id="324" w:name="_Toc628"/>
      <w:bookmarkStart w:id="325" w:name="_Toc50397860"/>
      <w:bookmarkStart w:id="326" w:name="_Toc13718"/>
      <w:bookmarkStart w:id="327" w:name="_Toc21437478"/>
      <w:r>
        <w:rPr>
          <w:rFonts w:hint="eastAsia" w:ascii="宋体" w:hAnsi="宋体" w:cs="宋体"/>
          <w:sz w:val="24"/>
        </w:rPr>
        <w:t>供应商和其他利害关系人认为本次竞争性磋商违反法律、法规和规章规定的，有权向有关行政监督部门投诉。</w:t>
      </w:r>
      <w:bookmarkEnd w:id="315"/>
      <w:bookmarkEnd w:id="316"/>
      <w:bookmarkEnd w:id="317"/>
      <w:bookmarkEnd w:id="318"/>
      <w:bookmarkEnd w:id="319"/>
      <w:bookmarkEnd w:id="320"/>
      <w:bookmarkEnd w:id="321"/>
      <w:bookmarkEnd w:id="322"/>
      <w:bookmarkEnd w:id="323"/>
      <w:bookmarkEnd w:id="324"/>
      <w:bookmarkEnd w:id="325"/>
      <w:bookmarkEnd w:id="326"/>
      <w:bookmarkEnd w:id="327"/>
    </w:p>
    <w:p w14:paraId="2FC16702">
      <w:pPr>
        <w:autoSpaceDE w:val="0"/>
        <w:autoSpaceDN w:val="0"/>
        <w:adjustRightInd w:val="0"/>
        <w:spacing w:line="480" w:lineRule="exact"/>
        <w:ind w:firstLine="482" w:firstLineChars="200"/>
        <w:jc w:val="left"/>
        <w:outlineLvl w:val="1"/>
        <w:rPr>
          <w:rFonts w:ascii="宋体" w:hAnsi="宋体" w:cs="宋体"/>
          <w:b/>
          <w:sz w:val="24"/>
        </w:rPr>
      </w:pPr>
      <w:bookmarkStart w:id="328" w:name="_Toc15944_WPSOffice_Level2"/>
      <w:bookmarkStart w:id="329" w:name="_Toc528250062"/>
      <w:bookmarkStart w:id="330" w:name="_Toc521488924"/>
      <w:bookmarkStart w:id="331" w:name="_Toc428351670"/>
      <w:bookmarkStart w:id="332" w:name="_Toc28235"/>
      <w:bookmarkStart w:id="333" w:name="_Toc521488764"/>
      <w:bookmarkStart w:id="334" w:name="_Toc530142115"/>
      <w:bookmarkStart w:id="335" w:name="_Toc521486768"/>
      <w:bookmarkStart w:id="336" w:name="_Toc32469"/>
      <w:bookmarkStart w:id="337" w:name="_Toc22717756"/>
      <w:bookmarkStart w:id="338" w:name="_Toc18997_WPSOffice_Level2"/>
      <w:bookmarkStart w:id="339" w:name="_Toc454788050"/>
      <w:bookmarkStart w:id="340" w:name="_Toc521488524"/>
      <w:bookmarkStart w:id="341" w:name="_Toc12532"/>
      <w:bookmarkStart w:id="342" w:name="_Toc8960"/>
      <w:bookmarkStart w:id="343" w:name="_Toc149121947"/>
      <w:bookmarkStart w:id="344" w:name="_Toc24230"/>
      <w:bookmarkStart w:id="345" w:name="_Toc127797719"/>
      <w:r>
        <w:rPr>
          <w:rFonts w:hint="eastAsia" w:ascii="宋体" w:hAnsi="宋体" w:cs="宋体"/>
          <w:b/>
          <w:sz w:val="24"/>
        </w:rPr>
        <w:t>17、</w:t>
      </w:r>
      <w:bookmarkEnd w:id="328"/>
      <w:bookmarkEnd w:id="329"/>
      <w:bookmarkEnd w:id="330"/>
      <w:bookmarkEnd w:id="331"/>
      <w:bookmarkEnd w:id="332"/>
      <w:bookmarkEnd w:id="333"/>
      <w:bookmarkEnd w:id="334"/>
      <w:bookmarkEnd w:id="335"/>
      <w:bookmarkEnd w:id="336"/>
      <w:bookmarkEnd w:id="337"/>
      <w:bookmarkEnd w:id="338"/>
      <w:bookmarkEnd w:id="339"/>
      <w:bookmarkEnd w:id="340"/>
      <w:bookmarkStart w:id="346" w:name="_Toc521488772"/>
      <w:bookmarkStart w:id="347" w:name="_Toc22717764"/>
      <w:bookmarkStart w:id="348" w:name="_Toc521488532"/>
      <w:bookmarkStart w:id="349" w:name="_Toc521486776"/>
      <w:bookmarkStart w:id="350" w:name="_Toc16552_WPSOffice_Level2"/>
      <w:bookmarkStart w:id="351" w:name="_Toc3774"/>
      <w:bookmarkStart w:id="352" w:name="_Toc528250070"/>
      <w:bookmarkStart w:id="353" w:name="_Toc530142122"/>
      <w:bookmarkStart w:id="354" w:name="_Toc30905_WPSOffice_Level2"/>
      <w:bookmarkStart w:id="355" w:name="_Toc521488932"/>
      <w:bookmarkStart w:id="356" w:name="_Toc4098"/>
      <w:r>
        <w:rPr>
          <w:rFonts w:hint="eastAsia" w:ascii="宋体" w:hAnsi="宋体" w:cs="宋体"/>
          <w:b/>
          <w:sz w:val="24"/>
        </w:rPr>
        <w:t>质疑程序及处理</w:t>
      </w:r>
      <w:bookmarkEnd w:id="341"/>
      <w:bookmarkEnd w:id="342"/>
      <w:bookmarkEnd w:id="343"/>
      <w:bookmarkEnd w:id="344"/>
      <w:bookmarkEnd w:id="345"/>
      <w:r>
        <w:rPr>
          <w:rFonts w:hint="eastAsia" w:ascii="宋体" w:hAnsi="宋体" w:cs="宋体"/>
          <w:b/>
          <w:sz w:val="24"/>
        </w:rPr>
        <w:t xml:space="preserve"> </w:t>
      </w:r>
    </w:p>
    <w:p w14:paraId="7F8568BE">
      <w:pPr>
        <w:tabs>
          <w:tab w:val="left" w:pos="540"/>
        </w:tabs>
        <w:autoSpaceDE w:val="0"/>
        <w:autoSpaceDN w:val="0"/>
        <w:adjustRightInd w:val="0"/>
        <w:spacing w:line="480" w:lineRule="exact"/>
        <w:ind w:firstLine="480" w:firstLineChars="200"/>
        <w:outlineLvl w:val="1"/>
        <w:rPr>
          <w:rFonts w:ascii="宋体" w:hAnsi="宋体" w:cs="宋体"/>
          <w:sz w:val="24"/>
        </w:rPr>
      </w:pPr>
      <w:bookmarkStart w:id="357" w:name="_Toc149121948"/>
      <w:bookmarkStart w:id="358" w:name="_Toc8571"/>
      <w:bookmarkStart w:id="359" w:name="_Toc127797720"/>
      <w:bookmarkStart w:id="360" w:name="_Toc17187"/>
      <w:bookmarkStart w:id="361" w:name="_Toc7523"/>
      <w:bookmarkStart w:id="362" w:name="_Toc13625"/>
      <w:bookmarkStart w:id="363" w:name="_Toc50397321"/>
      <w:bookmarkStart w:id="364" w:name="_Toc180580781"/>
      <w:bookmarkStart w:id="365" w:name="_Toc50397861"/>
      <w:r>
        <w:rPr>
          <w:rFonts w:hint="eastAsia" w:ascii="宋体" w:hAnsi="宋体" w:cs="宋体"/>
          <w:sz w:val="24"/>
        </w:rPr>
        <w:t>17.1、若供应商认为其磋商未获公平评审或磋商文件、采购过程和成交结果使自己的合法权益受到损害，可以在知道或者应知其权益受到损害之日起7个工作日内，将质疑书原件送达采购人或采购代理机构。提出质疑期限的计算，依照下列规定办理：</w:t>
      </w:r>
      <w:bookmarkEnd w:id="357"/>
      <w:bookmarkEnd w:id="358"/>
      <w:bookmarkEnd w:id="359"/>
      <w:bookmarkEnd w:id="360"/>
      <w:bookmarkEnd w:id="361"/>
      <w:bookmarkEnd w:id="362"/>
      <w:bookmarkEnd w:id="363"/>
      <w:bookmarkEnd w:id="364"/>
      <w:bookmarkEnd w:id="365"/>
      <w:r>
        <w:rPr>
          <w:rFonts w:hint="eastAsia" w:ascii="宋体" w:hAnsi="宋体" w:cs="宋体"/>
          <w:sz w:val="24"/>
        </w:rPr>
        <w:t xml:space="preserve"> </w:t>
      </w:r>
    </w:p>
    <w:p w14:paraId="21CB497F">
      <w:pPr>
        <w:spacing w:line="480" w:lineRule="exact"/>
        <w:ind w:firstLine="480" w:firstLineChars="200"/>
        <w:rPr>
          <w:rFonts w:ascii="宋体" w:hAnsi="宋体" w:cs="宋体"/>
          <w:sz w:val="24"/>
        </w:rPr>
      </w:pPr>
      <w:r>
        <w:rPr>
          <w:rFonts w:hint="eastAsia" w:ascii="宋体" w:hAnsi="宋体" w:cs="宋体"/>
          <w:sz w:val="24"/>
        </w:rPr>
        <w:t>（一）对可以质疑的磋商文件提出质疑的，为收到磋商文件之日或者磋商文件公告期限届满之日；</w:t>
      </w:r>
    </w:p>
    <w:p w14:paraId="67FE4FA9">
      <w:pPr>
        <w:autoSpaceDE w:val="0"/>
        <w:autoSpaceDN w:val="0"/>
        <w:adjustRightInd w:val="0"/>
        <w:spacing w:line="480" w:lineRule="exact"/>
        <w:ind w:firstLine="480" w:firstLineChars="200"/>
        <w:jc w:val="left"/>
        <w:rPr>
          <w:rFonts w:ascii="宋体" w:hAnsi="宋体" w:cs="宋体"/>
          <w:sz w:val="24"/>
        </w:rPr>
      </w:pPr>
      <w:r>
        <w:rPr>
          <w:rFonts w:hint="eastAsia" w:ascii="宋体" w:hAnsi="宋体" w:cs="宋体"/>
          <w:sz w:val="24"/>
        </w:rPr>
        <w:t xml:space="preserve">（二）对采购过程提出质疑的，为各采购程序环节结束之日； </w:t>
      </w:r>
    </w:p>
    <w:p w14:paraId="6391F877">
      <w:pPr>
        <w:autoSpaceDE w:val="0"/>
        <w:autoSpaceDN w:val="0"/>
        <w:adjustRightInd w:val="0"/>
        <w:spacing w:line="480" w:lineRule="exact"/>
        <w:ind w:firstLine="480" w:firstLineChars="200"/>
        <w:jc w:val="left"/>
        <w:rPr>
          <w:rFonts w:ascii="宋体" w:hAnsi="宋体" w:cs="宋体"/>
          <w:sz w:val="24"/>
        </w:rPr>
      </w:pPr>
      <w:r>
        <w:rPr>
          <w:rFonts w:hint="eastAsia" w:ascii="宋体" w:hAnsi="宋体" w:cs="宋体"/>
          <w:sz w:val="24"/>
        </w:rPr>
        <w:t xml:space="preserve">（三）对成交结果提出质疑的，为成交结果公告期限届满之日。 </w:t>
      </w:r>
    </w:p>
    <w:p w14:paraId="7D3935EE">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17.2、质疑书应当包括下列主要内容，并按照“谁主张、谁举证”的原则，附上相关证明材料。否则，采购人不予受理： </w:t>
      </w:r>
    </w:p>
    <w:p w14:paraId="47719515">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（一）质疑供应商全称、地址、法定代表人、联系人及联系电话、邮政编码等； </w:t>
      </w:r>
    </w:p>
    <w:p w14:paraId="23C428AC">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（二）被质疑采购项目的名称、编号； </w:t>
      </w:r>
    </w:p>
    <w:p w14:paraId="583610EF">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（三）质疑的具体事项、明确的请求和主张；</w:t>
      </w:r>
    </w:p>
    <w:p w14:paraId="0F3827B7">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（四）质疑所依据的法律依据（具体条款）、具体事实和具体理由。质疑书依据理由部分只有主观陈述、推理、猜测等，而没有提供客观事实依据、法律依据的； </w:t>
      </w:r>
    </w:p>
    <w:p w14:paraId="00FAB371">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五）质疑事项按照有关法律、法规和规章规定及竞争性磋商文件要求属于保密或者处于保密阶段的事项，磋商响应供应商必须提供正常的信息来源或有效证据，磋商响应供应商不能提供或者拒绝提供合法的信息来源或有效证据的； </w:t>
      </w:r>
    </w:p>
    <w:p w14:paraId="59E0103C">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（六）充足有效的相关证明材料；如果涉及到产品功能或技术指标的，应出具相关制造商的证明文件； </w:t>
      </w:r>
    </w:p>
    <w:p w14:paraId="1BDBF683">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（七）质疑材料中有外文资料的，应一并附上中文译本，并以中文译本为准。 </w:t>
      </w:r>
    </w:p>
    <w:p w14:paraId="007D6FC0">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（八）提起质疑的日期</w:t>
      </w:r>
    </w:p>
    <w:p w14:paraId="60BDD286">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17.3、供应商质疑实行实名制并须在质疑书上署名。供应商不得进行虚假、恶意质疑，不得以质疑为手段获取不当得利、实现非法目的。供应商为自然人的，应当由本人签字；供应商为法人的，应当由法定代表人签字或盖章并加盖公章；供应商为其他组织的，应当由主要负责人签字或盖章并加盖公章。供应商其他工作人员或代理人员在质疑书上的署名不具有法律效力。 </w:t>
      </w:r>
    </w:p>
    <w:p w14:paraId="0A72ADAA">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17.4、供应商委托代理人办理质疑事宜，应当提交授权委托书，并载明委托代理的具体权限和事项。授权委托书应当由委托人签字并加盖单位公章。 </w:t>
      </w:r>
    </w:p>
    <w:p w14:paraId="4D3BDBD6">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17.5、提交质疑书时，供应商应同时提交本人身份证，委托他人代理质疑事宜的，还应提交被委托人的身份证。供应商是法人的，应一并提交法人营业执照和法定代表人身份证；供应商是其他组织的，应一并提交其他组织经营许可证和主要负责人身份证。供应商应当提供上述证明材料的原件及复印件，原件经采购人核对无误后返还。</w:t>
      </w:r>
    </w:p>
    <w:p w14:paraId="21C9F089">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 xml:space="preserve">17.6、质疑书提交方式。供应商或者其委托代理人应当当面提交质疑书及相关证明材料。供应商以电子邮件、传真等其他方式提交质疑书及相关证明材料的，或者不是供应商或者其委托代理人提交质疑书及相关证明材料的，采购人或采购机构可以拒收。 </w:t>
      </w:r>
    </w:p>
    <w:p w14:paraId="4E61EB1C">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17.7、供应商不得虚假质疑和恶意质疑，并对质疑内容的真实性承担责任。供应商或者其他利害关系人通过捏造事实、伪造证明材料等方式提出异议或投诉，阻碍磋商活动正常进行的，属于严重不良行为，采购人将提请财政部门将其列入不良行为记录名单，并依法予以处罚。</w:t>
      </w:r>
    </w:p>
    <w:p w14:paraId="3CCDD531">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17.8、采购人将在收到符合上述条件的书面质疑后7个工作日内审查质疑事项，作出答复或相关处理决定，并以书面形式通知质疑供应商和其他有关供应商，但答复的内容不涉及商业秘密。若质疑涉及磋商制度或程序，将被转交政府采购的管理部门审查。采购人遵循“谁过错谁负担”的原则，有过错的一方承担调查论证费用。</w:t>
      </w:r>
    </w:p>
    <w:p w14:paraId="39201590">
      <w:pPr>
        <w:autoSpaceDE w:val="0"/>
        <w:autoSpaceDN w:val="0"/>
        <w:adjustRightInd w:val="0"/>
        <w:spacing w:line="48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17.9、质疑供应商对采购人的答复不满意以及采购人未在规定的时间内做出答复的，可以在答复期满后15个工作日内向财政部门投诉。</w:t>
      </w:r>
    </w:p>
    <w:p w14:paraId="03F1C501">
      <w:pPr>
        <w:tabs>
          <w:tab w:val="left" w:pos="540"/>
        </w:tabs>
        <w:autoSpaceDE w:val="0"/>
        <w:autoSpaceDN w:val="0"/>
        <w:adjustRightInd w:val="0"/>
        <w:spacing w:line="480" w:lineRule="exact"/>
        <w:ind w:firstLine="482" w:firstLineChars="200"/>
        <w:outlineLvl w:val="1"/>
        <w:rPr>
          <w:rFonts w:ascii="宋体" w:hAnsi="宋体" w:cs="宋体"/>
          <w:b/>
          <w:sz w:val="24"/>
        </w:rPr>
      </w:pPr>
      <w:bookmarkStart w:id="366" w:name="_Toc30400"/>
      <w:bookmarkStart w:id="367" w:name="_Toc21446"/>
      <w:bookmarkStart w:id="368" w:name="_Toc11191"/>
      <w:bookmarkStart w:id="369" w:name="_Toc50397322"/>
      <w:bookmarkStart w:id="370" w:name="_Toc50397862"/>
      <w:bookmarkStart w:id="371" w:name="_Toc149121949"/>
      <w:bookmarkStart w:id="372" w:name="_Toc127797721"/>
      <w:bookmarkStart w:id="373" w:name="_Toc13440"/>
      <w:r>
        <w:rPr>
          <w:rFonts w:hint="eastAsia" w:ascii="宋体" w:hAnsi="宋体" w:cs="宋体"/>
          <w:b/>
          <w:sz w:val="24"/>
        </w:rPr>
        <w:t>18、需要补充的其他内容</w:t>
      </w:r>
      <w:bookmarkEnd w:id="346"/>
      <w:bookmarkEnd w:id="347"/>
      <w:bookmarkEnd w:id="348"/>
      <w:bookmarkEnd w:id="349"/>
      <w:bookmarkEnd w:id="350"/>
      <w:bookmarkEnd w:id="351"/>
      <w:bookmarkEnd w:id="352"/>
      <w:bookmarkEnd w:id="353"/>
      <w:bookmarkEnd w:id="354"/>
      <w:bookmarkEnd w:id="355"/>
      <w:bookmarkEnd w:id="356"/>
      <w:bookmarkEnd w:id="366"/>
      <w:bookmarkEnd w:id="367"/>
      <w:bookmarkEnd w:id="368"/>
      <w:bookmarkEnd w:id="369"/>
      <w:bookmarkEnd w:id="370"/>
      <w:bookmarkEnd w:id="371"/>
      <w:bookmarkEnd w:id="372"/>
      <w:bookmarkEnd w:id="373"/>
    </w:p>
    <w:p w14:paraId="6A7181B7">
      <w:pPr>
        <w:tabs>
          <w:tab w:val="left" w:pos="540"/>
        </w:tabs>
        <w:autoSpaceDE w:val="0"/>
        <w:autoSpaceDN w:val="0"/>
        <w:adjustRightInd w:val="0"/>
        <w:spacing w:line="480" w:lineRule="exact"/>
        <w:ind w:firstLine="480" w:firstLineChars="200"/>
        <w:outlineLvl w:val="1"/>
        <w:rPr>
          <w:rFonts w:ascii="宋体" w:hAnsi="宋体" w:cs="宋体"/>
          <w:sz w:val="24"/>
        </w:rPr>
      </w:pPr>
      <w:bookmarkStart w:id="374" w:name="_Toc180580783"/>
      <w:bookmarkStart w:id="375" w:name="_Toc3206145"/>
      <w:bookmarkStart w:id="376" w:name="_Toc4248317"/>
      <w:bookmarkStart w:id="377" w:name="_Toc22717765"/>
      <w:bookmarkStart w:id="378" w:name="_Toc530142123"/>
      <w:bookmarkStart w:id="379" w:name="_Toc50397863"/>
      <w:bookmarkStart w:id="380" w:name="_Toc29398"/>
      <w:bookmarkStart w:id="381" w:name="_Toc149121950"/>
      <w:bookmarkStart w:id="382" w:name="_Toc4723"/>
      <w:bookmarkStart w:id="383" w:name="_Toc27186"/>
      <w:bookmarkStart w:id="384" w:name="_Toc50397323"/>
      <w:bookmarkStart w:id="385" w:name="_Toc32159"/>
      <w:bookmarkStart w:id="386" w:name="_Toc21437488"/>
      <w:bookmarkStart w:id="387" w:name="_Toc127797722"/>
      <w:r>
        <w:rPr>
          <w:rFonts w:hint="eastAsia" w:ascii="宋体" w:hAnsi="宋体" w:cs="宋体"/>
          <w:sz w:val="24"/>
        </w:rPr>
        <w:t>需要补充的其他内容：见&lt;供应商须知前附表&gt;。</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bookmarkEnd w:id="12"/>
    <w:bookmarkEnd w:id="13"/>
    <w:bookmarkEnd w:id="14"/>
    <w:bookmarkEnd w:id="15"/>
    <w:bookmarkEnd w:id="16"/>
    <w:bookmarkEnd w:id="17"/>
    <w:bookmarkEnd w:id="18"/>
    <w:bookmarkEnd w:id="19"/>
    <w:p w14:paraId="0C0EBACA">
      <w:pPr>
        <w:spacing w:line="360" w:lineRule="auto"/>
        <w:jc w:val="center"/>
        <w:outlineLvl w:val="0"/>
        <w:rPr>
          <w:rFonts w:ascii="宋体" w:hAnsi="宋体"/>
          <w:b/>
          <w:bCs/>
          <w:sz w:val="36"/>
          <w:szCs w:val="36"/>
        </w:rPr>
      </w:pPr>
      <w:bookmarkStart w:id="388" w:name="_Toc508179884"/>
      <w:bookmarkStart w:id="389" w:name="_Toc16520165"/>
      <w:bookmarkStart w:id="390" w:name="_Toc16520677"/>
      <w:bookmarkStart w:id="391" w:name="_Toc31108"/>
    </w:p>
    <w:p w14:paraId="34A6DD0E">
      <w:pPr>
        <w:spacing w:line="360" w:lineRule="auto"/>
        <w:jc w:val="center"/>
        <w:outlineLvl w:val="0"/>
        <w:rPr>
          <w:rFonts w:ascii="宋体" w:hAnsi="宋体"/>
          <w:b/>
          <w:bCs/>
          <w:sz w:val="36"/>
          <w:szCs w:val="36"/>
        </w:rPr>
      </w:pPr>
    </w:p>
    <w:p w14:paraId="6FC3EF31">
      <w:pPr>
        <w:rPr>
          <w:rFonts w:ascii="宋体" w:hAnsi="宋体"/>
          <w:b/>
          <w:bCs/>
          <w:sz w:val="36"/>
          <w:szCs w:val="36"/>
        </w:rPr>
      </w:pPr>
      <w:r>
        <w:rPr>
          <w:rFonts w:ascii="宋体" w:hAnsi="宋体"/>
          <w:b/>
          <w:bCs/>
          <w:sz w:val="36"/>
          <w:szCs w:val="36"/>
        </w:rPr>
        <w:br w:type="page"/>
      </w:r>
    </w:p>
    <w:p w14:paraId="0E683C7B">
      <w:pPr>
        <w:spacing w:line="360" w:lineRule="auto"/>
        <w:jc w:val="center"/>
        <w:outlineLvl w:val="0"/>
        <w:rPr>
          <w:rFonts w:ascii="宋体" w:hAnsi="宋体"/>
          <w:b/>
          <w:bCs/>
          <w:sz w:val="36"/>
          <w:szCs w:val="36"/>
        </w:rPr>
      </w:pPr>
      <w:r>
        <w:rPr>
          <w:rFonts w:hint="eastAsia" w:ascii="宋体" w:hAnsi="宋体"/>
          <w:b/>
          <w:bCs/>
          <w:sz w:val="36"/>
          <w:szCs w:val="36"/>
        </w:rPr>
        <w:t xml:space="preserve">第三章  </w:t>
      </w:r>
      <w:bookmarkEnd w:id="388"/>
      <w:bookmarkEnd w:id="389"/>
      <w:bookmarkEnd w:id="390"/>
      <w:bookmarkStart w:id="392" w:name="_Toc495647412"/>
      <w:bookmarkStart w:id="393" w:name="_Toc16520678"/>
      <w:bookmarkStart w:id="394" w:name="_Toc16520166"/>
      <w:bookmarkStart w:id="395" w:name="_Toc523220934"/>
      <w:bookmarkStart w:id="396" w:name="_Toc508179885"/>
      <w:r>
        <w:rPr>
          <w:rFonts w:hint="eastAsia" w:ascii="宋体" w:hAnsi="宋体"/>
          <w:b/>
          <w:bCs/>
          <w:sz w:val="36"/>
          <w:szCs w:val="36"/>
        </w:rPr>
        <w:t>采购服务内容及要求</w:t>
      </w:r>
      <w:bookmarkEnd w:id="391"/>
    </w:p>
    <w:p w14:paraId="0385595A">
      <w:pPr>
        <w:spacing w:line="560" w:lineRule="exact"/>
        <w:ind w:firstLine="480" w:firstLineChars="200"/>
        <w:rPr>
          <w:rFonts w:ascii="宋体" w:hAnsi="宋体" w:cs="宋体"/>
          <w:color w:val="auto"/>
          <w:sz w:val="24"/>
        </w:rPr>
      </w:pPr>
      <w:r>
        <w:rPr>
          <w:rFonts w:hint="eastAsia" w:ascii="宋体" w:hAnsi="宋体" w:cs="宋体"/>
          <w:color w:val="auto"/>
          <w:sz w:val="24"/>
        </w:rPr>
        <w:t>一、项目概况</w:t>
      </w:r>
    </w:p>
    <w:p w14:paraId="3D4F3E87">
      <w:pPr>
        <w:spacing w:line="560" w:lineRule="exact"/>
        <w:ind w:firstLine="480" w:firstLineChars="200"/>
        <w:rPr>
          <w:rFonts w:ascii="宋体" w:hAnsi="宋体" w:cs="宋体"/>
          <w:color w:val="auto"/>
          <w:sz w:val="24"/>
        </w:rPr>
      </w:pPr>
      <w:r>
        <w:rPr>
          <w:rFonts w:hint="eastAsia" w:ascii="宋体" w:hAnsi="宋体" w:cs="宋体"/>
          <w:color w:val="auto"/>
          <w:sz w:val="24"/>
        </w:rPr>
        <w:t>本项目依据国家、河南省城市体检及完整社区建设相关政策，按照《河南省城市社区专项体检导则（征求意见稿）》工作程序与技术指标要求，开展城市社区专项体检技术服务工作。通过社区基础摸底、指标体检、居民需求调查、现场踏勘、问题诊断，形成完整社区专项体检全套成果，识别社区建设短板，提出整治提升建议，为完整社区建设、老旧小区改造、城市更新年度计划编制提供技术支撑，成果达到河南省住建厅备案报送要求。</w:t>
      </w:r>
    </w:p>
    <w:p w14:paraId="0761F93E">
      <w:pPr>
        <w:spacing w:line="560" w:lineRule="exact"/>
        <w:ind w:firstLine="480" w:firstLineChars="200"/>
        <w:rPr>
          <w:rFonts w:ascii="宋体" w:hAnsi="宋体" w:cs="宋体"/>
          <w:color w:val="auto"/>
          <w:sz w:val="24"/>
        </w:rPr>
      </w:pPr>
      <w:r>
        <w:rPr>
          <w:rFonts w:hint="eastAsia" w:ascii="宋体" w:hAnsi="宋体" w:cs="宋体"/>
          <w:color w:val="auto"/>
          <w:sz w:val="24"/>
        </w:rPr>
        <w:t>二、服务主要工作内容</w:t>
      </w:r>
    </w:p>
    <w:p w14:paraId="1990330B">
      <w:pPr>
        <w:spacing w:line="560" w:lineRule="exact"/>
        <w:ind w:firstLine="480" w:firstLineChars="200"/>
        <w:rPr>
          <w:rFonts w:ascii="宋体" w:hAnsi="宋体" w:cs="宋体"/>
          <w:color w:val="auto"/>
          <w:sz w:val="24"/>
        </w:rPr>
      </w:pPr>
      <w:r>
        <w:rPr>
          <w:rFonts w:hint="eastAsia" w:ascii="宋体" w:hAnsi="宋体" w:cs="宋体"/>
          <w:color w:val="auto"/>
          <w:sz w:val="24"/>
        </w:rPr>
        <w:t>（一）城市社区基础调查</w:t>
      </w:r>
    </w:p>
    <w:p w14:paraId="4799F7AB">
      <w:pPr>
        <w:spacing w:line="560" w:lineRule="exact"/>
        <w:ind w:firstLine="480" w:firstLineChars="200"/>
        <w:rPr>
          <w:rFonts w:ascii="宋体" w:hAnsi="宋体" w:cs="宋体"/>
          <w:color w:val="auto"/>
          <w:sz w:val="24"/>
        </w:rPr>
      </w:pPr>
      <w:r>
        <w:rPr>
          <w:rFonts w:hint="eastAsia" w:ascii="宋体" w:hAnsi="宋体" w:cs="宋体"/>
          <w:color w:val="auto"/>
          <w:sz w:val="24"/>
        </w:rPr>
        <w:t>以民政确定的社区管理边界为单元，开展中心城区社区全覆盖基础摸底调查，采集社区人口、户数、用地规模、5 大类配套设施现状信息。</w:t>
      </w:r>
    </w:p>
    <w:p w14:paraId="3F5B278D">
      <w:pPr>
        <w:spacing w:line="560" w:lineRule="exact"/>
        <w:ind w:firstLine="480" w:firstLineChars="200"/>
        <w:rPr>
          <w:rFonts w:ascii="宋体" w:hAnsi="宋体" w:cs="宋体"/>
          <w:color w:val="auto"/>
          <w:sz w:val="24"/>
        </w:rPr>
      </w:pPr>
      <w:r>
        <w:rPr>
          <w:rFonts w:hint="eastAsia" w:ascii="宋体" w:hAnsi="宋体" w:cs="宋体"/>
          <w:color w:val="auto"/>
          <w:sz w:val="24"/>
        </w:rPr>
        <w:t>对照导则指标判别标准，划分基本达标型社区、改造提升型社区，形成社区名录、分类统计数据。</w:t>
      </w:r>
    </w:p>
    <w:p w14:paraId="6B0B4EFC">
      <w:pPr>
        <w:spacing w:line="560" w:lineRule="exact"/>
        <w:ind w:firstLine="480" w:firstLineChars="200"/>
        <w:rPr>
          <w:rFonts w:ascii="宋体" w:hAnsi="宋体" w:cs="宋体"/>
          <w:color w:val="auto"/>
          <w:sz w:val="24"/>
        </w:rPr>
      </w:pPr>
      <w:r>
        <w:rPr>
          <w:rFonts w:hint="eastAsia" w:ascii="宋体" w:hAnsi="宋体" w:cs="宋体"/>
          <w:color w:val="auto"/>
          <w:sz w:val="24"/>
        </w:rPr>
        <w:t>完成附表 1《市中心城区社区基本情况统计表》、附表 2《市中心城区社区情况汇总表》编制。</w:t>
      </w:r>
    </w:p>
    <w:p w14:paraId="35AFEF4E">
      <w:pPr>
        <w:spacing w:line="560" w:lineRule="exact"/>
        <w:ind w:firstLine="480" w:firstLineChars="200"/>
        <w:rPr>
          <w:rFonts w:ascii="宋体" w:hAnsi="宋体" w:cs="宋体"/>
          <w:color w:val="auto"/>
          <w:sz w:val="24"/>
        </w:rPr>
      </w:pPr>
      <w:r>
        <w:rPr>
          <w:rFonts w:hint="eastAsia" w:ascii="宋体" w:hAnsi="宋体" w:cs="宋体"/>
          <w:color w:val="auto"/>
          <w:sz w:val="24"/>
        </w:rPr>
        <w:t>（二）年度计划更新社区遴选</w:t>
      </w:r>
    </w:p>
    <w:p w14:paraId="1B00D9FE">
      <w:pPr>
        <w:spacing w:line="560" w:lineRule="exact"/>
        <w:ind w:firstLine="480" w:firstLineChars="200"/>
        <w:rPr>
          <w:rFonts w:ascii="宋体" w:hAnsi="宋体" w:cs="宋体"/>
          <w:color w:val="auto"/>
          <w:sz w:val="24"/>
        </w:rPr>
      </w:pPr>
      <w:r>
        <w:rPr>
          <w:rFonts w:hint="eastAsia" w:ascii="宋体" w:hAnsi="宋体" w:cs="宋体"/>
          <w:color w:val="auto"/>
          <w:sz w:val="24"/>
        </w:rPr>
        <w:t>结合城市体检成果、社区基础调查情况、政府更新工作计划、居民改造意愿，遴选改造需求迫切、居民意愿强烈、具备示范效应的社区作为年度计划更新社区，作为深度体检对象。</w:t>
      </w:r>
    </w:p>
    <w:p w14:paraId="0E8748C4">
      <w:pPr>
        <w:spacing w:line="560" w:lineRule="exact"/>
        <w:ind w:firstLine="480" w:firstLineChars="200"/>
        <w:rPr>
          <w:rFonts w:ascii="宋体" w:hAnsi="宋体" w:cs="宋体"/>
          <w:color w:val="auto"/>
          <w:sz w:val="24"/>
        </w:rPr>
      </w:pPr>
      <w:r>
        <w:rPr>
          <w:rFonts w:hint="eastAsia" w:ascii="宋体" w:hAnsi="宋体" w:cs="宋体"/>
          <w:color w:val="auto"/>
          <w:sz w:val="24"/>
        </w:rPr>
        <w:t>（三）构建社区专项体检指标体系</w:t>
      </w:r>
    </w:p>
    <w:p w14:paraId="324FC56F">
      <w:pPr>
        <w:spacing w:line="560" w:lineRule="exact"/>
        <w:ind w:firstLine="480" w:firstLineChars="200"/>
        <w:rPr>
          <w:rFonts w:ascii="宋体" w:hAnsi="宋体" w:cs="宋体"/>
          <w:color w:val="auto"/>
          <w:sz w:val="24"/>
        </w:rPr>
      </w:pPr>
      <w:r>
        <w:rPr>
          <w:rFonts w:hint="eastAsia" w:ascii="宋体" w:hAnsi="宋体" w:cs="宋体"/>
          <w:color w:val="auto"/>
          <w:sz w:val="24"/>
        </w:rPr>
        <w:t>严格采用导则确定的5 大类 20 项基础指标（13 项必选指标、7 项可选指标），涵盖基本公共服务设施、便民商业服务设施、市政配套基础设施、公共活动空间、社区治理机制。</w:t>
      </w:r>
    </w:p>
    <w:p w14:paraId="6506F485">
      <w:pPr>
        <w:spacing w:line="560" w:lineRule="exact"/>
        <w:ind w:firstLine="480" w:firstLineChars="200"/>
        <w:rPr>
          <w:rFonts w:ascii="宋体" w:hAnsi="宋体" w:cs="宋体"/>
          <w:color w:val="auto"/>
          <w:sz w:val="24"/>
        </w:rPr>
      </w:pPr>
      <w:r>
        <w:rPr>
          <w:rFonts w:hint="eastAsia" w:ascii="宋体" w:hAnsi="宋体" w:cs="宋体"/>
          <w:color w:val="auto"/>
          <w:sz w:val="24"/>
        </w:rPr>
        <w:t>可结合本地实际增设地方特色指标，明确各指标体检内容、数据获取方式、评价标准、量化判定规则。</w:t>
      </w:r>
    </w:p>
    <w:p w14:paraId="5E7F6EDD">
      <w:pPr>
        <w:spacing w:line="560" w:lineRule="exact"/>
        <w:ind w:firstLine="480" w:firstLineChars="200"/>
        <w:rPr>
          <w:rFonts w:ascii="宋体" w:hAnsi="宋体" w:cs="宋体"/>
          <w:color w:val="auto"/>
          <w:sz w:val="24"/>
        </w:rPr>
      </w:pPr>
      <w:r>
        <w:rPr>
          <w:rFonts w:hint="eastAsia" w:ascii="宋体" w:hAnsi="宋体" w:cs="宋体"/>
          <w:color w:val="auto"/>
          <w:sz w:val="24"/>
        </w:rPr>
        <w:t>（四）多源数据采集</w:t>
      </w:r>
    </w:p>
    <w:p w14:paraId="6193B5E3">
      <w:pPr>
        <w:spacing w:line="560" w:lineRule="exact"/>
        <w:ind w:firstLine="480" w:firstLineChars="200"/>
        <w:rPr>
          <w:rFonts w:ascii="宋体" w:hAnsi="宋体" w:cs="宋体"/>
          <w:color w:val="auto"/>
          <w:sz w:val="24"/>
        </w:rPr>
      </w:pPr>
      <w:r>
        <w:rPr>
          <w:rFonts w:hint="eastAsia" w:ascii="宋体" w:hAnsi="宋体" w:cs="宋体"/>
          <w:color w:val="auto"/>
          <w:sz w:val="24"/>
        </w:rPr>
        <w:t>资料收集：对接住建、民政、卫健、街道、社区等部门单位，收集统计台账、规划成果、物业资料、遥感、互联网大数据等现有资料，避免重复调查。</w:t>
      </w:r>
    </w:p>
    <w:p w14:paraId="5FDC59A5">
      <w:pPr>
        <w:spacing w:line="560" w:lineRule="exact"/>
        <w:ind w:firstLine="480" w:firstLineChars="200"/>
        <w:rPr>
          <w:rFonts w:ascii="宋体" w:hAnsi="宋体" w:cs="宋体"/>
          <w:color w:val="auto"/>
          <w:sz w:val="24"/>
        </w:rPr>
      </w:pPr>
      <w:r>
        <w:rPr>
          <w:rFonts w:hint="eastAsia" w:ascii="宋体" w:hAnsi="宋体" w:cs="宋体"/>
          <w:color w:val="auto"/>
          <w:sz w:val="24"/>
        </w:rPr>
        <w:t>满意度及居民需求调查</w:t>
      </w:r>
    </w:p>
    <w:p w14:paraId="25ED3FBF">
      <w:pPr>
        <w:spacing w:line="560" w:lineRule="exact"/>
        <w:ind w:firstLine="480" w:firstLineChars="200"/>
        <w:rPr>
          <w:rFonts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val="en-US" w:eastAsia="zh-CN"/>
        </w:rPr>
        <w:t>1</w:t>
      </w:r>
      <w:r>
        <w:rPr>
          <w:rFonts w:hint="eastAsia" w:ascii="宋体" w:hAnsi="宋体" w:cs="宋体"/>
          <w:color w:val="auto"/>
          <w:sz w:val="24"/>
        </w:rPr>
        <w:t>）围绕设施配建现状、服务运维水平、更新改造需求收集居民反馈，分类梳理居民意愿；</w:t>
      </w:r>
    </w:p>
    <w:p w14:paraId="3F5FA853">
      <w:pPr>
        <w:spacing w:line="560" w:lineRule="exact"/>
        <w:ind w:firstLine="480" w:firstLineChars="200"/>
        <w:rPr>
          <w:rFonts w:ascii="宋体" w:hAnsi="宋体" w:cs="宋体"/>
          <w:color w:val="auto"/>
          <w:sz w:val="24"/>
        </w:rPr>
      </w:pPr>
      <w:r>
        <w:rPr>
          <w:rFonts w:hint="eastAsia" w:ascii="宋体" w:hAnsi="宋体" w:cs="宋体"/>
          <w:color w:val="auto"/>
          <w:sz w:val="24"/>
        </w:rPr>
        <w:t>（</w:t>
      </w:r>
      <w:r>
        <w:rPr>
          <w:rFonts w:hint="eastAsia" w:ascii="宋体" w:hAnsi="宋体" w:cs="宋体"/>
          <w:color w:val="auto"/>
          <w:sz w:val="24"/>
          <w:lang w:val="en-US" w:eastAsia="zh-CN"/>
        </w:rPr>
        <w:t>2</w:t>
      </w:r>
      <w:r>
        <w:rPr>
          <w:rFonts w:hint="eastAsia" w:ascii="宋体" w:hAnsi="宋体" w:cs="宋体"/>
          <w:color w:val="auto"/>
          <w:sz w:val="24"/>
        </w:rPr>
        <w:t>）编制附表 4《市年度计划更新社区居民需求清单》，完成居民需求空间落图，绘制社区居民需求空间分布图。</w:t>
      </w:r>
    </w:p>
    <w:p w14:paraId="32BD4B74">
      <w:pPr>
        <w:spacing w:line="560" w:lineRule="exact"/>
        <w:ind w:firstLine="480" w:firstLineChars="200"/>
        <w:rPr>
          <w:rFonts w:ascii="宋体" w:hAnsi="宋体" w:cs="宋体"/>
          <w:color w:val="auto"/>
          <w:sz w:val="24"/>
        </w:rPr>
      </w:pPr>
      <w:r>
        <w:rPr>
          <w:rFonts w:hint="eastAsia" w:ascii="宋体" w:hAnsi="宋体" w:cs="宋体"/>
          <w:color w:val="auto"/>
          <w:sz w:val="24"/>
        </w:rPr>
        <w:t>现场实地踏勘</w:t>
      </w:r>
    </w:p>
    <w:p w14:paraId="61209092">
      <w:pPr>
        <w:spacing w:line="560" w:lineRule="exact"/>
        <w:ind w:firstLine="480" w:firstLineChars="200"/>
        <w:rPr>
          <w:rFonts w:ascii="宋体" w:hAnsi="宋体" w:cs="宋体"/>
          <w:color w:val="auto"/>
          <w:sz w:val="24"/>
        </w:rPr>
      </w:pPr>
      <w:r>
        <w:rPr>
          <w:rFonts w:hint="eastAsia" w:ascii="宋体" w:hAnsi="宋体" w:cs="宋体"/>
          <w:color w:val="auto"/>
          <w:sz w:val="24"/>
        </w:rPr>
        <w:t>（1）实地核查各项配套设施位置、建筑面积、用地面积、功能配置、设施完好度、运维现状，做好测量、拍照、记录；</w:t>
      </w:r>
    </w:p>
    <w:p w14:paraId="367C78C0">
      <w:pPr>
        <w:spacing w:line="560" w:lineRule="exact"/>
        <w:ind w:firstLine="480" w:firstLineChars="200"/>
        <w:rPr>
          <w:rFonts w:ascii="宋体" w:hAnsi="宋体" w:cs="宋体"/>
          <w:color w:val="auto"/>
          <w:sz w:val="24"/>
        </w:rPr>
      </w:pPr>
      <w:r>
        <w:rPr>
          <w:rFonts w:hint="eastAsia" w:ascii="宋体" w:hAnsi="宋体" w:cs="宋体"/>
          <w:color w:val="auto"/>
          <w:sz w:val="24"/>
        </w:rPr>
        <w:t>（2）摸排社区闲置用地、闲置房屋，识别存量更新潜力空间；</w:t>
      </w:r>
    </w:p>
    <w:p w14:paraId="71F7A63D">
      <w:pPr>
        <w:spacing w:line="560" w:lineRule="exact"/>
        <w:ind w:firstLine="480" w:firstLineChars="200"/>
        <w:rPr>
          <w:rFonts w:ascii="宋体" w:hAnsi="宋体" w:cs="宋体"/>
          <w:color w:val="auto"/>
          <w:sz w:val="24"/>
        </w:rPr>
      </w:pPr>
      <w:r>
        <w:rPr>
          <w:rFonts w:hint="eastAsia" w:ascii="宋体" w:hAnsi="宋体" w:cs="宋体"/>
          <w:color w:val="auto"/>
          <w:sz w:val="24"/>
        </w:rPr>
        <w:t>（3）开展多源数据交叉验证，保证数据客观真实；</w:t>
      </w:r>
    </w:p>
    <w:p w14:paraId="69EB0FEA">
      <w:pPr>
        <w:spacing w:line="560" w:lineRule="exact"/>
        <w:ind w:firstLine="480" w:firstLineChars="200"/>
        <w:rPr>
          <w:rFonts w:ascii="宋体" w:hAnsi="宋体" w:cs="宋体"/>
          <w:color w:val="auto"/>
          <w:sz w:val="24"/>
        </w:rPr>
      </w:pPr>
      <w:r>
        <w:rPr>
          <w:rFonts w:hint="eastAsia" w:ascii="宋体" w:hAnsi="宋体" w:cs="宋体"/>
          <w:color w:val="auto"/>
          <w:sz w:val="24"/>
        </w:rPr>
        <w:t>（4）编制附表 3《年度计划更新社区专项体检信息表》。</w:t>
      </w:r>
    </w:p>
    <w:p w14:paraId="3C4F6D65">
      <w:pPr>
        <w:spacing w:line="560" w:lineRule="exact"/>
        <w:ind w:firstLine="480" w:firstLineChars="200"/>
        <w:rPr>
          <w:rFonts w:ascii="宋体" w:hAnsi="宋体" w:cs="宋体"/>
          <w:color w:val="auto"/>
          <w:sz w:val="24"/>
        </w:rPr>
      </w:pPr>
      <w:r>
        <w:rPr>
          <w:rFonts w:hint="eastAsia" w:ascii="宋体" w:hAnsi="宋体" w:cs="宋体"/>
          <w:color w:val="auto"/>
          <w:sz w:val="24"/>
        </w:rPr>
        <w:t>（五）诊断问题短板</w:t>
      </w:r>
    </w:p>
    <w:p w14:paraId="544326B8">
      <w:pPr>
        <w:spacing w:line="560" w:lineRule="exact"/>
        <w:ind w:firstLine="480" w:firstLineChars="200"/>
        <w:rPr>
          <w:rFonts w:ascii="宋体" w:hAnsi="宋体" w:cs="宋体"/>
          <w:color w:val="auto"/>
          <w:sz w:val="24"/>
        </w:rPr>
      </w:pPr>
      <w:r>
        <w:rPr>
          <w:rFonts w:hint="eastAsia" w:ascii="宋体" w:hAnsi="宋体" w:cs="宋体"/>
          <w:color w:val="auto"/>
          <w:sz w:val="24"/>
        </w:rPr>
        <w:t>对照指标体系开展客观汇总评价，结合居民需求清单，系统梳理社区存在问题与短板，区分达标、未达标项；编制附表 5《市年度计划更新社区体检问题清单》，绘制社区问题空间分布图，实现问题空间落位。</w:t>
      </w:r>
    </w:p>
    <w:p w14:paraId="7EEEA1F8">
      <w:pPr>
        <w:spacing w:line="560" w:lineRule="exact"/>
        <w:ind w:firstLine="480" w:firstLineChars="200"/>
        <w:rPr>
          <w:rFonts w:ascii="宋体" w:hAnsi="宋体" w:cs="宋体"/>
          <w:color w:val="auto"/>
          <w:sz w:val="24"/>
        </w:rPr>
      </w:pPr>
      <w:r>
        <w:rPr>
          <w:rFonts w:hint="eastAsia" w:ascii="宋体" w:hAnsi="宋体" w:cs="宋体"/>
          <w:color w:val="auto"/>
          <w:sz w:val="24"/>
        </w:rPr>
        <w:t>（六）编制体检结论及全套成果</w:t>
      </w:r>
    </w:p>
    <w:p w14:paraId="1C52F9F5">
      <w:pPr>
        <w:spacing w:line="560" w:lineRule="exact"/>
        <w:ind w:firstLine="480" w:firstLineChars="200"/>
        <w:rPr>
          <w:rFonts w:ascii="宋体" w:hAnsi="宋体" w:cs="宋体"/>
          <w:color w:val="auto"/>
          <w:sz w:val="24"/>
        </w:rPr>
      </w:pPr>
      <w:r>
        <w:rPr>
          <w:rFonts w:hint="eastAsia" w:ascii="宋体" w:hAnsi="宋体" w:cs="宋体"/>
          <w:color w:val="auto"/>
          <w:sz w:val="24"/>
        </w:rPr>
        <w:t>梳理社区闲置资源，识别可用于更新改造的潜力用地、建筑，编制社区更新潜力空间分布图。</w:t>
      </w:r>
    </w:p>
    <w:p w14:paraId="54FE2C8B">
      <w:pPr>
        <w:spacing w:line="560" w:lineRule="exact"/>
        <w:ind w:firstLine="480" w:firstLineChars="200"/>
        <w:rPr>
          <w:rFonts w:ascii="宋体" w:hAnsi="宋体" w:cs="宋体"/>
          <w:color w:val="auto"/>
          <w:sz w:val="24"/>
        </w:rPr>
      </w:pPr>
      <w:r>
        <w:rPr>
          <w:rFonts w:hint="eastAsia" w:ascii="宋体" w:hAnsi="宋体" w:cs="宋体"/>
          <w:color w:val="auto"/>
          <w:sz w:val="24"/>
        </w:rPr>
        <w:t>结合上位规划、问题紧迫程度、地方财政实际条件，提出差异化整治提升建议；明确整治内容、整治区域、整治类型（限时解决 / 尽力解决）、建议责任单位；编制附表 6《市年度计划更新社区体检整治建议清单》。</w:t>
      </w:r>
    </w:p>
    <w:p w14:paraId="4063D35C">
      <w:pPr>
        <w:spacing w:line="560" w:lineRule="exact"/>
        <w:ind w:firstLine="480" w:firstLineChars="200"/>
        <w:rPr>
          <w:rFonts w:ascii="宋体" w:hAnsi="宋体" w:cs="宋体"/>
          <w:color w:val="auto"/>
          <w:sz w:val="24"/>
        </w:rPr>
      </w:pPr>
      <w:r>
        <w:rPr>
          <w:rFonts w:hint="eastAsia" w:ascii="宋体" w:hAnsi="宋体" w:cs="宋体"/>
          <w:color w:val="auto"/>
          <w:sz w:val="24"/>
        </w:rPr>
        <w:t>编制《社区专项体检报告》，报告编制完成后征求区、街道、社区意见，配合完成专家评审、多部门协同会审，按要求完成成果修改完善，满足上报省住建厅备案条件。</w:t>
      </w:r>
    </w:p>
    <w:p w14:paraId="5C37CCDF">
      <w:pPr>
        <w:spacing w:line="560" w:lineRule="exact"/>
        <w:ind w:firstLine="480" w:firstLineChars="200"/>
        <w:rPr>
          <w:rFonts w:ascii="宋体" w:hAnsi="宋体" w:cs="宋体"/>
          <w:color w:val="auto"/>
          <w:sz w:val="24"/>
        </w:rPr>
      </w:pPr>
      <w:r>
        <w:rPr>
          <w:rFonts w:hint="eastAsia" w:ascii="宋体" w:hAnsi="宋体" w:cs="宋体"/>
          <w:color w:val="auto"/>
          <w:sz w:val="24"/>
        </w:rPr>
        <w:t>（七）后续技术配合服务</w:t>
      </w:r>
    </w:p>
    <w:p w14:paraId="2C48696F">
      <w:pPr>
        <w:spacing w:line="560" w:lineRule="exact"/>
        <w:ind w:firstLine="480" w:firstLineChars="200"/>
        <w:rPr>
          <w:rFonts w:ascii="宋体" w:hAnsi="宋体" w:cs="宋体"/>
          <w:color w:val="auto"/>
          <w:sz w:val="24"/>
        </w:rPr>
      </w:pPr>
      <w:r>
        <w:rPr>
          <w:rFonts w:hint="eastAsia" w:ascii="宋体" w:hAnsi="宋体" w:cs="宋体"/>
          <w:color w:val="auto"/>
          <w:sz w:val="24"/>
        </w:rPr>
        <w:t>配合采购人开展业务对接、技术答疑、业务培训；</w:t>
      </w:r>
    </w:p>
    <w:p w14:paraId="7B4ABECA">
      <w:pPr>
        <w:spacing w:line="560" w:lineRule="exact"/>
        <w:ind w:firstLine="480" w:firstLineChars="200"/>
        <w:rPr>
          <w:rFonts w:ascii="宋体" w:hAnsi="宋体" w:cs="宋体"/>
          <w:color w:val="auto"/>
          <w:sz w:val="24"/>
        </w:rPr>
      </w:pPr>
      <w:r>
        <w:rPr>
          <w:rFonts w:hint="eastAsia" w:ascii="宋体" w:hAnsi="宋体" w:cs="宋体"/>
          <w:color w:val="auto"/>
          <w:sz w:val="24"/>
        </w:rPr>
        <w:t>根据评审意见、部门审查意见完成成果修改；</w:t>
      </w:r>
    </w:p>
    <w:p w14:paraId="2C47A68A">
      <w:pPr>
        <w:spacing w:line="560" w:lineRule="exact"/>
        <w:ind w:firstLine="480" w:firstLineChars="200"/>
        <w:rPr>
          <w:rFonts w:ascii="宋体" w:hAnsi="宋体" w:cs="宋体"/>
          <w:color w:val="auto"/>
          <w:sz w:val="24"/>
        </w:rPr>
      </w:pPr>
      <w:r>
        <w:rPr>
          <w:rFonts w:hint="eastAsia" w:ascii="宋体" w:hAnsi="宋体" w:cs="宋体"/>
          <w:color w:val="auto"/>
          <w:sz w:val="24"/>
        </w:rPr>
        <w:t>协助采购人完成向河南省住房和城乡建设厅备案报送工作；</w:t>
      </w:r>
    </w:p>
    <w:p w14:paraId="512531FB">
      <w:pPr>
        <w:spacing w:line="560" w:lineRule="exact"/>
        <w:ind w:firstLine="480" w:firstLineChars="200"/>
        <w:rPr>
          <w:rFonts w:ascii="宋体" w:hAnsi="宋体" w:cs="宋体"/>
          <w:color w:val="auto"/>
          <w:sz w:val="24"/>
        </w:rPr>
      </w:pPr>
      <w:r>
        <w:rPr>
          <w:rFonts w:hint="eastAsia" w:ascii="宋体" w:hAnsi="宋体" w:cs="宋体"/>
          <w:color w:val="auto"/>
          <w:sz w:val="24"/>
        </w:rPr>
        <w:t>按照城市体检数字化平台入库要求，提供符合格式的入库数据；</w:t>
      </w:r>
    </w:p>
    <w:p w14:paraId="4CE47C7E">
      <w:pPr>
        <w:spacing w:line="560" w:lineRule="exact"/>
        <w:ind w:firstLine="480" w:firstLineChars="200"/>
        <w:rPr>
          <w:rFonts w:ascii="仿宋_GB2312" w:hAnsi="仿宋_GB2312" w:eastAsia="仿宋_GB2312" w:cs="仿宋_GB2312"/>
          <w:sz w:val="32"/>
          <w:szCs w:val="32"/>
        </w:rPr>
      </w:pPr>
      <w:r>
        <w:rPr>
          <w:rFonts w:hint="eastAsia" w:ascii="宋体" w:hAnsi="宋体" w:cs="宋体"/>
          <w:color w:val="auto"/>
          <w:sz w:val="24"/>
        </w:rPr>
        <w:t>为完整社区实施方案、城市更新年度行动计划编制提供技术咨询支撑。</w:t>
      </w:r>
    </w:p>
    <w:p w14:paraId="00FCC3F3">
      <w:pPr>
        <w:spacing w:line="560" w:lineRule="exact"/>
        <w:ind w:firstLine="640" w:firstLineChars="200"/>
        <w:rPr>
          <w:rFonts w:ascii="仿宋_GB2312" w:hAnsi="仿宋_GB2312" w:eastAsia="仿宋_GB2312" w:cs="仿宋_GB2312"/>
          <w:sz w:val="32"/>
          <w:szCs w:val="32"/>
        </w:rPr>
      </w:pPr>
    </w:p>
    <w:p w14:paraId="31273AA7">
      <w:pPr>
        <w:spacing w:line="560" w:lineRule="exact"/>
        <w:ind w:firstLine="640" w:firstLineChars="200"/>
        <w:rPr>
          <w:rFonts w:ascii="仿宋_GB2312" w:hAnsi="仿宋_GB2312" w:eastAsia="仿宋_GB2312" w:cs="仿宋_GB2312"/>
          <w:sz w:val="32"/>
          <w:szCs w:val="32"/>
        </w:rPr>
      </w:pPr>
    </w:p>
    <w:p w14:paraId="6AB7015B">
      <w:pPr>
        <w:spacing w:line="560" w:lineRule="exact"/>
        <w:ind w:firstLine="640" w:firstLineChars="200"/>
        <w:rPr>
          <w:rFonts w:ascii="仿宋_GB2312" w:hAnsi="仿宋_GB2312" w:eastAsia="仿宋_GB2312" w:cs="仿宋_GB2312"/>
          <w:sz w:val="32"/>
          <w:szCs w:val="32"/>
        </w:rPr>
      </w:pPr>
    </w:p>
    <w:p w14:paraId="1A3F3A97">
      <w:pPr>
        <w:spacing w:line="560" w:lineRule="exact"/>
        <w:ind w:firstLine="640" w:firstLineChars="200"/>
        <w:rPr>
          <w:rFonts w:ascii="仿宋_GB2312" w:hAnsi="仿宋_GB2312" w:eastAsia="仿宋_GB2312" w:cs="仿宋_GB2312"/>
          <w:sz w:val="32"/>
          <w:szCs w:val="32"/>
        </w:rPr>
      </w:pPr>
    </w:p>
    <w:p w14:paraId="7F620CA9">
      <w:pPr>
        <w:spacing w:line="560" w:lineRule="exact"/>
        <w:ind w:firstLine="640" w:firstLineChars="200"/>
        <w:rPr>
          <w:rFonts w:ascii="仿宋_GB2312" w:hAnsi="仿宋_GB2312" w:eastAsia="仿宋_GB2312" w:cs="仿宋_GB2312"/>
          <w:sz w:val="32"/>
          <w:szCs w:val="32"/>
        </w:rPr>
      </w:pPr>
    </w:p>
    <w:p w14:paraId="49DD61AE">
      <w:pPr>
        <w:spacing w:line="560" w:lineRule="exact"/>
        <w:ind w:firstLine="640" w:firstLineChars="200"/>
        <w:rPr>
          <w:rFonts w:ascii="仿宋_GB2312" w:hAnsi="仿宋_GB2312" w:eastAsia="仿宋_GB2312" w:cs="仿宋_GB2312"/>
          <w:sz w:val="32"/>
          <w:szCs w:val="32"/>
        </w:rPr>
      </w:pPr>
    </w:p>
    <w:p w14:paraId="256C1718">
      <w:pPr>
        <w:spacing w:line="560" w:lineRule="exact"/>
        <w:ind w:firstLine="640" w:firstLineChars="200"/>
        <w:rPr>
          <w:rFonts w:ascii="仿宋_GB2312" w:hAnsi="仿宋_GB2312" w:eastAsia="仿宋_GB2312" w:cs="仿宋_GB2312"/>
          <w:sz w:val="32"/>
          <w:szCs w:val="32"/>
        </w:rPr>
      </w:pPr>
    </w:p>
    <w:p w14:paraId="723A1C69">
      <w:pPr>
        <w:spacing w:line="560" w:lineRule="exact"/>
        <w:ind w:firstLine="640" w:firstLineChars="200"/>
        <w:rPr>
          <w:rFonts w:ascii="仿宋_GB2312" w:hAnsi="仿宋_GB2312" w:eastAsia="仿宋_GB2312" w:cs="仿宋_GB2312"/>
          <w:sz w:val="32"/>
          <w:szCs w:val="32"/>
        </w:rPr>
      </w:pPr>
    </w:p>
    <w:p w14:paraId="71A9BDE6">
      <w:pPr>
        <w:spacing w:line="560" w:lineRule="exact"/>
        <w:ind w:firstLine="640" w:firstLineChars="200"/>
        <w:rPr>
          <w:rFonts w:ascii="仿宋_GB2312" w:hAnsi="仿宋_GB2312" w:eastAsia="仿宋_GB2312" w:cs="仿宋_GB2312"/>
          <w:sz w:val="32"/>
          <w:szCs w:val="32"/>
        </w:rPr>
      </w:pPr>
    </w:p>
    <w:p w14:paraId="7B53540A">
      <w:pPr>
        <w:spacing w:line="560" w:lineRule="exact"/>
        <w:ind w:firstLine="640" w:firstLineChars="200"/>
        <w:rPr>
          <w:rFonts w:ascii="仿宋_GB2312" w:hAnsi="仿宋_GB2312" w:eastAsia="仿宋_GB2312" w:cs="仿宋_GB2312"/>
          <w:sz w:val="32"/>
          <w:szCs w:val="32"/>
        </w:rPr>
      </w:pPr>
    </w:p>
    <w:p w14:paraId="207F27BA">
      <w:pPr>
        <w:spacing w:line="560" w:lineRule="exact"/>
        <w:ind w:firstLine="640" w:firstLineChars="200"/>
        <w:rPr>
          <w:rFonts w:ascii="仿宋_GB2312" w:hAnsi="仿宋_GB2312" w:eastAsia="仿宋_GB2312" w:cs="仿宋_GB2312"/>
          <w:sz w:val="32"/>
          <w:szCs w:val="32"/>
        </w:rPr>
      </w:pPr>
    </w:p>
    <w:p w14:paraId="74D6563E">
      <w:pPr>
        <w:spacing w:line="560" w:lineRule="exact"/>
        <w:ind w:firstLine="640" w:firstLineChars="200"/>
        <w:rPr>
          <w:rFonts w:ascii="仿宋_GB2312" w:hAnsi="仿宋_GB2312" w:eastAsia="仿宋_GB2312" w:cs="仿宋_GB2312"/>
          <w:sz w:val="32"/>
          <w:szCs w:val="32"/>
        </w:rPr>
      </w:pPr>
    </w:p>
    <w:p w14:paraId="70CDF64F">
      <w:pPr>
        <w:spacing w:line="560" w:lineRule="exact"/>
        <w:ind w:firstLine="640" w:firstLineChars="200"/>
        <w:rPr>
          <w:rFonts w:ascii="仿宋_GB2312" w:hAnsi="仿宋_GB2312" w:eastAsia="仿宋_GB2312" w:cs="仿宋_GB2312"/>
          <w:sz w:val="32"/>
          <w:szCs w:val="32"/>
        </w:rPr>
      </w:pPr>
    </w:p>
    <w:p w14:paraId="158A5744">
      <w:pPr>
        <w:spacing w:line="560" w:lineRule="exact"/>
        <w:ind w:firstLine="640" w:firstLineChars="200"/>
        <w:rPr>
          <w:rFonts w:ascii="仿宋_GB2312" w:hAnsi="仿宋_GB2312" w:eastAsia="仿宋_GB2312" w:cs="仿宋_GB2312"/>
          <w:sz w:val="32"/>
          <w:szCs w:val="32"/>
        </w:rPr>
      </w:pPr>
    </w:p>
    <w:p w14:paraId="70C3B404">
      <w:pPr>
        <w:spacing w:line="560" w:lineRule="exact"/>
        <w:ind w:firstLine="640" w:firstLineChars="200"/>
        <w:rPr>
          <w:rFonts w:ascii="仿宋_GB2312" w:hAnsi="仿宋_GB2312" w:eastAsia="仿宋_GB2312" w:cs="仿宋_GB2312"/>
          <w:sz w:val="32"/>
          <w:szCs w:val="32"/>
        </w:rPr>
      </w:pPr>
    </w:p>
    <w:p w14:paraId="208DB153">
      <w:pPr>
        <w:spacing w:line="560" w:lineRule="exact"/>
        <w:ind w:firstLine="640" w:firstLineChars="200"/>
        <w:rPr>
          <w:rFonts w:ascii="仿宋_GB2312" w:hAnsi="仿宋_GB2312" w:eastAsia="仿宋_GB2312" w:cs="仿宋_GB2312"/>
          <w:sz w:val="32"/>
          <w:szCs w:val="32"/>
        </w:rPr>
      </w:pPr>
    </w:p>
    <w:p w14:paraId="65820AC5">
      <w:pPr>
        <w:spacing w:line="560" w:lineRule="exact"/>
        <w:ind w:firstLine="640" w:firstLineChars="200"/>
        <w:rPr>
          <w:rFonts w:ascii="仿宋_GB2312" w:hAnsi="仿宋_GB2312" w:eastAsia="仿宋_GB2312" w:cs="仿宋_GB2312"/>
          <w:sz w:val="32"/>
          <w:szCs w:val="32"/>
        </w:rPr>
      </w:pPr>
    </w:p>
    <w:p w14:paraId="0D080366">
      <w:pPr>
        <w:spacing w:line="560" w:lineRule="exact"/>
        <w:ind w:firstLine="640" w:firstLineChars="200"/>
        <w:rPr>
          <w:rFonts w:ascii="仿宋_GB2312" w:hAnsi="仿宋_GB2312" w:eastAsia="仿宋_GB2312" w:cs="仿宋_GB2312"/>
          <w:sz w:val="32"/>
          <w:szCs w:val="32"/>
        </w:rPr>
      </w:pPr>
    </w:p>
    <w:p w14:paraId="77625569">
      <w:pPr>
        <w:spacing w:line="560" w:lineRule="exact"/>
        <w:ind w:firstLine="640" w:firstLineChars="200"/>
        <w:rPr>
          <w:rFonts w:ascii="仿宋_GB2312" w:hAnsi="仿宋_GB2312" w:eastAsia="仿宋_GB2312" w:cs="仿宋_GB2312"/>
          <w:sz w:val="32"/>
          <w:szCs w:val="32"/>
        </w:rPr>
      </w:pPr>
    </w:p>
    <w:p w14:paraId="60B11FF8">
      <w:pPr>
        <w:spacing w:line="560" w:lineRule="exact"/>
        <w:ind w:firstLine="640" w:firstLineChars="200"/>
        <w:rPr>
          <w:rFonts w:ascii="仿宋_GB2312" w:hAnsi="仿宋_GB2312" w:eastAsia="仿宋_GB2312" w:cs="仿宋_GB2312"/>
          <w:sz w:val="32"/>
          <w:szCs w:val="32"/>
        </w:rPr>
      </w:pPr>
    </w:p>
    <w:p w14:paraId="4DC015AA">
      <w:pPr>
        <w:spacing w:line="560" w:lineRule="exact"/>
        <w:ind w:firstLine="640" w:firstLineChars="200"/>
        <w:rPr>
          <w:rFonts w:ascii="仿宋_GB2312" w:hAnsi="仿宋_GB2312" w:eastAsia="仿宋_GB2312" w:cs="仿宋_GB2312"/>
          <w:sz w:val="32"/>
          <w:szCs w:val="32"/>
        </w:rPr>
      </w:pPr>
    </w:p>
    <w:p w14:paraId="3A962E86">
      <w:pPr>
        <w:spacing w:line="560" w:lineRule="exact"/>
        <w:ind w:firstLine="420" w:firstLineChars="200"/>
        <w:rPr>
          <w:rFonts w:ascii="仿宋_GB2312" w:hAnsi="仿宋_GB2312" w:eastAsia="仿宋_GB2312" w:cs="仿宋_GB2312"/>
          <w:sz w:val="32"/>
          <w:szCs w:val="32"/>
        </w:rPr>
      </w:pPr>
      <w:r>
        <w:drawing>
          <wp:anchor distT="0" distB="0" distL="114300" distR="114300" simplePos="0" relativeHeight="251659264" behindDoc="0" locked="0" layoutInCell="1" allowOverlap="1">
            <wp:simplePos x="0" y="0"/>
            <wp:positionH relativeFrom="column">
              <wp:posOffset>290195</wp:posOffset>
            </wp:positionH>
            <wp:positionV relativeFrom="paragraph">
              <wp:posOffset>42545</wp:posOffset>
            </wp:positionV>
            <wp:extent cx="5071745" cy="7756525"/>
            <wp:effectExtent l="0" t="0" r="14605" b="15875"/>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071745" cy="7756525"/>
                    </a:xfrm>
                    <a:prstGeom prst="rect">
                      <a:avLst/>
                    </a:prstGeom>
                    <a:noFill/>
                    <a:ln>
                      <a:noFill/>
                    </a:ln>
                  </pic:spPr>
                </pic:pic>
              </a:graphicData>
            </a:graphic>
          </wp:anchor>
        </w:drawing>
      </w:r>
    </w:p>
    <w:p w14:paraId="659AA19D">
      <w:pPr>
        <w:spacing w:line="560" w:lineRule="exact"/>
        <w:ind w:firstLine="640" w:firstLineChars="200"/>
        <w:rPr>
          <w:rFonts w:ascii="仿宋_GB2312" w:hAnsi="仿宋_GB2312" w:eastAsia="仿宋_GB2312" w:cs="仿宋_GB2312"/>
          <w:sz w:val="32"/>
          <w:szCs w:val="32"/>
        </w:rPr>
      </w:pPr>
    </w:p>
    <w:p w14:paraId="16AA7BB5">
      <w:pPr>
        <w:spacing w:line="560" w:lineRule="exact"/>
        <w:ind w:firstLine="640" w:firstLineChars="200"/>
        <w:rPr>
          <w:rFonts w:ascii="仿宋_GB2312" w:hAnsi="仿宋_GB2312" w:eastAsia="仿宋_GB2312" w:cs="仿宋_GB2312"/>
          <w:sz w:val="32"/>
          <w:szCs w:val="32"/>
        </w:rPr>
      </w:pPr>
    </w:p>
    <w:p w14:paraId="38496069">
      <w:pPr>
        <w:spacing w:line="560" w:lineRule="exact"/>
        <w:ind w:firstLine="640" w:firstLineChars="200"/>
        <w:rPr>
          <w:rFonts w:ascii="仿宋_GB2312" w:hAnsi="仿宋_GB2312" w:eastAsia="仿宋_GB2312" w:cs="仿宋_GB2312"/>
          <w:sz w:val="32"/>
          <w:szCs w:val="32"/>
        </w:rPr>
      </w:pPr>
    </w:p>
    <w:p w14:paraId="37250202">
      <w:pPr>
        <w:spacing w:line="560" w:lineRule="exact"/>
        <w:ind w:firstLine="640" w:firstLineChars="200"/>
        <w:rPr>
          <w:rFonts w:ascii="仿宋_GB2312" w:hAnsi="仿宋_GB2312" w:eastAsia="仿宋_GB2312" w:cs="仿宋_GB2312"/>
          <w:sz w:val="32"/>
          <w:szCs w:val="32"/>
        </w:rPr>
      </w:pPr>
    </w:p>
    <w:p w14:paraId="3996A262">
      <w:pPr>
        <w:spacing w:line="560" w:lineRule="exact"/>
        <w:ind w:firstLine="640" w:firstLineChars="200"/>
        <w:rPr>
          <w:rFonts w:ascii="仿宋_GB2312" w:hAnsi="仿宋_GB2312" w:eastAsia="仿宋_GB2312" w:cs="仿宋_GB2312"/>
          <w:sz w:val="32"/>
          <w:szCs w:val="32"/>
        </w:rPr>
      </w:pPr>
    </w:p>
    <w:p w14:paraId="341E9C4C">
      <w:pPr>
        <w:spacing w:line="560" w:lineRule="exact"/>
        <w:ind w:firstLine="640" w:firstLineChars="200"/>
        <w:rPr>
          <w:rFonts w:hint="eastAsia" w:ascii="仿宋_GB2312" w:hAnsi="仿宋_GB2312" w:eastAsia="仿宋_GB2312" w:cs="仿宋_GB2312"/>
          <w:sz w:val="32"/>
          <w:szCs w:val="32"/>
          <w:lang w:eastAsia="zh-CN"/>
        </w:rPr>
      </w:pPr>
    </w:p>
    <w:p w14:paraId="6E841EA1">
      <w:pPr>
        <w:spacing w:line="360" w:lineRule="auto"/>
        <w:jc w:val="center"/>
        <w:outlineLvl w:val="0"/>
        <w:rPr>
          <w:rFonts w:ascii="宋体" w:hAnsi="宋体"/>
          <w:b/>
          <w:bCs/>
          <w:sz w:val="36"/>
          <w:szCs w:val="36"/>
        </w:rPr>
      </w:pPr>
      <w:bookmarkStart w:id="397" w:name="_Toc32215"/>
    </w:p>
    <w:p w14:paraId="6FC82DB1">
      <w:pPr>
        <w:spacing w:line="360" w:lineRule="auto"/>
        <w:jc w:val="center"/>
        <w:outlineLvl w:val="0"/>
        <w:rPr>
          <w:rFonts w:ascii="宋体" w:hAnsi="宋体"/>
          <w:b/>
          <w:bCs/>
          <w:sz w:val="36"/>
          <w:szCs w:val="36"/>
        </w:rPr>
      </w:pPr>
    </w:p>
    <w:p w14:paraId="27B040C4">
      <w:pPr>
        <w:spacing w:line="360" w:lineRule="auto"/>
        <w:jc w:val="center"/>
        <w:outlineLvl w:val="0"/>
        <w:rPr>
          <w:rFonts w:ascii="宋体" w:hAnsi="宋体"/>
          <w:b/>
          <w:bCs/>
          <w:sz w:val="36"/>
          <w:szCs w:val="36"/>
        </w:rPr>
      </w:pPr>
    </w:p>
    <w:p w14:paraId="77505139">
      <w:pPr>
        <w:spacing w:line="360" w:lineRule="auto"/>
        <w:outlineLvl w:val="0"/>
        <w:rPr>
          <w:rFonts w:ascii="宋体" w:hAnsi="宋体"/>
          <w:b/>
          <w:bCs/>
          <w:sz w:val="36"/>
          <w:szCs w:val="36"/>
        </w:rPr>
      </w:pPr>
    </w:p>
    <w:p w14:paraId="59E87E0D">
      <w:pPr>
        <w:spacing w:line="360" w:lineRule="auto"/>
        <w:jc w:val="center"/>
        <w:outlineLvl w:val="0"/>
        <w:rPr>
          <w:rFonts w:ascii="宋体" w:hAnsi="宋体"/>
          <w:b/>
          <w:bCs/>
          <w:sz w:val="36"/>
          <w:szCs w:val="36"/>
        </w:rPr>
      </w:pPr>
    </w:p>
    <w:p w14:paraId="60A34627">
      <w:pPr>
        <w:spacing w:line="360" w:lineRule="auto"/>
        <w:jc w:val="center"/>
        <w:outlineLvl w:val="0"/>
        <w:rPr>
          <w:rFonts w:ascii="宋体" w:hAnsi="宋体"/>
          <w:b/>
          <w:bCs/>
          <w:sz w:val="36"/>
          <w:szCs w:val="36"/>
        </w:rPr>
      </w:pPr>
    </w:p>
    <w:p w14:paraId="58F0262A">
      <w:pPr>
        <w:spacing w:line="360" w:lineRule="auto"/>
        <w:jc w:val="center"/>
        <w:outlineLvl w:val="0"/>
        <w:rPr>
          <w:rFonts w:ascii="宋体" w:hAnsi="宋体"/>
          <w:b/>
          <w:bCs/>
          <w:sz w:val="36"/>
          <w:szCs w:val="36"/>
        </w:rPr>
      </w:pPr>
    </w:p>
    <w:p w14:paraId="6FA6A7DD">
      <w:pPr>
        <w:spacing w:line="360" w:lineRule="auto"/>
        <w:jc w:val="center"/>
        <w:outlineLvl w:val="0"/>
        <w:rPr>
          <w:rFonts w:ascii="宋体" w:hAnsi="宋体"/>
          <w:b/>
          <w:bCs/>
          <w:sz w:val="36"/>
          <w:szCs w:val="36"/>
        </w:rPr>
      </w:pPr>
    </w:p>
    <w:p w14:paraId="4D52F7E2">
      <w:pPr>
        <w:spacing w:line="360" w:lineRule="auto"/>
        <w:jc w:val="center"/>
        <w:outlineLvl w:val="0"/>
        <w:rPr>
          <w:rFonts w:ascii="宋体" w:hAnsi="宋体"/>
          <w:b/>
          <w:bCs/>
          <w:sz w:val="36"/>
          <w:szCs w:val="36"/>
        </w:rPr>
      </w:pPr>
    </w:p>
    <w:p w14:paraId="62E154B9">
      <w:pPr>
        <w:spacing w:line="360" w:lineRule="auto"/>
        <w:jc w:val="center"/>
        <w:outlineLvl w:val="0"/>
        <w:rPr>
          <w:rFonts w:ascii="宋体" w:hAnsi="宋体"/>
          <w:b/>
          <w:bCs/>
          <w:sz w:val="36"/>
          <w:szCs w:val="36"/>
        </w:rPr>
      </w:pPr>
    </w:p>
    <w:p w14:paraId="439ADBCD">
      <w:pPr>
        <w:rPr>
          <w:rFonts w:ascii="宋体" w:hAnsi="宋体"/>
          <w:b/>
          <w:bCs/>
          <w:sz w:val="36"/>
          <w:szCs w:val="36"/>
        </w:rPr>
      </w:pPr>
      <w:r>
        <w:rPr>
          <w:rFonts w:ascii="宋体" w:hAnsi="宋体"/>
          <w:b/>
          <w:bCs/>
          <w:sz w:val="36"/>
          <w:szCs w:val="36"/>
        </w:rPr>
        <w:br w:type="page"/>
      </w:r>
    </w:p>
    <w:p w14:paraId="59211627">
      <w:pPr>
        <w:spacing w:line="360" w:lineRule="auto"/>
        <w:jc w:val="both"/>
        <w:outlineLvl w:val="0"/>
        <w:rPr>
          <w:rFonts w:ascii="宋体" w:hAnsi="宋体"/>
          <w:b/>
          <w:bCs/>
          <w:sz w:val="36"/>
          <w:szCs w:val="36"/>
        </w:rPr>
      </w:pPr>
      <w:r>
        <w:drawing>
          <wp:anchor distT="0" distB="0" distL="114300" distR="114300" simplePos="0" relativeHeight="251660288" behindDoc="0" locked="0" layoutInCell="1" allowOverlap="1">
            <wp:simplePos x="0" y="0"/>
            <wp:positionH relativeFrom="column">
              <wp:posOffset>100965</wp:posOffset>
            </wp:positionH>
            <wp:positionV relativeFrom="paragraph">
              <wp:posOffset>134620</wp:posOffset>
            </wp:positionV>
            <wp:extent cx="5464810" cy="8089900"/>
            <wp:effectExtent l="0" t="0" r="2540" b="635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5464810" cy="8089900"/>
                    </a:xfrm>
                    <a:prstGeom prst="rect">
                      <a:avLst/>
                    </a:prstGeom>
                    <a:noFill/>
                    <a:ln>
                      <a:noFill/>
                    </a:ln>
                  </pic:spPr>
                </pic:pic>
              </a:graphicData>
            </a:graphic>
          </wp:anchor>
        </w:drawing>
      </w:r>
    </w:p>
    <w:p w14:paraId="188CC46B">
      <w:pPr>
        <w:spacing w:line="360" w:lineRule="auto"/>
        <w:jc w:val="center"/>
        <w:outlineLvl w:val="0"/>
        <w:rPr>
          <w:rFonts w:ascii="宋体" w:hAnsi="宋体"/>
          <w:b/>
          <w:bCs/>
          <w:sz w:val="36"/>
          <w:szCs w:val="36"/>
        </w:rPr>
      </w:pPr>
    </w:p>
    <w:p w14:paraId="4EAFD453">
      <w:pPr>
        <w:spacing w:line="360" w:lineRule="auto"/>
        <w:jc w:val="center"/>
        <w:outlineLvl w:val="0"/>
        <w:rPr>
          <w:rFonts w:ascii="宋体" w:hAnsi="宋体"/>
          <w:b/>
          <w:bCs/>
          <w:sz w:val="36"/>
          <w:szCs w:val="36"/>
        </w:rPr>
      </w:pPr>
    </w:p>
    <w:p w14:paraId="4AC7AA5B">
      <w:pPr>
        <w:spacing w:line="360" w:lineRule="auto"/>
        <w:jc w:val="center"/>
        <w:outlineLvl w:val="0"/>
        <w:rPr>
          <w:rFonts w:ascii="宋体" w:hAnsi="宋体"/>
          <w:b/>
          <w:bCs/>
          <w:sz w:val="36"/>
          <w:szCs w:val="36"/>
        </w:rPr>
      </w:pPr>
    </w:p>
    <w:p w14:paraId="79D5C38C">
      <w:pPr>
        <w:spacing w:line="360" w:lineRule="auto"/>
        <w:jc w:val="center"/>
        <w:outlineLvl w:val="0"/>
        <w:rPr>
          <w:rFonts w:ascii="宋体" w:hAnsi="宋体"/>
          <w:b/>
          <w:bCs/>
          <w:sz w:val="36"/>
          <w:szCs w:val="36"/>
        </w:rPr>
      </w:pPr>
    </w:p>
    <w:p w14:paraId="04773393">
      <w:pPr>
        <w:spacing w:line="360" w:lineRule="auto"/>
        <w:jc w:val="center"/>
        <w:outlineLvl w:val="0"/>
        <w:rPr>
          <w:rFonts w:ascii="宋体" w:hAnsi="宋体"/>
          <w:b/>
          <w:bCs/>
          <w:sz w:val="36"/>
          <w:szCs w:val="36"/>
        </w:rPr>
      </w:pPr>
    </w:p>
    <w:p w14:paraId="6F075A73">
      <w:pPr>
        <w:spacing w:line="360" w:lineRule="auto"/>
        <w:jc w:val="center"/>
        <w:outlineLvl w:val="0"/>
        <w:rPr>
          <w:rFonts w:ascii="宋体" w:hAnsi="宋体"/>
          <w:b/>
          <w:bCs/>
          <w:sz w:val="36"/>
          <w:szCs w:val="36"/>
        </w:rPr>
      </w:pPr>
    </w:p>
    <w:p w14:paraId="7CF01DCD">
      <w:pPr>
        <w:spacing w:line="360" w:lineRule="auto"/>
        <w:jc w:val="center"/>
        <w:outlineLvl w:val="0"/>
        <w:rPr>
          <w:rFonts w:ascii="宋体" w:hAnsi="宋体"/>
          <w:b/>
          <w:bCs/>
          <w:sz w:val="36"/>
          <w:szCs w:val="36"/>
        </w:rPr>
      </w:pPr>
    </w:p>
    <w:p w14:paraId="028155FA">
      <w:pPr>
        <w:spacing w:line="360" w:lineRule="auto"/>
        <w:jc w:val="center"/>
        <w:outlineLvl w:val="0"/>
        <w:rPr>
          <w:rFonts w:ascii="宋体" w:hAnsi="宋体"/>
          <w:b/>
          <w:bCs/>
          <w:sz w:val="36"/>
          <w:szCs w:val="36"/>
        </w:rPr>
      </w:pPr>
    </w:p>
    <w:p w14:paraId="0A0821AF">
      <w:pPr>
        <w:spacing w:line="360" w:lineRule="auto"/>
        <w:jc w:val="center"/>
        <w:outlineLvl w:val="0"/>
        <w:rPr>
          <w:rFonts w:ascii="宋体" w:hAnsi="宋体"/>
          <w:b/>
          <w:bCs/>
          <w:sz w:val="36"/>
          <w:szCs w:val="36"/>
        </w:rPr>
      </w:pPr>
    </w:p>
    <w:p w14:paraId="71F8955F">
      <w:pPr>
        <w:spacing w:line="360" w:lineRule="auto"/>
        <w:jc w:val="center"/>
        <w:outlineLvl w:val="0"/>
        <w:rPr>
          <w:rFonts w:ascii="宋体" w:hAnsi="宋体"/>
          <w:b/>
          <w:bCs/>
          <w:sz w:val="36"/>
          <w:szCs w:val="36"/>
        </w:rPr>
      </w:pPr>
    </w:p>
    <w:p w14:paraId="528A142C">
      <w:pPr>
        <w:spacing w:line="360" w:lineRule="auto"/>
        <w:jc w:val="center"/>
        <w:outlineLvl w:val="0"/>
        <w:rPr>
          <w:rFonts w:ascii="宋体" w:hAnsi="宋体"/>
          <w:b/>
          <w:bCs/>
          <w:sz w:val="36"/>
          <w:szCs w:val="36"/>
        </w:rPr>
      </w:pPr>
    </w:p>
    <w:p w14:paraId="01B73DF7">
      <w:pPr>
        <w:spacing w:line="360" w:lineRule="auto"/>
        <w:jc w:val="center"/>
        <w:outlineLvl w:val="0"/>
        <w:rPr>
          <w:rFonts w:ascii="宋体" w:hAnsi="宋体"/>
          <w:b/>
          <w:bCs/>
          <w:sz w:val="36"/>
          <w:szCs w:val="36"/>
        </w:rPr>
      </w:pPr>
    </w:p>
    <w:p w14:paraId="6406FE9D">
      <w:pPr>
        <w:spacing w:line="360" w:lineRule="auto"/>
        <w:jc w:val="center"/>
        <w:outlineLvl w:val="0"/>
        <w:rPr>
          <w:rFonts w:ascii="宋体" w:hAnsi="宋体"/>
          <w:b/>
          <w:bCs/>
          <w:sz w:val="36"/>
          <w:szCs w:val="36"/>
        </w:rPr>
      </w:pPr>
    </w:p>
    <w:p w14:paraId="7E24C83D">
      <w:pPr>
        <w:spacing w:line="360" w:lineRule="auto"/>
        <w:jc w:val="center"/>
        <w:outlineLvl w:val="0"/>
        <w:rPr>
          <w:rFonts w:ascii="宋体" w:hAnsi="宋体"/>
          <w:b/>
          <w:bCs/>
          <w:sz w:val="36"/>
          <w:szCs w:val="36"/>
        </w:rPr>
      </w:pPr>
    </w:p>
    <w:p w14:paraId="49A8441B">
      <w:pPr>
        <w:spacing w:line="360" w:lineRule="auto"/>
        <w:jc w:val="center"/>
        <w:outlineLvl w:val="0"/>
        <w:rPr>
          <w:rFonts w:ascii="宋体" w:hAnsi="宋体"/>
          <w:b/>
          <w:bCs/>
          <w:sz w:val="36"/>
          <w:szCs w:val="36"/>
        </w:rPr>
      </w:pPr>
    </w:p>
    <w:p w14:paraId="47E250AF">
      <w:pPr>
        <w:spacing w:line="360" w:lineRule="auto"/>
        <w:jc w:val="center"/>
        <w:outlineLvl w:val="0"/>
        <w:rPr>
          <w:rFonts w:ascii="宋体" w:hAnsi="宋体"/>
          <w:b/>
          <w:bCs/>
          <w:sz w:val="36"/>
          <w:szCs w:val="36"/>
        </w:rPr>
      </w:pPr>
    </w:p>
    <w:p w14:paraId="429BF8F0">
      <w:pPr>
        <w:spacing w:line="360" w:lineRule="auto"/>
        <w:jc w:val="center"/>
        <w:outlineLvl w:val="0"/>
        <w:rPr>
          <w:rFonts w:ascii="宋体" w:hAnsi="宋体"/>
          <w:b/>
          <w:bCs/>
          <w:sz w:val="36"/>
          <w:szCs w:val="36"/>
        </w:rPr>
      </w:pPr>
    </w:p>
    <w:p w14:paraId="0F346B45">
      <w:pPr>
        <w:spacing w:line="360" w:lineRule="auto"/>
        <w:jc w:val="center"/>
        <w:outlineLvl w:val="0"/>
        <w:rPr>
          <w:rFonts w:ascii="宋体" w:hAnsi="宋体"/>
          <w:b/>
          <w:bCs/>
          <w:sz w:val="36"/>
          <w:szCs w:val="36"/>
        </w:rPr>
      </w:pPr>
    </w:p>
    <w:p w14:paraId="32B7BC03">
      <w:pPr>
        <w:spacing w:line="360" w:lineRule="auto"/>
        <w:jc w:val="center"/>
        <w:outlineLvl w:val="0"/>
        <w:rPr>
          <w:rFonts w:ascii="宋体" w:hAnsi="宋体"/>
          <w:b/>
          <w:bCs/>
          <w:sz w:val="36"/>
          <w:szCs w:val="36"/>
        </w:rPr>
      </w:pPr>
    </w:p>
    <w:p w14:paraId="4B25CFA9">
      <w:pPr>
        <w:spacing w:line="360" w:lineRule="auto"/>
        <w:jc w:val="center"/>
        <w:outlineLvl w:val="0"/>
        <w:rPr>
          <w:rFonts w:ascii="宋体" w:hAnsi="宋体"/>
          <w:b/>
          <w:bCs/>
          <w:sz w:val="36"/>
          <w:szCs w:val="36"/>
        </w:rPr>
      </w:pPr>
    </w:p>
    <w:p w14:paraId="01984584">
      <w:pPr>
        <w:spacing w:line="360" w:lineRule="auto"/>
        <w:jc w:val="center"/>
        <w:outlineLvl w:val="0"/>
        <w:rPr>
          <w:rFonts w:ascii="宋体" w:hAnsi="宋体"/>
          <w:b/>
          <w:bCs/>
          <w:sz w:val="36"/>
          <w:szCs w:val="36"/>
        </w:rPr>
      </w:pPr>
    </w:p>
    <w:p w14:paraId="0FC65552">
      <w:pPr>
        <w:rPr>
          <w:rFonts w:ascii="宋体" w:hAnsi="宋体"/>
          <w:b/>
          <w:bCs/>
          <w:sz w:val="36"/>
          <w:szCs w:val="36"/>
        </w:rPr>
      </w:pPr>
    </w:p>
    <w:p w14:paraId="3AE07923">
      <w:pPr>
        <w:spacing w:line="360" w:lineRule="auto"/>
        <w:jc w:val="center"/>
        <w:outlineLvl w:val="0"/>
        <w:rPr>
          <w:rFonts w:ascii="宋体" w:hAnsi="宋体"/>
          <w:b/>
          <w:bCs/>
          <w:sz w:val="24"/>
        </w:rPr>
      </w:pPr>
      <w:r>
        <w:rPr>
          <w:rFonts w:hint="eastAsia" w:ascii="宋体" w:hAnsi="宋体"/>
          <w:b/>
          <w:bCs/>
          <w:sz w:val="36"/>
          <w:szCs w:val="36"/>
        </w:rPr>
        <w:t>第四章  评审办法</w:t>
      </w:r>
      <w:bookmarkEnd w:id="392"/>
      <w:bookmarkEnd w:id="393"/>
      <w:bookmarkEnd w:id="394"/>
      <w:bookmarkEnd w:id="397"/>
    </w:p>
    <w:p w14:paraId="34CE0294">
      <w:pPr>
        <w:autoSpaceDE w:val="0"/>
        <w:autoSpaceDN w:val="0"/>
        <w:adjustRightInd w:val="0"/>
        <w:spacing w:line="480" w:lineRule="exact"/>
        <w:ind w:firstLine="482" w:firstLineChars="200"/>
        <w:rPr>
          <w:rFonts w:ascii="宋体" w:hAnsi="宋体" w:cs="宋体"/>
          <w:color w:val="000000"/>
          <w:kern w:val="0"/>
          <w:sz w:val="24"/>
        </w:rPr>
      </w:pPr>
      <w:r>
        <w:rPr>
          <w:rFonts w:hint="eastAsia" w:ascii="宋体" w:hAnsi="宋体" w:cs="宋体"/>
          <w:b/>
          <w:color w:val="000000"/>
          <w:kern w:val="0"/>
          <w:sz w:val="24"/>
        </w:rPr>
        <w:t>1、本次评标采用综合评估法。</w:t>
      </w:r>
      <w:r>
        <w:rPr>
          <w:rFonts w:hint="eastAsia" w:ascii="宋体" w:hAnsi="宋体" w:cs="宋体"/>
          <w:color w:val="000000"/>
          <w:kern w:val="0"/>
          <w:sz w:val="24"/>
        </w:rPr>
        <w:t>磋商小组对满足磋商文件实质性要求和提交最终报价的响应文件，按本章节规定的评分标准进行综合评分，并按得分由高到低顺序推荐1-3名中标候选人。</w:t>
      </w:r>
    </w:p>
    <w:p w14:paraId="01635E7B">
      <w:pPr>
        <w:autoSpaceDE w:val="0"/>
        <w:autoSpaceDN w:val="0"/>
        <w:adjustRightInd w:val="0"/>
        <w:spacing w:line="480" w:lineRule="exact"/>
        <w:ind w:firstLine="482" w:firstLineChars="200"/>
        <w:rPr>
          <w:rFonts w:ascii="宋体" w:hAnsi="宋体" w:cs="宋体"/>
          <w:b/>
          <w:color w:val="000000"/>
          <w:kern w:val="0"/>
          <w:sz w:val="24"/>
        </w:rPr>
      </w:pPr>
      <w:r>
        <w:rPr>
          <w:rFonts w:hint="eastAsia" w:ascii="宋体" w:hAnsi="宋体" w:cs="宋体"/>
          <w:b/>
          <w:color w:val="000000"/>
          <w:kern w:val="0"/>
          <w:sz w:val="24"/>
        </w:rPr>
        <w:t>2、评审标准</w:t>
      </w:r>
    </w:p>
    <w:p w14:paraId="348C1C1D">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2.1 初步评审标准</w:t>
      </w:r>
    </w:p>
    <w:p w14:paraId="45D2569A">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2.1.1 资格评审标准：见资格评审表。</w:t>
      </w:r>
    </w:p>
    <w:p w14:paraId="3E6752E1">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2.1.2 符合性评审标准：见符合性评审表。</w:t>
      </w:r>
    </w:p>
    <w:p w14:paraId="4DD950C6">
      <w:pPr>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2.1.3</w:t>
      </w:r>
      <w:r>
        <w:rPr>
          <w:rFonts w:hint="eastAsia" w:ascii="宋体" w:hAnsi="宋体"/>
          <w:sz w:val="24"/>
        </w:rPr>
        <w:t>实质性响应评审标准：见实质性评审表</w:t>
      </w:r>
    </w:p>
    <w:p w14:paraId="008312B3">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2.2 分值构成与评分标准</w:t>
      </w:r>
    </w:p>
    <w:p w14:paraId="2E05BE2E">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2.2.1 分值构成</w:t>
      </w:r>
    </w:p>
    <w:p w14:paraId="55D32E4E">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1）报价得分权重占10%</w:t>
      </w:r>
    </w:p>
    <w:p w14:paraId="2F18FDAB">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2）技术标的权重占60%</w:t>
      </w:r>
    </w:p>
    <w:p w14:paraId="5ABCEEBC">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3）综合标的权重占30%</w:t>
      </w:r>
    </w:p>
    <w:p w14:paraId="7A2DA632">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2.2.2 评分标准：见</w:t>
      </w:r>
      <w:r>
        <w:rPr>
          <w:rFonts w:hint="eastAsia" w:ascii="宋体" w:hAnsi="宋体" w:cs="宋体"/>
          <w:bCs/>
          <w:sz w:val="24"/>
          <w:szCs w:val="20"/>
        </w:rPr>
        <w:t>详细评审</w:t>
      </w:r>
      <w:r>
        <w:rPr>
          <w:rFonts w:hint="eastAsia" w:ascii="宋体" w:hAnsi="宋体" w:cs="宋体"/>
          <w:color w:val="000000"/>
          <w:kern w:val="0"/>
          <w:sz w:val="24"/>
        </w:rPr>
        <w:t>表。</w:t>
      </w:r>
    </w:p>
    <w:p w14:paraId="57FF50E2">
      <w:pPr>
        <w:autoSpaceDE w:val="0"/>
        <w:autoSpaceDN w:val="0"/>
        <w:adjustRightInd w:val="0"/>
        <w:spacing w:line="480" w:lineRule="exact"/>
        <w:ind w:firstLine="482" w:firstLineChars="200"/>
        <w:rPr>
          <w:rFonts w:ascii="宋体" w:hAnsi="宋体" w:cs="宋体"/>
          <w:b/>
          <w:color w:val="000000"/>
          <w:kern w:val="0"/>
          <w:sz w:val="24"/>
        </w:rPr>
      </w:pPr>
      <w:r>
        <w:rPr>
          <w:rFonts w:hint="eastAsia" w:ascii="宋体" w:hAnsi="宋体" w:cs="宋体"/>
          <w:b/>
          <w:color w:val="000000"/>
          <w:kern w:val="0"/>
          <w:sz w:val="24"/>
        </w:rPr>
        <w:t>3、评标程序</w:t>
      </w:r>
    </w:p>
    <w:p w14:paraId="538E27AE">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3.1 初步评审</w:t>
      </w:r>
    </w:p>
    <w:p w14:paraId="77F6748D">
      <w:pPr>
        <w:widowControl/>
        <w:spacing w:line="480" w:lineRule="exact"/>
        <w:ind w:firstLine="480" w:firstLineChars="200"/>
        <w:jc w:val="left"/>
        <w:rPr>
          <w:rFonts w:ascii="宋体" w:hAnsi="宋体" w:cs="宋体"/>
          <w:sz w:val="24"/>
        </w:rPr>
      </w:pPr>
      <w:r>
        <w:rPr>
          <w:rFonts w:hint="eastAsia" w:ascii="宋体" w:hAnsi="宋体" w:cs="宋体"/>
          <w:sz w:val="24"/>
        </w:rPr>
        <w:t>3.1.1磋商小组依据本章第2.1款规定的标准对响应文件进行初步评审。有一项不符合评审标准的，其投标将被否决。</w:t>
      </w:r>
    </w:p>
    <w:p w14:paraId="6803D14F">
      <w:pPr>
        <w:widowControl/>
        <w:spacing w:line="480" w:lineRule="exact"/>
        <w:ind w:firstLine="480" w:firstLineChars="200"/>
        <w:jc w:val="left"/>
        <w:rPr>
          <w:rFonts w:ascii="宋体" w:hAnsi="宋体" w:cs="宋体"/>
          <w:sz w:val="24"/>
        </w:rPr>
      </w:pPr>
      <w:r>
        <w:rPr>
          <w:rFonts w:hint="eastAsia" w:ascii="宋体" w:hAnsi="宋体" w:cs="宋体"/>
          <w:sz w:val="24"/>
        </w:rPr>
        <w:t>3.1.2 磋商小组依据本章第2.1.1项、第2.1.2项、第2.1.3项规定的评审标准对响应文件进行初步评审。有一项不符合评审标准的，其投标将被否决。</w:t>
      </w:r>
    </w:p>
    <w:p w14:paraId="3AA4B36B">
      <w:pPr>
        <w:widowControl/>
        <w:spacing w:line="480" w:lineRule="exact"/>
        <w:ind w:firstLine="480" w:firstLineChars="200"/>
        <w:jc w:val="left"/>
        <w:rPr>
          <w:rFonts w:ascii="宋体" w:hAnsi="宋体" w:cs="宋体"/>
          <w:sz w:val="24"/>
        </w:rPr>
      </w:pPr>
      <w:r>
        <w:rPr>
          <w:rFonts w:hint="eastAsia" w:ascii="宋体" w:hAnsi="宋体" w:cs="宋体"/>
          <w:sz w:val="24"/>
        </w:rPr>
        <w:t>3.1.3 供应商有以下情形之一的，其投标作无效标处理：</w:t>
      </w:r>
    </w:p>
    <w:p w14:paraId="0179B06C">
      <w:pPr>
        <w:widowControl/>
        <w:spacing w:line="480" w:lineRule="exact"/>
        <w:ind w:firstLine="480" w:firstLineChars="200"/>
        <w:jc w:val="left"/>
        <w:rPr>
          <w:rFonts w:ascii="宋体" w:hAnsi="宋体" w:cs="宋体"/>
          <w:sz w:val="24"/>
        </w:rPr>
      </w:pPr>
      <w:r>
        <w:rPr>
          <w:rFonts w:hint="eastAsia" w:ascii="宋体" w:hAnsi="宋体" w:cs="宋体"/>
          <w:sz w:val="24"/>
        </w:rPr>
        <w:t>1）串通投标或弄虚作假或有其他违法行为的；</w:t>
      </w:r>
    </w:p>
    <w:p w14:paraId="39FE8E40">
      <w:pPr>
        <w:widowControl/>
        <w:spacing w:line="480" w:lineRule="exact"/>
        <w:ind w:firstLine="480" w:firstLineChars="200"/>
        <w:jc w:val="left"/>
        <w:rPr>
          <w:rFonts w:ascii="宋体" w:hAnsi="宋体" w:cs="宋体"/>
          <w:sz w:val="24"/>
        </w:rPr>
      </w:pPr>
      <w:r>
        <w:rPr>
          <w:rFonts w:hint="eastAsia" w:ascii="宋体" w:hAnsi="宋体" w:cs="宋体"/>
          <w:sz w:val="24"/>
        </w:rPr>
        <w:t>2）不按磋商小组要求澄清、说明或补正的。</w:t>
      </w:r>
    </w:p>
    <w:p w14:paraId="4DAA6EB4">
      <w:pPr>
        <w:widowControl/>
        <w:spacing w:line="480" w:lineRule="exact"/>
        <w:ind w:firstLine="480" w:firstLineChars="200"/>
        <w:jc w:val="left"/>
        <w:rPr>
          <w:rFonts w:ascii="宋体" w:hAnsi="宋体" w:cs="宋体"/>
          <w:sz w:val="24"/>
        </w:rPr>
      </w:pPr>
      <w:r>
        <w:rPr>
          <w:rFonts w:hint="eastAsia" w:ascii="宋体" w:hAnsi="宋体" w:cs="宋体"/>
          <w:sz w:val="24"/>
        </w:rPr>
        <w:t>3.1.4 投标报价有算术错误的，磋商小组按以下原则对投标报价进行修正，修正的价格经供应商书面确认后具有约束力。供应商不接受修正价格的，其投标将被否决。</w:t>
      </w:r>
    </w:p>
    <w:p w14:paraId="0D08F261">
      <w:pPr>
        <w:widowControl/>
        <w:spacing w:line="480" w:lineRule="exact"/>
        <w:ind w:firstLine="480" w:firstLineChars="200"/>
        <w:jc w:val="left"/>
        <w:rPr>
          <w:rFonts w:ascii="宋体" w:hAnsi="宋体" w:cs="宋体"/>
          <w:sz w:val="24"/>
        </w:rPr>
      </w:pPr>
      <w:r>
        <w:rPr>
          <w:rFonts w:hint="eastAsia" w:ascii="宋体" w:hAnsi="宋体" w:cs="宋体"/>
          <w:sz w:val="24"/>
        </w:rPr>
        <w:t>1）响应文件中的大写金额与小写金额不一致的，以大写金额为准；</w:t>
      </w:r>
    </w:p>
    <w:p w14:paraId="38CBD5AE">
      <w:pPr>
        <w:widowControl/>
        <w:spacing w:line="480" w:lineRule="exact"/>
        <w:ind w:firstLine="480" w:firstLineChars="200"/>
        <w:jc w:val="left"/>
        <w:rPr>
          <w:rFonts w:ascii="宋体" w:hAnsi="宋体" w:cs="宋体"/>
          <w:sz w:val="24"/>
        </w:rPr>
      </w:pPr>
      <w:r>
        <w:rPr>
          <w:rFonts w:hint="eastAsia" w:ascii="宋体" w:hAnsi="宋体" w:cs="宋体"/>
          <w:sz w:val="24"/>
        </w:rPr>
        <w:t>2）总价金额与依据单价计算出的结果不一致的，以单价金额为准修正总价，但单价金额小数点有明显错误的除外。</w:t>
      </w:r>
    </w:p>
    <w:p w14:paraId="12996365">
      <w:pPr>
        <w:autoSpaceDE w:val="0"/>
        <w:autoSpaceDN w:val="0"/>
        <w:adjustRightInd w:val="0"/>
        <w:spacing w:line="480" w:lineRule="exact"/>
        <w:ind w:firstLine="480" w:firstLineChars="200"/>
        <w:rPr>
          <w:rFonts w:ascii="宋体" w:hAnsi="宋体" w:cs="宋体"/>
          <w:color w:val="000000"/>
          <w:kern w:val="0"/>
          <w:sz w:val="24"/>
        </w:rPr>
      </w:pPr>
      <w:r>
        <w:rPr>
          <w:rFonts w:hint="eastAsia" w:ascii="宋体" w:hAnsi="宋体" w:cs="宋体"/>
          <w:color w:val="000000"/>
          <w:kern w:val="0"/>
          <w:sz w:val="24"/>
        </w:rPr>
        <w:t>3.2 详细评审</w:t>
      </w:r>
    </w:p>
    <w:p w14:paraId="626D7A89">
      <w:pPr>
        <w:widowControl/>
        <w:spacing w:line="480" w:lineRule="exact"/>
        <w:ind w:firstLine="480" w:firstLineChars="200"/>
        <w:jc w:val="left"/>
        <w:rPr>
          <w:rFonts w:ascii="宋体" w:hAnsi="宋体" w:cs="宋体"/>
          <w:sz w:val="24"/>
        </w:rPr>
      </w:pPr>
      <w:r>
        <w:rPr>
          <w:rFonts w:hint="eastAsia" w:ascii="宋体" w:hAnsi="宋体" w:cs="宋体"/>
          <w:sz w:val="24"/>
        </w:rPr>
        <w:t>3.2.1 磋商小组按本章第2.2.2款规定的量化因素和分值进行打分，并计算出综合评估得分。</w:t>
      </w:r>
    </w:p>
    <w:p w14:paraId="08A5218B">
      <w:pPr>
        <w:widowControl/>
        <w:spacing w:line="480" w:lineRule="exact"/>
        <w:ind w:firstLine="480" w:firstLineChars="200"/>
        <w:jc w:val="left"/>
        <w:rPr>
          <w:rFonts w:ascii="宋体" w:hAnsi="宋体" w:cs="宋体"/>
          <w:sz w:val="24"/>
        </w:rPr>
      </w:pPr>
      <w:r>
        <w:rPr>
          <w:rFonts w:hint="eastAsia" w:ascii="宋体" w:hAnsi="宋体" w:cs="宋体"/>
          <w:sz w:val="24"/>
        </w:rPr>
        <w:t>3.2.2 磋商小组发现供应商最终提交的报价明显低于其他投标报价，或者在设有标底时明显低于标底，使得其投标报价可能低于其个别成本的，应当要求该供应商作出书面说明并提供相应的证明材料。供应商不能合理说明或者不能提供相应证明材料的，由磋商小组认定该供应商以低于成本报价竞标，其投标作无效标处理。</w:t>
      </w:r>
    </w:p>
    <w:p w14:paraId="2F20507B">
      <w:pPr>
        <w:widowControl/>
        <w:spacing w:line="480" w:lineRule="exact"/>
        <w:ind w:firstLine="480" w:firstLineChars="200"/>
        <w:jc w:val="left"/>
        <w:rPr>
          <w:rFonts w:ascii="宋体" w:hAnsi="宋体" w:cs="宋体"/>
          <w:sz w:val="24"/>
        </w:rPr>
      </w:pPr>
      <w:r>
        <w:rPr>
          <w:rFonts w:hint="eastAsia" w:ascii="宋体" w:hAnsi="宋体" w:cs="宋体"/>
          <w:sz w:val="24"/>
        </w:rPr>
        <w:t>3.3 响应文件的澄清和补正</w:t>
      </w:r>
    </w:p>
    <w:p w14:paraId="640BA549">
      <w:pPr>
        <w:widowControl/>
        <w:spacing w:line="480" w:lineRule="exact"/>
        <w:ind w:firstLine="480" w:firstLineChars="200"/>
        <w:jc w:val="left"/>
        <w:rPr>
          <w:rFonts w:ascii="宋体" w:hAnsi="宋体" w:cs="宋体"/>
          <w:sz w:val="24"/>
        </w:rPr>
      </w:pPr>
      <w:r>
        <w:rPr>
          <w:rFonts w:hint="eastAsia" w:ascii="宋体" w:hAnsi="宋体" w:cs="宋体"/>
          <w:sz w:val="24"/>
        </w:rPr>
        <w:t>3.3.1在评标过程中，磋商小组可以书面形式要求供应商对所提交响应文件中不明确的内容进行书面澄清或说明，或者对细微偏差进行补正。磋商小组不接受供应商主动提出的澄清、说明或补正。</w:t>
      </w:r>
    </w:p>
    <w:p w14:paraId="6A20A435">
      <w:pPr>
        <w:widowControl/>
        <w:spacing w:line="480" w:lineRule="exact"/>
        <w:ind w:firstLine="480" w:firstLineChars="200"/>
        <w:jc w:val="left"/>
        <w:rPr>
          <w:rFonts w:ascii="宋体" w:hAnsi="宋体" w:cs="宋体"/>
          <w:sz w:val="24"/>
        </w:rPr>
      </w:pPr>
      <w:r>
        <w:rPr>
          <w:rFonts w:hint="eastAsia" w:ascii="宋体" w:hAnsi="宋体" w:cs="宋体"/>
          <w:sz w:val="24"/>
        </w:rPr>
        <w:t>3.3.2 澄清、说明和补正不得改变响应文件的实质性内容（算术性错误修正的除外）。供应商的书面澄清、说明和补正属于响应文件的组成部分。</w:t>
      </w:r>
    </w:p>
    <w:p w14:paraId="0D0236C8">
      <w:pPr>
        <w:widowControl/>
        <w:spacing w:line="480" w:lineRule="exact"/>
        <w:ind w:firstLine="480" w:firstLineChars="200"/>
        <w:jc w:val="left"/>
        <w:rPr>
          <w:rFonts w:ascii="宋体" w:hAnsi="宋体" w:cs="宋体"/>
          <w:sz w:val="24"/>
        </w:rPr>
      </w:pPr>
      <w:r>
        <w:rPr>
          <w:rFonts w:hint="eastAsia" w:ascii="宋体" w:hAnsi="宋体" w:cs="宋体"/>
          <w:sz w:val="24"/>
        </w:rPr>
        <w:t>3.3.3 磋商小组对供应商提交的澄清、说明或补正有疑问的，可以要求供应商进一步澄清、说明或补正，直至满足磋商小组的要求。</w:t>
      </w:r>
    </w:p>
    <w:p w14:paraId="1B03A016">
      <w:pPr>
        <w:widowControl/>
        <w:spacing w:line="480" w:lineRule="exact"/>
        <w:ind w:firstLine="480" w:firstLineChars="200"/>
        <w:jc w:val="left"/>
        <w:rPr>
          <w:rFonts w:ascii="宋体" w:hAnsi="宋体" w:cs="宋体"/>
          <w:sz w:val="24"/>
        </w:rPr>
      </w:pPr>
      <w:r>
        <w:rPr>
          <w:rFonts w:hint="eastAsia" w:ascii="宋体" w:hAnsi="宋体" w:cs="宋体"/>
          <w:sz w:val="24"/>
        </w:rPr>
        <w:t>3.4 供应商有以下情形之一的，其投标作无效标处理：</w:t>
      </w:r>
    </w:p>
    <w:p w14:paraId="41E9D27C">
      <w:pPr>
        <w:widowControl/>
        <w:spacing w:line="480" w:lineRule="exact"/>
        <w:ind w:firstLine="480" w:firstLineChars="200"/>
        <w:jc w:val="left"/>
        <w:rPr>
          <w:rFonts w:ascii="宋体" w:hAnsi="宋体" w:cs="宋体"/>
          <w:sz w:val="24"/>
        </w:rPr>
      </w:pPr>
      <w:r>
        <w:rPr>
          <w:rFonts w:hint="eastAsia" w:ascii="宋体" w:hAnsi="宋体" w:cs="宋体"/>
          <w:sz w:val="24"/>
        </w:rPr>
        <w:t>1）串通投标或弄虚作假或有其他违法行为的；</w:t>
      </w:r>
    </w:p>
    <w:p w14:paraId="5E53360C">
      <w:pPr>
        <w:widowControl/>
        <w:spacing w:line="480" w:lineRule="exact"/>
        <w:ind w:firstLine="480" w:firstLineChars="200"/>
        <w:jc w:val="left"/>
        <w:rPr>
          <w:rFonts w:ascii="宋体" w:hAnsi="宋体" w:cs="宋体"/>
          <w:sz w:val="24"/>
        </w:rPr>
      </w:pPr>
      <w:r>
        <w:rPr>
          <w:rFonts w:hint="eastAsia" w:ascii="宋体" w:hAnsi="宋体" w:cs="宋体"/>
          <w:sz w:val="24"/>
        </w:rPr>
        <w:t>2）附加不可接受条件：投标文件含采购人不能接受的保留或偏离。</w:t>
      </w:r>
    </w:p>
    <w:p w14:paraId="40772160">
      <w:pPr>
        <w:widowControl/>
        <w:spacing w:line="480" w:lineRule="exact"/>
        <w:ind w:firstLine="480" w:firstLineChars="200"/>
        <w:jc w:val="left"/>
        <w:rPr>
          <w:rFonts w:ascii="宋体" w:hAnsi="宋体" w:cs="宋体"/>
          <w:sz w:val="24"/>
        </w:rPr>
      </w:pPr>
      <w:r>
        <w:rPr>
          <w:rFonts w:hint="eastAsia" w:ascii="宋体" w:hAnsi="宋体" w:cs="宋体"/>
          <w:sz w:val="24"/>
        </w:rPr>
        <w:t>3）不按磋商小组要求澄清、说明或补正的。</w:t>
      </w:r>
    </w:p>
    <w:p w14:paraId="49E1C807">
      <w:pPr>
        <w:spacing w:line="360" w:lineRule="auto"/>
        <w:ind w:firstLine="480" w:firstLineChars="200"/>
        <w:rPr>
          <w:rFonts w:ascii="宋体" w:hAnsi="宋体"/>
          <w:color w:val="000000"/>
          <w:sz w:val="24"/>
        </w:rPr>
      </w:pPr>
      <w:r>
        <w:rPr>
          <w:rFonts w:hint="eastAsia" w:ascii="宋体" w:hAnsi="宋体"/>
          <w:color w:val="000000"/>
          <w:sz w:val="24"/>
        </w:rPr>
        <w:t>3.5有下列情况之一者，为无效分：</w:t>
      </w:r>
    </w:p>
    <w:p w14:paraId="7AA36205">
      <w:pPr>
        <w:spacing w:line="360" w:lineRule="auto"/>
        <w:ind w:firstLine="480" w:firstLineChars="200"/>
        <w:rPr>
          <w:rFonts w:ascii="宋体" w:hAnsi="宋体"/>
          <w:color w:val="000000"/>
          <w:sz w:val="24"/>
        </w:rPr>
      </w:pPr>
      <w:r>
        <w:rPr>
          <w:rFonts w:hint="eastAsia" w:ascii="宋体" w:hAnsi="宋体"/>
          <w:color w:val="000000"/>
          <w:sz w:val="24"/>
        </w:rPr>
        <w:t>1）计分高出规定最高或最低分的，计分明显不合理的；</w:t>
      </w:r>
    </w:p>
    <w:p w14:paraId="07E9D6EE">
      <w:pPr>
        <w:spacing w:line="360" w:lineRule="auto"/>
        <w:ind w:firstLine="480" w:firstLineChars="200"/>
        <w:rPr>
          <w:rFonts w:ascii="宋体" w:hAnsi="宋体"/>
          <w:color w:val="000000"/>
          <w:sz w:val="24"/>
        </w:rPr>
      </w:pPr>
      <w:r>
        <w:rPr>
          <w:rFonts w:hint="eastAsia" w:ascii="宋体" w:hAnsi="宋体"/>
          <w:color w:val="000000"/>
          <w:sz w:val="24"/>
        </w:rPr>
        <w:t>2）一个计分内容出现两个或两个以上计分的；</w:t>
      </w:r>
    </w:p>
    <w:p w14:paraId="0CDA7523">
      <w:pPr>
        <w:spacing w:line="360" w:lineRule="auto"/>
        <w:ind w:firstLine="480" w:firstLineChars="200"/>
        <w:rPr>
          <w:rFonts w:ascii="宋体" w:hAnsi="宋体" w:cs="宋体"/>
          <w:sz w:val="24"/>
        </w:rPr>
      </w:pPr>
      <w:r>
        <w:rPr>
          <w:rFonts w:hint="eastAsia" w:ascii="宋体" w:hAnsi="宋体"/>
          <w:color w:val="000000"/>
          <w:sz w:val="24"/>
        </w:rPr>
        <w:t>3）其它未按本规定要求计分的。</w:t>
      </w:r>
    </w:p>
    <w:p w14:paraId="3FA2068B">
      <w:pPr>
        <w:widowControl/>
        <w:spacing w:line="480" w:lineRule="exact"/>
        <w:ind w:firstLine="480" w:firstLineChars="200"/>
        <w:jc w:val="left"/>
        <w:rPr>
          <w:rFonts w:ascii="宋体" w:hAnsi="宋体" w:cs="宋体"/>
          <w:sz w:val="24"/>
        </w:rPr>
      </w:pPr>
      <w:r>
        <w:rPr>
          <w:rFonts w:hint="eastAsia" w:ascii="宋体" w:hAnsi="宋体" w:cs="宋体"/>
          <w:sz w:val="24"/>
        </w:rPr>
        <w:t>3.6供应商的最总得分</w:t>
      </w:r>
    </w:p>
    <w:p w14:paraId="4835B368">
      <w:pPr>
        <w:snapToGrid w:val="0"/>
        <w:spacing w:line="460" w:lineRule="exact"/>
        <w:ind w:left="1" w:firstLine="480" w:firstLineChars="200"/>
        <w:rPr>
          <w:rFonts w:ascii="宋体" w:hAnsi="宋体" w:cs="宋体"/>
          <w:sz w:val="24"/>
        </w:rPr>
      </w:pPr>
      <w:r>
        <w:rPr>
          <w:rFonts w:hint="eastAsia" w:ascii="宋体" w:hAnsi="宋体" w:cs="宋体"/>
          <w:sz w:val="24"/>
        </w:rPr>
        <w:t>磋商小组完成对技术标、商务标和综合标的汇总后，磋商响应供应商最终得分=磋商报价得分+技术标评审得分+商务标评审得分。计算分值均保留两位小数。</w:t>
      </w:r>
    </w:p>
    <w:p w14:paraId="5EFF9B09">
      <w:pPr>
        <w:widowControl/>
        <w:spacing w:line="480" w:lineRule="exact"/>
        <w:ind w:firstLine="480" w:firstLineChars="200"/>
        <w:jc w:val="left"/>
        <w:rPr>
          <w:rFonts w:ascii="宋体" w:hAnsi="宋体" w:cs="宋体"/>
          <w:sz w:val="24"/>
        </w:rPr>
      </w:pPr>
      <w:r>
        <w:rPr>
          <w:rFonts w:hint="eastAsia" w:ascii="宋体" w:hAnsi="宋体" w:cs="宋体"/>
          <w:sz w:val="24"/>
        </w:rPr>
        <w:t>3.7 评标结果</w:t>
      </w:r>
    </w:p>
    <w:p w14:paraId="75EC87B7">
      <w:pPr>
        <w:widowControl/>
        <w:spacing w:line="480" w:lineRule="exact"/>
        <w:ind w:firstLine="480" w:firstLineChars="200"/>
        <w:jc w:val="left"/>
        <w:rPr>
          <w:rFonts w:ascii="宋体" w:hAnsi="宋体" w:cs="宋体"/>
          <w:sz w:val="24"/>
        </w:rPr>
      </w:pPr>
      <w:r>
        <w:rPr>
          <w:rFonts w:hint="eastAsia" w:ascii="宋体" w:hAnsi="宋体" w:cs="宋体"/>
          <w:sz w:val="24"/>
        </w:rPr>
        <w:t>除采购人授权直接确定中标人外，磋商小组按照得分由高到低的顺序推荐1-3家中标候选人，并形成评审报告。</w:t>
      </w:r>
    </w:p>
    <w:p w14:paraId="14008432">
      <w:pPr>
        <w:widowControl/>
        <w:spacing w:line="480" w:lineRule="exact"/>
        <w:ind w:firstLine="480" w:firstLineChars="200"/>
        <w:jc w:val="left"/>
        <w:rPr>
          <w:rFonts w:ascii="宋体" w:hAnsi="宋体" w:cs="宋体"/>
          <w:sz w:val="24"/>
        </w:rPr>
      </w:pPr>
      <w:r>
        <w:rPr>
          <w:rFonts w:hint="eastAsia" w:ascii="宋体" w:hAnsi="宋体" w:cs="宋体"/>
          <w:sz w:val="24"/>
        </w:rPr>
        <w:t>若不同供应商的综合得分相同时：</w:t>
      </w:r>
    </w:p>
    <w:p w14:paraId="044C5EB2">
      <w:pPr>
        <w:widowControl/>
        <w:spacing w:line="480" w:lineRule="exact"/>
        <w:ind w:firstLine="480" w:firstLineChars="200"/>
        <w:jc w:val="left"/>
        <w:rPr>
          <w:rFonts w:ascii="宋体" w:hAnsi="宋体" w:cs="宋体"/>
          <w:sz w:val="24"/>
        </w:rPr>
      </w:pPr>
      <w:r>
        <w:rPr>
          <w:rFonts w:hint="eastAsia" w:ascii="宋体" w:hAnsi="宋体" w:cs="宋体"/>
          <w:sz w:val="24"/>
        </w:rPr>
        <w:t>1）按“技术部分”得分由高到低顺序排序；</w:t>
      </w:r>
    </w:p>
    <w:p w14:paraId="58211C9E">
      <w:pPr>
        <w:spacing w:line="360" w:lineRule="auto"/>
        <w:ind w:firstLine="480" w:firstLineChars="200"/>
        <w:rPr>
          <w:rFonts w:ascii="宋体" w:hAnsi="宋体"/>
          <w:b/>
          <w:color w:val="000000"/>
          <w:sz w:val="24"/>
        </w:rPr>
      </w:pPr>
      <w:r>
        <w:rPr>
          <w:rFonts w:hint="eastAsia" w:ascii="宋体" w:hAnsi="宋体" w:cs="宋体"/>
          <w:sz w:val="24"/>
        </w:rPr>
        <w:t>2）若“技术部分”得分仍相同，按“综合部分”得分由高到低顺序排序。</w:t>
      </w:r>
    </w:p>
    <w:p w14:paraId="33A947FD">
      <w:pPr>
        <w:spacing w:line="360" w:lineRule="auto"/>
        <w:ind w:firstLine="480" w:firstLineChars="200"/>
        <w:rPr>
          <w:rFonts w:ascii="宋体" w:hAnsi="宋体"/>
          <w:color w:val="000000"/>
          <w:sz w:val="24"/>
        </w:rPr>
      </w:pPr>
      <w:r>
        <w:rPr>
          <w:rFonts w:hint="eastAsia" w:ascii="宋体" w:hAnsi="宋体"/>
          <w:color w:val="000000"/>
          <w:sz w:val="24"/>
        </w:rPr>
        <w:t>3）仍相同的，由评审小组以记名投票的方式，按少数服从多数的原则确定排名。</w:t>
      </w:r>
    </w:p>
    <w:p w14:paraId="5BD21FC2">
      <w:pPr>
        <w:spacing w:line="360" w:lineRule="auto"/>
        <w:rPr>
          <w:rFonts w:ascii="宋体" w:hAnsi="宋体"/>
          <w:color w:val="000000"/>
          <w:sz w:val="24"/>
        </w:rPr>
      </w:pPr>
    </w:p>
    <w:p w14:paraId="0E4BFED3">
      <w:pPr>
        <w:spacing w:line="480" w:lineRule="exact"/>
        <w:ind w:firstLine="482" w:firstLineChars="200"/>
        <w:rPr>
          <w:rFonts w:ascii="宋体" w:hAnsi="宋体"/>
          <w:b/>
          <w:bCs/>
          <w:color w:val="000000"/>
          <w:sz w:val="24"/>
        </w:rPr>
      </w:pPr>
      <w:r>
        <w:rPr>
          <w:rFonts w:hint="eastAsia" w:ascii="宋体" w:hAnsi="宋体"/>
          <w:b/>
          <w:bCs/>
          <w:color w:val="000000"/>
          <w:sz w:val="24"/>
        </w:rPr>
        <w:t>2.1.1  资格评审表</w:t>
      </w:r>
    </w:p>
    <w:p w14:paraId="64B32C7A">
      <w:pPr>
        <w:spacing w:line="480" w:lineRule="exact"/>
        <w:ind w:firstLine="480" w:firstLineChars="200"/>
        <w:rPr>
          <w:rFonts w:ascii="宋体" w:hAnsi="宋体"/>
          <w:sz w:val="24"/>
        </w:rPr>
      </w:pPr>
      <w:r>
        <w:rPr>
          <w:rFonts w:hint="eastAsia" w:ascii="宋体" w:hAnsi="宋体"/>
          <w:sz w:val="24"/>
        </w:rPr>
        <w:t>投标文件不能满足下列情形之一的，由评标委员会初审后不进入下一轮评审：</w:t>
      </w:r>
    </w:p>
    <w:tbl>
      <w:tblPr>
        <w:tblStyle w:val="10"/>
        <w:tblW w:w="9772" w:type="dxa"/>
        <w:tblInd w:w="0" w:type="dxa"/>
        <w:tblLayout w:type="fixed"/>
        <w:tblCellMar>
          <w:top w:w="0" w:type="dxa"/>
          <w:left w:w="108" w:type="dxa"/>
          <w:bottom w:w="0" w:type="dxa"/>
          <w:right w:w="108" w:type="dxa"/>
        </w:tblCellMar>
      </w:tblPr>
      <w:tblGrid>
        <w:gridCol w:w="791"/>
        <w:gridCol w:w="2223"/>
        <w:gridCol w:w="6758"/>
      </w:tblGrid>
      <w:tr w14:paraId="1BC71172">
        <w:tblPrEx>
          <w:tblCellMar>
            <w:top w:w="0" w:type="dxa"/>
            <w:left w:w="108" w:type="dxa"/>
            <w:bottom w:w="0" w:type="dxa"/>
            <w:right w:w="108" w:type="dxa"/>
          </w:tblCellMar>
        </w:tblPrEx>
        <w:trPr>
          <w:trHeight w:val="604" w:hRule="exact"/>
        </w:trPr>
        <w:tc>
          <w:tcPr>
            <w:tcW w:w="791" w:type="dxa"/>
            <w:tcBorders>
              <w:top w:val="single" w:color="auto" w:sz="4" w:space="0"/>
              <w:left w:val="single" w:color="auto" w:sz="4" w:space="0"/>
              <w:bottom w:val="single" w:color="auto" w:sz="4" w:space="0"/>
              <w:right w:val="single" w:color="auto" w:sz="4" w:space="0"/>
            </w:tcBorders>
            <w:vAlign w:val="center"/>
          </w:tcPr>
          <w:p w14:paraId="3F150242">
            <w:pPr>
              <w:widowControl/>
              <w:spacing w:line="480" w:lineRule="exact"/>
              <w:jc w:val="center"/>
              <w:rPr>
                <w:rFonts w:ascii="宋体" w:hAnsi="宋体" w:cs="宋体"/>
                <w:b/>
                <w:bCs/>
                <w:kern w:val="0"/>
                <w:sz w:val="24"/>
              </w:rPr>
            </w:pPr>
            <w:r>
              <w:rPr>
                <w:rFonts w:hint="eastAsia" w:ascii="宋体" w:hAnsi="宋体" w:cs="宋体"/>
                <w:b/>
                <w:bCs/>
                <w:kern w:val="0"/>
                <w:sz w:val="24"/>
              </w:rPr>
              <w:t>序号</w:t>
            </w:r>
          </w:p>
        </w:tc>
        <w:tc>
          <w:tcPr>
            <w:tcW w:w="2223" w:type="dxa"/>
            <w:tcBorders>
              <w:top w:val="single" w:color="auto" w:sz="4" w:space="0"/>
              <w:left w:val="single" w:color="auto" w:sz="4" w:space="0"/>
              <w:bottom w:val="single" w:color="auto" w:sz="4" w:space="0"/>
              <w:right w:val="single" w:color="auto" w:sz="4" w:space="0"/>
            </w:tcBorders>
            <w:vAlign w:val="center"/>
          </w:tcPr>
          <w:p w14:paraId="2C1A0443">
            <w:pPr>
              <w:widowControl/>
              <w:spacing w:line="480" w:lineRule="exact"/>
              <w:jc w:val="center"/>
              <w:rPr>
                <w:rFonts w:ascii="宋体" w:hAnsi="宋体" w:cs="宋体"/>
                <w:b/>
                <w:bCs/>
                <w:kern w:val="0"/>
                <w:sz w:val="24"/>
              </w:rPr>
            </w:pPr>
            <w:r>
              <w:rPr>
                <w:rFonts w:ascii="宋体" w:hAnsi="宋体" w:cs="宋体"/>
                <w:b/>
                <w:bCs/>
                <w:kern w:val="0"/>
                <w:sz w:val="24"/>
              </w:rPr>
              <w:t>评审因素</w:t>
            </w:r>
          </w:p>
        </w:tc>
        <w:tc>
          <w:tcPr>
            <w:tcW w:w="6758" w:type="dxa"/>
            <w:tcBorders>
              <w:top w:val="single" w:color="auto" w:sz="4" w:space="0"/>
              <w:left w:val="nil"/>
              <w:bottom w:val="single" w:color="auto" w:sz="4" w:space="0"/>
              <w:right w:val="single" w:color="auto" w:sz="4" w:space="0"/>
            </w:tcBorders>
            <w:vAlign w:val="center"/>
          </w:tcPr>
          <w:p w14:paraId="4B6FF0CC">
            <w:pPr>
              <w:widowControl/>
              <w:spacing w:line="480" w:lineRule="exact"/>
              <w:jc w:val="center"/>
              <w:rPr>
                <w:rFonts w:ascii="宋体" w:hAnsi="宋体" w:cs="宋体"/>
                <w:b/>
                <w:bCs/>
                <w:kern w:val="0"/>
                <w:sz w:val="24"/>
              </w:rPr>
            </w:pPr>
            <w:r>
              <w:rPr>
                <w:rFonts w:hint="eastAsia" w:ascii="宋体" w:hAnsi="宋体" w:cs="宋体"/>
                <w:b/>
                <w:bCs/>
                <w:kern w:val="0"/>
                <w:sz w:val="24"/>
              </w:rPr>
              <w:t>评审标准</w:t>
            </w:r>
          </w:p>
        </w:tc>
      </w:tr>
      <w:tr w14:paraId="093F665F">
        <w:tblPrEx>
          <w:tblCellMar>
            <w:top w:w="0" w:type="dxa"/>
            <w:left w:w="108" w:type="dxa"/>
            <w:bottom w:w="0" w:type="dxa"/>
            <w:right w:w="108" w:type="dxa"/>
          </w:tblCellMar>
        </w:tblPrEx>
        <w:trPr>
          <w:trHeight w:val="1837" w:hRule="atLeast"/>
        </w:trPr>
        <w:tc>
          <w:tcPr>
            <w:tcW w:w="791" w:type="dxa"/>
            <w:tcBorders>
              <w:top w:val="nil"/>
              <w:left w:val="single" w:color="auto" w:sz="4" w:space="0"/>
              <w:bottom w:val="single" w:color="auto" w:sz="4" w:space="0"/>
              <w:right w:val="single" w:color="auto" w:sz="4" w:space="0"/>
            </w:tcBorders>
            <w:vAlign w:val="center"/>
          </w:tcPr>
          <w:p w14:paraId="269C9BFE">
            <w:pPr>
              <w:widowControl/>
              <w:spacing w:line="480" w:lineRule="exact"/>
              <w:jc w:val="center"/>
              <w:rPr>
                <w:rFonts w:ascii="宋体" w:hAnsi="宋体" w:cs="宋体"/>
                <w:kern w:val="0"/>
                <w:sz w:val="24"/>
              </w:rPr>
            </w:pPr>
            <w:r>
              <w:rPr>
                <w:rFonts w:hint="eastAsia" w:ascii="宋体" w:hAnsi="宋体" w:cs="宋体"/>
                <w:kern w:val="0"/>
                <w:sz w:val="24"/>
              </w:rPr>
              <w:t>1</w:t>
            </w:r>
          </w:p>
        </w:tc>
        <w:tc>
          <w:tcPr>
            <w:tcW w:w="2223" w:type="dxa"/>
            <w:tcBorders>
              <w:top w:val="nil"/>
              <w:left w:val="single" w:color="auto" w:sz="4" w:space="0"/>
              <w:bottom w:val="single" w:color="auto" w:sz="4" w:space="0"/>
              <w:right w:val="single" w:color="auto" w:sz="4" w:space="0"/>
            </w:tcBorders>
            <w:vAlign w:val="center"/>
          </w:tcPr>
          <w:p w14:paraId="63DCD33F">
            <w:pPr>
              <w:spacing w:line="480" w:lineRule="exact"/>
              <w:jc w:val="center"/>
              <w:rPr>
                <w:rFonts w:ascii="宋体" w:hAnsi="宋体"/>
                <w:kern w:val="0"/>
                <w:sz w:val="24"/>
              </w:rPr>
            </w:pPr>
            <w:r>
              <w:rPr>
                <w:rFonts w:hint="eastAsia" w:ascii="宋体" w:hAnsi="宋体" w:cs="宋体"/>
                <w:sz w:val="24"/>
              </w:rPr>
              <w:t>《中华人民共和国政府采购法》第二十二条之规定</w:t>
            </w:r>
          </w:p>
        </w:tc>
        <w:tc>
          <w:tcPr>
            <w:tcW w:w="6758" w:type="dxa"/>
            <w:tcBorders>
              <w:top w:val="nil"/>
              <w:left w:val="nil"/>
              <w:bottom w:val="single" w:color="auto" w:sz="4" w:space="0"/>
              <w:right w:val="single" w:color="auto" w:sz="4" w:space="0"/>
            </w:tcBorders>
            <w:vAlign w:val="center"/>
          </w:tcPr>
          <w:p w14:paraId="38658C89">
            <w:pPr>
              <w:spacing w:line="480" w:lineRule="exact"/>
              <w:jc w:val="left"/>
              <w:rPr>
                <w:rFonts w:ascii="宋体" w:hAnsi="宋体" w:cs="宋体"/>
                <w:kern w:val="0"/>
                <w:sz w:val="24"/>
              </w:rPr>
            </w:pPr>
            <w:r>
              <w:rPr>
                <w:rFonts w:hint="eastAsia" w:ascii="宋体" w:hAnsi="宋体" w:cs="宋体"/>
                <w:sz w:val="24"/>
              </w:rPr>
              <w:t>符合《中华人民共和国政府采购法》第二十二条之规定；</w:t>
            </w:r>
          </w:p>
        </w:tc>
      </w:tr>
      <w:tr w14:paraId="43CDAADD">
        <w:tblPrEx>
          <w:tblCellMar>
            <w:top w:w="0" w:type="dxa"/>
            <w:left w:w="108" w:type="dxa"/>
            <w:bottom w:w="0" w:type="dxa"/>
            <w:right w:w="108" w:type="dxa"/>
          </w:tblCellMar>
        </w:tblPrEx>
        <w:trPr>
          <w:trHeight w:val="1144" w:hRule="atLeast"/>
        </w:trPr>
        <w:tc>
          <w:tcPr>
            <w:tcW w:w="791" w:type="dxa"/>
            <w:tcBorders>
              <w:top w:val="nil"/>
              <w:left w:val="single" w:color="auto" w:sz="4" w:space="0"/>
              <w:bottom w:val="single" w:color="auto" w:sz="4" w:space="0"/>
              <w:right w:val="single" w:color="auto" w:sz="4" w:space="0"/>
            </w:tcBorders>
            <w:vAlign w:val="center"/>
          </w:tcPr>
          <w:p w14:paraId="4F9D43AC">
            <w:pPr>
              <w:widowControl/>
              <w:spacing w:line="480" w:lineRule="exact"/>
              <w:jc w:val="center"/>
              <w:rPr>
                <w:rFonts w:ascii="宋体" w:hAnsi="宋体" w:cs="宋体"/>
                <w:kern w:val="0"/>
                <w:sz w:val="24"/>
              </w:rPr>
            </w:pPr>
            <w:r>
              <w:rPr>
                <w:rFonts w:hint="eastAsia" w:ascii="宋体" w:hAnsi="宋体" w:cs="宋体"/>
                <w:kern w:val="0"/>
                <w:sz w:val="24"/>
              </w:rPr>
              <w:t>2</w:t>
            </w:r>
          </w:p>
        </w:tc>
        <w:tc>
          <w:tcPr>
            <w:tcW w:w="2223" w:type="dxa"/>
            <w:tcBorders>
              <w:top w:val="nil"/>
              <w:left w:val="single" w:color="auto" w:sz="4" w:space="0"/>
              <w:bottom w:val="single" w:color="auto" w:sz="4" w:space="0"/>
              <w:right w:val="single" w:color="auto" w:sz="4" w:space="0"/>
            </w:tcBorders>
            <w:vAlign w:val="center"/>
          </w:tcPr>
          <w:p w14:paraId="01E768DC">
            <w:pPr>
              <w:spacing w:line="480" w:lineRule="exact"/>
              <w:jc w:val="center"/>
              <w:rPr>
                <w:rFonts w:ascii="宋体" w:hAnsi="宋体" w:cs="宋体"/>
                <w:kern w:val="0"/>
                <w:sz w:val="24"/>
              </w:rPr>
            </w:pPr>
            <w:r>
              <w:rPr>
                <w:rFonts w:hint="eastAsia" w:ascii="宋体" w:hAnsi="宋体" w:cs="宋体"/>
                <w:sz w:val="24"/>
              </w:rPr>
              <w:t>营业执照（或事业单位法人证书）</w:t>
            </w:r>
          </w:p>
        </w:tc>
        <w:tc>
          <w:tcPr>
            <w:tcW w:w="6758" w:type="dxa"/>
            <w:tcBorders>
              <w:top w:val="nil"/>
              <w:left w:val="nil"/>
              <w:bottom w:val="single" w:color="auto" w:sz="4" w:space="0"/>
              <w:right w:val="single" w:color="auto" w:sz="4" w:space="0"/>
            </w:tcBorders>
            <w:vAlign w:val="center"/>
          </w:tcPr>
          <w:p w14:paraId="0596824B">
            <w:pPr>
              <w:spacing w:line="480" w:lineRule="exact"/>
              <w:jc w:val="left"/>
              <w:rPr>
                <w:rFonts w:ascii="宋体" w:hAnsi="宋体" w:cs="宋体"/>
                <w:color w:val="0000FF"/>
                <w:kern w:val="0"/>
                <w:sz w:val="24"/>
              </w:rPr>
            </w:pPr>
            <w:r>
              <w:rPr>
                <w:rFonts w:hint="eastAsia" w:ascii="宋体" w:hAnsi="宋体" w:cs="宋体"/>
                <w:sz w:val="24"/>
              </w:rPr>
              <w:t>注册于中华人民共和国境内，具有独立承担民事责任能力，提供合法有效的营业执照（或事业单位法人证书）；</w:t>
            </w:r>
          </w:p>
        </w:tc>
      </w:tr>
      <w:tr w14:paraId="4606D4A3">
        <w:tblPrEx>
          <w:tblCellMar>
            <w:top w:w="0" w:type="dxa"/>
            <w:left w:w="108" w:type="dxa"/>
            <w:bottom w:w="0" w:type="dxa"/>
            <w:right w:w="108" w:type="dxa"/>
          </w:tblCellMar>
        </w:tblPrEx>
        <w:trPr>
          <w:trHeight w:val="1144" w:hRule="atLeast"/>
        </w:trPr>
        <w:tc>
          <w:tcPr>
            <w:tcW w:w="791" w:type="dxa"/>
            <w:tcBorders>
              <w:top w:val="nil"/>
              <w:left w:val="single" w:color="auto" w:sz="4" w:space="0"/>
              <w:bottom w:val="single" w:color="auto" w:sz="4" w:space="0"/>
              <w:right w:val="single" w:color="auto" w:sz="4" w:space="0"/>
            </w:tcBorders>
            <w:vAlign w:val="center"/>
          </w:tcPr>
          <w:p w14:paraId="2D4451E6">
            <w:pPr>
              <w:widowControl/>
              <w:spacing w:line="480" w:lineRule="exact"/>
              <w:jc w:val="center"/>
              <w:rPr>
                <w:rFonts w:ascii="宋体" w:hAnsi="宋体" w:cs="宋体"/>
                <w:kern w:val="0"/>
                <w:sz w:val="24"/>
              </w:rPr>
            </w:pPr>
            <w:r>
              <w:rPr>
                <w:rFonts w:hint="eastAsia" w:ascii="宋体" w:hAnsi="宋体" w:cs="宋体"/>
                <w:kern w:val="0"/>
                <w:sz w:val="24"/>
              </w:rPr>
              <w:t>3</w:t>
            </w:r>
          </w:p>
        </w:tc>
        <w:tc>
          <w:tcPr>
            <w:tcW w:w="2223" w:type="dxa"/>
            <w:tcBorders>
              <w:top w:val="nil"/>
              <w:left w:val="single" w:color="auto" w:sz="4" w:space="0"/>
              <w:bottom w:val="single" w:color="auto" w:sz="4" w:space="0"/>
              <w:right w:val="single" w:color="auto" w:sz="4" w:space="0"/>
            </w:tcBorders>
            <w:vAlign w:val="center"/>
          </w:tcPr>
          <w:p w14:paraId="50A68D78">
            <w:pPr>
              <w:spacing w:line="480" w:lineRule="exact"/>
              <w:jc w:val="center"/>
              <w:rPr>
                <w:rFonts w:ascii="宋体" w:hAnsi="宋体" w:cs="宋体"/>
                <w:kern w:val="0"/>
                <w:sz w:val="24"/>
              </w:rPr>
            </w:pPr>
            <w:r>
              <w:rPr>
                <w:rFonts w:hint="eastAsia" w:ascii="宋体" w:hAnsi="宋体" w:cs="宋体"/>
                <w:kern w:val="0"/>
                <w:sz w:val="24"/>
              </w:rPr>
              <w:t>资质要求</w:t>
            </w:r>
          </w:p>
        </w:tc>
        <w:tc>
          <w:tcPr>
            <w:tcW w:w="6758" w:type="dxa"/>
            <w:tcBorders>
              <w:top w:val="nil"/>
              <w:left w:val="nil"/>
              <w:bottom w:val="single" w:color="auto" w:sz="4" w:space="0"/>
              <w:right w:val="single" w:color="auto" w:sz="4" w:space="0"/>
            </w:tcBorders>
            <w:vAlign w:val="center"/>
          </w:tcPr>
          <w:p w14:paraId="7E959E4D">
            <w:pPr>
              <w:spacing w:line="480" w:lineRule="exact"/>
              <w:jc w:val="left"/>
              <w:rPr>
                <w:rFonts w:ascii="宋体" w:hAnsi="宋体" w:cs="宋体"/>
                <w:kern w:val="0"/>
                <w:sz w:val="24"/>
              </w:rPr>
            </w:pPr>
            <w:r>
              <w:rPr>
                <w:rFonts w:hint="eastAsia" w:ascii="宋体" w:hAnsi="宋体" w:cs="宋体"/>
                <w:sz w:val="24"/>
              </w:rPr>
              <w:t>投标人须具有</w:t>
            </w:r>
            <w:r>
              <w:rPr>
                <w:rFonts w:ascii="宋体" w:hAnsi="宋体" w:cs="宋体"/>
                <w:sz w:val="24"/>
              </w:rPr>
              <w:t>城乡规划（国土空间规划）编制</w:t>
            </w:r>
            <w:r>
              <w:rPr>
                <w:rFonts w:hint="eastAsia" w:ascii="宋体" w:hAnsi="宋体" w:cs="宋体"/>
                <w:sz w:val="24"/>
              </w:rPr>
              <w:t>乙级及以上资质。</w:t>
            </w:r>
          </w:p>
        </w:tc>
      </w:tr>
      <w:tr w14:paraId="4AE31B05">
        <w:tblPrEx>
          <w:tblCellMar>
            <w:top w:w="0" w:type="dxa"/>
            <w:left w:w="108" w:type="dxa"/>
            <w:bottom w:w="0" w:type="dxa"/>
            <w:right w:w="108" w:type="dxa"/>
          </w:tblCellMar>
        </w:tblPrEx>
        <w:trPr>
          <w:trHeight w:val="1144" w:hRule="atLeast"/>
        </w:trPr>
        <w:tc>
          <w:tcPr>
            <w:tcW w:w="791" w:type="dxa"/>
            <w:tcBorders>
              <w:top w:val="nil"/>
              <w:left w:val="single" w:color="auto" w:sz="4" w:space="0"/>
              <w:bottom w:val="single" w:color="auto" w:sz="4" w:space="0"/>
              <w:right w:val="single" w:color="auto" w:sz="4" w:space="0"/>
            </w:tcBorders>
            <w:vAlign w:val="center"/>
          </w:tcPr>
          <w:p w14:paraId="2B1FAD7D">
            <w:pPr>
              <w:widowControl/>
              <w:spacing w:line="480" w:lineRule="exact"/>
              <w:jc w:val="center"/>
              <w:rPr>
                <w:rFonts w:ascii="宋体" w:hAnsi="宋体" w:cs="宋体"/>
                <w:kern w:val="0"/>
                <w:sz w:val="24"/>
              </w:rPr>
            </w:pPr>
            <w:r>
              <w:rPr>
                <w:rFonts w:hint="eastAsia" w:ascii="宋体" w:hAnsi="宋体" w:cs="宋体"/>
                <w:kern w:val="0"/>
                <w:sz w:val="24"/>
              </w:rPr>
              <w:t>4</w:t>
            </w:r>
          </w:p>
        </w:tc>
        <w:tc>
          <w:tcPr>
            <w:tcW w:w="2223" w:type="dxa"/>
            <w:tcBorders>
              <w:top w:val="nil"/>
              <w:left w:val="single" w:color="auto" w:sz="4" w:space="0"/>
              <w:bottom w:val="single" w:color="auto" w:sz="4" w:space="0"/>
              <w:right w:val="single" w:color="auto" w:sz="4" w:space="0"/>
            </w:tcBorders>
            <w:vAlign w:val="center"/>
          </w:tcPr>
          <w:p w14:paraId="64F91242">
            <w:pPr>
              <w:spacing w:line="480" w:lineRule="exact"/>
              <w:jc w:val="center"/>
              <w:rPr>
                <w:rFonts w:ascii="宋体" w:hAnsi="宋体" w:cs="宋体"/>
                <w:kern w:val="0"/>
                <w:sz w:val="24"/>
              </w:rPr>
            </w:pPr>
            <w:r>
              <w:rPr>
                <w:rFonts w:hint="eastAsia" w:ascii="宋体" w:hAnsi="宋体" w:cs="宋体"/>
                <w:sz w:val="24"/>
              </w:rPr>
              <w:t>项目负责人</w:t>
            </w:r>
          </w:p>
        </w:tc>
        <w:tc>
          <w:tcPr>
            <w:tcW w:w="6758" w:type="dxa"/>
            <w:tcBorders>
              <w:top w:val="nil"/>
              <w:left w:val="nil"/>
              <w:bottom w:val="single" w:color="auto" w:sz="4" w:space="0"/>
              <w:right w:val="single" w:color="auto" w:sz="4" w:space="0"/>
            </w:tcBorders>
            <w:vAlign w:val="center"/>
          </w:tcPr>
          <w:p w14:paraId="1C22AE65">
            <w:pPr>
              <w:spacing w:line="480" w:lineRule="exact"/>
              <w:jc w:val="left"/>
              <w:rPr>
                <w:rFonts w:ascii="宋体" w:hAnsi="宋体" w:cs="宋体"/>
                <w:color w:val="0000FF"/>
                <w:kern w:val="0"/>
                <w:sz w:val="24"/>
              </w:rPr>
            </w:pPr>
            <w:r>
              <w:rPr>
                <w:rFonts w:hint="eastAsia" w:ascii="宋体" w:hAnsi="宋体" w:cs="宋体"/>
                <w:sz w:val="24"/>
              </w:rPr>
              <w:t>项目负责人须具备注册城乡规划师执业资格，且与投标企业存在合法有效的劳动合同关系（提供劳动合同、参加社会养老保险的缴费证明）。</w:t>
            </w:r>
          </w:p>
        </w:tc>
      </w:tr>
      <w:tr w14:paraId="75E5C1F6">
        <w:tblPrEx>
          <w:tblCellMar>
            <w:top w:w="0" w:type="dxa"/>
            <w:left w:w="108" w:type="dxa"/>
            <w:bottom w:w="0" w:type="dxa"/>
            <w:right w:w="108" w:type="dxa"/>
          </w:tblCellMar>
        </w:tblPrEx>
        <w:trPr>
          <w:trHeight w:val="90" w:hRule="atLeast"/>
        </w:trPr>
        <w:tc>
          <w:tcPr>
            <w:tcW w:w="791" w:type="dxa"/>
            <w:tcBorders>
              <w:top w:val="single" w:color="auto" w:sz="4" w:space="0"/>
              <w:left w:val="single" w:color="auto" w:sz="4" w:space="0"/>
              <w:bottom w:val="single" w:color="auto" w:sz="4" w:space="0"/>
              <w:right w:val="single" w:color="auto" w:sz="4" w:space="0"/>
            </w:tcBorders>
            <w:vAlign w:val="center"/>
          </w:tcPr>
          <w:p w14:paraId="65A3C7FC">
            <w:pPr>
              <w:spacing w:line="480" w:lineRule="exact"/>
              <w:jc w:val="center"/>
              <w:rPr>
                <w:rFonts w:ascii="宋体" w:hAnsi="宋体" w:cs="宋体"/>
                <w:kern w:val="0"/>
                <w:sz w:val="24"/>
              </w:rPr>
            </w:pPr>
            <w:r>
              <w:rPr>
                <w:rFonts w:hint="eastAsia" w:ascii="宋体" w:hAnsi="宋体" w:cs="宋体"/>
                <w:kern w:val="0"/>
                <w:sz w:val="24"/>
              </w:rPr>
              <w:t>5</w:t>
            </w:r>
          </w:p>
        </w:tc>
        <w:tc>
          <w:tcPr>
            <w:tcW w:w="2223" w:type="dxa"/>
            <w:tcBorders>
              <w:top w:val="single" w:color="auto" w:sz="4" w:space="0"/>
              <w:left w:val="single" w:color="auto" w:sz="4" w:space="0"/>
              <w:bottom w:val="single" w:color="auto" w:sz="4" w:space="0"/>
              <w:right w:val="single" w:color="auto" w:sz="4" w:space="0"/>
            </w:tcBorders>
            <w:vAlign w:val="center"/>
          </w:tcPr>
          <w:p w14:paraId="7D312298">
            <w:pPr>
              <w:spacing w:line="480" w:lineRule="exact"/>
              <w:jc w:val="center"/>
              <w:rPr>
                <w:rFonts w:ascii="宋体" w:hAnsi="宋体"/>
                <w:sz w:val="24"/>
              </w:rPr>
            </w:pPr>
            <w:r>
              <w:rPr>
                <w:rFonts w:hint="eastAsia" w:ascii="宋体" w:hAnsi="宋体" w:cs="宋体"/>
                <w:sz w:val="24"/>
              </w:rPr>
              <w:t>无行贿犯罪查询记录或承诺书</w:t>
            </w:r>
          </w:p>
        </w:tc>
        <w:tc>
          <w:tcPr>
            <w:tcW w:w="6758" w:type="dxa"/>
            <w:tcBorders>
              <w:top w:val="single" w:color="auto" w:sz="4" w:space="0"/>
              <w:left w:val="nil"/>
              <w:bottom w:val="single" w:color="auto" w:sz="4" w:space="0"/>
              <w:right w:val="single" w:color="auto" w:sz="4" w:space="0"/>
            </w:tcBorders>
            <w:vAlign w:val="center"/>
          </w:tcPr>
          <w:p w14:paraId="2436D23E">
            <w:pPr>
              <w:spacing w:line="480" w:lineRule="exact"/>
              <w:jc w:val="left"/>
              <w:rPr>
                <w:rFonts w:ascii="宋体" w:hAnsi="宋体"/>
                <w:sz w:val="24"/>
              </w:rPr>
            </w:pPr>
            <w:r>
              <w:rPr>
                <w:rFonts w:hint="eastAsia" w:ascii="宋体" w:hAnsi="宋体" w:cs="宋体"/>
                <w:sz w:val="24"/>
              </w:rPr>
              <w:t>投标人出具“中国裁判文书网”网站 （https://wenshu.court.gov.cn/）近三年无行贿犯罪查询记录或承诺书（查询/承诺对象：企业、法定代表人、拟派项目负责人）；</w:t>
            </w:r>
          </w:p>
        </w:tc>
      </w:tr>
      <w:tr w14:paraId="64BA3EAA">
        <w:tblPrEx>
          <w:tblCellMar>
            <w:top w:w="0" w:type="dxa"/>
            <w:left w:w="108" w:type="dxa"/>
            <w:bottom w:w="0" w:type="dxa"/>
            <w:right w:w="108" w:type="dxa"/>
          </w:tblCellMar>
        </w:tblPrEx>
        <w:trPr>
          <w:trHeight w:val="90" w:hRule="atLeast"/>
        </w:trPr>
        <w:tc>
          <w:tcPr>
            <w:tcW w:w="791" w:type="dxa"/>
            <w:tcBorders>
              <w:top w:val="single" w:color="auto" w:sz="4" w:space="0"/>
              <w:left w:val="single" w:color="auto" w:sz="4" w:space="0"/>
              <w:bottom w:val="single" w:color="auto" w:sz="4" w:space="0"/>
              <w:right w:val="single" w:color="auto" w:sz="4" w:space="0"/>
            </w:tcBorders>
            <w:vAlign w:val="center"/>
          </w:tcPr>
          <w:p w14:paraId="6399062A">
            <w:pPr>
              <w:spacing w:line="480" w:lineRule="exact"/>
              <w:jc w:val="center"/>
              <w:rPr>
                <w:rFonts w:ascii="宋体" w:hAnsi="宋体" w:cs="宋体"/>
                <w:kern w:val="0"/>
                <w:sz w:val="24"/>
              </w:rPr>
            </w:pPr>
            <w:r>
              <w:rPr>
                <w:rFonts w:hint="eastAsia" w:ascii="宋体" w:hAnsi="宋体" w:cs="宋体"/>
                <w:kern w:val="0"/>
                <w:sz w:val="24"/>
              </w:rPr>
              <w:t>6</w:t>
            </w:r>
          </w:p>
        </w:tc>
        <w:tc>
          <w:tcPr>
            <w:tcW w:w="2223" w:type="dxa"/>
            <w:tcBorders>
              <w:top w:val="single" w:color="auto" w:sz="4" w:space="0"/>
              <w:left w:val="single" w:color="auto" w:sz="4" w:space="0"/>
              <w:bottom w:val="single" w:color="auto" w:sz="4" w:space="0"/>
              <w:right w:val="single" w:color="auto" w:sz="4" w:space="0"/>
            </w:tcBorders>
            <w:vAlign w:val="center"/>
          </w:tcPr>
          <w:p w14:paraId="72BDA39E">
            <w:pPr>
              <w:spacing w:line="480" w:lineRule="exact"/>
              <w:jc w:val="center"/>
              <w:rPr>
                <w:rFonts w:ascii="宋体" w:hAnsi="宋体" w:cs="宋体"/>
                <w:sz w:val="24"/>
              </w:rPr>
            </w:pPr>
            <w:r>
              <w:rPr>
                <w:rFonts w:hint="eastAsia" w:ascii="宋体" w:hAnsi="宋体"/>
                <w:sz w:val="24"/>
              </w:rPr>
              <w:t>无商业贿赂及无不正当竞争行为的承诺书</w:t>
            </w:r>
          </w:p>
        </w:tc>
        <w:tc>
          <w:tcPr>
            <w:tcW w:w="6758" w:type="dxa"/>
            <w:tcBorders>
              <w:top w:val="single" w:color="auto" w:sz="4" w:space="0"/>
              <w:left w:val="nil"/>
              <w:bottom w:val="single" w:color="auto" w:sz="4" w:space="0"/>
              <w:right w:val="single" w:color="auto" w:sz="4" w:space="0"/>
            </w:tcBorders>
            <w:vAlign w:val="center"/>
          </w:tcPr>
          <w:p w14:paraId="5D6EEAA0">
            <w:pPr>
              <w:spacing w:line="480" w:lineRule="exact"/>
              <w:jc w:val="left"/>
              <w:rPr>
                <w:rFonts w:ascii="宋体" w:hAnsi="宋体" w:cs="宋体"/>
                <w:sz w:val="24"/>
              </w:rPr>
            </w:pPr>
            <w:r>
              <w:rPr>
                <w:rFonts w:hint="eastAsia" w:ascii="宋体" w:hAnsi="宋体"/>
                <w:sz w:val="24"/>
              </w:rPr>
              <w:t>投标人出具本企业近三年无商业贿赂及无不正当竞争行为的承诺书（承诺对象：企业、法定代表人、项目负责人）；</w:t>
            </w:r>
          </w:p>
        </w:tc>
      </w:tr>
      <w:tr w14:paraId="643D6289">
        <w:tblPrEx>
          <w:tblCellMar>
            <w:top w:w="0" w:type="dxa"/>
            <w:left w:w="108" w:type="dxa"/>
            <w:bottom w:w="0" w:type="dxa"/>
            <w:right w:w="108" w:type="dxa"/>
          </w:tblCellMar>
        </w:tblPrEx>
        <w:trPr>
          <w:trHeight w:val="90" w:hRule="atLeast"/>
        </w:trPr>
        <w:tc>
          <w:tcPr>
            <w:tcW w:w="791" w:type="dxa"/>
            <w:tcBorders>
              <w:top w:val="single" w:color="auto" w:sz="4" w:space="0"/>
              <w:left w:val="single" w:color="auto" w:sz="4" w:space="0"/>
              <w:bottom w:val="single" w:color="auto" w:sz="4" w:space="0"/>
              <w:right w:val="single" w:color="auto" w:sz="4" w:space="0"/>
            </w:tcBorders>
            <w:vAlign w:val="center"/>
          </w:tcPr>
          <w:p w14:paraId="20275536">
            <w:pPr>
              <w:spacing w:line="480" w:lineRule="exact"/>
              <w:jc w:val="center"/>
              <w:rPr>
                <w:rFonts w:ascii="宋体" w:hAnsi="宋体" w:cs="宋体"/>
                <w:kern w:val="0"/>
                <w:sz w:val="24"/>
              </w:rPr>
            </w:pPr>
            <w:r>
              <w:rPr>
                <w:rFonts w:hint="eastAsia" w:ascii="宋体" w:hAnsi="宋体" w:cs="宋体"/>
                <w:kern w:val="0"/>
                <w:sz w:val="24"/>
              </w:rPr>
              <w:t>7</w:t>
            </w:r>
          </w:p>
        </w:tc>
        <w:tc>
          <w:tcPr>
            <w:tcW w:w="2223" w:type="dxa"/>
            <w:tcBorders>
              <w:top w:val="single" w:color="auto" w:sz="4" w:space="0"/>
              <w:left w:val="single" w:color="auto" w:sz="4" w:space="0"/>
              <w:bottom w:val="single" w:color="auto" w:sz="4" w:space="0"/>
              <w:right w:val="single" w:color="auto" w:sz="4" w:space="0"/>
            </w:tcBorders>
            <w:vAlign w:val="center"/>
          </w:tcPr>
          <w:p w14:paraId="6E1B1FAD">
            <w:pPr>
              <w:spacing w:line="480" w:lineRule="exact"/>
              <w:jc w:val="center"/>
              <w:rPr>
                <w:rFonts w:ascii="宋体" w:hAnsi="宋体" w:cs="仿宋"/>
                <w:sz w:val="24"/>
              </w:rPr>
            </w:pPr>
            <w:r>
              <w:rPr>
                <w:rFonts w:hint="eastAsia" w:ascii="宋体" w:hAnsi="宋体"/>
                <w:sz w:val="24"/>
              </w:rPr>
              <w:t>信用要求及其他</w:t>
            </w:r>
          </w:p>
        </w:tc>
        <w:tc>
          <w:tcPr>
            <w:tcW w:w="6758" w:type="dxa"/>
            <w:tcBorders>
              <w:top w:val="single" w:color="auto" w:sz="4" w:space="0"/>
              <w:left w:val="nil"/>
              <w:bottom w:val="single" w:color="auto" w:sz="4" w:space="0"/>
              <w:right w:val="single" w:color="auto" w:sz="4" w:space="0"/>
            </w:tcBorders>
            <w:vAlign w:val="center"/>
          </w:tcPr>
          <w:p w14:paraId="6356F12A">
            <w:pPr>
              <w:numPr>
                <w:ilvl w:val="0"/>
                <w:numId w:val="2"/>
              </w:numPr>
              <w:spacing w:line="480" w:lineRule="exact"/>
              <w:jc w:val="left"/>
              <w:rPr>
                <w:rFonts w:ascii="宋体" w:hAnsi="宋体" w:cs="宋体"/>
                <w:sz w:val="24"/>
              </w:rPr>
            </w:pPr>
            <w:r>
              <w:rPr>
                <w:rFonts w:hint="eastAsia" w:ascii="宋体" w:hAnsi="宋体" w:cs="宋体"/>
                <w:sz w:val="24"/>
              </w:rPr>
              <w:t>供应商出具“中国裁判文书网”网站 （https://wenshu.court.gov.cn/）近三年无行贿犯罪查询记录或承诺书（查询/承诺对象：企业、法定代表人、拟派项目负责人）；</w:t>
            </w:r>
          </w:p>
          <w:p w14:paraId="21C5FE5F">
            <w:pPr>
              <w:numPr>
                <w:ilvl w:val="0"/>
                <w:numId w:val="2"/>
              </w:numPr>
              <w:spacing w:line="480" w:lineRule="exact"/>
              <w:jc w:val="left"/>
              <w:rPr>
                <w:rFonts w:ascii="宋体" w:hAnsi="宋体" w:cs="宋体"/>
                <w:sz w:val="24"/>
              </w:rPr>
            </w:pPr>
            <w:r>
              <w:rPr>
                <w:rFonts w:hint="eastAsia" w:ascii="宋体" w:hAnsi="宋体" w:cs="宋体"/>
                <w:bCs/>
                <w:sz w:val="24"/>
              </w:rPr>
              <w:t>根据《关于在政府采购活动中查询及使用信用记录有关问题的通知》（财库【2016】125号和豫财购【2016】15号的规定），对列入“信用中国”www.creditchina.gov.cn网站的“失信被执行人”、“重大税收违法失信主体”、“政府采购严重违法失信行为记录名单”及“中国政府采购网”www.ccgp.gov.cn网站的“政府采购严重违法失信行为信息记录”的，拒绝参与本项目采购活动〔</w:t>
            </w:r>
            <w:r>
              <w:rPr>
                <w:rFonts w:hint="eastAsia"/>
                <w:sz w:val="24"/>
              </w:rPr>
              <w:t>查询渠道：“中国执行信息公开网”网站（http://zxgk.court.gov.cn/shixin）“信用中国”网站（www.creditchina.gov.cn）、中国政府采购网（www.ccgp.gov.cn），提供网站的查询信息截图，信用报告，查询时间自公告发布之日起，</w:t>
            </w:r>
            <w:r>
              <w:rPr>
                <w:rFonts w:hint="eastAsia" w:ascii="宋体" w:hAnsi="宋体" w:cs="宋体"/>
                <w:sz w:val="24"/>
              </w:rPr>
              <w:t>开标截止时间止</w:t>
            </w:r>
            <w:r>
              <w:rPr>
                <w:rFonts w:hint="eastAsia" w:ascii="宋体" w:hAnsi="宋体" w:cs="宋体"/>
                <w:bCs/>
                <w:sz w:val="24"/>
              </w:rPr>
              <w:t>〕</w:t>
            </w:r>
          </w:p>
          <w:p w14:paraId="0D6EF290">
            <w:pPr>
              <w:numPr>
                <w:ilvl w:val="0"/>
                <w:numId w:val="2"/>
              </w:numPr>
              <w:spacing w:line="480" w:lineRule="exact"/>
              <w:jc w:val="left"/>
              <w:rPr>
                <w:rFonts w:ascii="宋体" w:hAnsi="宋体" w:cs="宋体"/>
                <w:sz w:val="24"/>
              </w:rPr>
            </w:pPr>
            <w:r>
              <w:rPr>
                <w:rFonts w:hint="eastAsia" w:ascii="宋体" w:hAnsi="宋体"/>
                <w:sz w:val="24"/>
              </w:rPr>
              <w:t>法定代表人为同一人或者存在直接控股、管理关系的不同供应商，不得参加同一合同项下的政府采购活动（提供“国家企业信用信息公示系统”网站查询结果，查询结果应包含公司基本信息、股东及出资信息，查询日期自公告发布之日起，开标截止时间止）；</w:t>
            </w:r>
          </w:p>
        </w:tc>
      </w:tr>
      <w:tr w14:paraId="3C25CBA4">
        <w:tblPrEx>
          <w:tblCellMar>
            <w:top w:w="0" w:type="dxa"/>
            <w:left w:w="108" w:type="dxa"/>
            <w:bottom w:w="0" w:type="dxa"/>
            <w:right w:w="108" w:type="dxa"/>
          </w:tblCellMar>
        </w:tblPrEx>
        <w:trPr>
          <w:trHeight w:val="664" w:hRule="atLeast"/>
        </w:trPr>
        <w:tc>
          <w:tcPr>
            <w:tcW w:w="791" w:type="dxa"/>
            <w:tcBorders>
              <w:top w:val="single" w:color="auto" w:sz="4" w:space="0"/>
              <w:left w:val="single" w:color="auto" w:sz="4" w:space="0"/>
              <w:bottom w:val="single" w:color="auto" w:sz="4" w:space="0"/>
              <w:right w:val="single" w:color="auto" w:sz="4" w:space="0"/>
            </w:tcBorders>
            <w:vAlign w:val="center"/>
          </w:tcPr>
          <w:p w14:paraId="791D2BBE">
            <w:pPr>
              <w:spacing w:line="480" w:lineRule="exact"/>
              <w:jc w:val="center"/>
              <w:rPr>
                <w:rFonts w:ascii="宋体" w:hAnsi="宋体" w:cs="宋体"/>
                <w:kern w:val="0"/>
                <w:sz w:val="24"/>
              </w:rPr>
            </w:pPr>
            <w:r>
              <w:rPr>
                <w:rFonts w:hint="eastAsia" w:ascii="宋体" w:hAnsi="宋体" w:cs="宋体"/>
                <w:kern w:val="0"/>
                <w:sz w:val="24"/>
              </w:rPr>
              <w:t>8</w:t>
            </w:r>
          </w:p>
        </w:tc>
        <w:tc>
          <w:tcPr>
            <w:tcW w:w="2223" w:type="dxa"/>
            <w:tcBorders>
              <w:top w:val="single" w:color="auto" w:sz="4" w:space="0"/>
              <w:left w:val="single" w:color="auto" w:sz="4" w:space="0"/>
              <w:bottom w:val="single" w:color="auto" w:sz="4" w:space="0"/>
              <w:right w:val="single" w:color="auto" w:sz="4" w:space="0"/>
            </w:tcBorders>
            <w:vAlign w:val="center"/>
          </w:tcPr>
          <w:p w14:paraId="14BFAE50">
            <w:pPr>
              <w:spacing w:line="360" w:lineRule="auto"/>
              <w:jc w:val="center"/>
              <w:rPr>
                <w:rFonts w:ascii="宋体" w:hAnsi="宋体" w:cs="宋体"/>
                <w:kern w:val="0"/>
                <w:sz w:val="24"/>
              </w:rPr>
            </w:pPr>
            <w:r>
              <w:rPr>
                <w:rFonts w:hint="eastAsia" w:ascii="宋体" w:hAnsi="宋体" w:cs="Calibri"/>
                <w:sz w:val="24"/>
              </w:rPr>
              <w:t>行政或经济关联情况</w:t>
            </w:r>
          </w:p>
        </w:tc>
        <w:tc>
          <w:tcPr>
            <w:tcW w:w="6758" w:type="dxa"/>
            <w:tcBorders>
              <w:top w:val="single" w:color="auto" w:sz="4" w:space="0"/>
              <w:left w:val="nil"/>
              <w:bottom w:val="single" w:color="auto" w:sz="4" w:space="0"/>
              <w:right w:val="single" w:color="auto" w:sz="4" w:space="0"/>
            </w:tcBorders>
            <w:vAlign w:val="center"/>
          </w:tcPr>
          <w:p w14:paraId="7CE83DFD">
            <w:pPr>
              <w:spacing w:line="360" w:lineRule="auto"/>
              <w:rPr>
                <w:rFonts w:ascii="宋体" w:hAnsi="宋体" w:cs="宋体"/>
                <w:sz w:val="24"/>
              </w:rPr>
            </w:pPr>
            <w:r>
              <w:rPr>
                <w:rFonts w:hint="eastAsia" w:ascii="宋体" w:hAnsi="宋体"/>
                <w:sz w:val="24"/>
              </w:rPr>
              <w:t>供应商与采购人、招标代理机构及其附属机构没有行政或经济关联；</w:t>
            </w:r>
          </w:p>
        </w:tc>
      </w:tr>
      <w:tr w14:paraId="3BAEB295">
        <w:tblPrEx>
          <w:tblCellMar>
            <w:top w:w="0" w:type="dxa"/>
            <w:left w:w="108" w:type="dxa"/>
            <w:bottom w:w="0" w:type="dxa"/>
            <w:right w:w="108" w:type="dxa"/>
          </w:tblCellMar>
        </w:tblPrEx>
        <w:trPr>
          <w:trHeight w:val="862" w:hRule="atLeast"/>
        </w:trPr>
        <w:tc>
          <w:tcPr>
            <w:tcW w:w="791" w:type="dxa"/>
            <w:tcBorders>
              <w:top w:val="single" w:color="auto" w:sz="4" w:space="0"/>
              <w:left w:val="single" w:color="auto" w:sz="4" w:space="0"/>
              <w:bottom w:val="single" w:color="auto" w:sz="4" w:space="0"/>
              <w:right w:val="single" w:color="auto" w:sz="4" w:space="0"/>
            </w:tcBorders>
            <w:vAlign w:val="center"/>
          </w:tcPr>
          <w:p w14:paraId="2D61FFAB">
            <w:pPr>
              <w:spacing w:line="480" w:lineRule="exact"/>
              <w:jc w:val="center"/>
              <w:rPr>
                <w:rFonts w:ascii="宋体" w:hAnsi="宋体" w:cs="宋体"/>
                <w:kern w:val="0"/>
                <w:sz w:val="24"/>
              </w:rPr>
            </w:pPr>
            <w:r>
              <w:rPr>
                <w:rFonts w:hint="eastAsia" w:ascii="宋体" w:hAnsi="宋体" w:cs="宋体"/>
                <w:kern w:val="0"/>
                <w:sz w:val="24"/>
              </w:rPr>
              <w:t>9</w:t>
            </w:r>
          </w:p>
        </w:tc>
        <w:tc>
          <w:tcPr>
            <w:tcW w:w="2223" w:type="dxa"/>
            <w:tcBorders>
              <w:top w:val="single" w:color="auto" w:sz="4" w:space="0"/>
              <w:left w:val="single" w:color="auto" w:sz="4" w:space="0"/>
              <w:bottom w:val="single" w:color="auto" w:sz="4" w:space="0"/>
              <w:right w:val="single" w:color="auto" w:sz="4" w:space="0"/>
            </w:tcBorders>
            <w:vAlign w:val="center"/>
          </w:tcPr>
          <w:p w14:paraId="428665D5">
            <w:pPr>
              <w:spacing w:line="480" w:lineRule="exact"/>
              <w:jc w:val="center"/>
              <w:rPr>
                <w:rFonts w:ascii="宋体" w:hAnsi="宋体" w:cs="Calibri"/>
                <w:sz w:val="24"/>
              </w:rPr>
            </w:pPr>
            <w:r>
              <w:rPr>
                <w:rFonts w:hint="eastAsia" w:ascii="宋体" w:hAnsi="宋体" w:cs="Calibri"/>
                <w:sz w:val="24"/>
              </w:rPr>
              <w:t>不接受联合体投标</w:t>
            </w:r>
          </w:p>
        </w:tc>
        <w:tc>
          <w:tcPr>
            <w:tcW w:w="6758" w:type="dxa"/>
            <w:tcBorders>
              <w:top w:val="single" w:color="auto" w:sz="4" w:space="0"/>
              <w:left w:val="nil"/>
              <w:bottom w:val="single" w:color="auto" w:sz="4" w:space="0"/>
              <w:right w:val="single" w:color="auto" w:sz="4" w:space="0"/>
            </w:tcBorders>
            <w:vAlign w:val="center"/>
          </w:tcPr>
          <w:p w14:paraId="1D81DB7B">
            <w:pPr>
              <w:spacing w:line="480" w:lineRule="exact"/>
              <w:rPr>
                <w:rFonts w:ascii="宋体" w:hAnsi="宋体"/>
                <w:sz w:val="24"/>
              </w:rPr>
            </w:pPr>
            <w:r>
              <w:rPr>
                <w:rFonts w:hint="eastAsia" w:ascii="宋体" w:hAnsi="宋体"/>
                <w:sz w:val="24"/>
              </w:rPr>
              <w:t>非联合体投标声明函</w:t>
            </w:r>
          </w:p>
        </w:tc>
      </w:tr>
    </w:tbl>
    <w:p w14:paraId="409E978E">
      <w:pPr>
        <w:spacing w:line="480" w:lineRule="exact"/>
        <w:ind w:firstLine="482" w:firstLineChars="200"/>
        <w:rPr>
          <w:rFonts w:ascii="宋体" w:hAnsi="宋体"/>
          <w:b/>
          <w:bCs/>
          <w:color w:val="000000"/>
          <w:sz w:val="24"/>
        </w:rPr>
      </w:pPr>
    </w:p>
    <w:p w14:paraId="08D7C64E">
      <w:pPr>
        <w:spacing w:line="480" w:lineRule="exact"/>
        <w:ind w:firstLine="482" w:firstLineChars="200"/>
        <w:rPr>
          <w:rFonts w:ascii="宋体" w:hAnsi="宋体"/>
          <w:b/>
          <w:bCs/>
          <w:color w:val="000000"/>
          <w:sz w:val="24"/>
        </w:rPr>
      </w:pPr>
    </w:p>
    <w:p w14:paraId="683434B8">
      <w:pPr>
        <w:spacing w:line="480" w:lineRule="exact"/>
        <w:ind w:firstLine="482" w:firstLineChars="200"/>
        <w:rPr>
          <w:rFonts w:ascii="宋体" w:hAnsi="宋体"/>
          <w:b/>
          <w:bCs/>
          <w:color w:val="000000"/>
          <w:sz w:val="24"/>
        </w:rPr>
      </w:pPr>
    </w:p>
    <w:p w14:paraId="7FC5E1CC">
      <w:pPr>
        <w:spacing w:line="480" w:lineRule="exact"/>
        <w:ind w:firstLine="482" w:firstLineChars="200"/>
        <w:rPr>
          <w:rFonts w:ascii="宋体" w:hAnsi="宋体"/>
          <w:b/>
          <w:bCs/>
          <w:color w:val="000000"/>
          <w:sz w:val="24"/>
        </w:rPr>
      </w:pPr>
    </w:p>
    <w:p w14:paraId="31E89673">
      <w:pPr>
        <w:spacing w:line="480" w:lineRule="exact"/>
        <w:ind w:firstLine="482" w:firstLineChars="200"/>
        <w:rPr>
          <w:rFonts w:ascii="宋体" w:hAnsi="宋体"/>
          <w:b/>
          <w:bCs/>
          <w:color w:val="000000"/>
          <w:sz w:val="24"/>
        </w:rPr>
      </w:pPr>
    </w:p>
    <w:p w14:paraId="1F4E1A1E">
      <w:pPr>
        <w:spacing w:line="480" w:lineRule="exact"/>
        <w:ind w:firstLine="482" w:firstLineChars="200"/>
        <w:rPr>
          <w:rFonts w:ascii="宋体" w:hAnsi="宋体"/>
          <w:b/>
          <w:bCs/>
          <w:color w:val="000000"/>
          <w:sz w:val="24"/>
        </w:rPr>
      </w:pPr>
    </w:p>
    <w:p w14:paraId="1BB48C0E">
      <w:pPr>
        <w:spacing w:line="480" w:lineRule="exact"/>
        <w:ind w:firstLine="482" w:firstLineChars="200"/>
        <w:rPr>
          <w:rFonts w:ascii="宋体" w:hAnsi="宋体"/>
          <w:b/>
          <w:bCs/>
          <w:color w:val="000000"/>
          <w:sz w:val="24"/>
        </w:rPr>
      </w:pPr>
    </w:p>
    <w:p w14:paraId="1E16B5B7">
      <w:pPr>
        <w:spacing w:line="480" w:lineRule="exact"/>
        <w:ind w:firstLine="482" w:firstLineChars="200"/>
        <w:rPr>
          <w:rFonts w:ascii="宋体" w:hAnsi="宋体"/>
          <w:b/>
          <w:bCs/>
          <w:color w:val="000000"/>
          <w:sz w:val="24"/>
        </w:rPr>
      </w:pPr>
    </w:p>
    <w:p w14:paraId="0A64014A">
      <w:pPr>
        <w:spacing w:line="480" w:lineRule="exact"/>
        <w:ind w:firstLine="482" w:firstLineChars="200"/>
        <w:rPr>
          <w:rFonts w:ascii="宋体" w:hAnsi="宋体"/>
          <w:b/>
          <w:bCs/>
          <w:color w:val="000000"/>
          <w:sz w:val="24"/>
        </w:rPr>
      </w:pPr>
      <w:r>
        <w:rPr>
          <w:rFonts w:hint="eastAsia" w:ascii="宋体" w:hAnsi="宋体"/>
          <w:b/>
          <w:bCs/>
          <w:color w:val="000000"/>
          <w:sz w:val="24"/>
        </w:rPr>
        <w:t>2.1.2  符合性评审表</w:t>
      </w:r>
    </w:p>
    <w:tbl>
      <w:tblPr>
        <w:tblStyle w:val="10"/>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2030"/>
        <w:gridCol w:w="5772"/>
      </w:tblGrid>
      <w:tr w14:paraId="6DF5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17" w:type="dxa"/>
            <w:vMerge w:val="restart"/>
            <w:vAlign w:val="center"/>
          </w:tcPr>
          <w:p w14:paraId="5E238A83">
            <w:pPr>
              <w:spacing w:line="480" w:lineRule="exact"/>
              <w:jc w:val="center"/>
              <w:rPr>
                <w:rFonts w:ascii="宋体" w:hAnsi="宋体"/>
                <w:sz w:val="24"/>
              </w:rPr>
            </w:pPr>
            <w:r>
              <w:rPr>
                <w:rFonts w:hint="eastAsia" w:ascii="宋体" w:hAnsi="宋体"/>
                <w:sz w:val="24"/>
              </w:rPr>
              <w:t>符合性评审</w:t>
            </w:r>
          </w:p>
        </w:tc>
        <w:tc>
          <w:tcPr>
            <w:tcW w:w="2030" w:type="dxa"/>
            <w:vAlign w:val="center"/>
          </w:tcPr>
          <w:p w14:paraId="6095E0D0">
            <w:pPr>
              <w:spacing w:line="480" w:lineRule="exact"/>
              <w:jc w:val="center"/>
              <w:rPr>
                <w:rFonts w:ascii="宋体" w:hAnsi="宋体"/>
                <w:sz w:val="24"/>
              </w:rPr>
            </w:pPr>
            <w:r>
              <w:rPr>
                <w:rFonts w:hint="eastAsia" w:ascii="宋体" w:hAnsi="宋体"/>
                <w:sz w:val="24"/>
              </w:rPr>
              <w:t>评审因素</w:t>
            </w:r>
          </w:p>
        </w:tc>
        <w:tc>
          <w:tcPr>
            <w:tcW w:w="5772" w:type="dxa"/>
            <w:vAlign w:val="center"/>
          </w:tcPr>
          <w:p w14:paraId="23B0F743">
            <w:pPr>
              <w:spacing w:line="480" w:lineRule="exact"/>
              <w:jc w:val="center"/>
              <w:rPr>
                <w:rFonts w:ascii="宋体" w:hAnsi="宋体"/>
                <w:sz w:val="24"/>
              </w:rPr>
            </w:pPr>
            <w:r>
              <w:rPr>
                <w:rFonts w:hint="eastAsia" w:ascii="宋体" w:hAnsi="宋体"/>
                <w:sz w:val="24"/>
              </w:rPr>
              <w:t>评审标准</w:t>
            </w:r>
          </w:p>
        </w:tc>
      </w:tr>
      <w:tr w14:paraId="495E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17" w:type="dxa"/>
            <w:vMerge w:val="continue"/>
            <w:vAlign w:val="center"/>
          </w:tcPr>
          <w:p w14:paraId="32B079D8">
            <w:pPr>
              <w:spacing w:line="480" w:lineRule="exact"/>
              <w:jc w:val="center"/>
              <w:rPr>
                <w:rFonts w:ascii="宋体" w:hAnsi="宋体"/>
                <w:sz w:val="24"/>
              </w:rPr>
            </w:pPr>
          </w:p>
        </w:tc>
        <w:tc>
          <w:tcPr>
            <w:tcW w:w="2030" w:type="dxa"/>
            <w:vAlign w:val="center"/>
          </w:tcPr>
          <w:p w14:paraId="698EA2CB">
            <w:pPr>
              <w:spacing w:line="480" w:lineRule="exact"/>
              <w:jc w:val="center"/>
              <w:rPr>
                <w:rFonts w:ascii="宋体" w:hAnsi="宋体"/>
                <w:sz w:val="24"/>
              </w:rPr>
            </w:pPr>
            <w:r>
              <w:rPr>
                <w:rFonts w:hint="eastAsia" w:ascii="宋体" w:hAnsi="宋体"/>
                <w:kern w:val="1"/>
                <w:sz w:val="24"/>
              </w:rPr>
              <w:t>供应商名称</w:t>
            </w:r>
          </w:p>
        </w:tc>
        <w:tc>
          <w:tcPr>
            <w:tcW w:w="5772" w:type="dxa"/>
            <w:vAlign w:val="center"/>
          </w:tcPr>
          <w:p w14:paraId="30BCEF26">
            <w:pPr>
              <w:spacing w:line="480" w:lineRule="exact"/>
              <w:jc w:val="center"/>
              <w:rPr>
                <w:rFonts w:ascii="宋体" w:hAnsi="宋体"/>
                <w:sz w:val="24"/>
              </w:rPr>
            </w:pPr>
            <w:r>
              <w:rPr>
                <w:rFonts w:hint="eastAsia" w:ascii="宋体" w:hAnsi="宋体"/>
                <w:kern w:val="1"/>
                <w:sz w:val="24"/>
              </w:rPr>
              <w:t>与营业执照一致</w:t>
            </w:r>
          </w:p>
        </w:tc>
      </w:tr>
      <w:tr w14:paraId="5FA0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17" w:type="dxa"/>
            <w:vMerge w:val="continue"/>
            <w:vAlign w:val="center"/>
          </w:tcPr>
          <w:p w14:paraId="0ACCE902">
            <w:pPr>
              <w:spacing w:line="480" w:lineRule="exact"/>
              <w:jc w:val="center"/>
              <w:rPr>
                <w:rFonts w:ascii="宋体" w:hAnsi="宋体"/>
                <w:sz w:val="24"/>
              </w:rPr>
            </w:pPr>
          </w:p>
        </w:tc>
        <w:tc>
          <w:tcPr>
            <w:tcW w:w="2030" w:type="dxa"/>
            <w:vAlign w:val="center"/>
          </w:tcPr>
          <w:p w14:paraId="5BDF9A64">
            <w:pPr>
              <w:spacing w:line="480" w:lineRule="exact"/>
              <w:jc w:val="center"/>
              <w:rPr>
                <w:rFonts w:ascii="宋体" w:hAnsi="宋体"/>
                <w:sz w:val="24"/>
              </w:rPr>
            </w:pPr>
            <w:r>
              <w:rPr>
                <w:rFonts w:hint="eastAsia" w:ascii="宋体" w:hAnsi="宋体"/>
                <w:sz w:val="24"/>
              </w:rPr>
              <w:t>电子签章</w:t>
            </w:r>
          </w:p>
        </w:tc>
        <w:tc>
          <w:tcPr>
            <w:tcW w:w="5772" w:type="dxa"/>
            <w:vAlign w:val="center"/>
          </w:tcPr>
          <w:p w14:paraId="3CB6746A">
            <w:pPr>
              <w:spacing w:line="480" w:lineRule="exact"/>
              <w:jc w:val="center"/>
              <w:rPr>
                <w:rFonts w:ascii="宋体" w:hAnsi="宋体"/>
                <w:sz w:val="24"/>
              </w:rPr>
            </w:pPr>
            <w:r>
              <w:rPr>
                <w:rFonts w:hint="eastAsia" w:ascii="宋体" w:hAnsi="宋体"/>
                <w:sz w:val="24"/>
              </w:rPr>
              <w:t>符合</w:t>
            </w:r>
            <w:r>
              <w:rPr>
                <w:rFonts w:hint="eastAsia" w:ascii="宋体" w:hAnsi="宋体"/>
                <w:color w:val="000000"/>
                <w:sz w:val="24"/>
              </w:rPr>
              <w:t>磋商文件</w:t>
            </w:r>
            <w:r>
              <w:rPr>
                <w:rFonts w:hint="eastAsia" w:ascii="宋体" w:hAnsi="宋体"/>
                <w:sz w:val="24"/>
              </w:rPr>
              <w:t>要求的电子签章</w:t>
            </w:r>
          </w:p>
        </w:tc>
      </w:tr>
      <w:tr w14:paraId="5BC0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17" w:type="dxa"/>
            <w:vMerge w:val="continue"/>
            <w:vAlign w:val="center"/>
          </w:tcPr>
          <w:p w14:paraId="05BCFDC0">
            <w:pPr>
              <w:spacing w:line="480" w:lineRule="exact"/>
              <w:jc w:val="center"/>
              <w:rPr>
                <w:rFonts w:ascii="宋体" w:hAnsi="宋体"/>
                <w:sz w:val="24"/>
              </w:rPr>
            </w:pPr>
          </w:p>
        </w:tc>
        <w:tc>
          <w:tcPr>
            <w:tcW w:w="2030" w:type="dxa"/>
            <w:vAlign w:val="center"/>
          </w:tcPr>
          <w:p w14:paraId="4301A009">
            <w:pPr>
              <w:spacing w:line="480" w:lineRule="exact"/>
              <w:jc w:val="center"/>
              <w:rPr>
                <w:rFonts w:ascii="宋体" w:hAnsi="宋体"/>
                <w:sz w:val="24"/>
              </w:rPr>
            </w:pPr>
            <w:r>
              <w:rPr>
                <w:rFonts w:hint="eastAsia" w:ascii="宋体" w:hAnsi="宋体"/>
                <w:sz w:val="24"/>
              </w:rPr>
              <w:t>响应文件格式</w:t>
            </w:r>
          </w:p>
        </w:tc>
        <w:tc>
          <w:tcPr>
            <w:tcW w:w="5772" w:type="dxa"/>
            <w:vAlign w:val="center"/>
          </w:tcPr>
          <w:p w14:paraId="05A5EDCA">
            <w:pPr>
              <w:spacing w:line="480" w:lineRule="exact"/>
              <w:jc w:val="center"/>
              <w:rPr>
                <w:rFonts w:ascii="宋体" w:hAnsi="宋体"/>
                <w:sz w:val="24"/>
              </w:rPr>
            </w:pPr>
            <w:r>
              <w:rPr>
                <w:rFonts w:hint="eastAsia" w:ascii="宋体" w:hAnsi="宋体"/>
                <w:sz w:val="24"/>
              </w:rPr>
              <w:t>符合第六章“响应文件格式”的要求</w:t>
            </w:r>
          </w:p>
        </w:tc>
      </w:tr>
      <w:tr w14:paraId="2D96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017" w:type="dxa"/>
            <w:vMerge w:val="continue"/>
            <w:vAlign w:val="center"/>
          </w:tcPr>
          <w:p w14:paraId="0524AAC4">
            <w:pPr>
              <w:spacing w:line="480" w:lineRule="exact"/>
              <w:jc w:val="center"/>
              <w:rPr>
                <w:rFonts w:ascii="宋体" w:hAnsi="宋体"/>
                <w:sz w:val="24"/>
              </w:rPr>
            </w:pPr>
          </w:p>
        </w:tc>
        <w:tc>
          <w:tcPr>
            <w:tcW w:w="2030" w:type="dxa"/>
            <w:vAlign w:val="center"/>
          </w:tcPr>
          <w:p w14:paraId="7667298B">
            <w:pPr>
              <w:spacing w:line="480" w:lineRule="exact"/>
              <w:jc w:val="center"/>
              <w:rPr>
                <w:rFonts w:ascii="宋体" w:hAnsi="宋体"/>
                <w:sz w:val="24"/>
              </w:rPr>
            </w:pPr>
            <w:r>
              <w:rPr>
                <w:rFonts w:hint="eastAsia" w:ascii="宋体" w:hAnsi="宋体"/>
                <w:sz w:val="24"/>
              </w:rPr>
              <w:t>报价唯一</w:t>
            </w:r>
          </w:p>
        </w:tc>
        <w:tc>
          <w:tcPr>
            <w:tcW w:w="5772" w:type="dxa"/>
            <w:vAlign w:val="center"/>
          </w:tcPr>
          <w:p w14:paraId="76038EF7">
            <w:pPr>
              <w:spacing w:line="480" w:lineRule="exact"/>
              <w:jc w:val="center"/>
              <w:rPr>
                <w:rFonts w:ascii="宋体" w:hAnsi="宋体"/>
                <w:sz w:val="24"/>
              </w:rPr>
            </w:pPr>
            <w:r>
              <w:rPr>
                <w:rFonts w:hint="eastAsia" w:ascii="宋体" w:hAnsi="宋体"/>
                <w:sz w:val="24"/>
              </w:rPr>
              <w:t>只能有一个有效报价</w:t>
            </w:r>
          </w:p>
        </w:tc>
      </w:tr>
    </w:tbl>
    <w:p w14:paraId="37DC6BD4">
      <w:pPr>
        <w:spacing w:line="480" w:lineRule="exact"/>
        <w:ind w:firstLine="482" w:firstLineChars="200"/>
        <w:rPr>
          <w:rFonts w:ascii="宋体" w:hAnsi="宋体"/>
          <w:b/>
          <w:bCs/>
          <w:sz w:val="24"/>
        </w:rPr>
      </w:pPr>
      <w:r>
        <w:rPr>
          <w:rFonts w:hint="eastAsia" w:ascii="宋体" w:hAnsi="宋体"/>
          <w:b/>
          <w:bCs/>
          <w:sz w:val="24"/>
        </w:rPr>
        <w:t>2.1.3 实质性响应评审表</w:t>
      </w:r>
    </w:p>
    <w:tbl>
      <w:tblPr>
        <w:tblStyle w:val="10"/>
        <w:tblW w:w="8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066"/>
        <w:gridCol w:w="5877"/>
      </w:tblGrid>
      <w:tr w14:paraId="71B2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35" w:type="dxa"/>
            <w:vMerge w:val="restart"/>
            <w:vAlign w:val="center"/>
          </w:tcPr>
          <w:p w14:paraId="65AD0F30">
            <w:pPr>
              <w:spacing w:line="480" w:lineRule="exact"/>
              <w:jc w:val="center"/>
              <w:rPr>
                <w:rFonts w:ascii="宋体" w:hAnsi="宋体"/>
                <w:sz w:val="24"/>
              </w:rPr>
            </w:pPr>
            <w:r>
              <w:rPr>
                <w:rFonts w:hint="eastAsia" w:ascii="宋体" w:hAnsi="宋体"/>
                <w:sz w:val="24"/>
              </w:rPr>
              <w:t>实质性响应</w:t>
            </w:r>
          </w:p>
          <w:p w14:paraId="0C26ECCC">
            <w:pPr>
              <w:spacing w:line="480" w:lineRule="exact"/>
              <w:jc w:val="center"/>
              <w:rPr>
                <w:rFonts w:ascii="宋体" w:hAnsi="宋体"/>
                <w:sz w:val="24"/>
              </w:rPr>
            </w:pPr>
            <w:r>
              <w:rPr>
                <w:rFonts w:hint="eastAsia" w:ascii="宋体" w:hAnsi="宋体"/>
                <w:sz w:val="24"/>
              </w:rPr>
              <w:t>评审</w:t>
            </w:r>
          </w:p>
        </w:tc>
        <w:tc>
          <w:tcPr>
            <w:tcW w:w="2066" w:type="dxa"/>
            <w:vAlign w:val="center"/>
          </w:tcPr>
          <w:p w14:paraId="28A8F424">
            <w:pPr>
              <w:spacing w:line="480" w:lineRule="exact"/>
              <w:jc w:val="center"/>
              <w:rPr>
                <w:rFonts w:ascii="宋体" w:hAnsi="宋体"/>
                <w:sz w:val="24"/>
              </w:rPr>
            </w:pPr>
            <w:r>
              <w:rPr>
                <w:rFonts w:hint="eastAsia" w:ascii="宋体" w:hAnsi="宋体"/>
                <w:sz w:val="24"/>
              </w:rPr>
              <w:t>评审因素</w:t>
            </w:r>
          </w:p>
        </w:tc>
        <w:tc>
          <w:tcPr>
            <w:tcW w:w="5877" w:type="dxa"/>
            <w:vAlign w:val="center"/>
          </w:tcPr>
          <w:p w14:paraId="7EC5091A">
            <w:pPr>
              <w:spacing w:line="480" w:lineRule="exact"/>
              <w:jc w:val="center"/>
              <w:rPr>
                <w:rFonts w:ascii="宋体" w:hAnsi="宋体"/>
                <w:sz w:val="24"/>
              </w:rPr>
            </w:pPr>
            <w:r>
              <w:rPr>
                <w:rFonts w:hint="eastAsia" w:ascii="宋体" w:hAnsi="宋体"/>
                <w:sz w:val="24"/>
              </w:rPr>
              <w:t>评审标准</w:t>
            </w:r>
          </w:p>
        </w:tc>
      </w:tr>
      <w:tr w14:paraId="5CCD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35" w:type="dxa"/>
            <w:vMerge w:val="continue"/>
            <w:vAlign w:val="center"/>
          </w:tcPr>
          <w:p w14:paraId="21105E8E">
            <w:pPr>
              <w:spacing w:line="480" w:lineRule="exact"/>
              <w:jc w:val="center"/>
              <w:rPr>
                <w:rFonts w:ascii="宋体" w:hAnsi="宋体"/>
                <w:sz w:val="24"/>
              </w:rPr>
            </w:pPr>
          </w:p>
        </w:tc>
        <w:tc>
          <w:tcPr>
            <w:tcW w:w="2066" w:type="dxa"/>
            <w:vAlign w:val="center"/>
          </w:tcPr>
          <w:p w14:paraId="4A472322">
            <w:pPr>
              <w:spacing w:line="480" w:lineRule="exact"/>
              <w:jc w:val="center"/>
              <w:rPr>
                <w:rFonts w:ascii="宋体" w:hAnsi="宋体"/>
                <w:sz w:val="24"/>
              </w:rPr>
            </w:pPr>
            <w:r>
              <w:rPr>
                <w:rFonts w:hint="eastAsia" w:ascii="宋体" w:hAnsi="宋体"/>
                <w:sz w:val="24"/>
              </w:rPr>
              <w:t>服务期限</w:t>
            </w:r>
          </w:p>
        </w:tc>
        <w:tc>
          <w:tcPr>
            <w:tcW w:w="5877" w:type="dxa"/>
            <w:vAlign w:val="center"/>
          </w:tcPr>
          <w:p w14:paraId="7467CA9C">
            <w:pPr>
              <w:spacing w:line="480" w:lineRule="exact"/>
              <w:jc w:val="center"/>
              <w:rPr>
                <w:rFonts w:ascii="宋体" w:hAnsi="宋体"/>
                <w:color w:val="auto"/>
                <w:sz w:val="24"/>
              </w:rPr>
            </w:pPr>
            <w:r>
              <w:rPr>
                <w:rFonts w:ascii="宋体" w:hAnsi="宋体" w:cs="宋体"/>
                <w:color w:val="auto"/>
                <w:sz w:val="24"/>
              </w:rPr>
              <w:t>自合同签订之日起，至本项目城市体检全套成果通过省级主管部门评审并完成资料归档之日止。</w:t>
            </w:r>
          </w:p>
        </w:tc>
      </w:tr>
      <w:tr w14:paraId="471A0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35" w:type="dxa"/>
            <w:vMerge w:val="continue"/>
            <w:vAlign w:val="center"/>
          </w:tcPr>
          <w:p w14:paraId="7C93F794">
            <w:pPr>
              <w:spacing w:line="480" w:lineRule="exact"/>
              <w:jc w:val="center"/>
              <w:rPr>
                <w:rFonts w:ascii="宋体" w:hAnsi="宋体"/>
                <w:sz w:val="24"/>
              </w:rPr>
            </w:pPr>
          </w:p>
        </w:tc>
        <w:tc>
          <w:tcPr>
            <w:tcW w:w="2066" w:type="dxa"/>
            <w:vAlign w:val="center"/>
          </w:tcPr>
          <w:p w14:paraId="6D2D183B">
            <w:pPr>
              <w:spacing w:line="480" w:lineRule="exact"/>
              <w:jc w:val="center"/>
              <w:rPr>
                <w:rFonts w:ascii="宋体" w:hAnsi="宋体"/>
                <w:sz w:val="24"/>
              </w:rPr>
            </w:pPr>
            <w:r>
              <w:rPr>
                <w:rFonts w:hint="eastAsia" w:ascii="宋体" w:hAnsi="宋体"/>
                <w:sz w:val="24"/>
              </w:rPr>
              <w:t>质量要求</w:t>
            </w:r>
          </w:p>
        </w:tc>
        <w:tc>
          <w:tcPr>
            <w:tcW w:w="5877" w:type="dxa"/>
            <w:vAlign w:val="center"/>
          </w:tcPr>
          <w:p w14:paraId="3B76F0FF">
            <w:pPr>
              <w:spacing w:line="480" w:lineRule="exact"/>
              <w:jc w:val="center"/>
              <w:rPr>
                <w:rFonts w:ascii="宋体" w:hAnsi="宋体"/>
                <w:color w:val="auto"/>
                <w:sz w:val="24"/>
              </w:rPr>
            </w:pPr>
            <w:r>
              <w:rPr>
                <w:rFonts w:hint="eastAsia" w:ascii="宋体" w:hAnsi="宋体"/>
                <w:color w:val="auto"/>
                <w:sz w:val="24"/>
              </w:rPr>
              <w:t>符合国家现行规范标准及行业最新规定，并通过相关部门审查。</w:t>
            </w:r>
          </w:p>
        </w:tc>
      </w:tr>
      <w:tr w14:paraId="36FF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35" w:type="dxa"/>
            <w:vMerge w:val="continue"/>
            <w:vAlign w:val="center"/>
          </w:tcPr>
          <w:p w14:paraId="2F11D90F">
            <w:pPr>
              <w:spacing w:line="480" w:lineRule="exact"/>
              <w:jc w:val="center"/>
              <w:rPr>
                <w:rFonts w:ascii="宋体" w:hAnsi="宋体"/>
                <w:sz w:val="24"/>
              </w:rPr>
            </w:pPr>
          </w:p>
        </w:tc>
        <w:tc>
          <w:tcPr>
            <w:tcW w:w="2066" w:type="dxa"/>
            <w:vAlign w:val="center"/>
          </w:tcPr>
          <w:p w14:paraId="60C1005E">
            <w:pPr>
              <w:spacing w:line="480" w:lineRule="exact"/>
              <w:jc w:val="center"/>
              <w:rPr>
                <w:rFonts w:ascii="宋体" w:hAnsi="宋体"/>
                <w:sz w:val="24"/>
              </w:rPr>
            </w:pPr>
            <w:r>
              <w:rPr>
                <w:rFonts w:hint="eastAsia" w:ascii="宋体" w:hAnsi="宋体"/>
                <w:sz w:val="24"/>
              </w:rPr>
              <w:t>投标有效期</w:t>
            </w:r>
          </w:p>
        </w:tc>
        <w:tc>
          <w:tcPr>
            <w:tcW w:w="5877" w:type="dxa"/>
            <w:vAlign w:val="center"/>
          </w:tcPr>
          <w:p w14:paraId="5D4206CB">
            <w:pPr>
              <w:spacing w:line="480" w:lineRule="exact"/>
              <w:jc w:val="center"/>
              <w:rPr>
                <w:rFonts w:ascii="宋体" w:hAnsi="宋体"/>
                <w:color w:val="auto"/>
                <w:sz w:val="24"/>
              </w:rPr>
            </w:pPr>
            <w:r>
              <w:rPr>
                <w:rFonts w:hint="eastAsia" w:ascii="宋体" w:hAnsi="宋体"/>
                <w:color w:val="auto"/>
                <w:sz w:val="24"/>
              </w:rPr>
              <w:t>自响应性文件递交截止之日起60日历天</w:t>
            </w:r>
          </w:p>
        </w:tc>
      </w:tr>
      <w:tr w14:paraId="294C1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35" w:type="dxa"/>
            <w:vMerge w:val="continue"/>
            <w:vAlign w:val="center"/>
          </w:tcPr>
          <w:p w14:paraId="7942B3D6">
            <w:pPr>
              <w:spacing w:line="480" w:lineRule="exact"/>
              <w:jc w:val="center"/>
              <w:rPr>
                <w:rFonts w:ascii="宋体" w:hAnsi="宋体"/>
                <w:sz w:val="24"/>
              </w:rPr>
            </w:pPr>
          </w:p>
        </w:tc>
        <w:tc>
          <w:tcPr>
            <w:tcW w:w="2066" w:type="dxa"/>
            <w:vAlign w:val="center"/>
          </w:tcPr>
          <w:p w14:paraId="0756A2A2">
            <w:pPr>
              <w:spacing w:line="480" w:lineRule="exact"/>
              <w:jc w:val="center"/>
              <w:rPr>
                <w:rFonts w:ascii="宋体" w:hAnsi="宋体"/>
                <w:sz w:val="24"/>
              </w:rPr>
            </w:pPr>
            <w:r>
              <w:rPr>
                <w:rFonts w:hint="eastAsia" w:ascii="宋体" w:hAnsi="宋体"/>
                <w:sz w:val="24"/>
              </w:rPr>
              <w:t>报价</w:t>
            </w:r>
          </w:p>
        </w:tc>
        <w:tc>
          <w:tcPr>
            <w:tcW w:w="5877" w:type="dxa"/>
            <w:vAlign w:val="center"/>
          </w:tcPr>
          <w:p w14:paraId="126E9CE8">
            <w:pPr>
              <w:spacing w:line="480" w:lineRule="exact"/>
              <w:jc w:val="center"/>
              <w:rPr>
                <w:rFonts w:ascii="宋体" w:hAnsi="宋体"/>
                <w:sz w:val="24"/>
              </w:rPr>
            </w:pPr>
            <w:r>
              <w:rPr>
                <w:rFonts w:hint="eastAsia" w:ascii="宋体" w:hAnsi="宋体"/>
                <w:sz w:val="24"/>
              </w:rPr>
              <w:t>低于（含等于）预算金额</w:t>
            </w:r>
          </w:p>
        </w:tc>
      </w:tr>
    </w:tbl>
    <w:p w14:paraId="24DB4987">
      <w:pPr>
        <w:widowControl/>
        <w:jc w:val="left"/>
        <w:rPr>
          <w:rFonts w:ascii="宋体" w:hAnsi="宋体"/>
          <w:sz w:val="24"/>
        </w:rPr>
      </w:pPr>
    </w:p>
    <w:p w14:paraId="68294401">
      <w:pPr>
        <w:spacing w:line="360" w:lineRule="auto"/>
        <w:ind w:firstLine="482" w:firstLineChars="200"/>
        <w:rPr>
          <w:rFonts w:ascii="宋体" w:hAnsi="宋体"/>
          <w:b/>
          <w:color w:val="000000"/>
          <w:sz w:val="24"/>
        </w:rPr>
      </w:pPr>
    </w:p>
    <w:p w14:paraId="3F7ECC39">
      <w:pPr>
        <w:widowControl/>
        <w:jc w:val="left"/>
        <w:rPr>
          <w:rFonts w:ascii="宋体" w:hAnsi="宋体"/>
          <w:sz w:val="24"/>
        </w:rPr>
      </w:pPr>
    </w:p>
    <w:p w14:paraId="243F8F46">
      <w:pPr>
        <w:widowControl/>
        <w:jc w:val="left"/>
        <w:rPr>
          <w:rFonts w:ascii="宋体" w:hAnsi="宋体"/>
          <w:sz w:val="24"/>
        </w:rPr>
      </w:pPr>
    </w:p>
    <w:p w14:paraId="6D2D399A">
      <w:pPr>
        <w:widowControl/>
        <w:jc w:val="left"/>
        <w:rPr>
          <w:rFonts w:ascii="宋体" w:hAnsi="宋体"/>
          <w:sz w:val="24"/>
        </w:rPr>
      </w:pPr>
    </w:p>
    <w:p w14:paraId="77E3C81B">
      <w:pPr>
        <w:widowControl/>
        <w:jc w:val="left"/>
        <w:rPr>
          <w:rFonts w:ascii="宋体" w:hAnsi="宋体"/>
          <w:sz w:val="24"/>
        </w:rPr>
      </w:pPr>
    </w:p>
    <w:p w14:paraId="37737F5E">
      <w:pPr>
        <w:widowControl/>
        <w:jc w:val="left"/>
        <w:rPr>
          <w:rFonts w:ascii="宋体" w:hAnsi="宋体"/>
          <w:sz w:val="24"/>
        </w:rPr>
      </w:pPr>
    </w:p>
    <w:p w14:paraId="1664DCB1">
      <w:pPr>
        <w:widowControl/>
        <w:jc w:val="left"/>
        <w:rPr>
          <w:rFonts w:ascii="宋体" w:hAnsi="宋体"/>
          <w:sz w:val="24"/>
        </w:rPr>
      </w:pPr>
    </w:p>
    <w:p w14:paraId="32F2E3AE">
      <w:pPr>
        <w:widowControl/>
        <w:jc w:val="left"/>
        <w:rPr>
          <w:rFonts w:ascii="宋体" w:hAnsi="宋体"/>
          <w:sz w:val="24"/>
        </w:rPr>
      </w:pPr>
    </w:p>
    <w:p w14:paraId="0B922BE2">
      <w:pPr>
        <w:widowControl/>
        <w:jc w:val="left"/>
        <w:rPr>
          <w:rFonts w:ascii="宋体" w:hAnsi="宋体"/>
          <w:sz w:val="24"/>
        </w:rPr>
      </w:pPr>
    </w:p>
    <w:p w14:paraId="475219A7">
      <w:pPr>
        <w:widowControl/>
        <w:jc w:val="left"/>
        <w:rPr>
          <w:rFonts w:ascii="宋体" w:hAnsi="宋体"/>
          <w:sz w:val="24"/>
        </w:rPr>
      </w:pPr>
    </w:p>
    <w:p w14:paraId="6C44E83B">
      <w:pPr>
        <w:widowControl/>
        <w:jc w:val="left"/>
        <w:rPr>
          <w:rFonts w:ascii="宋体" w:hAnsi="宋体"/>
          <w:sz w:val="24"/>
        </w:rPr>
      </w:pPr>
    </w:p>
    <w:p w14:paraId="41E3B3BF">
      <w:pPr>
        <w:widowControl/>
        <w:jc w:val="left"/>
        <w:rPr>
          <w:rFonts w:ascii="宋体" w:hAnsi="宋体"/>
          <w:sz w:val="24"/>
        </w:rPr>
      </w:pPr>
    </w:p>
    <w:p w14:paraId="14490369">
      <w:pPr>
        <w:widowControl/>
        <w:jc w:val="left"/>
        <w:rPr>
          <w:rFonts w:ascii="宋体" w:hAnsi="宋体"/>
          <w:sz w:val="24"/>
        </w:rPr>
      </w:pPr>
    </w:p>
    <w:p w14:paraId="7D9245E7">
      <w:pPr>
        <w:widowControl/>
        <w:jc w:val="left"/>
        <w:rPr>
          <w:rFonts w:ascii="宋体" w:hAnsi="宋体"/>
          <w:sz w:val="24"/>
        </w:rPr>
      </w:pPr>
    </w:p>
    <w:p w14:paraId="5503838B">
      <w:pPr>
        <w:widowControl/>
        <w:jc w:val="left"/>
        <w:rPr>
          <w:rFonts w:ascii="宋体" w:hAnsi="宋体"/>
          <w:sz w:val="24"/>
        </w:rPr>
      </w:pPr>
    </w:p>
    <w:p w14:paraId="3F0321C0">
      <w:pPr>
        <w:widowControl/>
        <w:jc w:val="left"/>
        <w:rPr>
          <w:rFonts w:ascii="宋体" w:hAnsi="宋体"/>
          <w:sz w:val="24"/>
        </w:rPr>
      </w:pPr>
    </w:p>
    <w:p w14:paraId="0862FE56">
      <w:pPr>
        <w:widowControl/>
        <w:jc w:val="left"/>
        <w:rPr>
          <w:rFonts w:ascii="宋体" w:hAnsi="宋体"/>
          <w:sz w:val="24"/>
        </w:rPr>
      </w:pPr>
    </w:p>
    <w:p w14:paraId="1DDE20B7">
      <w:pPr>
        <w:widowControl/>
        <w:jc w:val="left"/>
        <w:rPr>
          <w:rFonts w:ascii="宋体" w:hAnsi="宋体"/>
          <w:sz w:val="24"/>
        </w:rPr>
      </w:pPr>
    </w:p>
    <w:p w14:paraId="02CA27C1">
      <w:pPr>
        <w:pStyle w:val="24"/>
        <w:ind w:left="0" w:leftChars="0" w:firstLine="0"/>
        <w:rPr>
          <w:rFonts w:hint="default"/>
        </w:rPr>
      </w:pPr>
    </w:p>
    <w:p w14:paraId="28FFEB3F">
      <w:pPr>
        <w:spacing w:line="480" w:lineRule="exact"/>
        <w:rPr>
          <w:rFonts w:ascii="宋体" w:hAnsi="宋体"/>
          <w:b/>
          <w:color w:val="000000"/>
          <w:sz w:val="24"/>
        </w:rPr>
      </w:pPr>
      <w:r>
        <w:rPr>
          <w:rFonts w:hint="eastAsia" w:ascii="宋体" w:hAnsi="宋体"/>
          <w:b/>
          <w:color w:val="000000"/>
          <w:sz w:val="24"/>
        </w:rPr>
        <w:t xml:space="preserve">2.2.2  </w:t>
      </w:r>
      <w:r>
        <w:rPr>
          <w:rFonts w:hint="eastAsia" w:ascii="宋体" w:hAnsi="宋体" w:cs="宋体"/>
          <w:b/>
          <w:sz w:val="24"/>
          <w:szCs w:val="20"/>
        </w:rPr>
        <w:t>详细评审</w:t>
      </w:r>
      <w:r>
        <w:rPr>
          <w:rFonts w:hint="eastAsia" w:ascii="宋体" w:hAnsi="宋体" w:cs="宋体"/>
          <w:b/>
          <w:color w:val="000000"/>
          <w:kern w:val="0"/>
          <w:sz w:val="24"/>
        </w:rPr>
        <w:t>表</w:t>
      </w:r>
      <w:r>
        <w:rPr>
          <w:rFonts w:hint="eastAsia" w:ascii="宋体" w:hAnsi="宋体"/>
          <w:b/>
          <w:color w:val="000000"/>
          <w:sz w:val="24"/>
        </w:rPr>
        <w:t xml:space="preserve">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7051"/>
        <w:gridCol w:w="821"/>
      </w:tblGrid>
      <w:tr w14:paraId="3F41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539" w:type="dxa"/>
            <w:tcBorders>
              <w:top w:val="single" w:color="auto" w:sz="4" w:space="0"/>
              <w:left w:val="single" w:color="auto" w:sz="4" w:space="0"/>
              <w:bottom w:val="single" w:color="auto" w:sz="4" w:space="0"/>
              <w:right w:val="single" w:color="auto" w:sz="4" w:space="0"/>
              <w:tl2br w:val="single" w:color="auto" w:sz="4" w:space="0"/>
            </w:tcBorders>
            <w:vAlign w:val="center"/>
          </w:tcPr>
          <w:p w14:paraId="02244FA1">
            <w:pPr>
              <w:snapToGrid w:val="0"/>
              <w:spacing w:line="360" w:lineRule="auto"/>
              <w:ind w:firstLine="826" w:firstLineChars="343"/>
              <w:rPr>
                <w:rFonts w:ascii="宋体" w:hAnsi="宋体" w:cs="宋体"/>
                <w:b/>
                <w:bCs/>
                <w:sz w:val="24"/>
              </w:rPr>
            </w:pPr>
            <w:r>
              <w:rPr>
                <w:rFonts w:hint="eastAsia" w:ascii="宋体" w:hAnsi="宋体" w:cs="宋体"/>
                <w:b/>
                <w:bCs/>
                <w:sz w:val="24"/>
              </w:rPr>
              <w:t>细则</w:t>
            </w:r>
          </w:p>
          <w:p w14:paraId="72B1DA78">
            <w:pPr>
              <w:snapToGrid w:val="0"/>
              <w:spacing w:line="360" w:lineRule="auto"/>
              <w:rPr>
                <w:rFonts w:ascii="宋体" w:hAnsi="宋体" w:cs="宋体"/>
                <w:b/>
                <w:bCs/>
                <w:sz w:val="24"/>
                <w:vertAlign w:val="subscript"/>
              </w:rPr>
            </w:pPr>
            <w:r>
              <w:rPr>
                <w:rFonts w:hint="eastAsia" w:ascii="宋体" w:hAnsi="宋体" w:cs="宋体"/>
                <w:b/>
                <w:bCs/>
                <w:sz w:val="24"/>
              </w:rPr>
              <w:t>项目</w:t>
            </w:r>
          </w:p>
        </w:tc>
        <w:tc>
          <w:tcPr>
            <w:tcW w:w="7051" w:type="dxa"/>
            <w:tcBorders>
              <w:top w:val="single" w:color="auto" w:sz="4" w:space="0"/>
              <w:left w:val="single" w:color="auto" w:sz="4" w:space="0"/>
              <w:bottom w:val="single" w:color="auto" w:sz="4" w:space="0"/>
              <w:right w:val="single" w:color="auto" w:sz="4" w:space="0"/>
            </w:tcBorders>
            <w:vAlign w:val="center"/>
          </w:tcPr>
          <w:p w14:paraId="4426519A">
            <w:pPr>
              <w:snapToGrid w:val="0"/>
              <w:spacing w:line="360" w:lineRule="auto"/>
              <w:jc w:val="center"/>
              <w:rPr>
                <w:rFonts w:ascii="宋体" w:hAnsi="宋体" w:cs="宋体"/>
                <w:b/>
                <w:bCs/>
                <w:sz w:val="24"/>
              </w:rPr>
            </w:pPr>
            <w:r>
              <w:rPr>
                <w:rFonts w:hint="eastAsia" w:ascii="宋体" w:hAnsi="宋体" w:cs="宋体"/>
                <w:b/>
                <w:bCs/>
                <w:sz w:val="24"/>
              </w:rPr>
              <w:t>分值细则</w:t>
            </w:r>
          </w:p>
        </w:tc>
        <w:tc>
          <w:tcPr>
            <w:tcW w:w="821" w:type="dxa"/>
            <w:tcBorders>
              <w:top w:val="single" w:color="auto" w:sz="4" w:space="0"/>
              <w:left w:val="single" w:color="auto" w:sz="4" w:space="0"/>
              <w:bottom w:val="single" w:color="auto" w:sz="4" w:space="0"/>
              <w:right w:val="single" w:color="auto" w:sz="4" w:space="0"/>
            </w:tcBorders>
            <w:vAlign w:val="center"/>
          </w:tcPr>
          <w:p w14:paraId="58660CF0">
            <w:pPr>
              <w:snapToGrid w:val="0"/>
              <w:spacing w:line="360" w:lineRule="auto"/>
              <w:jc w:val="center"/>
              <w:rPr>
                <w:rFonts w:ascii="宋体" w:hAnsi="宋体" w:cs="宋体"/>
                <w:b/>
                <w:bCs/>
                <w:sz w:val="24"/>
              </w:rPr>
            </w:pPr>
            <w:r>
              <w:rPr>
                <w:rFonts w:hint="eastAsia" w:ascii="宋体" w:hAnsi="宋体" w:cs="宋体"/>
                <w:b/>
                <w:bCs/>
                <w:sz w:val="24"/>
              </w:rPr>
              <w:t>分值</w:t>
            </w:r>
          </w:p>
        </w:tc>
      </w:tr>
      <w:tr w14:paraId="33FE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411" w:type="dxa"/>
            <w:gridSpan w:val="3"/>
            <w:tcBorders>
              <w:top w:val="single" w:color="auto" w:sz="4" w:space="0"/>
              <w:left w:val="single" w:color="auto" w:sz="4" w:space="0"/>
              <w:bottom w:val="single" w:color="auto" w:sz="4" w:space="0"/>
              <w:right w:val="single" w:color="auto" w:sz="4" w:space="0"/>
            </w:tcBorders>
            <w:vAlign w:val="center"/>
          </w:tcPr>
          <w:p w14:paraId="1575D208">
            <w:pPr>
              <w:snapToGrid w:val="0"/>
              <w:spacing w:line="360" w:lineRule="auto"/>
              <w:jc w:val="left"/>
              <w:rPr>
                <w:rFonts w:ascii="宋体" w:hAnsi="宋体" w:cs="宋体"/>
                <w:b/>
                <w:sz w:val="24"/>
              </w:rPr>
            </w:pPr>
            <w:r>
              <w:rPr>
                <w:rFonts w:hint="eastAsia" w:ascii="宋体" w:hAnsi="宋体" w:cs="宋体"/>
                <w:b/>
                <w:sz w:val="24"/>
              </w:rPr>
              <w:t>一、价格部分（10分）</w:t>
            </w:r>
          </w:p>
        </w:tc>
      </w:tr>
      <w:tr w14:paraId="4D6E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7"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14:paraId="09FE2A9C">
            <w:pPr>
              <w:pStyle w:val="3"/>
              <w:spacing w:line="480" w:lineRule="exact"/>
              <w:jc w:val="center"/>
              <w:rPr>
                <w:rFonts w:hAnsi="宋体" w:cs="宋体"/>
                <w:color w:val="auto"/>
              </w:rPr>
            </w:pPr>
            <w:r>
              <w:rPr>
                <w:rFonts w:hint="eastAsia" w:hAnsi="宋体" w:cs="宋体"/>
                <w:color w:val="auto"/>
              </w:rPr>
              <w:t>投标</w:t>
            </w:r>
          </w:p>
          <w:p w14:paraId="27334BD8">
            <w:pPr>
              <w:pStyle w:val="3"/>
              <w:spacing w:line="480" w:lineRule="exact"/>
              <w:jc w:val="center"/>
              <w:rPr>
                <w:rFonts w:hAnsi="宋体" w:cs="宋体"/>
                <w:color w:val="auto"/>
              </w:rPr>
            </w:pPr>
            <w:r>
              <w:rPr>
                <w:rFonts w:hint="eastAsia" w:hAnsi="宋体" w:cs="宋体"/>
                <w:color w:val="auto"/>
              </w:rPr>
              <w:t>报价</w:t>
            </w:r>
          </w:p>
          <w:p w14:paraId="6A0B2460">
            <w:pPr>
              <w:snapToGrid w:val="0"/>
              <w:spacing w:line="480" w:lineRule="exact"/>
              <w:jc w:val="center"/>
              <w:rPr>
                <w:rFonts w:ascii="宋体" w:hAnsi="宋体" w:cs="宋体"/>
                <w:sz w:val="24"/>
              </w:rPr>
            </w:pPr>
          </w:p>
        </w:tc>
        <w:tc>
          <w:tcPr>
            <w:tcW w:w="7051" w:type="dxa"/>
            <w:tcBorders>
              <w:top w:val="single" w:color="auto" w:sz="4" w:space="0"/>
              <w:left w:val="single" w:color="auto" w:sz="4" w:space="0"/>
              <w:bottom w:val="single" w:color="auto" w:sz="4" w:space="0"/>
              <w:right w:val="single" w:color="auto" w:sz="4" w:space="0"/>
            </w:tcBorders>
            <w:vAlign w:val="center"/>
          </w:tcPr>
          <w:p w14:paraId="5F157782">
            <w:pPr>
              <w:spacing w:line="480" w:lineRule="exact"/>
              <w:jc w:val="left"/>
              <w:rPr>
                <w:rFonts w:ascii="宋体" w:hAnsi="宋体" w:cs="宋体"/>
                <w:color w:val="auto"/>
                <w:kern w:val="0"/>
                <w:sz w:val="24"/>
              </w:rPr>
            </w:pPr>
            <w:r>
              <w:rPr>
                <w:rFonts w:hint="eastAsia" w:ascii="宋体" w:hAnsi="宋体"/>
                <w:color w:val="auto"/>
                <w:sz w:val="24"/>
              </w:rPr>
              <w:t>1、超</w:t>
            </w:r>
            <w:r>
              <w:rPr>
                <w:rFonts w:hint="eastAsia" w:ascii="宋体" w:hAnsi="宋体" w:cs="宋体"/>
                <w:color w:val="auto"/>
                <w:kern w:val="0"/>
                <w:sz w:val="24"/>
              </w:rPr>
              <w:t>出采购人预算价的响应报价为无效报价。</w:t>
            </w:r>
          </w:p>
          <w:p w14:paraId="3D752B4F">
            <w:pPr>
              <w:spacing w:line="480" w:lineRule="exact"/>
              <w:jc w:val="left"/>
              <w:rPr>
                <w:rFonts w:ascii="宋体" w:hAnsi="宋体" w:cs="宋体"/>
                <w:color w:val="auto"/>
                <w:kern w:val="0"/>
                <w:sz w:val="24"/>
              </w:rPr>
            </w:pPr>
            <w:r>
              <w:rPr>
                <w:rFonts w:hint="eastAsia" w:ascii="宋体" w:hAnsi="宋体" w:cs="宋体"/>
                <w:color w:val="auto"/>
                <w:kern w:val="0"/>
                <w:sz w:val="24"/>
              </w:rPr>
              <w:t>2、本项目进行2轮报价，第二轮磋商报价为供应商的最终报价。供应每轮报价高于前一轮报价的按无效报价处理。</w:t>
            </w:r>
          </w:p>
          <w:p w14:paraId="45F68D94">
            <w:pPr>
              <w:spacing w:line="480" w:lineRule="exact"/>
              <w:jc w:val="left"/>
              <w:rPr>
                <w:rFonts w:ascii="宋体" w:hAnsi="宋体" w:cs="宋体"/>
                <w:color w:val="auto"/>
                <w:kern w:val="0"/>
                <w:sz w:val="24"/>
              </w:rPr>
            </w:pPr>
            <w:r>
              <w:rPr>
                <w:rFonts w:hint="eastAsia" w:ascii="宋体" w:hAnsi="宋体" w:cs="宋体"/>
                <w:color w:val="auto"/>
                <w:kern w:val="0"/>
                <w:sz w:val="24"/>
              </w:rPr>
              <w:t>3、价格分采用低价优先法计算，即满足磋商文件要求且最后报价最低的供应商的价格为磋商基准价，其价格分为满分，其他供应商的价格分统一按照下列公式计算：</w:t>
            </w:r>
          </w:p>
          <w:p w14:paraId="3CFE6610">
            <w:pPr>
              <w:spacing w:line="480" w:lineRule="exact"/>
              <w:jc w:val="left"/>
              <w:rPr>
                <w:rFonts w:ascii="宋体" w:hAnsi="宋体" w:cs="宋体"/>
                <w:color w:val="auto"/>
                <w:kern w:val="0"/>
                <w:sz w:val="24"/>
              </w:rPr>
            </w:pPr>
            <w:r>
              <w:rPr>
                <w:rFonts w:hint="eastAsia" w:ascii="宋体" w:hAnsi="宋体" w:cs="宋体"/>
                <w:color w:val="auto"/>
                <w:kern w:val="0"/>
                <w:sz w:val="24"/>
              </w:rPr>
              <w:t>价格分=（磋商基准价/最后磋商报价）×10×100%。</w:t>
            </w:r>
          </w:p>
          <w:p w14:paraId="5CAEF4BF">
            <w:pPr>
              <w:spacing w:line="480" w:lineRule="exact"/>
              <w:jc w:val="left"/>
              <w:rPr>
                <w:rFonts w:ascii="宋体" w:hAnsi="宋体" w:cs="宋体"/>
                <w:color w:val="auto"/>
                <w:kern w:val="0"/>
                <w:sz w:val="24"/>
              </w:rPr>
            </w:pPr>
            <w:r>
              <w:rPr>
                <w:rFonts w:hint="eastAsia" w:ascii="宋体" w:hAnsi="宋体" w:cs="宋体"/>
                <w:color w:val="auto"/>
                <w:kern w:val="0"/>
                <w:sz w:val="24"/>
              </w:rPr>
              <w:t>4、对小型、微型企业、监狱企业及残疾人福利性单位价格给予10%的扣除，用扣除后的价格参与评审；参加投标活动的中小企业应当提供《政府采购促进中小企业发展暂行办法》规定的《中小企业声明函》，未填写中小企业声明函的在评标过程中不予认可。若提供的声明与实际情况不符，采购人有权取消该中标供应商的中标资格，并对因其造成的损失进行追责。</w:t>
            </w:r>
          </w:p>
          <w:p w14:paraId="7F7FB547">
            <w:pPr>
              <w:spacing w:line="480" w:lineRule="exact"/>
              <w:jc w:val="left"/>
              <w:rPr>
                <w:rFonts w:ascii="宋体" w:hAnsi="宋体" w:cs="宋体"/>
                <w:color w:val="auto"/>
                <w:kern w:val="0"/>
                <w:sz w:val="24"/>
              </w:rPr>
            </w:pPr>
            <w:r>
              <w:rPr>
                <w:rFonts w:hint="eastAsia" w:ascii="宋体" w:hAnsi="宋体" w:cs="宋体"/>
                <w:color w:val="auto"/>
                <w:kern w:val="0"/>
                <w:sz w:val="24"/>
              </w:rPr>
              <w:t>5、评标小组认为投标人的报价明显低于其他通过审查的投标人的报价，有可能影响服务质量或者不能诚信履约的，应当要求其在评标现场合理的时间内提供书面说明，必要时提交相关证明材料；如供应商未能在规定期限内作出解释，或所作解释不合理，经磋商小组取得一致意见后，对该供应商将不予推荐。</w:t>
            </w:r>
          </w:p>
          <w:p w14:paraId="39838DD4">
            <w:pPr>
              <w:spacing w:line="360" w:lineRule="auto"/>
              <w:jc w:val="left"/>
              <w:rPr>
                <w:rFonts w:hAnsi="宋体" w:cs="宋体"/>
              </w:rPr>
            </w:pPr>
            <w:r>
              <w:rPr>
                <w:rFonts w:hint="eastAsia" w:ascii="宋体" w:hAnsi="宋体" w:cs="宋体"/>
                <w:color w:val="auto"/>
                <w:kern w:val="0"/>
                <w:sz w:val="24"/>
              </w:rPr>
              <w:t>6、投标报价得分四舍五入至小数点后两位。</w:t>
            </w:r>
          </w:p>
        </w:tc>
        <w:tc>
          <w:tcPr>
            <w:tcW w:w="821" w:type="dxa"/>
            <w:tcBorders>
              <w:top w:val="single" w:color="auto" w:sz="4" w:space="0"/>
              <w:left w:val="single" w:color="auto" w:sz="4" w:space="0"/>
              <w:bottom w:val="single" w:color="auto" w:sz="4" w:space="0"/>
              <w:right w:val="single" w:color="auto" w:sz="4" w:space="0"/>
            </w:tcBorders>
            <w:vAlign w:val="center"/>
          </w:tcPr>
          <w:p w14:paraId="488DA415">
            <w:pPr>
              <w:snapToGrid w:val="0"/>
              <w:spacing w:line="360" w:lineRule="auto"/>
              <w:jc w:val="center"/>
              <w:rPr>
                <w:rFonts w:ascii="宋体" w:hAnsi="宋体" w:cs="宋体"/>
                <w:sz w:val="24"/>
              </w:rPr>
            </w:pPr>
            <w:r>
              <w:rPr>
                <w:rFonts w:hint="eastAsia" w:ascii="宋体" w:hAnsi="宋体" w:cs="宋体"/>
                <w:sz w:val="24"/>
              </w:rPr>
              <w:t>10分</w:t>
            </w:r>
          </w:p>
        </w:tc>
      </w:tr>
      <w:tr w14:paraId="707B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9411" w:type="dxa"/>
            <w:gridSpan w:val="3"/>
            <w:tcBorders>
              <w:top w:val="single" w:color="auto" w:sz="4" w:space="0"/>
              <w:left w:val="single" w:color="auto" w:sz="4" w:space="0"/>
              <w:bottom w:val="single" w:color="auto" w:sz="4" w:space="0"/>
              <w:right w:val="single" w:color="auto" w:sz="4" w:space="0"/>
            </w:tcBorders>
            <w:vAlign w:val="center"/>
          </w:tcPr>
          <w:p w14:paraId="7CA7AF88">
            <w:pPr>
              <w:snapToGrid w:val="0"/>
              <w:spacing w:line="480" w:lineRule="exact"/>
              <w:jc w:val="left"/>
              <w:rPr>
                <w:rFonts w:ascii="宋体" w:hAnsi="宋体" w:cs="宋体"/>
                <w:b/>
                <w:sz w:val="24"/>
              </w:rPr>
            </w:pPr>
            <w:r>
              <w:rPr>
                <w:rFonts w:hint="eastAsia" w:ascii="宋体" w:hAnsi="宋体" w:cs="宋体"/>
                <w:b/>
                <w:sz w:val="24"/>
              </w:rPr>
              <w:t>二、技术部分（60分）</w:t>
            </w:r>
          </w:p>
        </w:tc>
      </w:tr>
      <w:tr w14:paraId="1803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539" w:type="dxa"/>
            <w:tcBorders>
              <w:top w:val="single" w:color="auto" w:sz="4" w:space="0"/>
              <w:left w:val="single" w:color="auto" w:sz="4" w:space="0"/>
              <w:right w:val="single" w:color="auto" w:sz="4" w:space="0"/>
            </w:tcBorders>
            <w:vAlign w:val="center"/>
          </w:tcPr>
          <w:p w14:paraId="26CF6B8B">
            <w:pPr>
              <w:spacing w:line="480" w:lineRule="exact"/>
              <w:jc w:val="left"/>
              <w:rPr>
                <w:rFonts w:ascii="宋体" w:hAnsi="宋体" w:cs="宋体"/>
                <w:kern w:val="0"/>
                <w:sz w:val="24"/>
              </w:rPr>
            </w:pPr>
            <w:r>
              <w:rPr>
                <w:rFonts w:hint="eastAsia" w:ascii="宋体" w:hAnsi="宋体" w:cs="宋体"/>
                <w:kern w:val="0"/>
                <w:sz w:val="24"/>
              </w:rPr>
              <w:t>项目分析和重难点环节的理解（0-13分）</w:t>
            </w:r>
          </w:p>
        </w:tc>
        <w:tc>
          <w:tcPr>
            <w:tcW w:w="7051" w:type="dxa"/>
            <w:tcBorders>
              <w:top w:val="single" w:color="auto" w:sz="4" w:space="0"/>
              <w:left w:val="single" w:color="auto" w:sz="4" w:space="0"/>
              <w:bottom w:val="single" w:color="auto" w:sz="4" w:space="0"/>
              <w:right w:val="single" w:color="auto" w:sz="4" w:space="0"/>
            </w:tcBorders>
            <w:vAlign w:val="center"/>
          </w:tcPr>
          <w:p w14:paraId="0E490638">
            <w:pPr>
              <w:spacing w:line="480" w:lineRule="exact"/>
              <w:jc w:val="left"/>
              <w:rPr>
                <w:rFonts w:ascii="宋体" w:hAnsi="宋体" w:cs="宋体"/>
                <w:kern w:val="0"/>
                <w:sz w:val="24"/>
              </w:rPr>
            </w:pPr>
            <w:r>
              <w:rPr>
                <w:rFonts w:hint="eastAsia" w:ascii="宋体" w:hAnsi="宋体" w:cs="宋体"/>
                <w:kern w:val="0"/>
                <w:sz w:val="24"/>
              </w:rPr>
              <w:t>针对本项目采购需求进行全面分析，内容包含但不限于项目所在地的现状分析、项目特点、工作任务、实施难点、工作重点、对重点难点提出工作思路及对策突出等，并提出符合项目实际情况的建议。</w:t>
            </w:r>
          </w:p>
          <w:p w14:paraId="7ACAF82D">
            <w:pPr>
              <w:spacing w:line="480" w:lineRule="exact"/>
              <w:jc w:val="left"/>
              <w:rPr>
                <w:rFonts w:ascii="宋体" w:hAnsi="宋体" w:cs="宋体"/>
                <w:kern w:val="0"/>
                <w:sz w:val="24"/>
              </w:rPr>
            </w:pPr>
            <w:r>
              <w:rPr>
                <w:rFonts w:hint="eastAsia" w:ascii="宋体" w:hAnsi="宋体" w:cs="宋体"/>
                <w:kern w:val="0"/>
                <w:sz w:val="24"/>
              </w:rPr>
              <w:t>项目分析和重难点环节的理解表述详细、条理清晰、理解透彻，措施得当，得13分；</w:t>
            </w:r>
          </w:p>
          <w:p w14:paraId="3CFDE124">
            <w:pPr>
              <w:spacing w:line="480" w:lineRule="exact"/>
              <w:jc w:val="left"/>
              <w:rPr>
                <w:rFonts w:ascii="宋体" w:hAnsi="宋体" w:cs="宋体"/>
                <w:kern w:val="0"/>
                <w:sz w:val="24"/>
              </w:rPr>
            </w:pPr>
            <w:r>
              <w:rPr>
                <w:rFonts w:hint="eastAsia" w:ascii="宋体" w:hAnsi="宋体" w:cs="宋体"/>
                <w:kern w:val="0"/>
                <w:sz w:val="24"/>
              </w:rPr>
              <w:t>分析贴合本地实际，重难点对策针对性强、建议可行，得9分；</w:t>
            </w:r>
          </w:p>
          <w:p w14:paraId="4E4E6F4E">
            <w:pPr>
              <w:spacing w:line="480" w:lineRule="exact"/>
              <w:jc w:val="left"/>
              <w:rPr>
                <w:rFonts w:ascii="宋体" w:hAnsi="宋体" w:cs="宋体"/>
                <w:kern w:val="0"/>
                <w:sz w:val="24"/>
              </w:rPr>
            </w:pPr>
            <w:r>
              <w:rPr>
                <w:rFonts w:hint="eastAsia" w:ascii="宋体" w:hAnsi="宋体" w:cs="宋体"/>
                <w:kern w:val="0"/>
                <w:sz w:val="24"/>
              </w:rPr>
              <w:t>全部要素齐全，仅细节表述简略，得5分；</w:t>
            </w:r>
          </w:p>
          <w:p w14:paraId="0C496B8A">
            <w:pPr>
              <w:spacing w:line="480" w:lineRule="exact"/>
              <w:jc w:val="left"/>
              <w:rPr>
                <w:rFonts w:ascii="宋体" w:hAnsi="宋体" w:cs="宋体"/>
                <w:kern w:val="0"/>
                <w:sz w:val="24"/>
              </w:rPr>
            </w:pPr>
            <w:r>
              <w:rPr>
                <w:rFonts w:hint="eastAsia" w:ascii="宋体" w:hAnsi="宋体" w:cs="宋体"/>
                <w:kern w:val="0"/>
                <w:sz w:val="24"/>
              </w:rPr>
              <w:t>框架完整，分析偏通用，对策针对性一般，得3分；</w:t>
            </w:r>
          </w:p>
          <w:p w14:paraId="756FA429">
            <w:pPr>
              <w:spacing w:line="480" w:lineRule="exact"/>
              <w:jc w:val="left"/>
              <w:rPr>
                <w:rFonts w:ascii="宋体" w:hAnsi="宋体" w:cs="宋体"/>
                <w:kern w:val="0"/>
                <w:sz w:val="24"/>
              </w:rPr>
            </w:pPr>
            <w:r>
              <w:rPr>
                <w:rFonts w:hint="eastAsia" w:ascii="宋体" w:hAnsi="宋体" w:cs="宋体"/>
                <w:kern w:val="0"/>
                <w:sz w:val="24"/>
              </w:rPr>
              <w:t>缺失多项核心内容，对策空泛无落地性或未提供得0分。</w:t>
            </w:r>
          </w:p>
        </w:tc>
        <w:tc>
          <w:tcPr>
            <w:tcW w:w="821" w:type="dxa"/>
            <w:tcBorders>
              <w:top w:val="single" w:color="auto" w:sz="4" w:space="0"/>
              <w:left w:val="single" w:color="auto" w:sz="4" w:space="0"/>
              <w:bottom w:val="single" w:color="auto" w:sz="4" w:space="0"/>
              <w:right w:val="single" w:color="auto" w:sz="4" w:space="0"/>
            </w:tcBorders>
            <w:vAlign w:val="center"/>
          </w:tcPr>
          <w:p w14:paraId="08CAC0BF">
            <w:pPr>
              <w:snapToGrid w:val="0"/>
              <w:spacing w:line="360" w:lineRule="auto"/>
              <w:jc w:val="center"/>
              <w:rPr>
                <w:rFonts w:ascii="宋体" w:hAnsi="宋体" w:cs="宋体"/>
                <w:sz w:val="24"/>
              </w:rPr>
            </w:pPr>
            <w:r>
              <w:rPr>
                <w:rFonts w:hint="eastAsia" w:ascii="宋体" w:hAnsi="宋体" w:cs="宋体"/>
                <w:sz w:val="24"/>
              </w:rPr>
              <w:t>13</w:t>
            </w:r>
            <w:r>
              <w:rPr>
                <w:rFonts w:hint="eastAsia" w:ascii="宋体" w:hAnsi="宋体" w:cs="宋体"/>
                <w:sz w:val="24"/>
                <w:lang w:val="en-GB"/>
              </w:rPr>
              <w:t>分</w:t>
            </w:r>
          </w:p>
        </w:tc>
      </w:tr>
      <w:tr w14:paraId="66FD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4" w:hRule="atLeast"/>
          <w:jc w:val="center"/>
        </w:trPr>
        <w:tc>
          <w:tcPr>
            <w:tcW w:w="1539" w:type="dxa"/>
            <w:tcBorders>
              <w:left w:val="single" w:color="auto" w:sz="4" w:space="0"/>
              <w:right w:val="single" w:color="auto" w:sz="4" w:space="0"/>
            </w:tcBorders>
            <w:vAlign w:val="center"/>
          </w:tcPr>
          <w:p w14:paraId="671EF188">
            <w:pPr>
              <w:spacing w:line="480" w:lineRule="exact"/>
              <w:jc w:val="left"/>
              <w:rPr>
                <w:rFonts w:ascii="宋体" w:hAnsi="宋体" w:cs="宋体"/>
                <w:kern w:val="0"/>
                <w:sz w:val="24"/>
              </w:rPr>
            </w:pPr>
            <w:r>
              <w:rPr>
                <w:rFonts w:hint="eastAsia" w:ascii="宋体" w:hAnsi="宋体" w:cs="宋体"/>
                <w:kern w:val="0"/>
                <w:sz w:val="24"/>
              </w:rPr>
              <w:t>基础指标体系解读（0-12分）</w:t>
            </w:r>
          </w:p>
        </w:tc>
        <w:tc>
          <w:tcPr>
            <w:tcW w:w="7051" w:type="dxa"/>
            <w:tcBorders>
              <w:top w:val="single" w:color="auto" w:sz="4" w:space="0"/>
              <w:left w:val="single" w:color="auto" w:sz="4" w:space="0"/>
              <w:bottom w:val="single" w:color="auto" w:sz="4" w:space="0"/>
              <w:right w:val="single" w:color="auto" w:sz="4" w:space="0"/>
            </w:tcBorders>
            <w:vAlign w:val="center"/>
          </w:tcPr>
          <w:p w14:paraId="001EF42E">
            <w:pPr>
              <w:spacing w:line="480" w:lineRule="exact"/>
              <w:jc w:val="left"/>
              <w:rPr>
                <w:rFonts w:ascii="宋体" w:hAnsi="宋体" w:cs="宋体"/>
                <w:kern w:val="0"/>
                <w:sz w:val="24"/>
              </w:rPr>
            </w:pPr>
            <w:r>
              <w:rPr>
                <w:rFonts w:hint="eastAsia" w:ascii="宋体" w:hAnsi="宋体" w:cs="宋体"/>
                <w:kern w:val="0"/>
                <w:sz w:val="24"/>
              </w:rPr>
              <w:t>内容包括但不限于以《</w:t>
            </w:r>
            <w:r>
              <w:rPr>
                <w:rFonts w:hint="eastAsia" w:ascii="宋体" w:hAnsi="宋体" w:cs="宋体"/>
                <w:color w:val="000000" w:themeColor="text1"/>
                <w:kern w:val="0"/>
                <w:sz w:val="24"/>
                <w14:textFill>
                  <w14:solidFill>
                    <w14:schemeClr w14:val="tx1"/>
                  </w14:solidFill>
                </w14:textFill>
              </w:rPr>
              <w:t>住房城乡建设部办公厅</w:t>
            </w:r>
            <w:r>
              <w:rPr>
                <w:rFonts w:hint="eastAsia" w:ascii="宋体" w:hAnsi="宋体" w:cs="宋体"/>
                <w:kern w:val="0"/>
                <w:sz w:val="24"/>
              </w:rPr>
              <w:t>关于深入开展2026年城市体检工作的通知》提出的2026年城市体检基础指标体系为标准进行分析解读，明确指标的空间层次和计算方法。基于基础指标体系解读，充分研究城市发展的特色和特点，提出对城市发展评估有针对性的和可操作性的特色指标，明确指标的空间层次和计算方法。</w:t>
            </w:r>
          </w:p>
          <w:p w14:paraId="38166589">
            <w:pPr>
              <w:spacing w:line="480" w:lineRule="exact"/>
              <w:jc w:val="left"/>
              <w:rPr>
                <w:rFonts w:ascii="宋体" w:hAnsi="宋体" w:cs="宋体"/>
                <w:kern w:val="0"/>
                <w:sz w:val="24"/>
              </w:rPr>
            </w:pPr>
            <w:r>
              <w:rPr>
                <w:rFonts w:hint="eastAsia" w:ascii="宋体" w:hAnsi="宋体" w:cs="宋体"/>
                <w:kern w:val="0"/>
                <w:sz w:val="24"/>
              </w:rPr>
              <w:t>基础指标体系解读针对性强、科学合理、条理清晰、理解透彻，措施得当，得12分；</w:t>
            </w:r>
          </w:p>
          <w:p w14:paraId="114F8CC4">
            <w:pPr>
              <w:spacing w:line="480" w:lineRule="exact"/>
              <w:jc w:val="left"/>
              <w:rPr>
                <w:rFonts w:ascii="宋体" w:hAnsi="宋体" w:cs="宋体"/>
                <w:kern w:val="0"/>
                <w:sz w:val="24"/>
              </w:rPr>
            </w:pPr>
            <w:r>
              <w:rPr>
                <w:rFonts w:hint="eastAsia" w:ascii="宋体" w:hAnsi="宋体" w:cs="宋体"/>
                <w:kern w:val="0"/>
                <w:sz w:val="24"/>
              </w:rPr>
              <w:t>指标解读齐全，特色指标可行，少量细节简略，得8分；</w:t>
            </w:r>
          </w:p>
          <w:p w14:paraId="0F50F7FC">
            <w:pPr>
              <w:spacing w:line="480" w:lineRule="exact"/>
              <w:jc w:val="left"/>
              <w:rPr>
                <w:rFonts w:ascii="宋体" w:hAnsi="宋体" w:cs="宋体"/>
                <w:kern w:val="0"/>
                <w:sz w:val="24"/>
              </w:rPr>
            </w:pPr>
            <w:r>
              <w:rPr>
                <w:rFonts w:hint="eastAsia" w:ascii="宋体" w:hAnsi="宋体" w:cs="宋体"/>
                <w:kern w:val="0"/>
                <w:sz w:val="24"/>
              </w:rPr>
              <w:t>框架完整，解读偏通用，特色指标针对性不足，得4分；</w:t>
            </w:r>
          </w:p>
          <w:p w14:paraId="3B051A56">
            <w:pPr>
              <w:spacing w:line="480" w:lineRule="exact"/>
              <w:jc w:val="left"/>
              <w:rPr>
                <w:rFonts w:ascii="宋体" w:hAnsi="宋体" w:cs="宋体"/>
                <w:kern w:val="0"/>
                <w:sz w:val="24"/>
              </w:rPr>
            </w:pPr>
            <w:r>
              <w:rPr>
                <w:rFonts w:hint="eastAsia" w:ascii="宋体" w:hAnsi="宋体" w:cs="宋体"/>
                <w:kern w:val="0"/>
                <w:sz w:val="24"/>
              </w:rPr>
              <w:t>解读内容不全，特色指标空泛、无明确计算方法，得2分；</w:t>
            </w:r>
          </w:p>
          <w:p w14:paraId="5B600C30">
            <w:pPr>
              <w:spacing w:line="480" w:lineRule="exact"/>
              <w:jc w:val="left"/>
              <w:rPr>
                <w:rFonts w:ascii="宋体" w:hAnsi="宋体" w:cs="宋体"/>
                <w:kern w:val="0"/>
                <w:sz w:val="24"/>
              </w:rPr>
            </w:pPr>
            <w:r>
              <w:rPr>
                <w:rFonts w:hint="eastAsia" w:ascii="宋体" w:hAnsi="宋体" w:cs="宋体"/>
                <w:kern w:val="0"/>
                <w:sz w:val="24"/>
              </w:rPr>
              <w:t>未按住建部2026指标体系开展分析，得0分。</w:t>
            </w:r>
          </w:p>
        </w:tc>
        <w:tc>
          <w:tcPr>
            <w:tcW w:w="821" w:type="dxa"/>
            <w:tcBorders>
              <w:top w:val="single" w:color="auto" w:sz="4" w:space="0"/>
              <w:left w:val="single" w:color="auto" w:sz="4" w:space="0"/>
              <w:bottom w:val="single" w:color="auto" w:sz="4" w:space="0"/>
              <w:right w:val="single" w:color="auto" w:sz="4" w:space="0"/>
            </w:tcBorders>
            <w:vAlign w:val="center"/>
          </w:tcPr>
          <w:p w14:paraId="382981A3">
            <w:pPr>
              <w:spacing w:line="480" w:lineRule="exact"/>
              <w:jc w:val="left"/>
              <w:rPr>
                <w:rFonts w:ascii="宋体" w:hAnsi="宋体" w:cs="宋体"/>
                <w:kern w:val="0"/>
                <w:sz w:val="24"/>
              </w:rPr>
            </w:pPr>
            <w:r>
              <w:rPr>
                <w:rFonts w:hint="eastAsia" w:ascii="宋体" w:hAnsi="宋体" w:cs="宋体"/>
                <w:kern w:val="0"/>
                <w:sz w:val="24"/>
              </w:rPr>
              <w:t>12</w:t>
            </w:r>
            <w:r>
              <w:rPr>
                <w:rFonts w:hint="eastAsia" w:ascii="宋体" w:hAnsi="宋体" w:cs="宋体"/>
                <w:kern w:val="0"/>
                <w:sz w:val="24"/>
                <w:lang w:val="en-GB"/>
              </w:rPr>
              <w:t>分</w:t>
            </w:r>
          </w:p>
        </w:tc>
      </w:tr>
      <w:tr w14:paraId="09B4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39" w:type="dxa"/>
            <w:tcBorders>
              <w:left w:val="single" w:color="auto" w:sz="4" w:space="0"/>
              <w:right w:val="single" w:color="auto" w:sz="4" w:space="0"/>
            </w:tcBorders>
            <w:vAlign w:val="center"/>
          </w:tcPr>
          <w:p w14:paraId="5911CDBF">
            <w:pPr>
              <w:spacing w:line="480" w:lineRule="exact"/>
              <w:jc w:val="center"/>
              <w:rPr>
                <w:rFonts w:ascii="宋体" w:hAnsi="宋体" w:cs="宋体"/>
                <w:kern w:val="0"/>
                <w:sz w:val="24"/>
              </w:rPr>
            </w:pPr>
            <w:r>
              <w:rPr>
                <w:rFonts w:hint="eastAsia" w:ascii="宋体" w:hAnsi="宋体" w:cs="宋体"/>
                <w:kern w:val="0"/>
                <w:sz w:val="24"/>
              </w:rPr>
              <w:t>质量目标、质量控制措施（0-8分）</w:t>
            </w:r>
          </w:p>
        </w:tc>
        <w:tc>
          <w:tcPr>
            <w:tcW w:w="7051" w:type="dxa"/>
            <w:tcBorders>
              <w:top w:val="single" w:color="auto" w:sz="4" w:space="0"/>
              <w:left w:val="single" w:color="auto" w:sz="4" w:space="0"/>
              <w:bottom w:val="single" w:color="auto" w:sz="4" w:space="0"/>
              <w:right w:val="single" w:color="auto" w:sz="4" w:space="0"/>
            </w:tcBorders>
            <w:vAlign w:val="center"/>
          </w:tcPr>
          <w:p w14:paraId="3DFEC342">
            <w:pPr>
              <w:spacing w:line="480" w:lineRule="exact"/>
              <w:jc w:val="left"/>
              <w:rPr>
                <w:rFonts w:ascii="宋体" w:hAnsi="宋体" w:cs="宋体"/>
                <w:kern w:val="0"/>
                <w:sz w:val="24"/>
              </w:rPr>
            </w:pPr>
            <w:r>
              <w:rPr>
                <w:rFonts w:hint="eastAsia" w:ascii="宋体" w:hAnsi="宋体" w:cs="宋体"/>
                <w:kern w:val="0"/>
                <w:sz w:val="24"/>
              </w:rPr>
              <w:t>结合项目的实际特点制定符合本项目的质量控制方案。内容包含但不限于：质量控制的岗位和职责设定、质量控制总目标、基本流程、控制要点、问题处置流程等。</w:t>
            </w:r>
          </w:p>
          <w:p w14:paraId="677427FB">
            <w:pPr>
              <w:spacing w:line="480" w:lineRule="exact"/>
              <w:jc w:val="left"/>
              <w:rPr>
                <w:rFonts w:ascii="宋体" w:hAnsi="宋体" w:cs="宋体"/>
                <w:kern w:val="0"/>
                <w:sz w:val="24"/>
              </w:rPr>
            </w:pPr>
            <w:r>
              <w:rPr>
                <w:rFonts w:hint="eastAsia" w:ascii="宋体" w:hAnsi="宋体" w:cs="宋体"/>
                <w:kern w:val="0"/>
                <w:sz w:val="24"/>
              </w:rPr>
              <w:t>贴合项目实际，五大要素齐全，目标量化、流程闭环、措施详实可落地，得8分；</w:t>
            </w:r>
          </w:p>
          <w:p w14:paraId="23D750E3">
            <w:pPr>
              <w:spacing w:line="480" w:lineRule="exact"/>
              <w:jc w:val="left"/>
              <w:rPr>
                <w:rFonts w:ascii="宋体" w:hAnsi="宋体" w:cs="宋体"/>
                <w:kern w:val="0"/>
                <w:sz w:val="24"/>
              </w:rPr>
            </w:pPr>
            <w:r>
              <w:rPr>
                <w:rFonts w:hint="eastAsia" w:ascii="宋体" w:hAnsi="宋体" w:cs="宋体"/>
                <w:kern w:val="0"/>
                <w:sz w:val="24"/>
              </w:rPr>
              <w:t>五大要素完整，方案满足项目需求，仅细节内容简略，得6分；</w:t>
            </w:r>
          </w:p>
          <w:p w14:paraId="00EED10A">
            <w:pPr>
              <w:spacing w:line="480" w:lineRule="exact"/>
              <w:jc w:val="left"/>
              <w:rPr>
                <w:rFonts w:ascii="宋体" w:hAnsi="宋体" w:cs="宋体"/>
                <w:kern w:val="0"/>
                <w:sz w:val="24"/>
              </w:rPr>
            </w:pPr>
            <w:r>
              <w:rPr>
                <w:rFonts w:hint="eastAsia" w:ascii="宋体" w:hAnsi="宋体" w:cs="宋体"/>
                <w:kern w:val="0"/>
                <w:sz w:val="24"/>
              </w:rPr>
              <w:t>框架完整，内容偏通用，针对性、实操性一般，得4分；</w:t>
            </w:r>
          </w:p>
          <w:p w14:paraId="6B25A9F1">
            <w:pPr>
              <w:spacing w:line="480" w:lineRule="exact"/>
              <w:jc w:val="left"/>
              <w:rPr>
                <w:rFonts w:ascii="宋体" w:hAnsi="宋体" w:cs="宋体"/>
                <w:kern w:val="0"/>
                <w:sz w:val="24"/>
              </w:rPr>
            </w:pPr>
            <w:r>
              <w:rPr>
                <w:rFonts w:hint="eastAsia" w:ascii="宋体" w:hAnsi="宋体" w:cs="宋体"/>
                <w:kern w:val="0"/>
                <w:sz w:val="24"/>
              </w:rPr>
              <w:t>套用通用模板，缺少部分核心内容，无完整整改闭环，得2分；</w:t>
            </w:r>
          </w:p>
          <w:p w14:paraId="21E61F37">
            <w:pPr>
              <w:spacing w:line="480" w:lineRule="exact"/>
              <w:jc w:val="left"/>
              <w:rPr>
                <w:rFonts w:ascii="宋体" w:hAnsi="宋体" w:cs="宋体"/>
                <w:kern w:val="0"/>
                <w:sz w:val="24"/>
              </w:rPr>
            </w:pPr>
            <w:r>
              <w:rPr>
                <w:rFonts w:hint="eastAsia" w:ascii="宋体" w:hAnsi="宋体" w:cs="宋体"/>
                <w:kern w:val="0"/>
                <w:sz w:val="24"/>
              </w:rPr>
              <w:t>无专项质量控制方案或方案不切和实际，虚无缥缈，得0分。</w:t>
            </w:r>
          </w:p>
        </w:tc>
        <w:tc>
          <w:tcPr>
            <w:tcW w:w="821" w:type="dxa"/>
            <w:tcBorders>
              <w:top w:val="single" w:color="auto" w:sz="4" w:space="0"/>
              <w:left w:val="single" w:color="auto" w:sz="4" w:space="0"/>
              <w:bottom w:val="single" w:color="auto" w:sz="4" w:space="0"/>
              <w:right w:val="single" w:color="auto" w:sz="4" w:space="0"/>
            </w:tcBorders>
            <w:vAlign w:val="center"/>
          </w:tcPr>
          <w:p w14:paraId="1A803E43">
            <w:pPr>
              <w:spacing w:line="480" w:lineRule="exact"/>
              <w:jc w:val="left"/>
              <w:rPr>
                <w:rFonts w:ascii="宋体" w:hAnsi="宋体" w:cs="宋体"/>
                <w:kern w:val="0"/>
                <w:sz w:val="24"/>
                <w:lang w:val="en-GB"/>
              </w:rPr>
            </w:pPr>
            <w:r>
              <w:rPr>
                <w:rFonts w:hint="eastAsia" w:ascii="宋体" w:hAnsi="宋体" w:cs="宋体"/>
                <w:kern w:val="0"/>
                <w:sz w:val="24"/>
              </w:rPr>
              <w:t>8</w:t>
            </w:r>
            <w:r>
              <w:rPr>
                <w:rFonts w:hint="eastAsia" w:ascii="宋体" w:hAnsi="宋体" w:cs="宋体"/>
                <w:kern w:val="0"/>
                <w:sz w:val="24"/>
                <w:lang w:val="en-GB"/>
              </w:rPr>
              <w:t>分</w:t>
            </w:r>
          </w:p>
        </w:tc>
      </w:tr>
      <w:tr w14:paraId="220C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jc w:val="center"/>
        </w:trPr>
        <w:tc>
          <w:tcPr>
            <w:tcW w:w="1539" w:type="dxa"/>
            <w:tcBorders>
              <w:left w:val="single" w:color="auto" w:sz="4" w:space="0"/>
              <w:right w:val="single" w:color="auto" w:sz="4" w:space="0"/>
            </w:tcBorders>
            <w:vAlign w:val="center"/>
          </w:tcPr>
          <w:p w14:paraId="2B3462EB">
            <w:pPr>
              <w:spacing w:line="480" w:lineRule="exact"/>
              <w:jc w:val="center"/>
              <w:rPr>
                <w:rFonts w:ascii="宋体" w:hAnsi="宋体" w:cs="宋体"/>
                <w:kern w:val="0"/>
                <w:sz w:val="24"/>
              </w:rPr>
            </w:pPr>
            <w:r>
              <w:rPr>
                <w:rFonts w:hint="eastAsia" w:ascii="宋体" w:hAnsi="宋体" w:cs="宋体"/>
                <w:kern w:val="0"/>
                <w:sz w:val="24"/>
              </w:rPr>
              <w:t>进度控制目标及措施（0-8分）</w:t>
            </w:r>
          </w:p>
        </w:tc>
        <w:tc>
          <w:tcPr>
            <w:tcW w:w="7051" w:type="dxa"/>
            <w:tcBorders>
              <w:top w:val="single" w:color="auto" w:sz="4" w:space="0"/>
              <w:left w:val="single" w:color="auto" w:sz="4" w:space="0"/>
              <w:bottom w:val="single" w:color="auto" w:sz="4" w:space="0"/>
              <w:right w:val="single" w:color="auto" w:sz="4" w:space="0"/>
            </w:tcBorders>
            <w:vAlign w:val="center"/>
          </w:tcPr>
          <w:p w14:paraId="7BA34040">
            <w:pPr>
              <w:spacing w:line="480" w:lineRule="exact"/>
              <w:jc w:val="left"/>
              <w:rPr>
                <w:rFonts w:ascii="宋体" w:hAnsi="宋体" w:cs="宋体"/>
                <w:kern w:val="0"/>
                <w:sz w:val="24"/>
              </w:rPr>
            </w:pPr>
            <w:r>
              <w:rPr>
                <w:rFonts w:hint="eastAsia" w:ascii="宋体" w:hAnsi="宋体" w:cs="宋体"/>
                <w:kern w:val="0"/>
                <w:sz w:val="24"/>
              </w:rPr>
              <w:t>针对本项目制定详细、完善的进度控制方案。内容包含但不限于：进度保障措施、时间节点的控制、进度控制协调机制、落实进度控制责任等。</w:t>
            </w:r>
          </w:p>
          <w:p w14:paraId="771AE2B7">
            <w:pPr>
              <w:spacing w:line="480" w:lineRule="exact"/>
              <w:jc w:val="left"/>
              <w:rPr>
                <w:rFonts w:ascii="宋体" w:hAnsi="宋体" w:cs="宋体"/>
                <w:kern w:val="0"/>
                <w:sz w:val="24"/>
              </w:rPr>
            </w:pPr>
            <w:r>
              <w:rPr>
                <w:rFonts w:hint="eastAsia" w:ascii="宋体" w:hAnsi="宋体" w:cs="宋体"/>
                <w:kern w:val="0"/>
                <w:sz w:val="24"/>
              </w:rPr>
              <w:t>贴合项目，四项内容完整细化，节点清晰、责任到人、协调机制闭环，落地性强，得8分；</w:t>
            </w:r>
          </w:p>
          <w:p w14:paraId="5EEBE3EE">
            <w:pPr>
              <w:spacing w:line="480" w:lineRule="exact"/>
              <w:jc w:val="left"/>
              <w:rPr>
                <w:rFonts w:ascii="宋体" w:hAnsi="宋体" w:cs="宋体"/>
                <w:kern w:val="0"/>
                <w:sz w:val="24"/>
              </w:rPr>
            </w:pPr>
            <w:r>
              <w:rPr>
                <w:rFonts w:hint="eastAsia" w:ascii="宋体" w:hAnsi="宋体" w:cs="宋体"/>
                <w:kern w:val="0"/>
                <w:sz w:val="24"/>
              </w:rPr>
              <w:t>四项要素齐全，方案满足需求，仅部分细则简略，得5分；</w:t>
            </w:r>
          </w:p>
          <w:p w14:paraId="410DF4FB">
            <w:pPr>
              <w:spacing w:line="480" w:lineRule="exact"/>
              <w:jc w:val="left"/>
              <w:rPr>
                <w:rFonts w:ascii="宋体" w:hAnsi="宋体" w:cs="宋体"/>
                <w:kern w:val="0"/>
                <w:sz w:val="24"/>
              </w:rPr>
            </w:pPr>
            <w:r>
              <w:rPr>
                <w:rFonts w:hint="eastAsia" w:ascii="宋体" w:hAnsi="宋体" w:cs="宋体"/>
                <w:kern w:val="0"/>
                <w:sz w:val="24"/>
              </w:rPr>
              <w:t>框架完整，内容偏通用，针对性一般，得3分；</w:t>
            </w:r>
          </w:p>
          <w:p w14:paraId="3A22C369">
            <w:pPr>
              <w:spacing w:line="480" w:lineRule="exact"/>
              <w:jc w:val="left"/>
              <w:rPr>
                <w:rFonts w:ascii="宋体" w:hAnsi="宋体" w:cs="宋体"/>
                <w:kern w:val="0"/>
                <w:sz w:val="24"/>
              </w:rPr>
            </w:pPr>
            <w:r>
              <w:rPr>
                <w:rFonts w:hint="eastAsia" w:ascii="宋体" w:hAnsi="宋体" w:cs="宋体"/>
                <w:kern w:val="0"/>
                <w:sz w:val="24"/>
              </w:rPr>
              <w:t>模板化内容，缺失部分核心管控内容，得2分。</w:t>
            </w:r>
          </w:p>
          <w:p w14:paraId="64F13ADC">
            <w:pPr>
              <w:spacing w:line="480" w:lineRule="exact"/>
              <w:jc w:val="left"/>
              <w:rPr>
                <w:rFonts w:ascii="宋体" w:hAnsi="宋体" w:cs="宋体"/>
                <w:kern w:val="0"/>
                <w:sz w:val="24"/>
              </w:rPr>
            </w:pPr>
            <w:r>
              <w:rPr>
                <w:rFonts w:hint="eastAsia" w:ascii="宋体" w:hAnsi="宋体" w:cs="宋体"/>
                <w:kern w:val="0"/>
                <w:sz w:val="24"/>
              </w:rPr>
              <w:t>未提供专项进度控制方案或方案不切和实际，虚无缥缈，得0分。</w:t>
            </w:r>
          </w:p>
        </w:tc>
        <w:tc>
          <w:tcPr>
            <w:tcW w:w="821" w:type="dxa"/>
            <w:tcBorders>
              <w:top w:val="single" w:color="auto" w:sz="4" w:space="0"/>
              <w:left w:val="single" w:color="auto" w:sz="4" w:space="0"/>
              <w:bottom w:val="single" w:color="auto" w:sz="4" w:space="0"/>
              <w:right w:val="single" w:color="auto" w:sz="4" w:space="0"/>
            </w:tcBorders>
            <w:vAlign w:val="center"/>
          </w:tcPr>
          <w:p w14:paraId="7E7E75E9">
            <w:pPr>
              <w:spacing w:line="480" w:lineRule="exact"/>
              <w:jc w:val="left"/>
              <w:rPr>
                <w:rFonts w:ascii="宋体" w:hAnsi="宋体" w:cs="宋体"/>
                <w:kern w:val="0"/>
                <w:sz w:val="24"/>
                <w:lang w:val="en-GB"/>
              </w:rPr>
            </w:pPr>
            <w:r>
              <w:rPr>
                <w:rFonts w:hint="eastAsia" w:ascii="宋体" w:hAnsi="宋体" w:cs="宋体"/>
                <w:kern w:val="0"/>
                <w:sz w:val="24"/>
              </w:rPr>
              <w:t>8</w:t>
            </w:r>
            <w:r>
              <w:rPr>
                <w:rFonts w:hint="eastAsia" w:ascii="宋体" w:hAnsi="宋体" w:cs="宋体"/>
                <w:kern w:val="0"/>
                <w:sz w:val="24"/>
                <w:lang w:val="en-GB"/>
              </w:rPr>
              <w:t>分</w:t>
            </w:r>
          </w:p>
        </w:tc>
      </w:tr>
      <w:tr w14:paraId="7844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539" w:type="dxa"/>
            <w:tcBorders>
              <w:left w:val="single" w:color="auto" w:sz="4" w:space="0"/>
              <w:right w:val="single" w:color="auto" w:sz="4" w:space="0"/>
            </w:tcBorders>
            <w:vAlign w:val="center"/>
          </w:tcPr>
          <w:p w14:paraId="509009AA">
            <w:pPr>
              <w:spacing w:line="480" w:lineRule="exact"/>
              <w:jc w:val="center"/>
              <w:rPr>
                <w:rFonts w:ascii="宋体" w:hAnsi="宋体" w:cs="宋体"/>
                <w:kern w:val="0"/>
                <w:sz w:val="24"/>
              </w:rPr>
            </w:pPr>
            <w:r>
              <w:rPr>
                <w:rFonts w:hint="eastAsia" w:ascii="宋体" w:hAnsi="宋体" w:cs="宋体"/>
                <w:kern w:val="0"/>
                <w:sz w:val="24"/>
              </w:rPr>
              <w:t>安全保密措施（0-5分）</w:t>
            </w:r>
          </w:p>
        </w:tc>
        <w:tc>
          <w:tcPr>
            <w:tcW w:w="7051" w:type="dxa"/>
            <w:tcBorders>
              <w:top w:val="single" w:color="auto" w:sz="4" w:space="0"/>
              <w:left w:val="single" w:color="auto" w:sz="4" w:space="0"/>
              <w:bottom w:val="single" w:color="auto" w:sz="4" w:space="0"/>
              <w:right w:val="single" w:color="auto" w:sz="4" w:space="0"/>
            </w:tcBorders>
            <w:vAlign w:val="center"/>
          </w:tcPr>
          <w:p w14:paraId="2F47A7AD">
            <w:pPr>
              <w:widowControl/>
              <w:spacing w:line="360" w:lineRule="atLeast"/>
              <w:jc w:val="left"/>
              <w:rPr>
                <w:rFonts w:ascii="宋体" w:hAnsi="宋体" w:cs="宋体"/>
                <w:kern w:val="0"/>
                <w:sz w:val="24"/>
              </w:rPr>
            </w:pPr>
            <w:r>
              <w:rPr>
                <w:rFonts w:hint="eastAsia" w:ascii="宋体" w:hAnsi="宋体" w:cs="宋体"/>
                <w:kern w:val="0"/>
                <w:sz w:val="24"/>
              </w:rPr>
              <w:t>针对本项目制定安全保密措施，包括但不限于具有完备、可靠的保密管理制度，详实的保密工作要求和措施，设置了职责明确的保密管理岗位，有对项目实施中的数据保密做出承诺；</w:t>
            </w:r>
          </w:p>
          <w:p w14:paraId="3E284A2E">
            <w:pPr>
              <w:widowControl/>
              <w:spacing w:line="360" w:lineRule="atLeast"/>
              <w:jc w:val="left"/>
              <w:rPr>
                <w:color w:val="1F2329"/>
                <w:sz w:val="24"/>
              </w:rPr>
            </w:pPr>
            <w:r>
              <w:rPr>
                <w:color w:val="1F2329"/>
                <w:sz w:val="24"/>
              </w:rPr>
              <w:t>四项内容齐全详实，岗位权责清晰，保密承诺完整可行</w:t>
            </w:r>
            <w:r>
              <w:rPr>
                <w:rFonts w:hint="eastAsia"/>
                <w:color w:val="1F2329"/>
                <w:sz w:val="24"/>
              </w:rPr>
              <w:t>，</w:t>
            </w:r>
            <w:r>
              <w:rPr>
                <w:rFonts w:hint="eastAsia" w:ascii="宋体" w:hAnsi="宋体" w:cs="宋体"/>
                <w:kern w:val="0"/>
                <w:sz w:val="24"/>
              </w:rPr>
              <w:t>得5分；</w:t>
            </w:r>
            <w:r>
              <w:rPr>
                <w:color w:val="1F2329"/>
                <w:sz w:val="24"/>
              </w:rPr>
              <w:t>全部要素具备，仅部分细则简略</w:t>
            </w:r>
            <w:r>
              <w:rPr>
                <w:rFonts w:hint="eastAsia"/>
                <w:color w:val="1F2329"/>
                <w:sz w:val="24"/>
              </w:rPr>
              <w:t>，</w:t>
            </w:r>
            <w:r>
              <w:rPr>
                <w:rFonts w:hint="eastAsia" w:ascii="宋体" w:hAnsi="宋体" w:cs="宋体"/>
                <w:kern w:val="0"/>
                <w:sz w:val="24"/>
              </w:rPr>
              <w:t>得3分；</w:t>
            </w:r>
          </w:p>
          <w:p w14:paraId="58A63331">
            <w:pPr>
              <w:widowControl/>
              <w:spacing w:line="360" w:lineRule="atLeast"/>
              <w:jc w:val="left"/>
              <w:rPr>
                <w:color w:val="1F2329"/>
                <w:sz w:val="24"/>
              </w:rPr>
            </w:pPr>
            <w:r>
              <w:rPr>
                <w:color w:val="1F2329"/>
                <w:sz w:val="24"/>
              </w:rPr>
              <w:t>框架完整，内容通用，针对性一般</w:t>
            </w:r>
            <w:r>
              <w:rPr>
                <w:rFonts w:hint="eastAsia"/>
                <w:color w:val="1F2329"/>
                <w:sz w:val="24"/>
              </w:rPr>
              <w:t>，</w:t>
            </w:r>
            <w:r>
              <w:rPr>
                <w:rFonts w:hint="eastAsia" w:ascii="宋体" w:hAnsi="宋体" w:cs="宋体"/>
                <w:kern w:val="0"/>
                <w:sz w:val="24"/>
              </w:rPr>
              <w:t>得2分；</w:t>
            </w:r>
          </w:p>
          <w:p w14:paraId="34454969">
            <w:pPr>
              <w:widowControl/>
              <w:spacing w:line="360" w:lineRule="atLeast"/>
              <w:jc w:val="left"/>
              <w:rPr>
                <w:rFonts w:ascii="宋体" w:hAnsi="宋体" w:cs="宋体"/>
                <w:kern w:val="0"/>
                <w:sz w:val="24"/>
              </w:rPr>
            </w:pPr>
            <w:r>
              <w:rPr>
                <w:color w:val="1F2329"/>
                <w:sz w:val="24"/>
              </w:rPr>
              <w:t>缺失部分核心内容，措施笼统</w:t>
            </w:r>
            <w:r>
              <w:rPr>
                <w:rFonts w:hint="eastAsia"/>
                <w:color w:val="1F2329"/>
                <w:sz w:val="24"/>
              </w:rPr>
              <w:t>，</w:t>
            </w:r>
            <w:r>
              <w:rPr>
                <w:rFonts w:hint="eastAsia" w:ascii="宋体" w:hAnsi="宋体" w:cs="宋体"/>
                <w:kern w:val="0"/>
                <w:sz w:val="24"/>
              </w:rPr>
              <w:t>得1分，</w:t>
            </w:r>
          </w:p>
          <w:p w14:paraId="5DA9A7C3">
            <w:pPr>
              <w:widowControl/>
              <w:spacing w:line="360" w:lineRule="atLeast"/>
              <w:jc w:val="left"/>
              <w:rPr>
                <w:rFonts w:ascii="宋体" w:hAnsi="宋体" w:cs="宋体"/>
                <w:kern w:val="0"/>
                <w:sz w:val="24"/>
              </w:rPr>
            </w:pPr>
            <w:r>
              <w:rPr>
                <w:rFonts w:hint="eastAsia" w:ascii="宋体" w:hAnsi="宋体" w:cs="宋体"/>
                <w:kern w:val="0"/>
                <w:sz w:val="24"/>
              </w:rPr>
              <w:t>未提供的不得分，得0分。</w:t>
            </w:r>
          </w:p>
        </w:tc>
        <w:tc>
          <w:tcPr>
            <w:tcW w:w="821" w:type="dxa"/>
            <w:tcBorders>
              <w:top w:val="single" w:color="auto" w:sz="4" w:space="0"/>
              <w:left w:val="single" w:color="auto" w:sz="4" w:space="0"/>
              <w:bottom w:val="single" w:color="auto" w:sz="4" w:space="0"/>
              <w:right w:val="single" w:color="auto" w:sz="4" w:space="0"/>
            </w:tcBorders>
            <w:vAlign w:val="center"/>
          </w:tcPr>
          <w:p w14:paraId="2A7B300E">
            <w:pPr>
              <w:spacing w:line="360" w:lineRule="auto"/>
              <w:jc w:val="center"/>
              <w:rPr>
                <w:rFonts w:ascii="宋体" w:hAnsi="宋体" w:cs="Calibri Light"/>
                <w:sz w:val="24"/>
              </w:rPr>
            </w:pPr>
            <w:r>
              <w:rPr>
                <w:rFonts w:hint="eastAsia" w:ascii="宋体" w:hAnsi="宋体" w:cs="Calibri Light"/>
                <w:sz w:val="24"/>
              </w:rPr>
              <w:t>5</w:t>
            </w:r>
            <w:r>
              <w:rPr>
                <w:rFonts w:hint="eastAsia" w:ascii="宋体" w:hAnsi="宋体" w:cs="宋体"/>
                <w:kern w:val="0"/>
                <w:sz w:val="24"/>
                <w:lang w:val="en-GB"/>
              </w:rPr>
              <w:t>分</w:t>
            </w:r>
          </w:p>
        </w:tc>
      </w:tr>
      <w:tr w14:paraId="37AC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539" w:type="dxa"/>
            <w:tcBorders>
              <w:left w:val="single" w:color="auto" w:sz="4" w:space="0"/>
              <w:right w:val="single" w:color="auto" w:sz="4" w:space="0"/>
            </w:tcBorders>
            <w:vAlign w:val="center"/>
          </w:tcPr>
          <w:p w14:paraId="54C733BC">
            <w:pPr>
              <w:spacing w:line="480" w:lineRule="exact"/>
              <w:jc w:val="center"/>
              <w:rPr>
                <w:rFonts w:ascii="宋体" w:hAnsi="宋体" w:cs="宋体"/>
                <w:kern w:val="0"/>
                <w:sz w:val="24"/>
              </w:rPr>
            </w:pPr>
            <w:r>
              <w:rPr>
                <w:rFonts w:hint="eastAsia" w:ascii="宋体" w:hAnsi="宋体" w:cs="宋体"/>
                <w:kern w:val="0"/>
                <w:sz w:val="24"/>
              </w:rPr>
              <w:t>应急预案（0-8分）</w:t>
            </w:r>
          </w:p>
          <w:p w14:paraId="67FD3BAB">
            <w:pPr>
              <w:spacing w:line="480" w:lineRule="exact"/>
              <w:jc w:val="center"/>
              <w:rPr>
                <w:rFonts w:ascii="宋体" w:hAnsi="宋体" w:cs="宋体"/>
                <w:kern w:val="0"/>
                <w:sz w:val="24"/>
              </w:rPr>
            </w:pPr>
          </w:p>
        </w:tc>
        <w:tc>
          <w:tcPr>
            <w:tcW w:w="7051" w:type="dxa"/>
            <w:tcBorders>
              <w:top w:val="single" w:color="auto" w:sz="4" w:space="0"/>
              <w:left w:val="single" w:color="auto" w:sz="4" w:space="0"/>
              <w:bottom w:val="single" w:color="auto" w:sz="4" w:space="0"/>
              <w:right w:val="single" w:color="auto" w:sz="4" w:space="0"/>
            </w:tcBorders>
            <w:vAlign w:val="center"/>
          </w:tcPr>
          <w:p w14:paraId="7DED9F49">
            <w:pPr>
              <w:spacing w:line="480" w:lineRule="exact"/>
              <w:jc w:val="left"/>
              <w:rPr>
                <w:rFonts w:ascii="宋体" w:hAnsi="宋体" w:cs="宋体"/>
                <w:kern w:val="0"/>
                <w:sz w:val="24"/>
              </w:rPr>
            </w:pPr>
            <w:r>
              <w:rPr>
                <w:rFonts w:hint="eastAsia" w:ascii="宋体" w:hAnsi="宋体" w:cs="宋体"/>
                <w:kern w:val="0"/>
                <w:sz w:val="24"/>
              </w:rPr>
              <w:t>针对本项目制定应急预案：包括但不限于应急预案的执行原则、范围、内容；应急响应时间；紧急情况的预防措施及应对方案；应急处置流程等。</w:t>
            </w:r>
          </w:p>
          <w:p w14:paraId="5B4FB049">
            <w:pPr>
              <w:spacing w:line="480" w:lineRule="exact"/>
              <w:jc w:val="left"/>
              <w:rPr>
                <w:rFonts w:ascii="宋体" w:hAnsi="宋体" w:cs="宋体"/>
                <w:kern w:val="0"/>
                <w:sz w:val="24"/>
              </w:rPr>
            </w:pPr>
            <w:r>
              <w:rPr>
                <w:rFonts w:hint="eastAsia" w:ascii="宋体" w:hAnsi="宋体" w:cs="宋体"/>
                <w:kern w:val="0"/>
                <w:sz w:val="24"/>
              </w:rPr>
              <w:t>应急预案表述详细、条理清晰、理解透彻，措施得当，得8分；</w:t>
            </w:r>
            <w:r>
              <w:rPr>
                <w:rFonts w:ascii="宋体" w:hAnsi="宋体" w:cs="宋体"/>
                <w:sz w:val="24"/>
              </w:rPr>
              <w:t>全部内容具备，仅部分细节简略</w:t>
            </w:r>
            <w:r>
              <w:rPr>
                <w:rFonts w:hint="eastAsia" w:ascii="宋体" w:hAnsi="宋体" w:cs="宋体"/>
                <w:kern w:val="0"/>
                <w:sz w:val="24"/>
              </w:rPr>
              <w:t>，得5分；</w:t>
            </w:r>
          </w:p>
          <w:p w14:paraId="022BA3BD">
            <w:pPr>
              <w:spacing w:line="480" w:lineRule="exact"/>
              <w:jc w:val="left"/>
              <w:rPr>
                <w:rFonts w:ascii="宋体" w:hAnsi="宋体" w:cs="宋体"/>
                <w:sz w:val="24"/>
              </w:rPr>
            </w:pPr>
            <w:r>
              <w:rPr>
                <w:rFonts w:ascii="宋体" w:hAnsi="宋体" w:cs="宋体"/>
                <w:sz w:val="24"/>
              </w:rPr>
              <w:t>框架完整，内容偏通用，针对性不足</w:t>
            </w:r>
            <w:r>
              <w:rPr>
                <w:rFonts w:hint="eastAsia" w:ascii="宋体" w:hAnsi="宋体" w:cs="宋体"/>
                <w:sz w:val="24"/>
              </w:rPr>
              <w:t>，</w:t>
            </w:r>
            <w:r>
              <w:rPr>
                <w:rFonts w:hint="eastAsia" w:ascii="宋体" w:hAnsi="宋体" w:cs="宋体"/>
                <w:kern w:val="0"/>
                <w:sz w:val="24"/>
              </w:rPr>
              <w:t>得3分；</w:t>
            </w:r>
          </w:p>
          <w:p w14:paraId="7BF584E2">
            <w:pPr>
              <w:spacing w:line="480" w:lineRule="exact"/>
              <w:jc w:val="left"/>
              <w:rPr>
                <w:rFonts w:ascii="宋体" w:hAnsi="宋体" w:cs="宋体"/>
                <w:sz w:val="24"/>
              </w:rPr>
            </w:pPr>
            <w:r>
              <w:rPr>
                <w:rFonts w:ascii="宋体" w:hAnsi="宋体" w:cs="宋体"/>
                <w:sz w:val="24"/>
              </w:rPr>
              <w:t>缺多项核心内容，处置方案笼统</w:t>
            </w:r>
            <w:r>
              <w:rPr>
                <w:rFonts w:hint="eastAsia" w:ascii="宋体" w:hAnsi="宋体" w:cs="宋体"/>
                <w:sz w:val="24"/>
              </w:rPr>
              <w:t>，</w:t>
            </w:r>
            <w:r>
              <w:rPr>
                <w:rFonts w:hint="eastAsia" w:ascii="宋体" w:hAnsi="宋体" w:cs="宋体"/>
                <w:kern w:val="0"/>
                <w:sz w:val="24"/>
              </w:rPr>
              <w:t>得2分；</w:t>
            </w:r>
          </w:p>
          <w:p w14:paraId="0713A8CA">
            <w:pPr>
              <w:spacing w:line="480" w:lineRule="exact"/>
              <w:jc w:val="left"/>
              <w:rPr>
                <w:rFonts w:ascii="宋体" w:hAnsi="宋体" w:cs="宋体"/>
                <w:kern w:val="0"/>
                <w:sz w:val="24"/>
              </w:rPr>
            </w:pPr>
            <w:r>
              <w:rPr>
                <w:rFonts w:hint="eastAsia" w:ascii="宋体" w:hAnsi="宋体" w:cs="宋体"/>
                <w:kern w:val="0"/>
                <w:sz w:val="24"/>
              </w:rPr>
              <w:t>未提供的不得分，得0分。</w:t>
            </w:r>
          </w:p>
        </w:tc>
        <w:tc>
          <w:tcPr>
            <w:tcW w:w="821" w:type="dxa"/>
            <w:tcBorders>
              <w:top w:val="single" w:color="auto" w:sz="4" w:space="0"/>
              <w:left w:val="single" w:color="auto" w:sz="4" w:space="0"/>
              <w:bottom w:val="single" w:color="auto" w:sz="4" w:space="0"/>
              <w:right w:val="single" w:color="auto" w:sz="4" w:space="0"/>
            </w:tcBorders>
            <w:vAlign w:val="center"/>
          </w:tcPr>
          <w:p w14:paraId="0FA639EA">
            <w:pPr>
              <w:spacing w:line="360" w:lineRule="auto"/>
              <w:jc w:val="center"/>
              <w:rPr>
                <w:rFonts w:ascii="宋体" w:hAnsi="宋体" w:cs="Calibri Light"/>
                <w:sz w:val="24"/>
              </w:rPr>
            </w:pPr>
            <w:r>
              <w:rPr>
                <w:rFonts w:hint="eastAsia" w:ascii="宋体" w:hAnsi="宋体" w:cs="Calibri Light"/>
                <w:sz w:val="24"/>
              </w:rPr>
              <w:t>8</w:t>
            </w:r>
            <w:r>
              <w:rPr>
                <w:rFonts w:hint="eastAsia" w:ascii="宋体" w:hAnsi="宋体" w:cs="宋体"/>
                <w:kern w:val="0"/>
                <w:sz w:val="24"/>
                <w:lang w:val="en-GB"/>
              </w:rPr>
              <w:t>分</w:t>
            </w:r>
          </w:p>
        </w:tc>
      </w:tr>
      <w:tr w14:paraId="47F0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539" w:type="dxa"/>
            <w:tcBorders>
              <w:left w:val="single" w:color="auto" w:sz="4" w:space="0"/>
              <w:right w:val="single" w:color="auto" w:sz="4" w:space="0"/>
            </w:tcBorders>
            <w:vAlign w:val="center"/>
          </w:tcPr>
          <w:p w14:paraId="57CBDEB5">
            <w:pPr>
              <w:spacing w:line="480" w:lineRule="exact"/>
              <w:jc w:val="center"/>
              <w:rPr>
                <w:rFonts w:ascii="宋体" w:hAnsi="宋体" w:cs="宋体"/>
                <w:kern w:val="0"/>
                <w:sz w:val="24"/>
              </w:rPr>
            </w:pPr>
            <w:r>
              <w:rPr>
                <w:rFonts w:hint="eastAsia" w:ascii="宋体" w:hAnsi="宋体" w:cs="宋体"/>
                <w:kern w:val="0"/>
                <w:sz w:val="24"/>
              </w:rPr>
              <w:t>成果提交计划及保证措施（0-6分）</w:t>
            </w:r>
          </w:p>
        </w:tc>
        <w:tc>
          <w:tcPr>
            <w:tcW w:w="7051" w:type="dxa"/>
            <w:tcBorders>
              <w:top w:val="single" w:color="auto" w:sz="4" w:space="0"/>
              <w:left w:val="single" w:color="auto" w:sz="4" w:space="0"/>
              <w:bottom w:val="single" w:color="auto" w:sz="4" w:space="0"/>
              <w:right w:val="single" w:color="auto" w:sz="4" w:space="0"/>
            </w:tcBorders>
            <w:vAlign w:val="center"/>
          </w:tcPr>
          <w:p w14:paraId="6C9DA96C">
            <w:pPr>
              <w:spacing w:line="480" w:lineRule="exact"/>
              <w:jc w:val="left"/>
              <w:rPr>
                <w:color w:val="1F2329"/>
                <w:sz w:val="24"/>
              </w:rPr>
            </w:pPr>
            <w:r>
              <w:rPr>
                <w:rFonts w:hint="eastAsia" w:ascii="宋体" w:hAnsi="宋体" w:cs="宋体"/>
                <w:kern w:val="0"/>
                <w:sz w:val="24"/>
              </w:rPr>
              <w:t>成果提交计划</w:t>
            </w:r>
            <w:r>
              <w:rPr>
                <w:color w:val="1F2329"/>
                <w:sz w:val="24"/>
              </w:rPr>
              <w:t>贴合项目，节点清晰、保障措施完善，逾期处置机制完整落地</w:t>
            </w:r>
            <w:r>
              <w:rPr>
                <w:rFonts w:hint="eastAsia"/>
                <w:color w:val="1F2329"/>
                <w:sz w:val="24"/>
              </w:rPr>
              <w:t>，得6分；</w:t>
            </w:r>
          </w:p>
          <w:p w14:paraId="436B672C">
            <w:pPr>
              <w:widowControl/>
              <w:spacing w:line="360" w:lineRule="atLeast"/>
              <w:jc w:val="left"/>
              <w:rPr>
                <w:color w:val="1F2329"/>
                <w:sz w:val="24"/>
              </w:rPr>
            </w:pPr>
            <w:r>
              <w:rPr>
                <w:color w:val="1F2329"/>
                <w:sz w:val="24"/>
              </w:rPr>
              <w:t>各项内容齐全，仅部分细节简略</w:t>
            </w:r>
            <w:r>
              <w:rPr>
                <w:rFonts w:hint="eastAsia"/>
                <w:color w:val="1F2329"/>
                <w:sz w:val="24"/>
              </w:rPr>
              <w:t>，得5分；</w:t>
            </w:r>
          </w:p>
          <w:p w14:paraId="160993F6">
            <w:pPr>
              <w:widowControl/>
              <w:spacing w:line="360" w:lineRule="atLeast"/>
              <w:jc w:val="left"/>
              <w:rPr>
                <w:color w:val="1F2329"/>
                <w:sz w:val="24"/>
              </w:rPr>
            </w:pPr>
            <w:r>
              <w:rPr>
                <w:color w:val="1F2329"/>
                <w:sz w:val="24"/>
              </w:rPr>
              <w:t>框架完整，内容通用性强，针对性一般</w:t>
            </w:r>
            <w:r>
              <w:rPr>
                <w:rFonts w:hint="eastAsia"/>
                <w:color w:val="1F2329"/>
                <w:sz w:val="24"/>
              </w:rPr>
              <w:t>，得3分；</w:t>
            </w:r>
          </w:p>
          <w:p w14:paraId="60B71C53">
            <w:pPr>
              <w:widowControl/>
              <w:spacing w:line="360" w:lineRule="atLeast"/>
              <w:jc w:val="left"/>
              <w:rPr>
                <w:color w:val="1F2329"/>
                <w:sz w:val="24"/>
              </w:rPr>
            </w:pPr>
            <w:r>
              <w:rPr>
                <w:color w:val="1F2329"/>
                <w:sz w:val="24"/>
              </w:rPr>
              <w:t>缺失部分关键节点或保障措施，表述笼统</w:t>
            </w:r>
            <w:r>
              <w:rPr>
                <w:rFonts w:hint="eastAsia"/>
                <w:color w:val="1F2329"/>
                <w:sz w:val="24"/>
              </w:rPr>
              <w:t>，得2分；</w:t>
            </w:r>
          </w:p>
          <w:p w14:paraId="4AD5D5A2">
            <w:pPr>
              <w:widowControl/>
              <w:spacing w:line="360" w:lineRule="atLeast"/>
              <w:jc w:val="left"/>
              <w:rPr>
                <w:rFonts w:ascii="宋体" w:hAnsi="宋体" w:cs="宋体"/>
                <w:kern w:val="0"/>
                <w:sz w:val="24"/>
              </w:rPr>
            </w:pPr>
            <w:r>
              <w:rPr>
                <w:color w:val="1F2329"/>
                <w:sz w:val="24"/>
              </w:rPr>
              <w:t>无成果提交专项计划及保障措施</w:t>
            </w:r>
            <w:r>
              <w:rPr>
                <w:rFonts w:hint="eastAsia"/>
                <w:color w:val="1F2329"/>
                <w:sz w:val="24"/>
              </w:rPr>
              <w:t>，得0分。</w:t>
            </w:r>
          </w:p>
        </w:tc>
        <w:tc>
          <w:tcPr>
            <w:tcW w:w="821" w:type="dxa"/>
            <w:tcBorders>
              <w:top w:val="single" w:color="auto" w:sz="4" w:space="0"/>
              <w:left w:val="single" w:color="auto" w:sz="4" w:space="0"/>
              <w:bottom w:val="single" w:color="auto" w:sz="4" w:space="0"/>
              <w:right w:val="single" w:color="auto" w:sz="4" w:space="0"/>
            </w:tcBorders>
            <w:vAlign w:val="center"/>
          </w:tcPr>
          <w:p w14:paraId="7888C16E">
            <w:pPr>
              <w:spacing w:line="480" w:lineRule="exact"/>
              <w:jc w:val="left"/>
              <w:rPr>
                <w:rFonts w:ascii="宋体" w:hAnsi="宋体" w:cs="Calibri Light"/>
                <w:sz w:val="24"/>
                <w:lang w:val="en-GB"/>
              </w:rPr>
            </w:pPr>
            <w:r>
              <w:rPr>
                <w:rFonts w:hint="eastAsia" w:ascii="宋体" w:hAnsi="宋体" w:cs="宋体"/>
                <w:kern w:val="0"/>
                <w:sz w:val="24"/>
              </w:rPr>
              <w:t>6</w:t>
            </w:r>
            <w:r>
              <w:rPr>
                <w:rFonts w:hint="eastAsia" w:ascii="宋体" w:hAnsi="宋体" w:cs="宋体"/>
                <w:kern w:val="0"/>
                <w:sz w:val="24"/>
                <w:lang w:val="en-GB"/>
              </w:rPr>
              <w:t>分</w:t>
            </w:r>
          </w:p>
        </w:tc>
      </w:tr>
      <w:tr w14:paraId="1947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9411" w:type="dxa"/>
            <w:gridSpan w:val="3"/>
            <w:tcBorders>
              <w:top w:val="single" w:color="auto" w:sz="4" w:space="0"/>
              <w:left w:val="single" w:color="auto" w:sz="4" w:space="0"/>
              <w:bottom w:val="single" w:color="auto" w:sz="4" w:space="0"/>
              <w:right w:val="single" w:color="auto" w:sz="4" w:space="0"/>
            </w:tcBorders>
            <w:vAlign w:val="center"/>
          </w:tcPr>
          <w:p w14:paraId="347387C5">
            <w:pPr>
              <w:snapToGrid w:val="0"/>
              <w:spacing w:line="480" w:lineRule="exact"/>
              <w:jc w:val="left"/>
              <w:rPr>
                <w:rFonts w:ascii="宋体" w:hAnsi="宋体" w:cs="宋体"/>
                <w:b/>
                <w:sz w:val="24"/>
              </w:rPr>
            </w:pPr>
            <w:r>
              <w:rPr>
                <w:rFonts w:hint="eastAsia" w:ascii="宋体" w:hAnsi="宋体" w:cs="宋体"/>
                <w:b/>
                <w:sz w:val="24"/>
              </w:rPr>
              <w:t>三、商务部分（30分）</w:t>
            </w:r>
          </w:p>
        </w:tc>
      </w:tr>
      <w:tr w14:paraId="1226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0" w:hRule="atLeast"/>
          <w:jc w:val="center"/>
        </w:trPr>
        <w:tc>
          <w:tcPr>
            <w:tcW w:w="1539" w:type="dxa"/>
            <w:tcBorders>
              <w:left w:val="single" w:color="auto" w:sz="4" w:space="0"/>
              <w:right w:val="single" w:color="auto" w:sz="4" w:space="0"/>
            </w:tcBorders>
            <w:vAlign w:val="center"/>
          </w:tcPr>
          <w:p w14:paraId="681D9C7B">
            <w:pPr>
              <w:spacing w:line="480" w:lineRule="exact"/>
              <w:jc w:val="center"/>
              <w:rPr>
                <w:color w:val="auto"/>
                <w:highlight w:val="none"/>
              </w:rPr>
            </w:pPr>
            <w:r>
              <w:rPr>
                <w:rFonts w:hint="eastAsia" w:ascii="宋体" w:hAnsi="宋体" w:cs="宋体"/>
                <w:color w:val="auto"/>
                <w:kern w:val="0"/>
                <w:sz w:val="24"/>
                <w:highlight w:val="none"/>
              </w:rPr>
              <w:t>企业业绩（0-</w:t>
            </w:r>
            <w:r>
              <w:rPr>
                <w:rFonts w:ascii="宋体" w:hAnsi="宋体" w:cs="宋体"/>
                <w:color w:val="auto"/>
                <w:kern w:val="0"/>
                <w:sz w:val="24"/>
                <w:highlight w:val="none"/>
              </w:rPr>
              <w:t>6</w:t>
            </w:r>
            <w:r>
              <w:rPr>
                <w:rFonts w:hint="eastAsia" w:ascii="宋体" w:hAnsi="宋体" w:cs="宋体"/>
                <w:color w:val="auto"/>
                <w:kern w:val="0"/>
                <w:sz w:val="24"/>
                <w:highlight w:val="none"/>
              </w:rPr>
              <w:t>分）</w:t>
            </w:r>
          </w:p>
        </w:tc>
        <w:tc>
          <w:tcPr>
            <w:tcW w:w="7051" w:type="dxa"/>
            <w:tcBorders>
              <w:left w:val="single" w:color="auto" w:sz="4" w:space="0"/>
              <w:right w:val="single" w:color="auto" w:sz="4" w:space="0"/>
            </w:tcBorders>
            <w:vAlign w:val="center"/>
          </w:tcPr>
          <w:p w14:paraId="5AC11AF8">
            <w:pPr>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近三年（自招标公告发布之日倒算，以合同签订时间为准）独立完成过类似项目（规划类项目）业绩的，每有一项得</w:t>
            </w:r>
            <w:r>
              <w:rPr>
                <w:rFonts w:ascii="宋体" w:hAnsi="宋体" w:cs="宋体"/>
                <w:color w:val="auto"/>
                <w:kern w:val="0"/>
                <w:sz w:val="24"/>
                <w:highlight w:val="none"/>
              </w:rPr>
              <w:t>2</w:t>
            </w:r>
            <w:r>
              <w:rPr>
                <w:rFonts w:hint="eastAsia" w:ascii="宋体" w:hAnsi="宋体" w:cs="宋体"/>
                <w:color w:val="auto"/>
                <w:kern w:val="0"/>
                <w:sz w:val="24"/>
                <w:highlight w:val="none"/>
              </w:rPr>
              <w:t>分，最多得</w:t>
            </w:r>
            <w:r>
              <w:rPr>
                <w:rFonts w:ascii="宋体" w:hAnsi="宋体" w:cs="宋体"/>
                <w:color w:val="auto"/>
                <w:kern w:val="0"/>
                <w:sz w:val="24"/>
                <w:highlight w:val="none"/>
              </w:rPr>
              <w:t>6</w:t>
            </w:r>
            <w:r>
              <w:rPr>
                <w:rFonts w:hint="eastAsia" w:ascii="宋体" w:hAnsi="宋体" w:cs="宋体"/>
                <w:color w:val="auto"/>
                <w:kern w:val="0"/>
                <w:sz w:val="24"/>
                <w:highlight w:val="none"/>
              </w:rPr>
              <w:t>分。</w:t>
            </w:r>
          </w:p>
          <w:p w14:paraId="2F3E1DD0">
            <w:pPr>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（提供中标（成交）通知书或合同协议原件扫描件）。</w:t>
            </w:r>
          </w:p>
        </w:tc>
        <w:tc>
          <w:tcPr>
            <w:tcW w:w="821" w:type="dxa"/>
            <w:tcBorders>
              <w:top w:val="single" w:color="auto" w:sz="4" w:space="0"/>
              <w:left w:val="single" w:color="auto" w:sz="4" w:space="0"/>
              <w:right w:val="single" w:color="auto" w:sz="4" w:space="0"/>
            </w:tcBorders>
            <w:vAlign w:val="center"/>
          </w:tcPr>
          <w:p w14:paraId="1E0D9FFD">
            <w:pPr>
              <w:pStyle w:val="3"/>
              <w:spacing w:line="480" w:lineRule="exact"/>
              <w:jc w:val="center"/>
              <w:rPr>
                <w:rFonts w:hAnsi="宋体" w:cs="宋体"/>
                <w:color w:val="auto"/>
              </w:rPr>
            </w:pPr>
            <w:r>
              <w:rPr>
                <w:rFonts w:hint="eastAsia" w:hAnsi="宋体" w:cs="宋体"/>
                <w:color w:val="auto"/>
                <w:lang w:val="en-US" w:eastAsia="zh-CN"/>
              </w:rPr>
              <w:t>6</w:t>
            </w:r>
            <w:r>
              <w:rPr>
                <w:rFonts w:hint="eastAsia" w:hAnsi="宋体" w:cs="宋体"/>
                <w:color w:val="auto"/>
              </w:rPr>
              <w:t>分</w:t>
            </w:r>
          </w:p>
        </w:tc>
      </w:tr>
      <w:tr w14:paraId="2239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1"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14:paraId="0FC6AD50">
            <w:pPr>
              <w:spacing w:line="48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项目负责人要求</w:t>
            </w:r>
          </w:p>
          <w:p w14:paraId="50527EB1">
            <w:pPr>
              <w:spacing w:line="48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（0-4分）</w:t>
            </w:r>
          </w:p>
        </w:tc>
        <w:tc>
          <w:tcPr>
            <w:tcW w:w="7051" w:type="dxa"/>
            <w:tcBorders>
              <w:left w:val="single" w:color="auto" w:sz="4" w:space="0"/>
              <w:right w:val="single" w:color="auto" w:sz="4" w:space="0"/>
            </w:tcBorders>
            <w:vAlign w:val="center"/>
          </w:tcPr>
          <w:p w14:paraId="52B2A034">
            <w:pPr>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项目负责人为高级工程师，得</w:t>
            </w:r>
            <w:r>
              <w:rPr>
                <w:rFonts w:ascii="宋体" w:hAnsi="宋体" w:cs="宋体"/>
                <w:color w:val="auto"/>
                <w:kern w:val="0"/>
                <w:sz w:val="24"/>
                <w:highlight w:val="none"/>
              </w:rPr>
              <w:t>4</w:t>
            </w:r>
            <w:r>
              <w:rPr>
                <w:rFonts w:hint="eastAsia" w:ascii="宋体" w:hAnsi="宋体" w:cs="宋体"/>
                <w:color w:val="auto"/>
                <w:kern w:val="0"/>
                <w:sz w:val="24"/>
                <w:highlight w:val="none"/>
              </w:rPr>
              <w:t>分；</w:t>
            </w:r>
          </w:p>
          <w:p w14:paraId="41F86ED7">
            <w:pPr>
              <w:spacing w:line="480" w:lineRule="exact"/>
              <w:rPr>
                <w:rFonts w:ascii="宋体" w:hAnsi="宋体" w:cs="宋体"/>
                <w:color w:val="auto"/>
                <w:kern w:val="0"/>
                <w:sz w:val="24"/>
                <w:highlight w:val="none"/>
              </w:rPr>
            </w:pPr>
            <w:r>
              <w:rPr>
                <w:rFonts w:hint="eastAsia" w:ascii="宋体" w:hAnsi="宋体" w:cs="宋体"/>
                <w:color w:val="auto"/>
                <w:kern w:val="0"/>
                <w:sz w:val="24"/>
                <w:highlight w:val="none"/>
              </w:rPr>
              <w:t>项目负责人为中级工程师，得2分。</w:t>
            </w:r>
          </w:p>
          <w:p w14:paraId="19F6FB5A">
            <w:pPr>
              <w:spacing w:line="480" w:lineRule="exact"/>
              <w:rPr>
                <w:rFonts w:ascii="宋体" w:hAnsi="宋体" w:cs="宋体"/>
                <w:color w:val="auto"/>
                <w:kern w:val="0"/>
                <w:sz w:val="24"/>
                <w:highlight w:val="none"/>
              </w:rPr>
            </w:pPr>
            <w:r>
              <w:rPr>
                <w:rFonts w:hint="eastAsia" w:ascii="宋体" w:hAnsi="宋体" w:cs="宋体"/>
                <w:color w:val="auto"/>
                <w:sz w:val="24"/>
                <w:highlight w:val="none"/>
                <w:shd w:val="clear" w:color="auto" w:fill="FFFFFF"/>
              </w:rPr>
              <w:t>注：提供职称证书、本单位社保缴纳证明原件扫描件（</w:t>
            </w:r>
            <w:r>
              <w:rPr>
                <w:rFonts w:ascii="宋体" w:hAnsi="宋体" w:cs="宋体"/>
                <w:color w:val="auto"/>
                <w:sz w:val="24"/>
                <w:highlight w:val="none"/>
              </w:rPr>
              <w:t>退休返聘人员凭聘用协议、退休证予以认可</w:t>
            </w:r>
            <w:r>
              <w:rPr>
                <w:rFonts w:hint="eastAsia" w:ascii="宋体" w:hAnsi="宋体" w:cs="宋体"/>
                <w:color w:val="auto"/>
                <w:sz w:val="24"/>
                <w:highlight w:val="none"/>
              </w:rPr>
              <w:t>），</w:t>
            </w:r>
            <w:r>
              <w:rPr>
                <w:rFonts w:hint="eastAsia" w:ascii="宋体" w:hAnsi="宋体" w:cs="宋体"/>
                <w:color w:val="auto"/>
                <w:sz w:val="24"/>
                <w:highlight w:val="none"/>
                <w:shd w:val="clear" w:color="auto" w:fill="FFFFFF"/>
              </w:rPr>
              <w:t>未提供不得分。</w:t>
            </w:r>
          </w:p>
        </w:tc>
        <w:tc>
          <w:tcPr>
            <w:tcW w:w="821" w:type="dxa"/>
            <w:tcBorders>
              <w:left w:val="single" w:color="auto" w:sz="4" w:space="0"/>
              <w:right w:val="single" w:color="auto" w:sz="4" w:space="0"/>
            </w:tcBorders>
            <w:vAlign w:val="center"/>
          </w:tcPr>
          <w:p w14:paraId="545BB39C">
            <w:pPr>
              <w:pStyle w:val="3"/>
              <w:spacing w:line="480" w:lineRule="exact"/>
              <w:jc w:val="center"/>
              <w:rPr>
                <w:rFonts w:hAnsi="宋体" w:cs="宋体"/>
                <w:color w:val="auto"/>
              </w:rPr>
            </w:pPr>
            <w:r>
              <w:rPr>
                <w:rFonts w:hint="eastAsia" w:hAnsi="宋体" w:cs="宋体"/>
                <w:color w:val="auto"/>
              </w:rPr>
              <w:t>4分</w:t>
            </w:r>
          </w:p>
        </w:tc>
      </w:tr>
      <w:tr w14:paraId="7563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1"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14:paraId="5A916182">
            <w:pPr>
              <w:spacing w:line="48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团队人员</w:t>
            </w:r>
          </w:p>
          <w:p w14:paraId="666E31E7">
            <w:pPr>
              <w:spacing w:line="48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配置</w:t>
            </w:r>
          </w:p>
          <w:p w14:paraId="7FD8EC24">
            <w:pPr>
              <w:spacing w:line="48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（0-</w:t>
            </w:r>
            <w:r>
              <w:rPr>
                <w:rFonts w:ascii="宋体" w:hAnsi="宋体" w:cs="宋体"/>
                <w:color w:val="auto"/>
                <w:kern w:val="0"/>
                <w:sz w:val="24"/>
                <w:highlight w:val="none"/>
              </w:rPr>
              <w:t>9</w:t>
            </w:r>
            <w:r>
              <w:rPr>
                <w:rFonts w:hint="eastAsia" w:ascii="宋体" w:hAnsi="宋体" w:cs="宋体"/>
                <w:color w:val="auto"/>
                <w:kern w:val="0"/>
                <w:sz w:val="24"/>
                <w:highlight w:val="none"/>
              </w:rPr>
              <w:t>分）</w:t>
            </w:r>
          </w:p>
        </w:tc>
        <w:tc>
          <w:tcPr>
            <w:tcW w:w="7051" w:type="dxa"/>
            <w:tcBorders>
              <w:left w:val="single" w:color="auto" w:sz="4" w:space="0"/>
              <w:right w:val="single" w:color="auto" w:sz="4" w:space="0"/>
            </w:tcBorders>
            <w:vAlign w:val="center"/>
          </w:tcPr>
          <w:p w14:paraId="6EC7E3DC">
            <w:pPr>
              <w:spacing w:line="480" w:lineRule="exact"/>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项目团队配备城乡规划、建筑、风景园林关键专业得基础分3分；其他结构、给排水、暖通、电气、道路、咨询等专业人员，每配备1个对应专业人员得0.5分；对应专业人员具备注册执业证书加0.5分/人，取得高级及以上职称加0.5分/人，同一人员两项可累计，单人最高1分；本项总分上限</w:t>
            </w:r>
            <w:r>
              <w:rPr>
                <w:rFonts w:ascii="宋体" w:hAnsi="宋体" w:cs="宋体"/>
                <w:color w:val="auto"/>
                <w:sz w:val="24"/>
                <w:highlight w:val="none"/>
                <w:shd w:val="clear" w:color="auto" w:fill="FFFFFF"/>
              </w:rPr>
              <w:t>9</w:t>
            </w:r>
            <w:r>
              <w:rPr>
                <w:rFonts w:hint="eastAsia" w:ascii="宋体" w:hAnsi="宋体" w:cs="宋体"/>
                <w:color w:val="auto"/>
                <w:sz w:val="24"/>
                <w:highlight w:val="none"/>
                <w:shd w:val="clear" w:color="auto" w:fill="FFFFFF"/>
              </w:rPr>
              <w:t>分。</w:t>
            </w:r>
          </w:p>
          <w:p w14:paraId="463F5B55">
            <w:pPr>
              <w:spacing w:line="480" w:lineRule="exact"/>
              <w:rPr>
                <w:rFonts w:ascii="宋体" w:hAnsi="宋体" w:cs="宋体"/>
                <w:color w:val="auto"/>
                <w:kern w:val="0"/>
                <w:sz w:val="24"/>
                <w:highlight w:val="none"/>
              </w:rPr>
            </w:pPr>
            <w:r>
              <w:rPr>
                <w:rFonts w:hint="eastAsia" w:ascii="宋体" w:hAnsi="宋体" w:cs="宋体"/>
                <w:color w:val="auto"/>
                <w:sz w:val="24"/>
                <w:highlight w:val="none"/>
                <w:shd w:val="clear" w:color="auto" w:fill="FFFFFF"/>
              </w:rPr>
              <w:t>注：</w:t>
            </w:r>
            <w:r>
              <w:rPr>
                <w:rFonts w:ascii="宋体" w:hAnsi="宋体" w:cs="宋体"/>
                <w:color w:val="auto"/>
                <w:sz w:val="24"/>
                <w:highlight w:val="none"/>
              </w:rPr>
              <w:t>投标文件仅需提供对应人员有效证书</w:t>
            </w:r>
            <w:r>
              <w:rPr>
                <w:rFonts w:hint="eastAsia" w:ascii="宋体" w:hAnsi="宋体" w:cs="宋体"/>
                <w:color w:val="auto"/>
                <w:sz w:val="24"/>
                <w:highlight w:val="none"/>
              </w:rPr>
              <w:t>（包括但不限于身份证、职称证书、注册证书等）原件扫描件</w:t>
            </w:r>
            <w:r>
              <w:rPr>
                <w:rFonts w:ascii="宋体" w:hAnsi="宋体" w:cs="宋体"/>
                <w:color w:val="auto"/>
                <w:sz w:val="24"/>
                <w:highlight w:val="none"/>
              </w:rPr>
              <w:t>，投标人书面承诺拟派人员为本项目</w:t>
            </w:r>
            <w:r>
              <w:rPr>
                <w:rFonts w:hint="eastAsia" w:ascii="宋体" w:hAnsi="宋体" w:cs="宋体"/>
                <w:color w:val="auto"/>
                <w:sz w:val="24"/>
                <w:highlight w:val="none"/>
              </w:rPr>
              <w:t>在职</w:t>
            </w:r>
            <w:r>
              <w:rPr>
                <w:rFonts w:ascii="宋体" w:hAnsi="宋体" w:cs="宋体"/>
                <w:color w:val="auto"/>
                <w:sz w:val="24"/>
                <w:highlight w:val="none"/>
              </w:rPr>
              <w:t>履约人员；项目中标、人员进场前，采购人统一核验劳动合同及社保缴纳材料；退休返聘人员提供退休证+聘用协议即可；无法提供有效证书的对应人员不予计分；</w:t>
            </w:r>
          </w:p>
        </w:tc>
        <w:tc>
          <w:tcPr>
            <w:tcW w:w="821" w:type="dxa"/>
            <w:tcBorders>
              <w:left w:val="single" w:color="auto" w:sz="4" w:space="0"/>
              <w:right w:val="single" w:color="auto" w:sz="4" w:space="0"/>
            </w:tcBorders>
            <w:vAlign w:val="center"/>
          </w:tcPr>
          <w:p w14:paraId="5E68F881">
            <w:pPr>
              <w:pStyle w:val="3"/>
              <w:spacing w:line="480" w:lineRule="exact"/>
              <w:jc w:val="center"/>
              <w:rPr>
                <w:rFonts w:hAnsi="宋体" w:cs="宋体"/>
                <w:color w:val="auto"/>
              </w:rPr>
            </w:pPr>
            <w:r>
              <w:rPr>
                <w:rFonts w:hint="eastAsia" w:hAnsi="宋体" w:cs="宋体"/>
                <w:color w:val="auto"/>
                <w:lang w:val="en-US" w:eastAsia="zh-CN"/>
              </w:rPr>
              <w:t>9</w:t>
            </w:r>
            <w:r>
              <w:rPr>
                <w:rFonts w:hint="eastAsia" w:hAnsi="宋体" w:cs="宋体"/>
                <w:color w:val="auto"/>
              </w:rPr>
              <w:t>分</w:t>
            </w:r>
          </w:p>
        </w:tc>
      </w:tr>
      <w:tr w14:paraId="4B5F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14:paraId="3FB993B1">
            <w:pPr>
              <w:spacing w:line="480" w:lineRule="exact"/>
              <w:jc w:val="center"/>
              <w:rPr>
                <w:rFonts w:ascii="宋体" w:hAnsi="宋体" w:cs="宋体"/>
                <w:kern w:val="0"/>
                <w:sz w:val="24"/>
              </w:rPr>
            </w:pPr>
            <w:r>
              <w:rPr>
                <w:rFonts w:hint="eastAsia" w:ascii="宋体" w:hAnsi="宋体" w:cs="宋体"/>
                <w:kern w:val="0"/>
                <w:sz w:val="24"/>
              </w:rPr>
              <w:t>履职尽责</w:t>
            </w:r>
          </w:p>
          <w:p w14:paraId="640648F2">
            <w:pPr>
              <w:spacing w:line="480" w:lineRule="exact"/>
              <w:jc w:val="center"/>
              <w:rPr>
                <w:rFonts w:ascii="宋体" w:hAnsi="宋体" w:cs="宋体"/>
                <w:kern w:val="0"/>
                <w:sz w:val="24"/>
              </w:rPr>
            </w:pPr>
            <w:r>
              <w:rPr>
                <w:rFonts w:hint="eastAsia" w:ascii="宋体" w:hAnsi="宋体" w:cs="宋体"/>
                <w:kern w:val="0"/>
                <w:sz w:val="24"/>
              </w:rPr>
              <w:t>承诺</w:t>
            </w:r>
          </w:p>
          <w:p w14:paraId="2E07E647">
            <w:pPr>
              <w:spacing w:line="480" w:lineRule="exact"/>
              <w:jc w:val="center"/>
              <w:rPr>
                <w:rFonts w:ascii="宋体" w:hAnsi="宋体" w:cs="宋体"/>
                <w:kern w:val="0"/>
                <w:sz w:val="24"/>
              </w:rPr>
            </w:pPr>
            <w:r>
              <w:rPr>
                <w:rFonts w:hint="eastAsia" w:ascii="宋体" w:hAnsi="宋体" w:cs="宋体"/>
                <w:kern w:val="0"/>
                <w:sz w:val="24"/>
              </w:rPr>
              <w:t>（0-6分）</w:t>
            </w:r>
          </w:p>
        </w:tc>
        <w:tc>
          <w:tcPr>
            <w:tcW w:w="7051" w:type="dxa"/>
            <w:tcBorders>
              <w:left w:val="single" w:color="auto" w:sz="4" w:space="0"/>
              <w:right w:val="single" w:color="auto" w:sz="4" w:space="0"/>
            </w:tcBorders>
            <w:vAlign w:val="center"/>
          </w:tcPr>
          <w:p w14:paraId="61CAB5F1">
            <w:pPr>
              <w:spacing w:line="480" w:lineRule="exact"/>
              <w:rPr>
                <w:rFonts w:ascii="宋体" w:hAnsi="宋体" w:cs="宋体"/>
                <w:kern w:val="0"/>
                <w:sz w:val="24"/>
              </w:rPr>
            </w:pPr>
            <w:r>
              <w:rPr>
                <w:rFonts w:hint="eastAsia" w:ascii="宋体" w:hAnsi="宋体" w:cs="宋体"/>
                <w:kern w:val="0"/>
                <w:sz w:val="24"/>
              </w:rPr>
              <w:t>投标人出具的全面、详实、可行的书面履职保证文件及措施落实不到位专项处置承诺，涵盖关键岗位人员在岗及人员变更管控、项目质量与风险管控、工期履约及多方协同配合、安全生产与数据保密、廉洁从业及违约追责全部履职内容。</w:t>
            </w:r>
          </w:p>
          <w:p w14:paraId="715F3EF9">
            <w:pPr>
              <w:spacing w:line="480" w:lineRule="exact"/>
              <w:rPr>
                <w:rFonts w:ascii="宋体" w:hAnsi="宋体" w:cs="宋体"/>
                <w:kern w:val="0"/>
                <w:sz w:val="24"/>
              </w:rPr>
            </w:pPr>
            <w:r>
              <w:rPr>
                <w:rFonts w:hint="eastAsia" w:ascii="宋体" w:hAnsi="宋体" w:cs="宋体"/>
                <w:kern w:val="0"/>
                <w:sz w:val="24"/>
              </w:rPr>
              <w:t>书面承诺及处置措施全面详实、可落地执行，具备完善闭环追责体系，覆盖全部履职评审要素，得6分；</w:t>
            </w:r>
          </w:p>
          <w:p w14:paraId="4DDBC758">
            <w:pPr>
              <w:spacing w:line="480" w:lineRule="exact"/>
              <w:rPr>
                <w:rFonts w:ascii="宋体" w:hAnsi="宋体" w:cs="宋体"/>
                <w:kern w:val="0"/>
                <w:sz w:val="24"/>
              </w:rPr>
            </w:pPr>
            <w:r>
              <w:rPr>
                <w:rFonts w:hint="eastAsia" w:ascii="宋体" w:hAnsi="宋体" w:cs="宋体"/>
                <w:kern w:val="0"/>
                <w:sz w:val="24"/>
              </w:rPr>
              <w:t>覆盖全部履职要素，保障及违约处置措施齐全，仅细节条款简略，得4分；</w:t>
            </w:r>
          </w:p>
          <w:p w14:paraId="2040089B">
            <w:pPr>
              <w:spacing w:line="480" w:lineRule="exact"/>
              <w:rPr>
                <w:rFonts w:ascii="宋体" w:hAnsi="宋体" w:cs="宋体"/>
                <w:kern w:val="0"/>
                <w:sz w:val="24"/>
              </w:rPr>
            </w:pPr>
            <w:r>
              <w:rPr>
                <w:rFonts w:hint="eastAsia" w:ascii="宋体" w:hAnsi="宋体" w:cs="宋体"/>
                <w:kern w:val="0"/>
                <w:sz w:val="24"/>
              </w:rPr>
              <w:t>包含全部履职要素，方案框架完整，措施简略、可操作性一般，得2分；</w:t>
            </w:r>
          </w:p>
          <w:p w14:paraId="2F7CBB79">
            <w:pPr>
              <w:spacing w:line="480" w:lineRule="exact"/>
              <w:rPr>
                <w:rFonts w:ascii="宋体" w:hAnsi="宋体" w:cs="宋体"/>
                <w:kern w:val="0"/>
                <w:sz w:val="24"/>
              </w:rPr>
            </w:pPr>
            <w:r>
              <w:rPr>
                <w:rFonts w:hint="eastAsia" w:ascii="宋体" w:hAnsi="宋体" w:cs="宋体"/>
                <w:kern w:val="0"/>
                <w:sz w:val="24"/>
              </w:rPr>
              <w:t>仅有笼统原则性承诺，无落地管控及追责措施，部分履职要素缺失，得1分；</w:t>
            </w:r>
          </w:p>
          <w:p w14:paraId="708F95F9">
            <w:pPr>
              <w:spacing w:line="480" w:lineRule="exact"/>
              <w:rPr>
                <w:rFonts w:ascii="宋体" w:hAnsi="宋体" w:cs="宋体"/>
                <w:kern w:val="0"/>
                <w:sz w:val="24"/>
              </w:rPr>
            </w:pPr>
            <w:r>
              <w:rPr>
                <w:rFonts w:hint="eastAsia" w:ascii="宋体" w:hAnsi="宋体" w:cs="宋体"/>
                <w:kern w:val="0"/>
                <w:sz w:val="24"/>
              </w:rPr>
              <w:t>书面履职承诺书虚无缥缈或存在虚假承诺，得0分。</w:t>
            </w:r>
          </w:p>
        </w:tc>
        <w:tc>
          <w:tcPr>
            <w:tcW w:w="821" w:type="dxa"/>
            <w:tcBorders>
              <w:left w:val="single" w:color="auto" w:sz="4" w:space="0"/>
              <w:right w:val="single" w:color="auto" w:sz="4" w:space="0"/>
            </w:tcBorders>
            <w:vAlign w:val="center"/>
          </w:tcPr>
          <w:p w14:paraId="02833BDB">
            <w:pPr>
              <w:pStyle w:val="3"/>
              <w:spacing w:line="480" w:lineRule="exact"/>
              <w:jc w:val="center"/>
              <w:rPr>
                <w:rFonts w:hAnsi="宋体" w:cs="宋体"/>
                <w:color w:val="auto"/>
              </w:rPr>
            </w:pPr>
            <w:r>
              <w:rPr>
                <w:rFonts w:hint="eastAsia" w:hAnsi="宋体" w:cs="宋体"/>
                <w:color w:val="auto"/>
              </w:rPr>
              <w:t>6分</w:t>
            </w:r>
          </w:p>
        </w:tc>
      </w:tr>
      <w:tr w14:paraId="16B2A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539" w:type="dxa"/>
            <w:tcBorders>
              <w:top w:val="single" w:color="auto" w:sz="4" w:space="0"/>
              <w:left w:val="single" w:color="auto" w:sz="4" w:space="0"/>
              <w:bottom w:val="single" w:color="auto" w:sz="4" w:space="0"/>
              <w:right w:val="single" w:color="auto" w:sz="4" w:space="0"/>
            </w:tcBorders>
            <w:vAlign w:val="center"/>
          </w:tcPr>
          <w:p w14:paraId="01064518">
            <w:pPr>
              <w:spacing w:line="480" w:lineRule="exact"/>
              <w:jc w:val="center"/>
              <w:rPr>
                <w:rFonts w:ascii="宋体" w:hAnsi="宋体" w:cs="宋体"/>
                <w:kern w:val="0"/>
                <w:sz w:val="24"/>
              </w:rPr>
            </w:pPr>
            <w:r>
              <w:rPr>
                <w:rFonts w:hint="eastAsia" w:ascii="宋体" w:hAnsi="宋体" w:cs="宋体"/>
                <w:kern w:val="0"/>
                <w:sz w:val="24"/>
              </w:rPr>
              <w:t>服务承诺（0-5分）</w:t>
            </w:r>
          </w:p>
        </w:tc>
        <w:tc>
          <w:tcPr>
            <w:tcW w:w="7051" w:type="dxa"/>
            <w:tcBorders>
              <w:left w:val="single" w:color="auto" w:sz="4" w:space="0"/>
              <w:right w:val="single" w:color="auto" w:sz="4" w:space="0"/>
            </w:tcBorders>
            <w:vAlign w:val="center"/>
          </w:tcPr>
          <w:p w14:paraId="3A926C54">
            <w:pPr>
              <w:spacing w:line="480" w:lineRule="exact"/>
              <w:rPr>
                <w:rFonts w:ascii="宋体" w:hAnsi="宋体" w:cs="宋体"/>
                <w:kern w:val="0"/>
                <w:sz w:val="24"/>
              </w:rPr>
            </w:pPr>
            <w:bookmarkStart w:id="398" w:name="OLE_LINK57"/>
            <w:bookmarkStart w:id="399" w:name="OLE_LINK133"/>
            <w:bookmarkStart w:id="400" w:name="OLE_LINK60"/>
            <w:r>
              <w:rPr>
                <w:rFonts w:hint="eastAsia" w:ascii="宋体" w:hAnsi="宋体" w:cs="宋体"/>
                <w:kern w:val="0"/>
                <w:sz w:val="24"/>
              </w:rPr>
              <w:t>按能够承诺保证有足够的人力、物力、具有各种专业专家团队等资源，保证按时按质按量完成委托的业务，提供优质服务及交付后回访服务、验收等，并对服务报告的真实性、准确性负责等进行打分。</w:t>
            </w:r>
          </w:p>
          <w:p w14:paraId="111A7DF0">
            <w:pPr>
              <w:spacing w:line="480" w:lineRule="exact"/>
              <w:rPr>
                <w:rFonts w:ascii="宋体" w:hAnsi="宋体" w:cs="宋体"/>
                <w:sz w:val="24"/>
              </w:rPr>
            </w:pPr>
            <w:r>
              <w:rPr>
                <w:rFonts w:ascii="宋体" w:hAnsi="宋体" w:cs="宋体"/>
                <w:sz w:val="24"/>
              </w:rPr>
              <w:t>资源配置充足详实，全流程服务保障完善，责任承诺清晰落地</w:t>
            </w:r>
            <w:r>
              <w:rPr>
                <w:rFonts w:hint="eastAsia" w:ascii="宋体" w:hAnsi="宋体" w:cs="宋体"/>
                <w:sz w:val="24"/>
              </w:rPr>
              <w:t>，得5分；</w:t>
            </w:r>
          </w:p>
          <w:p w14:paraId="3F110A37">
            <w:pPr>
              <w:spacing w:line="480" w:lineRule="exact"/>
              <w:rPr>
                <w:rFonts w:ascii="宋体" w:hAnsi="宋体" w:cs="宋体"/>
                <w:kern w:val="0"/>
                <w:sz w:val="24"/>
              </w:rPr>
            </w:pPr>
            <w:r>
              <w:rPr>
                <w:rFonts w:ascii="宋体" w:hAnsi="宋体" w:cs="宋体"/>
                <w:sz w:val="24"/>
              </w:rPr>
              <w:t>全部内容齐全，少量细节简略</w:t>
            </w:r>
            <w:r>
              <w:rPr>
                <w:rFonts w:hint="eastAsia" w:ascii="宋体" w:hAnsi="宋体" w:cs="宋体"/>
                <w:sz w:val="24"/>
              </w:rPr>
              <w:t>，</w:t>
            </w:r>
            <w:r>
              <w:rPr>
                <w:rFonts w:hint="eastAsia" w:ascii="宋体" w:hAnsi="宋体" w:cs="宋体"/>
                <w:kern w:val="0"/>
                <w:sz w:val="24"/>
              </w:rPr>
              <w:t>得3分；</w:t>
            </w:r>
          </w:p>
          <w:p w14:paraId="2CA87D5D">
            <w:pPr>
              <w:spacing w:line="480" w:lineRule="exact"/>
              <w:rPr>
                <w:rFonts w:ascii="宋体" w:hAnsi="宋体" w:cs="宋体"/>
                <w:kern w:val="0"/>
                <w:sz w:val="24"/>
              </w:rPr>
            </w:pPr>
            <w:r>
              <w:rPr>
                <w:rFonts w:ascii="宋体" w:hAnsi="宋体" w:cs="宋体"/>
                <w:sz w:val="24"/>
              </w:rPr>
              <w:t>表述偏通用，针对性一般</w:t>
            </w:r>
            <w:r>
              <w:rPr>
                <w:rFonts w:hint="eastAsia" w:ascii="宋体" w:hAnsi="宋体" w:cs="宋体"/>
                <w:sz w:val="24"/>
              </w:rPr>
              <w:t>，得1分；</w:t>
            </w:r>
          </w:p>
          <w:bookmarkEnd w:id="398"/>
          <w:bookmarkEnd w:id="399"/>
          <w:bookmarkEnd w:id="400"/>
          <w:p w14:paraId="7C6DFF65">
            <w:pPr>
              <w:spacing w:line="480" w:lineRule="exact"/>
              <w:rPr>
                <w:rFonts w:ascii="宋体" w:hAnsi="宋体" w:cs="宋体"/>
                <w:kern w:val="0"/>
                <w:sz w:val="24"/>
              </w:rPr>
            </w:pPr>
            <w:r>
              <w:rPr>
                <w:rFonts w:ascii="宋体" w:hAnsi="宋体" w:cs="宋体"/>
                <w:sz w:val="24"/>
              </w:rPr>
              <w:t>服务保障内容</w:t>
            </w:r>
            <w:r>
              <w:rPr>
                <w:rFonts w:hint="eastAsia" w:ascii="宋体" w:hAnsi="宋体" w:cs="宋体"/>
                <w:sz w:val="24"/>
              </w:rPr>
              <w:t>、</w:t>
            </w:r>
            <w:r>
              <w:rPr>
                <w:rFonts w:ascii="宋体" w:hAnsi="宋体" w:cs="宋体"/>
                <w:sz w:val="24"/>
              </w:rPr>
              <w:t>措施笼统</w:t>
            </w:r>
            <w:r>
              <w:rPr>
                <w:rFonts w:hint="eastAsia" w:ascii="宋体" w:hAnsi="宋体" w:cs="宋体"/>
                <w:sz w:val="24"/>
              </w:rPr>
              <w:t>或未提供得0分。</w:t>
            </w:r>
          </w:p>
        </w:tc>
        <w:tc>
          <w:tcPr>
            <w:tcW w:w="821" w:type="dxa"/>
            <w:tcBorders>
              <w:left w:val="single" w:color="auto" w:sz="4" w:space="0"/>
              <w:right w:val="single" w:color="auto" w:sz="4" w:space="0"/>
            </w:tcBorders>
            <w:vAlign w:val="center"/>
          </w:tcPr>
          <w:p w14:paraId="6DE892E0">
            <w:pPr>
              <w:pStyle w:val="3"/>
              <w:spacing w:line="480" w:lineRule="exact"/>
              <w:jc w:val="center"/>
              <w:rPr>
                <w:rFonts w:hAnsi="宋体" w:cs="宋体"/>
                <w:color w:val="auto"/>
              </w:rPr>
            </w:pPr>
            <w:r>
              <w:rPr>
                <w:rFonts w:hint="eastAsia" w:hAnsi="宋体" w:cs="宋体"/>
                <w:color w:val="auto"/>
              </w:rPr>
              <w:t>5分</w:t>
            </w:r>
          </w:p>
        </w:tc>
      </w:tr>
      <w:bookmarkEnd w:id="395"/>
      <w:bookmarkEnd w:id="396"/>
    </w:tbl>
    <w:p w14:paraId="7D1F023B">
      <w:pPr>
        <w:spacing w:line="360" w:lineRule="auto"/>
        <w:jc w:val="both"/>
        <w:outlineLvl w:val="0"/>
        <w:rPr>
          <w:rFonts w:hint="eastAsia" w:ascii="宋体" w:hAnsi="宋体"/>
          <w:b/>
          <w:bCs/>
          <w:sz w:val="24"/>
        </w:rPr>
      </w:pPr>
      <w:bookmarkStart w:id="401" w:name="_Toc508179890"/>
      <w:bookmarkStart w:id="402" w:name="_Toc16520679"/>
      <w:bookmarkStart w:id="403" w:name="_Toc16520167"/>
      <w:bookmarkStart w:id="404" w:name="_Toc19507"/>
    </w:p>
    <w:p w14:paraId="02D66775">
      <w:pPr>
        <w:spacing w:line="360" w:lineRule="auto"/>
        <w:jc w:val="both"/>
        <w:outlineLvl w:val="0"/>
        <w:rPr>
          <w:rFonts w:hint="eastAsia" w:ascii="宋体" w:hAnsi="宋体"/>
          <w:b/>
          <w:bCs/>
          <w:sz w:val="24"/>
        </w:rPr>
      </w:pPr>
    </w:p>
    <w:p w14:paraId="1BA94832">
      <w:pPr>
        <w:spacing w:line="360" w:lineRule="auto"/>
        <w:jc w:val="both"/>
        <w:outlineLvl w:val="0"/>
        <w:rPr>
          <w:rFonts w:hint="eastAsia" w:ascii="宋体" w:hAnsi="宋体"/>
          <w:b/>
          <w:bCs/>
          <w:sz w:val="24"/>
        </w:rPr>
      </w:pPr>
    </w:p>
    <w:p w14:paraId="314C249A">
      <w:pPr>
        <w:spacing w:line="360" w:lineRule="auto"/>
        <w:jc w:val="both"/>
        <w:outlineLvl w:val="0"/>
        <w:rPr>
          <w:rFonts w:hint="eastAsia" w:ascii="宋体" w:hAnsi="宋体"/>
          <w:b/>
          <w:bCs/>
          <w:sz w:val="24"/>
        </w:rPr>
      </w:pPr>
    </w:p>
    <w:p w14:paraId="22AFD002">
      <w:pPr>
        <w:spacing w:line="360" w:lineRule="auto"/>
        <w:jc w:val="both"/>
        <w:outlineLvl w:val="0"/>
        <w:rPr>
          <w:rFonts w:hint="eastAsia" w:ascii="宋体" w:hAnsi="宋体"/>
          <w:b/>
          <w:bCs/>
          <w:sz w:val="24"/>
        </w:rPr>
      </w:pPr>
    </w:p>
    <w:p w14:paraId="53D68A46">
      <w:pPr>
        <w:spacing w:line="360" w:lineRule="auto"/>
        <w:jc w:val="both"/>
        <w:outlineLvl w:val="0"/>
        <w:rPr>
          <w:rFonts w:hint="eastAsia" w:ascii="宋体" w:hAnsi="宋体"/>
          <w:b/>
          <w:bCs/>
          <w:sz w:val="24"/>
        </w:rPr>
      </w:pPr>
    </w:p>
    <w:p w14:paraId="70FD5B23">
      <w:pPr>
        <w:spacing w:line="360" w:lineRule="auto"/>
        <w:jc w:val="both"/>
        <w:outlineLvl w:val="0"/>
        <w:rPr>
          <w:rFonts w:hint="eastAsia" w:ascii="宋体" w:hAnsi="宋体"/>
          <w:b/>
          <w:bCs/>
          <w:sz w:val="24"/>
        </w:rPr>
      </w:pPr>
    </w:p>
    <w:p w14:paraId="59A13521">
      <w:pPr>
        <w:spacing w:line="360" w:lineRule="auto"/>
        <w:jc w:val="both"/>
        <w:outlineLvl w:val="0"/>
        <w:rPr>
          <w:rFonts w:hint="eastAsia" w:ascii="宋体" w:hAnsi="宋体"/>
          <w:b/>
          <w:bCs/>
          <w:sz w:val="24"/>
        </w:rPr>
      </w:pPr>
    </w:p>
    <w:p w14:paraId="5CAF0884">
      <w:pPr>
        <w:spacing w:line="360" w:lineRule="auto"/>
        <w:jc w:val="both"/>
        <w:outlineLvl w:val="0"/>
        <w:rPr>
          <w:rFonts w:hint="eastAsia" w:ascii="宋体" w:hAnsi="宋体"/>
          <w:b/>
          <w:bCs/>
          <w:sz w:val="24"/>
        </w:rPr>
      </w:pPr>
    </w:p>
    <w:p w14:paraId="7AF8A66F">
      <w:pPr>
        <w:spacing w:line="360" w:lineRule="auto"/>
        <w:jc w:val="both"/>
        <w:outlineLvl w:val="0"/>
        <w:rPr>
          <w:rFonts w:hint="eastAsia" w:ascii="宋体" w:hAnsi="宋体"/>
          <w:b/>
          <w:bCs/>
          <w:sz w:val="24"/>
        </w:rPr>
      </w:pPr>
    </w:p>
    <w:p w14:paraId="75925C49">
      <w:pPr>
        <w:spacing w:line="360" w:lineRule="auto"/>
        <w:jc w:val="both"/>
        <w:outlineLvl w:val="0"/>
        <w:rPr>
          <w:rFonts w:hint="eastAsia" w:ascii="宋体" w:hAnsi="宋体"/>
          <w:b/>
          <w:bCs/>
          <w:sz w:val="24"/>
        </w:rPr>
      </w:pPr>
    </w:p>
    <w:p w14:paraId="1071847F">
      <w:pPr>
        <w:spacing w:line="360" w:lineRule="auto"/>
        <w:jc w:val="both"/>
        <w:outlineLvl w:val="0"/>
        <w:rPr>
          <w:rFonts w:hint="eastAsia" w:ascii="宋体" w:hAnsi="宋体"/>
          <w:b/>
          <w:bCs/>
          <w:sz w:val="24"/>
        </w:rPr>
      </w:pPr>
    </w:p>
    <w:p w14:paraId="47C21330">
      <w:pPr>
        <w:spacing w:line="360" w:lineRule="auto"/>
        <w:jc w:val="both"/>
        <w:outlineLvl w:val="0"/>
        <w:rPr>
          <w:rFonts w:hint="eastAsia" w:ascii="宋体" w:hAnsi="宋体"/>
          <w:b/>
          <w:bCs/>
          <w:sz w:val="24"/>
        </w:rPr>
      </w:pPr>
    </w:p>
    <w:p w14:paraId="0DBE63F3">
      <w:pPr>
        <w:spacing w:line="360" w:lineRule="auto"/>
        <w:jc w:val="both"/>
        <w:outlineLvl w:val="0"/>
        <w:rPr>
          <w:rFonts w:hint="eastAsia" w:ascii="宋体" w:hAnsi="宋体"/>
          <w:b/>
          <w:bCs/>
          <w:sz w:val="24"/>
        </w:rPr>
      </w:pPr>
    </w:p>
    <w:p w14:paraId="33C88C84">
      <w:pPr>
        <w:spacing w:line="360" w:lineRule="auto"/>
        <w:jc w:val="both"/>
        <w:outlineLvl w:val="0"/>
        <w:rPr>
          <w:rFonts w:hint="eastAsia" w:ascii="宋体" w:hAnsi="宋体"/>
          <w:b/>
          <w:bCs/>
          <w:sz w:val="24"/>
        </w:rPr>
      </w:pPr>
    </w:p>
    <w:p w14:paraId="57BC2529">
      <w:pPr>
        <w:spacing w:line="360" w:lineRule="auto"/>
        <w:jc w:val="both"/>
        <w:outlineLvl w:val="0"/>
        <w:rPr>
          <w:rFonts w:hint="eastAsia" w:ascii="宋体" w:hAnsi="宋体"/>
          <w:b/>
          <w:bCs/>
          <w:sz w:val="24"/>
        </w:rPr>
      </w:pPr>
    </w:p>
    <w:p w14:paraId="36558B45">
      <w:pPr>
        <w:spacing w:line="360" w:lineRule="auto"/>
        <w:ind w:firstLine="2168" w:firstLineChars="900"/>
        <w:jc w:val="both"/>
        <w:outlineLvl w:val="0"/>
        <w:rPr>
          <w:rFonts w:ascii="宋体" w:hAnsi="宋体"/>
          <w:b/>
          <w:bCs/>
          <w:sz w:val="36"/>
          <w:szCs w:val="36"/>
        </w:rPr>
      </w:pPr>
      <w:r>
        <w:rPr>
          <w:rFonts w:hint="eastAsia" w:ascii="宋体" w:hAnsi="宋体"/>
          <w:b/>
          <w:bCs/>
          <w:sz w:val="24"/>
        </w:rPr>
        <w:t xml:space="preserve"> </w:t>
      </w:r>
      <w:r>
        <w:rPr>
          <w:rFonts w:hint="eastAsia" w:ascii="宋体" w:hAnsi="宋体"/>
          <w:b/>
          <w:bCs/>
          <w:sz w:val="36"/>
          <w:szCs w:val="36"/>
        </w:rPr>
        <w:t xml:space="preserve">第五章 </w:t>
      </w:r>
      <w:bookmarkEnd w:id="401"/>
      <w:r>
        <w:rPr>
          <w:rFonts w:hint="eastAsia" w:ascii="宋体" w:hAnsi="宋体"/>
          <w:b/>
          <w:bCs/>
          <w:sz w:val="36"/>
          <w:szCs w:val="36"/>
        </w:rPr>
        <w:t>合同协议书</w:t>
      </w:r>
      <w:bookmarkEnd w:id="402"/>
      <w:bookmarkEnd w:id="403"/>
      <w:r>
        <w:rPr>
          <w:rFonts w:hint="eastAsia" w:ascii="宋体" w:hAnsi="宋体"/>
          <w:b/>
          <w:bCs/>
          <w:sz w:val="36"/>
          <w:szCs w:val="36"/>
        </w:rPr>
        <w:t>（样本）</w:t>
      </w:r>
      <w:bookmarkEnd w:id="404"/>
    </w:p>
    <w:p w14:paraId="2B668536">
      <w:pPr>
        <w:spacing w:line="360" w:lineRule="auto"/>
        <w:ind w:firstLine="2040" w:firstLineChars="850"/>
        <w:rPr>
          <w:rFonts w:ascii="宋体" w:hAnsi="宋体"/>
          <w:sz w:val="24"/>
        </w:rPr>
      </w:pPr>
      <w:r>
        <w:rPr>
          <w:rFonts w:ascii="宋体" w:hAnsi="宋体"/>
          <w:sz w:val="24"/>
        </w:rPr>
        <w:t>（本合同仅供参考，最终以中标供应商和采购人签订为准）</w:t>
      </w:r>
    </w:p>
    <w:p w14:paraId="262FD6B6">
      <w:pPr>
        <w:spacing w:line="360" w:lineRule="auto"/>
        <w:ind w:firstLine="480" w:firstLineChars="200"/>
        <w:rPr>
          <w:rFonts w:ascii="宋体" w:hAnsi="宋体"/>
          <w:sz w:val="24"/>
        </w:rPr>
      </w:pPr>
      <w:r>
        <w:rPr>
          <w:rFonts w:hint="eastAsia" w:ascii="宋体" w:hAnsi="宋体"/>
          <w:sz w:val="24"/>
        </w:rPr>
        <w:t>合同编号：_____________</w:t>
      </w:r>
    </w:p>
    <w:p w14:paraId="496CB4B5">
      <w:pPr>
        <w:widowControl/>
        <w:spacing w:line="480" w:lineRule="exact"/>
        <w:ind w:firstLine="480" w:firstLineChars="200"/>
        <w:jc w:val="center"/>
        <w:rPr>
          <w:rFonts w:ascii="宋体" w:hAnsi="宋体" w:cs="宋体"/>
          <w:sz w:val="24"/>
        </w:rPr>
      </w:pPr>
      <w:r>
        <w:rPr>
          <w:rFonts w:hint="eastAsia" w:ascii="宋体" w:hAnsi="宋体" w:cs="宋体"/>
          <w:sz w:val="24"/>
        </w:rPr>
        <w:t>第一条 合同签订依据</w:t>
      </w:r>
    </w:p>
    <w:p w14:paraId="2C59C9E3">
      <w:pPr>
        <w:widowControl/>
        <w:spacing w:line="480" w:lineRule="exact"/>
        <w:ind w:firstLine="480" w:firstLineChars="200"/>
        <w:jc w:val="left"/>
        <w:rPr>
          <w:rFonts w:ascii="宋体" w:hAnsi="宋体" w:cs="宋体"/>
          <w:sz w:val="24"/>
        </w:rPr>
      </w:pPr>
      <w:r>
        <w:rPr>
          <w:rFonts w:hint="eastAsia" w:ascii="宋体" w:hAnsi="宋体" w:cs="宋体"/>
          <w:sz w:val="24"/>
        </w:rPr>
        <w:t>1.1 《中华人民共和国民法典》</w:t>
      </w:r>
    </w:p>
    <w:p w14:paraId="18833FD7">
      <w:pPr>
        <w:widowControl/>
        <w:spacing w:line="480" w:lineRule="exact"/>
        <w:ind w:firstLine="480" w:firstLineChars="200"/>
        <w:jc w:val="left"/>
        <w:rPr>
          <w:rFonts w:ascii="宋体" w:hAnsi="宋体" w:cs="宋体"/>
          <w:sz w:val="24"/>
        </w:rPr>
      </w:pPr>
      <w:r>
        <w:rPr>
          <w:rFonts w:hint="eastAsia" w:ascii="宋体" w:hAnsi="宋体" w:cs="宋体"/>
          <w:sz w:val="24"/>
        </w:rPr>
        <w:t>1.2 《中华人民共和国政府采购法》</w:t>
      </w:r>
    </w:p>
    <w:p w14:paraId="5F095D42">
      <w:pPr>
        <w:widowControl/>
        <w:spacing w:line="480" w:lineRule="exact"/>
        <w:ind w:firstLine="480" w:firstLineChars="200"/>
        <w:jc w:val="left"/>
        <w:rPr>
          <w:rFonts w:ascii="宋体" w:hAnsi="宋体" w:cs="宋体"/>
          <w:sz w:val="24"/>
        </w:rPr>
      </w:pPr>
      <w:r>
        <w:rPr>
          <w:rFonts w:hint="eastAsia" w:ascii="宋体" w:hAnsi="宋体" w:cs="宋体"/>
          <w:sz w:val="24"/>
        </w:rPr>
        <w:t>1.3 《中华人民共和国城乡规划法》</w:t>
      </w:r>
    </w:p>
    <w:p w14:paraId="1A39ADF0">
      <w:pPr>
        <w:widowControl/>
        <w:spacing w:line="480" w:lineRule="exact"/>
        <w:ind w:firstLine="480" w:firstLineChars="200"/>
        <w:jc w:val="left"/>
        <w:rPr>
          <w:rFonts w:ascii="宋体" w:hAnsi="宋体" w:cs="宋体"/>
          <w:sz w:val="24"/>
        </w:rPr>
      </w:pPr>
      <w:r>
        <w:rPr>
          <w:rFonts w:hint="eastAsia" w:ascii="宋体" w:hAnsi="宋体" w:cs="宋体"/>
          <w:sz w:val="24"/>
        </w:rPr>
        <w:t>1.4 《住房城乡建设部关于全面开展城市体检工作的指导意见》（建科〔2023〕75号）</w:t>
      </w:r>
    </w:p>
    <w:p w14:paraId="3C467ADA">
      <w:pPr>
        <w:widowControl/>
        <w:spacing w:line="480" w:lineRule="exact"/>
        <w:ind w:firstLine="480" w:firstLineChars="200"/>
        <w:jc w:val="left"/>
        <w:rPr>
          <w:rFonts w:ascii="宋体" w:hAnsi="宋体" w:cs="宋体"/>
          <w:sz w:val="24"/>
        </w:rPr>
      </w:pPr>
      <w:r>
        <w:rPr>
          <w:rFonts w:hint="eastAsia" w:ascii="宋体" w:hAnsi="宋体" w:cs="宋体"/>
          <w:sz w:val="24"/>
        </w:rPr>
        <w:t>1.5 《住房城乡建设部办公厅关于深入开展2026年城市体检工作的通知》（建办科〔2026〕16号）</w:t>
      </w:r>
    </w:p>
    <w:p w14:paraId="297C12A7">
      <w:pPr>
        <w:widowControl/>
        <w:spacing w:line="480" w:lineRule="exact"/>
        <w:ind w:firstLine="480" w:firstLineChars="200"/>
        <w:jc w:val="left"/>
        <w:rPr>
          <w:rFonts w:ascii="宋体" w:hAnsi="宋体" w:cs="宋体"/>
          <w:sz w:val="24"/>
        </w:rPr>
      </w:pPr>
      <w:r>
        <w:rPr>
          <w:rFonts w:hint="eastAsia" w:ascii="宋体" w:hAnsi="宋体" w:cs="宋体"/>
          <w:sz w:val="24"/>
        </w:rPr>
        <w:t>1.6 《河南省住房和城乡建设厅关于做好2026年城市体检和县城体检工作的通知》（豫建设计〔2026〕65号）</w:t>
      </w:r>
    </w:p>
    <w:p w14:paraId="6E2B8EE4">
      <w:pPr>
        <w:widowControl/>
        <w:spacing w:line="480" w:lineRule="exact"/>
        <w:ind w:firstLine="480" w:firstLineChars="200"/>
        <w:jc w:val="left"/>
        <w:rPr>
          <w:rFonts w:ascii="宋体" w:hAnsi="宋体" w:cs="宋体"/>
          <w:sz w:val="24"/>
        </w:rPr>
      </w:pPr>
      <w:r>
        <w:rPr>
          <w:rFonts w:hint="eastAsia" w:ascii="宋体" w:hAnsi="宋体" w:cs="宋体"/>
          <w:sz w:val="24"/>
        </w:rPr>
        <w:t>1.7 本项目采购文件（磋商文件/招标文件）、乙方响应文件（投标文件）及中标（成交）通知书</w:t>
      </w:r>
    </w:p>
    <w:p w14:paraId="17DDED39">
      <w:pPr>
        <w:widowControl/>
        <w:spacing w:line="480" w:lineRule="exact"/>
        <w:ind w:firstLine="480" w:firstLineChars="200"/>
        <w:jc w:val="center"/>
        <w:rPr>
          <w:rFonts w:ascii="宋体" w:hAnsi="宋体" w:cs="宋体"/>
          <w:sz w:val="24"/>
        </w:rPr>
      </w:pPr>
      <w:r>
        <w:rPr>
          <w:rFonts w:hint="eastAsia" w:ascii="宋体" w:hAnsi="宋体" w:cs="宋体"/>
          <w:sz w:val="24"/>
        </w:rPr>
        <w:t>第二条 项目概况</w:t>
      </w:r>
    </w:p>
    <w:p w14:paraId="223DA43F">
      <w:pPr>
        <w:widowControl/>
        <w:spacing w:line="480" w:lineRule="exact"/>
        <w:ind w:firstLine="480" w:firstLineChars="200"/>
        <w:jc w:val="left"/>
        <w:rPr>
          <w:rFonts w:ascii="宋体" w:hAnsi="宋体" w:cs="宋体"/>
          <w:sz w:val="24"/>
        </w:rPr>
      </w:pPr>
      <w:r>
        <w:rPr>
          <w:rFonts w:hint="eastAsia" w:ascii="宋体" w:hAnsi="宋体" w:cs="宋体"/>
          <w:sz w:val="24"/>
        </w:rPr>
        <w:t>2.1 项目名称：三门峡市湖滨区建设局三门峡市湖滨区城市社区专项体检及报告编制项目</w:t>
      </w:r>
    </w:p>
    <w:p w14:paraId="5AA7BE8A">
      <w:pPr>
        <w:widowControl/>
        <w:spacing w:line="480" w:lineRule="exact"/>
        <w:ind w:firstLine="480" w:firstLineChars="200"/>
        <w:jc w:val="left"/>
        <w:rPr>
          <w:rFonts w:ascii="宋体" w:hAnsi="宋体" w:cs="宋体"/>
          <w:sz w:val="24"/>
        </w:rPr>
      </w:pPr>
      <w:r>
        <w:rPr>
          <w:rFonts w:hint="eastAsia" w:ascii="宋体" w:hAnsi="宋体" w:cs="宋体"/>
          <w:sz w:val="24"/>
        </w:rPr>
        <w:t>2.2 项目地点：河南省三门峡市</w:t>
      </w:r>
    </w:p>
    <w:p w14:paraId="30F13441">
      <w:pPr>
        <w:widowControl/>
        <w:spacing w:line="480" w:lineRule="exact"/>
        <w:ind w:firstLine="480" w:firstLineChars="200"/>
        <w:jc w:val="left"/>
        <w:rPr>
          <w:rFonts w:ascii="宋体" w:hAnsi="宋体" w:cs="宋体"/>
          <w:sz w:val="24"/>
        </w:rPr>
      </w:pPr>
      <w:r>
        <w:rPr>
          <w:rFonts w:hint="eastAsia" w:ascii="宋体" w:hAnsi="宋体" w:cs="宋体"/>
          <w:sz w:val="24"/>
        </w:rPr>
        <w:t>2.3 服务范围：磋商文件、项目内容及服务需求包含的全部内容。</w:t>
      </w:r>
    </w:p>
    <w:p w14:paraId="2F19B6CB">
      <w:pPr>
        <w:widowControl/>
        <w:spacing w:line="480" w:lineRule="exact"/>
        <w:ind w:firstLine="480" w:firstLineChars="200"/>
        <w:jc w:val="left"/>
        <w:rPr>
          <w:rFonts w:ascii="宋体" w:hAnsi="宋体" w:cs="宋体"/>
          <w:sz w:val="24"/>
        </w:rPr>
      </w:pPr>
      <w:r>
        <w:rPr>
          <w:rFonts w:hint="eastAsia" w:ascii="宋体" w:hAnsi="宋体" w:cs="宋体"/>
          <w:sz w:val="24"/>
        </w:rPr>
        <w:t>2.4 服务目标：全面完成转区城市体检社区现场踏勘、数据采集、资料整理、居民问卷调研、问题摸排研判，建立完整、详实、可溯源的社区体检问题台账和需求台账。高质里完成《湖滨区城市社区专项体检报告》编制，完善附图、附表、问题整改建议、短板提升方案及更新项目谋划清单。</w:t>
      </w:r>
    </w:p>
    <w:p w14:paraId="4BC34756">
      <w:pPr>
        <w:widowControl/>
        <w:spacing w:line="480" w:lineRule="exact"/>
        <w:ind w:firstLine="480" w:firstLineChars="200"/>
        <w:jc w:val="center"/>
        <w:rPr>
          <w:rFonts w:ascii="宋体" w:hAnsi="宋体" w:cs="宋体"/>
          <w:sz w:val="24"/>
        </w:rPr>
      </w:pPr>
      <w:r>
        <w:rPr>
          <w:rFonts w:hint="eastAsia" w:ascii="宋体" w:hAnsi="宋体" w:cs="宋体"/>
          <w:sz w:val="24"/>
        </w:rPr>
        <w:t>第三条 服务内容</w:t>
      </w:r>
    </w:p>
    <w:p w14:paraId="2268F086">
      <w:pPr>
        <w:widowControl/>
        <w:spacing w:line="480" w:lineRule="exact"/>
        <w:ind w:firstLine="480" w:firstLineChars="200"/>
        <w:jc w:val="left"/>
        <w:rPr>
          <w:rFonts w:ascii="宋体" w:hAnsi="宋体" w:cs="宋体"/>
          <w:sz w:val="24"/>
        </w:rPr>
      </w:pPr>
      <w:r>
        <w:rPr>
          <w:rFonts w:hint="eastAsia" w:ascii="宋体" w:hAnsi="宋体" w:cs="宋体"/>
          <w:sz w:val="24"/>
        </w:rPr>
        <w:t>乙方须严格按照采购文件要求和响应文件承诺，提供以下技术服务：</w:t>
      </w:r>
    </w:p>
    <w:p w14:paraId="5429DA79">
      <w:pPr>
        <w:widowControl/>
        <w:spacing w:line="480" w:lineRule="exact"/>
        <w:ind w:firstLine="480" w:firstLineChars="200"/>
        <w:jc w:val="left"/>
        <w:rPr>
          <w:rFonts w:ascii="宋体" w:hAnsi="宋体" w:cs="宋体"/>
          <w:sz w:val="24"/>
        </w:rPr>
      </w:pPr>
      <w:r>
        <w:rPr>
          <w:rFonts w:hint="eastAsia" w:ascii="宋体" w:hAnsi="宋体" w:cs="宋体"/>
          <w:sz w:val="24"/>
        </w:rPr>
        <w:t>3.1 基础数据归集、实地踏勘与民意调研</w:t>
      </w:r>
    </w:p>
    <w:p w14:paraId="2A887D03">
      <w:pPr>
        <w:widowControl/>
        <w:spacing w:line="480" w:lineRule="exact"/>
        <w:ind w:firstLine="480" w:firstLineChars="200"/>
        <w:jc w:val="left"/>
        <w:rPr>
          <w:rFonts w:ascii="宋体" w:hAnsi="宋体" w:cs="宋体"/>
          <w:sz w:val="24"/>
        </w:rPr>
      </w:pPr>
      <w:r>
        <w:rPr>
          <w:rFonts w:hint="eastAsia" w:ascii="宋体" w:hAnsi="宋体" w:cs="宋体"/>
          <w:sz w:val="24"/>
        </w:rPr>
        <w:t>3.1.1 多部门数据统筹归集： 对接自然资源、住建、城管、交通、生态环境、民政、应急、统计、卫健、教体等部门，系统收集国土空间总体规划及详细规划、城市基础设施数据、社区配套设施数据、人口数据、房屋建筑普查数据、地质灾害隐患点台账、内涝积水点记录等行业基础台账与矢量空间数据。建立标准化城市体检数据库，统一数据格式与坐标系，实现多源数据融合管理。</w:t>
      </w:r>
    </w:p>
    <w:p w14:paraId="16FDBB79">
      <w:pPr>
        <w:widowControl/>
        <w:spacing w:line="480" w:lineRule="exact"/>
        <w:ind w:firstLine="480" w:firstLineChars="200"/>
        <w:jc w:val="left"/>
        <w:rPr>
          <w:rFonts w:ascii="宋体" w:hAnsi="宋体" w:cs="宋体"/>
          <w:sz w:val="24"/>
        </w:rPr>
      </w:pPr>
      <w:r>
        <w:rPr>
          <w:rFonts w:hint="eastAsia" w:ascii="宋体" w:hAnsi="宋体" w:cs="宋体"/>
          <w:sz w:val="24"/>
        </w:rPr>
        <w:t>3.1.2 实地现场核查：组建专业技术团队，以建成区为范围，对遴选的住宅、社区、街区开展实地走访及现状实地核查。重点核查住房安全（结构安全、管线管道、燃气安全）、小区设施（养老、托育、停车、充电、垃圾分类）、街区功能（中学布点、体育场地、老旧街区）、城区安全（内涝隐患、消防设施）等关键领域。采用数字化采集工具进行现场拍照、定位标注与现状记录，形成覆盖全部体检单元、可追溯的实地踏勘原始台账。</w:t>
      </w:r>
    </w:p>
    <w:p w14:paraId="54E9146B">
      <w:pPr>
        <w:widowControl/>
        <w:spacing w:line="480" w:lineRule="exact"/>
        <w:ind w:firstLine="480" w:firstLineChars="200"/>
        <w:jc w:val="left"/>
        <w:rPr>
          <w:rFonts w:ascii="宋体" w:hAnsi="宋体" w:cs="宋体"/>
          <w:sz w:val="24"/>
        </w:rPr>
      </w:pPr>
      <w:r>
        <w:rPr>
          <w:rFonts w:hint="eastAsia" w:ascii="宋体" w:hAnsi="宋体" w:cs="宋体"/>
          <w:sz w:val="24"/>
        </w:rPr>
        <w:t>3.1.3 居民满意度专项调研：搭建线上问卷、线下入户走访、社区座谈等多渠道民意调查机制。科学设定样本量与抽样方案，确保覆盖不同社区类型、不同收入群体、不同年龄段居民。重点收集群众在住房质量、小区配套、养老托育、停车充电、环境卫生、内涝积水等方面的居住诉求与短板反馈，形成民意调研分析报告。</w:t>
      </w:r>
    </w:p>
    <w:p w14:paraId="35ECE112">
      <w:pPr>
        <w:widowControl/>
        <w:spacing w:line="480" w:lineRule="exact"/>
        <w:ind w:firstLine="480" w:firstLineChars="200"/>
        <w:jc w:val="left"/>
        <w:rPr>
          <w:rFonts w:ascii="宋体" w:hAnsi="宋体" w:cs="宋体"/>
          <w:sz w:val="24"/>
        </w:rPr>
      </w:pPr>
      <w:r>
        <w:rPr>
          <w:rFonts w:hint="eastAsia" w:ascii="宋体" w:hAnsi="宋体" w:cs="宋体"/>
          <w:sz w:val="24"/>
        </w:rPr>
        <w:t>3.1.4 大数据补充采集：整合城市运行互联网数据（如交通流量、POI设施分布）、最新遥感影像、空间地理信息数据，补充完善现状底图与指标基础素材。鼓励运用卫星遥感、CIM平台等多源数据赋能体检工作。</w:t>
      </w:r>
    </w:p>
    <w:p w14:paraId="03023B49">
      <w:pPr>
        <w:widowControl/>
        <w:spacing w:line="480" w:lineRule="exact"/>
        <w:ind w:firstLine="480" w:firstLineChars="200"/>
        <w:jc w:val="left"/>
        <w:rPr>
          <w:rFonts w:ascii="宋体" w:hAnsi="宋体" w:cs="宋体"/>
          <w:sz w:val="24"/>
        </w:rPr>
      </w:pPr>
      <w:r>
        <w:rPr>
          <w:rFonts w:hint="eastAsia" w:ascii="宋体" w:hAnsi="宋体" w:cs="宋体"/>
          <w:sz w:val="24"/>
        </w:rPr>
        <w:t>3.2 四维指标测算、城市综合诊断与问题梳理</w:t>
      </w:r>
    </w:p>
    <w:p w14:paraId="36469B63">
      <w:pPr>
        <w:widowControl/>
        <w:spacing w:line="480" w:lineRule="exact"/>
        <w:ind w:firstLine="480" w:firstLineChars="200"/>
        <w:jc w:val="left"/>
        <w:rPr>
          <w:rFonts w:ascii="宋体" w:hAnsi="宋体" w:cs="宋体"/>
          <w:sz w:val="24"/>
        </w:rPr>
      </w:pPr>
      <w:r>
        <w:rPr>
          <w:rFonts w:hint="eastAsia" w:ascii="宋体" w:hAnsi="宋体" w:cs="宋体"/>
          <w:sz w:val="24"/>
        </w:rPr>
        <w:t>3.2.1 指标体系核算：严格执行住建部《2026年城市体检基础指标体系》确定的国家基础指标，落实河南省省级特色指标，结合灵宝市本地实际增设地方特色指标，构建“国家基础指标+省级特色指标+地方特色指标”三层指标体系。逐项完成指标数据测算、横向对标（与同类型城市比较）、纵向趋势分析（与历年数据比较）。</w:t>
      </w:r>
    </w:p>
    <w:p w14:paraId="518D8BBC">
      <w:pPr>
        <w:widowControl/>
        <w:spacing w:line="480" w:lineRule="exact"/>
        <w:ind w:firstLine="480" w:firstLineChars="200"/>
        <w:jc w:val="left"/>
        <w:rPr>
          <w:rFonts w:ascii="宋体" w:hAnsi="宋体" w:cs="宋体"/>
          <w:sz w:val="24"/>
        </w:rPr>
      </w:pPr>
      <w:r>
        <w:rPr>
          <w:rFonts w:hint="eastAsia" w:ascii="宋体" w:hAnsi="宋体" w:cs="宋体"/>
          <w:sz w:val="24"/>
        </w:rPr>
        <w:t>3.2.2 多维度城市健康诊断：围绕住房、小区（社区）、街区、城区（城市）四个维度开展全覆盖体检诊断。重点诊断以下群众急难愁盼问题：住房维度（房屋结构安全、管线管道老化、建筑节能、入户水质等）、小区维度（养老设施、托育设施、停车泊位、充电设施、垃圾分类、物业管理等）、街区维度（中学布点、体育场地、老旧街区整治、市容秩序等）、城区维度（生态宜居、安全韧性、历史文化保护、产城融合、智慧高效等）。</w:t>
      </w:r>
    </w:p>
    <w:p w14:paraId="7B89C1A2">
      <w:pPr>
        <w:widowControl/>
        <w:spacing w:line="480" w:lineRule="exact"/>
        <w:ind w:firstLine="480" w:firstLineChars="200"/>
        <w:jc w:val="left"/>
        <w:rPr>
          <w:rFonts w:ascii="宋体" w:hAnsi="宋体" w:cs="宋体"/>
          <w:sz w:val="24"/>
        </w:rPr>
      </w:pPr>
      <w:r>
        <w:rPr>
          <w:rFonts w:hint="eastAsia" w:ascii="宋体" w:hAnsi="宋体" w:cs="宋体"/>
          <w:sz w:val="24"/>
        </w:rPr>
        <w:t>3.2.3 建立清单管控并空间落图：系统梳理城市突出短板与风险隐患，形成城市问题清单、整治建议清单。各类清单具备空间落图条件的全部上图标注，精准标注点位坐标、划定所属片区，构建“一图总览全域现状、一表明晰问题短板”的成果体系。</w:t>
      </w:r>
    </w:p>
    <w:p w14:paraId="50758C7A">
      <w:pPr>
        <w:widowControl/>
        <w:spacing w:line="480" w:lineRule="exact"/>
        <w:ind w:firstLine="480" w:firstLineChars="200"/>
        <w:jc w:val="left"/>
        <w:rPr>
          <w:rFonts w:ascii="宋体" w:hAnsi="宋体" w:cs="宋体"/>
          <w:sz w:val="24"/>
        </w:rPr>
      </w:pPr>
      <w:r>
        <w:rPr>
          <w:rFonts w:hint="eastAsia" w:ascii="宋体" w:hAnsi="宋体" w:cs="宋体"/>
          <w:sz w:val="24"/>
        </w:rPr>
        <w:t>3.3 全套体检成果编制、专项材料及更新项目库搭建</w:t>
      </w:r>
    </w:p>
    <w:p w14:paraId="75CFF628">
      <w:pPr>
        <w:widowControl/>
        <w:spacing w:line="480" w:lineRule="exact"/>
        <w:ind w:firstLine="480" w:firstLineChars="200"/>
        <w:jc w:val="left"/>
        <w:rPr>
          <w:rFonts w:ascii="宋体" w:hAnsi="宋体" w:cs="宋体"/>
          <w:sz w:val="24"/>
        </w:rPr>
      </w:pPr>
      <w:r>
        <w:rPr>
          <w:rFonts w:hint="eastAsia" w:ascii="宋体" w:hAnsi="宋体" w:cs="宋体"/>
          <w:sz w:val="24"/>
        </w:rPr>
        <w:t>3.3.1 主报告</w:t>
      </w:r>
    </w:p>
    <w:p w14:paraId="220181D9">
      <w:pPr>
        <w:widowControl/>
        <w:spacing w:line="480" w:lineRule="exact"/>
        <w:ind w:firstLine="480" w:firstLineChars="200"/>
        <w:jc w:val="left"/>
        <w:rPr>
          <w:rFonts w:ascii="宋体" w:hAnsi="宋体" w:cs="宋体"/>
          <w:sz w:val="24"/>
          <w:highlight w:val="yellow"/>
        </w:rPr>
      </w:pPr>
      <w:r>
        <w:rPr>
          <w:rFonts w:hint="eastAsia" w:ascii="宋体" w:hAnsi="宋体" w:cs="宋体"/>
          <w:sz w:val="24"/>
        </w:rPr>
        <w:t>《灵宝市2026年度城市体检总报告》，包含住房维度、小区（社区）维度、街区维度、城区（城市）维度分维度分析评价、整治对策与行动建议等内容等内容；</w:t>
      </w:r>
    </w:p>
    <w:p w14:paraId="043D00E5">
      <w:pPr>
        <w:widowControl/>
        <w:spacing w:line="480" w:lineRule="exact"/>
        <w:ind w:firstLine="480" w:firstLineChars="200"/>
        <w:jc w:val="left"/>
        <w:rPr>
          <w:rFonts w:ascii="宋体" w:hAnsi="宋体" w:cs="宋体"/>
          <w:sz w:val="24"/>
        </w:rPr>
      </w:pPr>
      <w:r>
        <w:rPr>
          <w:rFonts w:hint="eastAsia" w:ascii="宋体" w:hAnsi="宋体" w:cs="宋体"/>
          <w:sz w:val="24"/>
        </w:rPr>
        <w:t>3.3.2 配套图集与台账：编制城市体检现状分析图、四维问题空间分布图、建立指标数据库、问题整治台账、点位矢量图纸。</w:t>
      </w:r>
    </w:p>
    <w:p w14:paraId="7D50D6C7">
      <w:pPr>
        <w:widowControl/>
        <w:spacing w:line="480" w:lineRule="exact"/>
        <w:ind w:firstLine="480" w:firstLineChars="200"/>
        <w:jc w:val="left"/>
        <w:rPr>
          <w:rFonts w:ascii="宋体" w:hAnsi="宋体" w:cs="宋体"/>
          <w:sz w:val="24"/>
        </w:rPr>
      </w:pPr>
      <w:r>
        <w:rPr>
          <w:rFonts w:hint="eastAsia" w:ascii="宋体" w:hAnsi="宋体" w:cs="宋体"/>
          <w:sz w:val="24"/>
        </w:rPr>
        <w:t>3.3.3 城市更新储备项目库： 结合体检诊断成果，围绕老旧小区改造、市政管网更新、完整社区建设、停车设施补短板、养老托育设施完善等领域，谋划城市更新储备项目。每个项目须明确：项目位置、建设内容、实施时序、整治路径与责任主体建议。坚持“先体检后更新、无体检不更新”原则，实现体检发现问题精准转化为更新“具体药方”和储备项目。</w:t>
      </w:r>
    </w:p>
    <w:p w14:paraId="31F950B3">
      <w:pPr>
        <w:widowControl/>
        <w:spacing w:line="480" w:lineRule="exact"/>
        <w:ind w:firstLine="480" w:firstLineChars="200"/>
        <w:jc w:val="left"/>
        <w:rPr>
          <w:rFonts w:ascii="宋体" w:hAnsi="宋体" w:cs="宋体"/>
          <w:sz w:val="24"/>
        </w:rPr>
      </w:pPr>
      <w:r>
        <w:rPr>
          <w:rFonts w:hint="eastAsia" w:ascii="宋体" w:hAnsi="宋体" w:cs="宋体"/>
          <w:sz w:val="24"/>
        </w:rPr>
        <w:t>3.3.4 成果衔接要求： 全部成果须对标本市国土空间总体规划、三区三线、控制性详细规划。矢量GIS成果坐标系须与本市国土空间规划坐标系保持一致，满足自然资源、住建部门入库使用要求。</w:t>
      </w:r>
    </w:p>
    <w:p w14:paraId="1DBBB701">
      <w:pPr>
        <w:widowControl/>
        <w:spacing w:line="480" w:lineRule="exact"/>
        <w:ind w:firstLine="480" w:firstLineChars="200"/>
        <w:jc w:val="left"/>
        <w:rPr>
          <w:rFonts w:ascii="宋体" w:hAnsi="宋体" w:cs="宋体"/>
          <w:sz w:val="24"/>
        </w:rPr>
      </w:pPr>
      <w:r>
        <w:rPr>
          <w:rFonts w:hint="eastAsia" w:ascii="宋体" w:hAnsi="宋体" w:cs="宋体"/>
          <w:sz w:val="24"/>
        </w:rPr>
        <w:t>3.4 各级评审对接、成果修改完善及平台填报</w:t>
      </w:r>
    </w:p>
    <w:p w14:paraId="174C7874">
      <w:pPr>
        <w:widowControl/>
        <w:spacing w:line="480" w:lineRule="exact"/>
        <w:ind w:firstLine="480" w:firstLineChars="200"/>
        <w:jc w:val="left"/>
        <w:rPr>
          <w:rFonts w:ascii="宋体" w:hAnsi="宋体" w:cs="宋体"/>
          <w:sz w:val="24"/>
        </w:rPr>
      </w:pPr>
      <w:r>
        <w:rPr>
          <w:rFonts w:hint="eastAsia" w:ascii="宋体" w:hAnsi="宋体" w:cs="宋体"/>
          <w:sz w:val="24"/>
        </w:rPr>
        <w:t>3.4.1 全程评审配合： 全程配合市级内部评审、省级住建主管部门专家评审。筹备评审汇报材料、PPT演示文稿，安排专业人员全程参会汇报、答疑。</w:t>
      </w:r>
    </w:p>
    <w:p w14:paraId="48BDF396">
      <w:pPr>
        <w:widowControl/>
        <w:spacing w:line="480" w:lineRule="exact"/>
        <w:ind w:firstLine="480" w:firstLineChars="200"/>
        <w:jc w:val="left"/>
        <w:rPr>
          <w:rFonts w:ascii="宋体" w:hAnsi="宋体" w:cs="宋体"/>
          <w:sz w:val="24"/>
        </w:rPr>
      </w:pPr>
      <w:r>
        <w:rPr>
          <w:rFonts w:hint="eastAsia" w:ascii="宋体" w:hAnsi="宋体" w:cs="宋体"/>
          <w:sz w:val="24"/>
        </w:rPr>
        <w:t>3.4.2 成果修改完善： 根据评审意见、部门反馈意见，对全部文本、图纸、台账成果进行修改完善。修改范围限于因评审意见、部门反馈意见、政策调整等客观原因导致的合理修改；因甲方新增需求或范围变更导致的修改，双方另行协商。</w:t>
      </w:r>
    </w:p>
    <w:p w14:paraId="0B251803">
      <w:pPr>
        <w:widowControl/>
        <w:spacing w:line="480" w:lineRule="exact"/>
        <w:ind w:firstLine="480" w:firstLineChars="200"/>
        <w:jc w:val="left"/>
        <w:rPr>
          <w:rFonts w:ascii="宋体" w:hAnsi="宋体" w:cs="宋体"/>
          <w:sz w:val="24"/>
        </w:rPr>
      </w:pPr>
      <w:r>
        <w:rPr>
          <w:rFonts w:hint="eastAsia" w:ascii="宋体" w:hAnsi="宋体" w:cs="宋体"/>
          <w:sz w:val="24"/>
        </w:rPr>
        <w:t>3.4.3 平台填报与核验：负责全国城市体检信息平台全部指标录入、数据校核、成果线上报送，确保平台填报完整并通过省级核验。</w:t>
      </w:r>
    </w:p>
    <w:p w14:paraId="68B8C6D7">
      <w:pPr>
        <w:widowControl/>
        <w:spacing w:line="480" w:lineRule="exact"/>
        <w:ind w:firstLine="480" w:firstLineChars="200"/>
        <w:jc w:val="left"/>
        <w:rPr>
          <w:rFonts w:ascii="宋体" w:hAnsi="宋体" w:cs="宋体"/>
          <w:sz w:val="24"/>
        </w:rPr>
      </w:pPr>
      <w:r>
        <w:rPr>
          <w:rFonts w:hint="eastAsia" w:ascii="宋体" w:hAnsi="宋体" w:cs="宋体"/>
          <w:sz w:val="24"/>
        </w:rPr>
        <w:t>3.5 成果标准化归档与全套资料移交</w:t>
      </w:r>
    </w:p>
    <w:p w14:paraId="7485BF9E">
      <w:pPr>
        <w:widowControl/>
        <w:spacing w:line="480" w:lineRule="exact"/>
        <w:ind w:firstLine="480" w:firstLineChars="200"/>
        <w:jc w:val="left"/>
        <w:rPr>
          <w:rFonts w:ascii="宋体" w:hAnsi="宋体" w:cs="宋体"/>
          <w:sz w:val="24"/>
        </w:rPr>
      </w:pPr>
      <w:r>
        <w:rPr>
          <w:rFonts w:hint="eastAsia" w:ascii="宋体" w:hAnsi="宋体" w:cs="宋体"/>
          <w:sz w:val="24"/>
        </w:rPr>
        <w:t>3.5.1 纸质成果：彩色精装总报告、体检相关图集及台账全套，各____套（不少于4套）。</w:t>
      </w:r>
    </w:p>
    <w:p w14:paraId="03639E32">
      <w:pPr>
        <w:widowControl/>
        <w:spacing w:line="480" w:lineRule="exact"/>
        <w:ind w:firstLine="480" w:firstLineChars="200"/>
        <w:jc w:val="left"/>
        <w:rPr>
          <w:rFonts w:ascii="宋体" w:hAnsi="宋体" w:cs="宋体"/>
          <w:sz w:val="24"/>
        </w:rPr>
      </w:pPr>
      <w:r>
        <w:rPr>
          <w:rFonts w:hint="eastAsia" w:ascii="宋体" w:hAnsi="宋体" w:cs="宋体"/>
          <w:sz w:val="24"/>
        </w:rPr>
        <w:t>3.5.2 电子成果：全部可编辑文档（Word、Excel、PPT）、矢量GIS底图（Shapefile/GeoDatabase格式）、原始调研素材（照片、问卷数据、访谈记录）、数据库、影像资料，以U盘/光盘形式完整移交。</w:t>
      </w:r>
    </w:p>
    <w:p w14:paraId="31ABDA00">
      <w:pPr>
        <w:widowControl/>
        <w:spacing w:line="480" w:lineRule="exact"/>
        <w:ind w:firstLine="480" w:firstLineChars="200"/>
        <w:jc w:val="left"/>
        <w:rPr>
          <w:rFonts w:ascii="宋体" w:hAnsi="宋体" w:cs="宋体"/>
          <w:sz w:val="24"/>
        </w:rPr>
      </w:pPr>
      <w:r>
        <w:rPr>
          <w:rFonts w:hint="eastAsia" w:ascii="宋体" w:hAnsi="宋体" w:cs="宋体"/>
          <w:sz w:val="24"/>
        </w:rPr>
        <w:t>3.5.3 归档要求：建立完整成果档案目录，完成数字化归档。全部资料所有权归甲方所有。</w:t>
      </w:r>
    </w:p>
    <w:p w14:paraId="6EE3CDFD">
      <w:pPr>
        <w:widowControl/>
        <w:spacing w:line="480" w:lineRule="exact"/>
        <w:ind w:firstLine="480" w:firstLineChars="200"/>
        <w:jc w:val="left"/>
        <w:rPr>
          <w:rFonts w:ascii="宋体" w:hAnsi="宋体" w:cs="宋体"/>
          <w:sz w:val="24"/>
        </w:rPr>
      </w:pPr>
      <w:r>
        <w:rPr>
          <w:rFonts w:hint="eastAsia" w:ascii="宋体" w:hAnsi="宋体" w:cs="宋体"/>
          <w:sz w:val="24"/>
        </w:rPr>
        <w:t>3.6 成果通过评审后长效技术支撑</w:t>
      </w:r>
    </w:p>
    <w:p w14:paraId="35A9ECF0">
      <w:pPr>
        <w:widowControl/>
        <w:spacing w:line="480" w:lineRule="exact"/>
        <w:ind w:firstLine="480" w:firstLineChars="200"/>
        <w:jc w:val="left"/>
        <w:rPr>
          <w:rFonts w:ascii="宋体" w:hAnsi="宋体" w:cs="宋体"/>
          <w:sz w:val="24"/>
        </w:rPr>
      </w:pPr>
      <w:r>
        <w:rPr>
          <w:rFonts w:hint="eastAsia" w:ascii="宋体" w:hAnsi="宋体" w:cs="宋体"/>
          <w:sz w:val="24"/>
        </w:rPr>
        <w:t>全套成果通过省级评审、档案移交完毕后，提供不少于____个月（不少于3个月）免费配套技术服务，具体包括：</w:t>
      </w:r>
    </w:p>
    <w:p w14:paraId="1A528554">
      <w:pPr>
        <w:widowControl/>
        <w:spacing w:line="480" w:lineRule="exact"/>
        <w:ind w:firstLine="480" w:firstLineChars="200"/>
        <w:jc w:val="left"/>
        <w:rPr>
          <w:rFonts w:ascii="宋体" w:hAnsi="宋体" w:cs="宋体"/>
          <w:sz w:val="24"/>
        </w:rPr>
      </w:pPr>
      <w:r>
        <w:rPr>
          <w:rFonts w:hint="eastAsia" w:ascii="宋体" w:hAnsi="宋体" w:cs="宋体"/>
          <w:sz w:val="24"/>
        </w:rPr>
        <w:t>3.6.1 服务内容： 上级住建部门督导复核配合、现场核查配合、年度考核汇报配合、数据校核与更新、材料补充完善、技术答疑等。</w:t>
      </w:r>
    </w:p>
    <w:p w14:paraId="2513483E">
      <w:pPr>
        <w:widowControl/>
        <w:spacing w:line="480" w:lineRule="exact"/>
        <w:ind w:firstLine="480" w:firstLineChars="200"/>
        <w:jc w:val="left"/>
        <w:rPr>
          <w:rFonts w:ascii="宋体" w:hAnsi="宋体" w:cs="宋体"/>
          <w:sz w:val="24"/>
        </w:rPr>
      </w:pPr>
      <w:r>
        <w:rPr>
          <w:rFonts w:hint="eastAsia" w:ascii="宋体" w:hAnsi="宋体" w:cs="宋体"/>
          <w:sz w:val="24"/>
        </w:rPr>
        <w:t>3.6.2 服务范围：服务期内与本年度城市体检成果相关的督导、迎检、复核工作（不含新增体检任务或范围外新增工作）。</w:t>
      </w:r>
    </w:p>
    <w:p w14:paraId="248DD9B2">
      <w:pPr>
        <w:widowControl/>
        <w:spacing w:line="480" w:lineRule="exact"/>
        <w:ind w:firstLine="480" w:firstLineChars="200"/>
        <w:jc w:val="left"/>
        <w:rPr>
          <w:rFonts w:ascii="宋体" w:hAnsi="宋体" w:cs="宋体"/>
          <w:sz w:val="24"/>
        </w:rPr>
      </w:pPr>
      <w:r>
        <w:rPr>
          <w:rFonts w:hint="eastAsia" w:ascii="宋体" w:hAnsi="宋体" w:cs="宋体"/>
          <w:sz w:val="24"/>
        </w:rPr>
        <w:t>3.6.3 响应要求：乙方应在收到甲方通知后24小时内响应，并根据工作需要及时派员到场配合。</w:t>
      </w:r>
    </w:p>
    <w:p w14:paraId="47D10BFE">
      <w:pPr>
        <w:widowControl/>
        <w:spacing w:line="480" w:lineRule="exact"/>
        <w:ind w:firstLine="480" w:firstLineChars="200"/>
        <w:jc w:val="left"/>
        <w:rPr>
          <w:rFonts w:ascii="宋体" w:hAnsi="宋体" w:cs="宋体"/>
          <w:sz w:val="24"/>
        </w:rPr>
      </w:pPr>
      <w:r>
        <w:rPr>
          <w:rFonts w:hint="eastAsia" w:ascii="宋体" w:hAnsi="宋体" w:cs="宋体"/>
          <w:sz w:val="24"/>
        </w:rPr>
        <w:t>3.6.4 服务期满衔接：服务期满后，如仍有上级检查、数据校核等延续性工作需要，双方可协商以合理费用延续服务或另行签订补充协议。</w:t>
      </w:r>
    </w:p>
    <w:p w14:paraId="1C25BA44">
      <w:pPr>
        <w:widowControl/>
        <w:spacing w:line="480" w:lineRule="exact"/>
        <w:ind w:firstLine="480" w:firstLineChars="200"/>
        <w:jc w:val="center"/>
        <w:rPr>
          <w:rFonts w:ascii="宋体" w:hAnsi="宋体" w:cs="宋体"/>
          <w:sz w:val="24"/>
        </w:rPr>
      </w:pPr>
      <w:r>
        <w:rPr>
          <w:rFonts w:hint="eastAsia" w:ascii="宋体" w:hAnsi="宋体" w:cs="宋体"/>
          <w:sz w:val="24"/>
        </w:rPr>
        <w:t>第四条 履行期限、地点和方式</w:t>
      </w:r>
    </w:p>
    <w:p w14:paraId="5362072C">
      <w:pPr>
        <w:widowControl/>
        <w:spacing w:line="480" w:lineRule="exact"/>
        <w:ind w:firstLine="480" w:firstLineChars="200"/>
        <w:jc w:val="left"/>
        <w:rPr>
          <w:rFonts w:ascii="宋体" w:hAnsi="宋体" w:cs="宋体"/>
          <w:sz w:val="24"/>
        </w:rPr>
      </w:pPr>
      <w:r>
        <w:rPr>
          <w:rFonts w:hint="eastAsia" w:ascii="宋体" w:hAnsi="宋体" w:cs="宋体"/>
          <w:sz w:val="24"/>
        </w:rPr>
        <w:t>4.1 履行期限： 自合同签订之日起至________年____月____日止（共计____日历天）。</w:t>
      </w:r>
    </w:p>
    <w:p w14:paraId="290D837D">
      <w:pPr>
        <w:widowControl/>
        <w:spacing w:line="480" w:lineRule="exact"/>
        <w:ind w:firstLine="480" w:firstLineChars="200"/>
        <w:jc w:val="left"/>
        <w:rPr>
          <w:rFonts w:ascii="宋体" w:hAnsi="宋体" w:cs="宋体"/>
          <w:sz w:val="24"/>
        </w:rPr>
      </w:pPr>
      <w:r>
        <w:rPr>
          <w:rFonts w:hint="eastAsia" w:ascii="宋体" w:hAnsi="宋体" w:cs="宋体"/>
          <w:sz w:val="24"/>
        </w:rPr>
        <w:t>4.2 工作进度安排：</w:t>
      </w:r>
    </w:p>
    <w:p w14:paraId="33FBC65A">
      <w:pPr>
        <w:widowControl/>
        <w:spacing w:line="480" w:lineRule="exact"/>
        <w:ind w:firstLine="480" w:firstLineChars="200"/>
        <w:jc w:val="left"/>
        <w:rPr>
          <w:rFonts w:ascii="宋体" w:hAnsi="宋体" w:cs="宋体"/>
          <w:sz w:val="24"/>
        </w:rPr>
      </w:pPr>
      <w:r>
        <w:rPr>
          <w:rFonts w:hint="eastAsia" w:ascii="宋体" w:hAnsi="宋体" w:cs="宋体"/>
          <w:sz w:val="24"/>
        </w:rPr>
        <w:t>4.3 履行地点：三门峡市（含必要的异地评审、汇报等出差地点）。</w:t>
      </w:r>
    </w:p>
    <w:p w14:paraId="7B1A47ED">
      <w:pPr>
        <w:widowControl/>
        <w:spacing w:line="480" w:lineRule="exact"/>
        <w:ind w:firstLine="480" w:firstLineChars="200"/>
        <w:jc w:val="left"/>
        <w:rPr>
          <w:rFonts w:ascii="宋体" w:hAnsi="宋体" w:cs="宋体"/>
          <w:sz w:val="24"/>
        </w:rPr>
      </w:pPr>
      <w:r>
        <w:rPr>
          <w:rFonts w:hint="eastAsia" w:ascii="宋体" w:hAnsi="宋体" w:cs="宋体"/>
          <w:sz w:val="24"/>
        </w:rPr>
        <w:t>4.4 履行方式：乙方按合同约定完成全部技术服务内容，提交符合要求的成果文件。</w:t>
      </w:r>
    </w:p>
    <w:p w14:paraId="3A3DCA2B">
      <w:pPr>
        <w:widowControl/>
        <w:spacing w:line="480" w:lineRule="exact"/>
        <w:ind w:firstLine="480" w:firstLineChars="200"/>
        <w:jc w:val="center"/>
        <w:rPr>
          <w:rFonts w:ascii="宋体" w:hAnsi="宋体" w:cs="宋体"/>
          <w:sz w:val="24"/>
        </w:rPr>
      </w:pPr>
      <w:r>
        <w:rPr>
          <w:rFonts w:hint="eastAsia" w:ascii="宋体" w:hAnsi="宋体" w:cs="宋体"/>
          <w:sz w:val="24"/>
        </w:rPr>
        <w:t>第五条 双方权利和义务</w:t>
      </w:r>
    </w:p>
    <w:p w14:paraId="66BC6402">
      <w:pPr>
        <w:widowControl/>
        <w:spacing w:line="480" w:lineRule="exact"/>
        <w:ind w:firstLine="480" w:firstLineChars="200"/>
        <w:jc w:val="left"/>
        <w:rPr>
          <w:rFonts w:ascii="宋体" w:hAnsi="宋体" w:cs="宋体"/>
          <w:sz w:val="24"/>
        </w:rPr>
      </w:pPr>
      <w:r>
        <w:rPr>
          <w:rFonts w:hint="eastAsia" w:ascii="宋体" w:hAnsi="宋体" w:cs="宋体"/>
          <w:sz w:val="24"/>
        </w:rPr>
        <w:t>5.1 甲方权利和义务</w:t>
      </w:r>
    </w:p>
    <w:p w14:paraId="4D9EBD6C">
      <w:pPr>
        <w:widowControl/>
        <w:spacing w:line="480" w:lineRule="exact"/>
        <w:ind w:firstLine="480" w:firstLineChars="200"/>
        <w:jc w:val="left"/>
        <w:rPr>
          <w:rFonts w:ascii="宋体" w:hAnsi="宋体" w:cs="宋体"/>
          <w:sz w:val="24"/>
        </w:rPr>
      </w:pPr>
      <w:r>
        <w:rPr>
          <w:rFonts w:hint="eastAsia" w:ascii="宋体" w:hAnsi="宋体" w:cs="宋体"/>
          <w:sz w:val="24"/>
        </w:rPr>
        <w:t>5.1.1 甲方应在本合同签订后____日内向乙方提供技术服务所需的基础资料及文件，包括但不限于国土空间规划、市政设施台账、人口数据等相关资料，并对所提供资料的完整性、正确性负责。</w:t>
      </w:r>
    </w:p>
    <w:p w14:paraId="5CC3F6C0">
      <w:pPr>
        <w:widowControl/>
        <w:spacing w:line="480" w:lineRule="exact"/>
        <w:ind w:firstLine="480" w:firstLineChars="200"/>
        <w:jc w:val="left"/>
        <w:rPr>
          <w:rFonts w:ascii="宋体" w:hAnsi="宋体" w:cs="宋体"/>
          <w:sz w:val="24"/>
        </w:rPr>
      </w:pPr>
      <w:r>
        <w:rPr>
          <w:rFonts w:hint="eastAsia" w:ascii="宋体" w:hAnsi="宋体" w:cs="宋体"/>
          <w:sz w:val="24"/>
        </w:rPr>
        <w:t>5.1.2 甲方应为乙方现场调研工作提供必要的工作条件，包括协助乙方协调其他部门关系、配合现场走访等。</w:t>
      </w:r>
    </w:p>
    <w:p w14:paraId="13AE1BDB">
      <w:pPr>
        <w:widowControl/>
        <w:spacing w:line="480" w:lineRule="exact"/>
        <w:ind w:firstLine="480" w:firstLineChars="200"/>
        <w:jc w:val="left"/>
        <w:rPr>
          <w:rFonts w:ascii="宋体" w:hAnsi="宋体" w:cs="宋体"/>
          <w:sz w:val="24"/>
        </w:rPr>
      </w:pPr>
      <w:r>
        <w:rPr>
          <w:rFonts w:hint="eastAsia" w:ascii="宋体" w:hAnsi="宋体" w:cs="宋体"/>
          <w:sz w:val="24"/>
        </w:rPr>
        <w:t>5.1.3 甲方不得要求乙方违反国家和地方的法律法规及相关技术标准、规范、规定等进行技术服务工作。</w:t>
      </w:r>
    </w:p>
    <w:p w14:paraId="37BCDFB7">
      <w:pPr>
        <w:widowControl/>
        <w:spacing w:line="480" w:lineRule="exact"/>
        <w:ind w:firstLine="480" w:firstLineChars="200"/>
        <w:jc w:val="left"/>
        <w:rPr>
          <w:rFonts w:ascii="宋体" w:hAnsi="宋体" w:cs="宋体"/>
          <w:sz w:val="24"/>
        </w:rPr>
      </w:pPr>
      <w:r>
        <w:rPr>
          <w:rFonts w:hint="eastAsia" w:ascii="宋体" w:hAnsi="宋体" w:cs="宋体"/>
          <w:sz w:val="24"/>
        </w:rPr>
        <w:t>5.1.4 甲方应按照本合同第七条约定的付款方式、付款时间及金额向乙方支付技术服务费。</w:t>
      </w:r>
    </w:p>
    <w:p w14:paraId="698774B2">
      <w:pPr>
        <w:widowControl/>
        <w:spacing w:line="480" w:lineRule="exact"/>
        <w:ind w:firstLine="480" w:firstLineChars="200"/>
        <w:jc w:val="left"/>
        <w:rPr>
          <w:rFonts w:ascii="宋体" w:hAnsi="宋体" w:cs="宋体"/>
          <w:sz w:val="24"/>
        </w:rPr>
      </w:pPr>
      <w:r>
        <w:rPr>
          <w:rFonts w:hint="eastAsia" w:ascii="宋体" w:hAnsi="宋体" w:cs="宋体"/>
          <w:sz w:val="24"/>
        </w:rPr>
        <w:t>5.1.5 甲方享有全部成果文件的所有权及知识产权。</w:t>
      </w:r>
    </w:p>
    <w:p w14:paraId="62576D27">
      <w:pPr>
        <w:widowControl/>
        <w:spacing w:line="480" w:lineRule="exact"/>
        <w:ind w:firstLine="480" w:firstLineChars="200"/>
        <w:jc w:val="left"/>
        <w:rPr>
          <w:rFonts w:ascii="宋体" w:hAnsi="宋体" w:cs="宋体"/>
          <w:sz w:val="24"/>
        </w:rPr>
      </w:pPr>
      <w:r>
        <w:rPr>
          <w:rFonts w:hint="eastAsia" w:ascii="宋体" w:hAnsi="宋体" w:cs="宋体"/>
          <w:sz w:val="24"/>
        </w:rPr>
        <w:t>5.1.6 甲方负责组织初步方案论证、评审、技术审查，组织协调相应规划行政主管部门审查，并及时将评审意见反馈乙方。</w:t>
      </w:r>
    </w:p>
    <w:p w14:paraId="6129A1F1">
      <w:pPr>
        <w:widowControl/>
        <w:spacing w:line="480" w:lineRule="exact"/>
        <w:ind w:firstLine="480" w:firstLineChars="200"/>
        <w:jc w:val="left"/>
        <w:rPr>
          <w:rFonts w:ascii="宋体" w:hAnsi="宋体" w:cs="宋体"/>
          <w:sz w:val="24"/>
        </w:rPr>
      </w:pPr>
      <w:r>
        <w:rPr>
          <w:rFonts w:hint="eastAsia" w:ascii="宋体" w:hAnsi="宋体" w:cs="宋体"/>
          <w:sz w:val="24"/>
        </w:rPr>
        <w:t>5.1.7 甲方提交有关基础资料超过约定期限____天以上时，甲乙双方应重新协商确定成果交付时间。</w:t>
      </w:r>
    </w:p>
    <w:p w14:paraId="45FE8E19">
      <w:pPr>
        <w:widowControl/>
        <w:spacing w:line="480" w:lineRule="exact"/>
        <w:ind w:firstLine="480" w:firstLineChars="200"/>
        <w:jc w:val="left"/>
        <w:rPr>
          <w:rFonts w:ascii="宋体" w:hAnsi="宋体" w:cs="宋体"/>
          <w:sz w:val="24"/>
        </w:rPr>
      </w:pPr>
      <w:r>
        <w:rPr>
          <w:rFonts w:hint="eastAsia" w:ascii="宋体" w:hAnsi="宋体" w:cs="宋体"/>
          <w:sz w:val="24"/>
        </w:rPr>
        <w:t>5.1.8 甲方变更委托服务内容、规模或因提交的基础资料错误、作较大修改，以致造成乙方需返工时，双方应另行协商签订补充协议，甲方应按乙方所耗工作量向乙方增付服务费。</w:t>
      </w:r>
    </w:p>
    <w:p w14:paraId="5C2260B1">
      <w:pPr>
        <w:widowControl/>
        <w:spacing w:line="480" w:lineRule="exact"/>
        <w:ind w:firstLine="480" w:firstLineChars="200"/>
        <w:jc w:val="left"/>
        <w:rPr>
          <w:rFonts w:ascii="宋体" w:hAnsi="宋体" w:cs="宋体"/>
          <w:sz w:val="24"/>
        </w:rPr>
      </w:pPr>
      <w:r>
        <w:rPr>
          <w:rFonts w:hint="eastAsia" w:ascii="宋体" w:hAnsi="宋体" w:cs="宋体"/>
          <w:sz w:val="24"/>
        </w:rPr>
        <w:t>5.2 乙方权利和义务</w:t>
      </w:r>
    </w:p>
    <w:p w14:paraId="266D28DC">
      <w:pPr>
        <w:widowControl/>
        <w:spacing w:line="480" w:lineRule="exact"/>
        <w:ind w:firstLine="480" w:firstLineChars="200"/>
        <w:jc w:val="left"/>
        <w:rPr>
          <w:rFonts w:ascii="宋体" w:hAnsi="宋体" w:cs="宋体"/>
          <w:sz w:val="24"/>
        </w:rPr>
      </w:pPr>
      <w:r>
        <w:rPr>
          <w:rFonts w:hint="eastAsia" w:ascii="宋体" w:hAnsi="宋体" w:cs="宋体"/>
          <w:sz w:val="24"/>
        </w:rPr>
        <w:t>5.2.1 乙方应成立经验丰富、知识扎实的技术服务项目组，明确项目负责人，负责人员调配、项目进度安排、成果质量把关等。</w:t>
      </w:r>
    </w:p>
    <w:p w14:paraId="09087445">
      <w:pPr>
        <w:widowControl/>
        <w:spacing w:line="480" w:lineRule="exact"/>
        <w:ind w:firstLine="480" w:firstLineChars="200"/>
        <w:jc w:val="left"/>
        <w:rPr>
          <w:rFonts w:ascii="宋体" w:hAnsi="宋体" w:cs="宋体"/>
          <w:sz w:val="24"/>
        </w:rPr>
      </w:pPr>
      <w:r>
        <w:rPr>
          <w:rFonts w:hint="eastAsia" w:ascii="宋体" w:hAnsi="宋体" w:cs="宋体"/>
          <w:sz w:val="24"/>
        </w:rPr>
        <w:t>5.2.2 乙方应按国家和地方法律法规及相关技术标准、规范、规定进行技术服务，根据甲方提出的技术服务内容和技术深度要求，提交符合国家、行业、地方及本合同约定标准的质量合格的技术服务成果，并对其完整性、准确性、合规性承担相关责任。</w:t>
      </w:r>
    </w:p>
    <w:p w14:paraId="24A496E1">
      <w:pPr>
        <w:widowControl/>
        <w:spacing w:line="480" w:lineRule="exact"/>
        <w:ind w:firstLine="480" w:firstLineChars="200"/>
        <w:jc w:val="left"/>
        <w:rPr>
          <w:rFonts w:ascii="宋体" w:hAnsi="宋体" w:cs="宋体"/>
          <w:sz w:val="24"/>
        </w:rPr>
      </w:pPr>
      <w:r>
        <w:rPr>
          <w:rFonts w:hint="eastAsia" w:ascii="宋体" w:hAnsi="宋体" w:cs="宋体"/>
          <w:sz w:val="24"/>
        </w:rPr>
        <w:t>5.2.3 乙方应根据合同约定按时向甲方汇报相应阶段的工作成果，并配合甲方向本项目相关政府部门进行汇报或说明。</w:t>
      </w:r>
    </w:p>
    <w:p w14:paraId="0F9AA8A4">
      <w:pPr>
        <w:widowControl/>
        <w:spacing w:line="480" w:lineRule="exact"/>
        <w:ind w:firstLine="480" w:firstLineChars="200"/>
        <w:jc w:val="left"/>
        <w:rPr>
          <w:rFonts w:ascii="宋体" w:hAnsi="宋体" w:cs="宋体"/>
          <w:sz w:val="24"/>
        </w:rPr>
      </w:pPr>
      <w:r>
        <w:rPr>
          <w:rFonts w:hint="eastAsia" w:ascii="宋体" w:hAnsi="宋体" w:cs="宋体"/>
          <w:sz w:val="24"/>
        </w:rPr>
        <w:t>5.2.4 乙方按本合同第三条和第四条规定的内容、时间及份数向甲方交付技术服务成果。</w:t>
      </w:r>
    </w:p>
    <w:p w14:paraId="23883AF6">
      <w:pPr>
        <w:widowControl/>
        <w:spacing w:line="480" w:lineRule="exact"/>
        <w:ind w:firstLine="480" w:firstLineChars="200"/>
        <w:jc w:val="left"/>
        <w:rPr>
          <w:rFonts w:ascii="宋体" w:hAnsi="宋体" w:cs="宋体"/>
          <w:sz w:val="24"/>
        </w:rPr>
      </w:pPr>
      <w:r>
        <w:rPr>
          <w:rFonts w:hint="eastAsia" w:ascii="宋体" w:hAnsi="宋体" w:cs="宋体"/>
          <w:sz w:val="24"/>
        </w:rPr>
        <w:t>5.2.5 乙方对技术服务成果出现的遗漏、错误或与实际使用不相符的部分负责修改、补充。</w:t>
      </w:r>
    </w:p>
    <w:p w14:paraId="2D5D7FC6">
      <w:pPr>
        <w:widowControl/>
        <w:spacing w:line="480" w:lineRule="exact"/>
        <w:ind w:firstLine="480" w:firstLineChars="200"/>
        <w:jc w:val="left"/>
        <w:rPr>
          <w:rFonts w:ascii="宋体" w:hAnsi="宋体" w:cs="宋体"/>
          <w:sz w:val="24"/>
        </w:rPr>
      </w:pPr>
      <w:r>
        <w:rPr>
          <w:rFonts w:hint="eastAsia" w:ascii="宋体" w:hAnsi="宋体" w:cs="宋体"/>
          <w:sz w:val="24"/>
        </w:rPr>
        <w:t>5.2.6 乙方应对甲方提供的资料和成果文件承担保密责任，未经甲方书面同意，不得将其用于本合同以外的项目，也不得向任何第三方泄露、提供或许可使用。</w:t>
      </w:r>
    </w:p>
    <w:p w14:paraId="6159F334">
      <w:pPr>
        <w:widowControl/>
        <w:spacing w:line="480" w:lineRule="exact"/>
        <w:ind w:firstLine="480" w:firstLineChars="200"/>
        <w:jc w:val="left"/>
        <w:rPr>
          <w:rFonts w:ascii="宋体" w:hAnsi="宋体" w:cs="宋体"/>
          <w:sz w:val="24"/>
        </w:rPr>
      </w:pPr>
      <w:r>
        <w:rPr>
          <w:rFonts w:hint="eastAsia" w:ascii="宋体" w:hAnsi="宋体" w:cs="宋体"/>
          <w:sz w:val="24"/>
        </w:rPr>
        <w:t>5.2.7 乙方应向甲方提供合法、有效、符合国家税收政策及甲方财务管理要求的增值税发票。</w:t>
      </w:r>
    </w:p>
    <w:p w14:paraId="796603ED">
      <w:pPr>
        <w:widowControl/>
        <w:spacing w:line="480" w:lineRule="exact"/>
        <w:ind w:firstLine="480" w:firstLineChars="200"/>
        <w:jc w:val="left"/>
        <w:rPr>
          <w:rFonts w:ascii="宋体" w:hAnsi="宋体" w:cs="宋体"/>
          <w:sz w:val="24"/>
        </w:rPr>
      </w:pPr>
      <w:r>
        <w:rPr>
          <w:rFonts w:hint="eastAsia" w:ascii="宋体" w:hAnsi="宋体" w:cs="宋体"/>
          <w:sz w:val="24"/>
        </w:rPr>
        <w:t>5.2.8 乙方提交的城市体检成果文件应通过上级有关部门审查。</w:t>
      </w:r>
    </w:p>
    <w:p w14:paraId="29528007">
      <w:pPr>
        <w:widowControl/>
        <w:spacing w:line="480" w:lineRule="exact"/>
        <w:ind w:firstLine="480" w:firstLineChars="200"/>
        <w:jc w:val="center"/>
        <w:rPr>
          <w:rFonts w:ascii="宋体" w:hAnsi="宋体" w:cs="宋体"/>
          <w:sz w:val="24"/>
        </w:rPr>
      </w:pPr>
      <w:r>
        <w:rPr>
          <w:rFonts w:hint="eastAsia" w:ascii="宋体" w:hAnsi="宋体" w:cs="宋体"/>
          <w:sz w:val="24"/>
        </w:rPr>
        <w:t>第六条 成果要求</w:t>
      </w:r>
    </w:p>
    <w:p w14:paraId="2ABE675F">
      <w:pPr>
        <w:widowControl/>
        <w:spacing w:line="480" w:lineRule="exact"/>
        <w:ind w:firstLine="480" w:firstLineChars="200"/>
        <w:jc w:val="left"/>
        <w:rPr>
          <w:rFonts w:ascii="宋体" w:hAnsi="宋体" w:cs="宋体"/>
          <w:sz w:val="24"/>
        </w:rPr>
      </w:pPr>
      <w:r>
        <w:rPr>
          <w:rFonts w:hint="eastAsia" w:ascii="宋体" w:hAnsi="宋体" w:cs="宋体"/>
          <w:sz w:val="24"/>
        </w:rPr>
        <w:t>6.1 质量要求：乙方提交的成果须符合现行国家、行业、地方质量标准及相关专业验收规范，符合住建部有关城市体检报告编制要求，达到甲方验收合格标准。</w:t>
      </w:r>
    </w:p>
    <w:p w14:paraId="6F3C3F0E">
      <w:pPr>
        <w:widowControl/>
        <w:spacing w:line="480" w:lineRule="exact"/>
        <w:ind w:firstLine="480" w:firstLineChars="200"/>
        <w:jc w:val="left"/>
        <w:rPr>
          <w:rFonts w:ascii="宋体" w:hAnsi="宋体" w:cs="宋体"/>
          <w:sz w:val="24"/>
        </w:rPr>
      </w:pPr>
      <w:r>
        <w:rPr>
          <w:rFonts w:hint="eastAsia" w:ascii="宋体" w:hAnsi="宋体" w:cs="宋体"/>
          <w:sz w:val="24"/>
        </w:rPr>
        <w:t>6.2 成果内容要求：成果内容应完整涵盖本合同第三条所列全部服务内容，包括主报告、专项报告、图集、台账、数据库、更新项目库等。</w:t>
      </w:r>
    </w:p>
    <w:p w14:paraId="5E56324A">
      <w:pPr>
        <w:widowControl/>
        <w:spacing w:line="480" w:lineRule="exact"/>
        <w:ind w:firstLine="480" w:firstLineChars="200"/>
        <w:jc w:val="left"/>
        <w:rPr>
          <w:rFonts w:ascii="宋体" w:hAnsi="宋体" w:cs="宋体"/>
          <w:sz w:val="24"/>
        </w:rPr>
      </w:pPr>
      <w:r>
        <w:rPr>
          <w:rFonts w:hint="eastAsia" w:ascii="宋体" w:hAnsi="宋体" w:cs="宋体"/>
          <w:sz w:val="24"/>
        </w:rPr>
        <w:t>6.3 格式要求：成果文件须按照统一模板编制，图表须符合相关规范标准，确保成果内容详实、格式规范。</w:t>
      </w:r>
    </w:p>
    <w:p w14:paraId="09F9D523">
      <w:pPr>
        <w:widowControl/>
        <w:spacing w:line="480" w:lineRule="exact"/>
        <w:ind w:firstLine="480" w:firstLineChars="200"/>
        <w:jc w:val="left"/>
        <w:rPr>
          <w:rFonts w:ascii="宋体" w:hAnsi="宋体" w:cs="宋体"/>
          <w:sz w:val="24"/>
        </w:rPr>
      </w:pPr>
      <w:r>
        <w:rPr>
          <w:rFonts w:hint="eastAsia" w:ascii="宋体" w:hAnsi="宋体" w:cs="宋体"/>
          <w:sz w:val="24"/>
        </w:rPr>
        <w:t>6.4 矢量数据要求：矢量GIS成果坐标系须与灵宝市国土空间规划坐标系保持一致，满足自然资源、住建部门入库使用要求。</w:t>
      </w:r>
    </w:p>
    <w:p w14:paraId="0529353F">
      <w:pPr>
        <w:widowControl/>
        <w:spacing w:line="480" w:lineRule="exact"/>
        <w:ind w:firstLine="480" w:firstLineChars="200"/>
        <w:jc w:val="left"/>
        <w:rPr>
          <w:rFonts w:ascii="宋体" w:hAnsi="宋体" w:cs="宋体"/>
          <w:sz w:val="24"/>
        </w:rPr>
      </w:pPr>
      <w:r>
        <w:rPr>
          <w:rFonts w:hint="eastAsia" w:ascii="宋体" w:hAnsi="宋体" w:cs="宋体"/>
          <w:sz w:val="24"/>
        </w:rPr>
        <w:t>6.5 汇交要求：城市体检成果须通过在线方式汇交至全国城市体检信息平台。 </w:t>
      </w:r>
    </w:p>
    <w:p w14:paraId="6AA97CA1">
      <w:pPr>
        <w:widowControl/>
        <w:spacing w:line="480" w:lineRule="exact"/>
        <w:ind w:firstLine="480" w:firstLineChars="200"/>
        <w:jc w:val="center"/>
        <w:rPr>
          <w:rFonts w:ascii="宋体" w:hAnsi="宋体" w:cs="宋体"/>
          <w:sz w:val="24"/>
        </w:rPr>
      </w:pPr>
      <w:r>
        <w:rPr>
          <w:rFonts w:hint="eastAsia" w:ascii="宋体" w:hAnsi="宋体" w:cs="宋体"/>
          <w:sz w:val="24"/>
        </w:rPr>
        <w:t>第七条 技术服务费用及支付方式</w:t>
      </w:r>
    </w:p>
    <w:p w14:paraId="74A92A27">
      <w:pPr>
        <w:widowControl/>
        <w:spacing w:line="480" w:lineRule="exact"/>
        <w:ind w:firstLine="480" w:firstLineChars="200"/>
        <w:jc w:val="left"/>
        <w:rPr>
          <w:rFonts w:ascii="宋体" w:hAnsi="宋体" w:cs="宋体"/>
          <w:sz w:val="24"/>
        </w:rPr>
      </w:pPr>
      <w:r>
        <w:rPr>
          <w:rFonts w:hint="eastAsia" w:ascii="宋体" w:hAnsi="宋体" w:cs="宋体"/>
          <w:sz w:val="24"/>
        </w:rPr>
        <w:t>7.1 合同总金额：人民币________元整（大写：________________元整）。</w:t>
      </w:r>
    </w:p>
    <w:p w14:paraId="1D0CA957">
      <w:pPr>
        <w:widowControl/>
        <w:spacing w:line="480" w:lineRule="exact"/>
        <w:ind w:firstLine="480" w:firstLineChars="200"/>
        <w:jc w:val="left"/>
        <w:rPr>
          <w:rFonts w:ascii="宋体" w:hAnsi="宋体" w:cs="宋体"/>
          <w:sz w:val="24"/>
        </w:rPr>
      </w:pPr>
      <w:r>
        <w:rPr>
          <w:rFonts w:hint="eastAsia" w:ascii="宋体" w:hAnsi="宋体" w:cs="宋体"/>
          <w:sz w:val="24"/>
        </w:rPr>
        <w:t>7.2 支付方式：采用分期支付方式。</w:t>
      </w:r>
    </w:p>
    <w:p w14:paraId="00E90EC7">
      <w:pPr>
        <w:widowControl/>
        <w:spacing w:line="480" w:lineRule="exact"/>
        <w:ind w:firstLine="480" w:firstLineChars="200"/>
        <w:jc w:val="left"/>
        <w:rPr>
          <w:rFonts w:ascii="宋体" w:hAnsi="宋体" w:cs="宋体"/>
          <w:sz w:val="24"/>
        </w:rPr>
      </w:pPr>
      <w:r>
        <w:rPr>
          <w:rFonts w:hint="eastAsia" w:ascii="宋体" w:hAnsi="宋体" w:cs="宋体"/>
          <w:sz w:val="24"/>
        </w:rPr>
        <w:t>第一期：合同签订后____个工作日内，甲方向乙方支付合同总金额的____%（即人民币________元），乙方须同时提供等额合法发票。</w:t>
      </w:r>
    </w:p>
    <w:p w14:paraId="67D847DB">
      <w:pPr>
        <w:widowControl/>
        <w:spacing w:line="480" w:lineRule="exact"/>
        <w:ind w:firstLine="480" w:firstLineChars="200"/>
        <w:jc w:val="left"/>
        <w:rPr>
          <w:rFonts w:ascii="宋体" w:hAnsi="宋体" w:cs="宋体"/>
          <w:sz w:val="24"/>
        </w:rPr>
      </w:pPr>
      <w:r>
        <w:rPr>
          <w:rFonts w:hint="eastAsia" w:ascii="宋体" w:hAnsi="宋体" w:cs="宋体"/>
          <w:sz w:val="24"/>
        </w:rPr>
        <w:t>第二期：全部成果通过验收、平台填报完成、资料移交归档后____个工作日内，甲方支付合同总金额的____%（即人民币________元），乙方须同时提供等额合法发票。</w:t>
      </w:r>
    </w:p>
    <w:p w14:paraId="72CA3FB5">
      <w:pPr>
        <w:widowControl/>
        <w:spacing w:line="480" w:lineRule="exact"/>
        <w:ind w:firstLine="480" w:firstLineChars="200"/>
        <w:jc w:val="left"/>
        <w:rPr>
          <w:rFonts w:ascii="宋体" w:hAnsi="宋体" w:cs="宋体"/>
          <w:sz w:val="24"/>
        </w:rPr>
      </w:pPr>
      <w:r>
        <w:rPr>
          <w:rFonts w:hint="eastAsia" w:ascii="宋体" w:hAnsi="宋体" w:cs="宋体"/>
          <w:sz w:val="24"/>
        </w:rPr>
        <w:t>尾款：剩余合同总金额的____%（即人民币________元）为服务保证金。</w:t>
      </w:r>
    </w:p>
    <w:p w14:paraId="49DC0530">
      <w:pPr>
        <w:widowControl/>
        <w:spacing w:line="480" w:lineRule="exact"/>
        <w:ind w:firstLine="480" w:firstLineChars="200"/>
        <w:jc w:val="left"/>
        <w:rPr>
          <w:rFonts w:ascii="宋体" w:hAnsi="宋体" w:cs="宋体"/>
          <w:sz w:val="24"/>
        </w:rPr>
      </w:pPr>
      <w:r>
        <w:rPr>
          <w:rFonts w:hint="eastAsia" w:ascii="宋体" w:hAnsi="宋体" w:cs="宋体"/>
          <w:sz w:val="24"/>
        </w:rPr>
        <w:t>7.3 甲方每期付款前，乙方须向甲方提出书面付款申请，同时提供等额合法的增值税发票及其他附件资料。待甲方完成付款审批流程后予以付款。</w:t>
      </w:r>
    </w:p>
    <w:p w14:paraId="52E4EC52">
      <w:pPr>
        <w:widowControl/>
        <w:spacing w:line="480" w:lineRule="exact"/>
        <w:ind w:firstLine="480" w:firstLineChars="200"/>
        <w:jc w:val="center"/>
        <w:rPr>
          <w:rFonts w:ascii="宋体" w:hAnsi="宋体" w:cs="宋体"/>
          <w:sz w:val="24"/>
        </w:rPr>
      </w:pPr>
      <w:r>
        <w:rPr>
          <w:rFonts w:hint="eastAsia" w:ascii="宋体" w:hAnsi="宋体" w:cs="宋体"/>
          <w:sz w:val="24"/>
        </w:rPr>
        <w:t>第八条 验收标准及方式</w:t>
      </w:r>
    </w:p>
    <w:p w14:paraId="7BDC523F">
      <w:pPr>
        <w:widowControl/>
        <w:spacing w:line="480" w:lineRule="exact"/>
        <w:ind w:firstLine="480" w:firstLineChars="200"/>
        <w:jc w:val="left"/>
        <w:rPr>
          <w:rFonts w:ascii="宋体" w:hAnsi="宋体" w:cs="宋体"/>
          <w:sz w:val="24"/>
        </w:rPr>
      </w:pPr>
      <w:r>
        <w:rPr>
          <w:rFonts w:hint="eastAsia" w:ascii="宋体" w:hAnsi="宋体" w:cs="宋体"/>
          <w:sz w:val="24"/>
        </w:rPr>
        <w:t>8.1 验收依据：</w:t>
      </w:r>
    </w:p>
    <w:p w14:paraId="174273DD">
      <w:pPr>
        <w:widowControl/>
        <w:spacing w:line="480" w:lineRule="exact"/>
        <w:ind w:firstLine="480" w:firstLineChars="200"/>
        <w:jc w:val="left"/>
        <w:rPr>
          <w:rFonts w:ascii="宋体" w:hAnsi="宋体" w:cs="宋体"/>
          <w:sz w:val="24"/>
        </w:rPr>
      </w:pPr>
      <w:r>
        <w:rPr>
          <w:rFonts w:hint="eastAsia" w:ascii="宋体" w:hAnsi="宋体" w:cs="宋体"/>
          <w:sz w:val="24"/>
        </w:rPr>
        <w:t>·本合同文本及合同补充文件（条款）；</w:t>
      </w:r>
    </w:p>
    <w:p w14:paraId="3531A11A">
      <w:pPr>
        <w:widowControl/>
        <w:spacing w:line="480" w:lineRule="exact"/>
        <w:ind w:firstLine="480" w:firstLineChars="200"/>
        <w:jc w:val="left"/>
        <w:rPr>
          <w:rFonts w:ascii="宋体" w:hAnsi="宋体" w:cs="宋体"/>
          <w:sz w:val="24"/>
        </w:rPr>
      </w:pPr>
      <w:r>
        <w:rPr>
          <w:rFonts w:hint="eastAsia" w:ascii="宋体" w:hAnsi="宋体" w:cs="宋体"/>
          <w:sz w:val="24"/>
        </w:rPr>
        <w:t>·采购文件（磋商文件/招标文件）；</w:t>
      </w:r>
    </w:p>
    <w:p w14:paraId="53E28573">
      <w:pPr>
        <w:widowControl/>
        <w:spacing w:line="480" w:lineRule="exact"/>
        <w:ind w:firstLine="480" w:firstLineChars="200"/>
        <w:jc w:val="left"/>
        <w:rPr>
          <w:rFonts w:ascii="宋体" w:hAnsi="宋体" w:cs="宋体"/>
          <w:sz w:val="24"/>
        </w:rPr>
      </w:pPr>
      <w:r>
        <w:rPr>
          <w:rFonts w:hint="eastAsia" w:ascii="宋体" w:hAnsi="宋体" w:cs="宋体"/>
          <w:sz w:val="24"/>
        </w:rPr>
        <w:t>·乙方的响应文件（投标文件）及澄清函；</w:t>
      </w:r>
    </w:p>
    <w:p w14:paraId="1B527A3A">
      <w:pPr>
        <w:widowControl/>
        <w:spacing w:line="480" w:lineRule="exact"/>
        <w:ind w:firstLine="480" w:firstLineChars="200"/>
        <w:jc w:val="left"/>
        <w:rPr>
          <w:rFonts w:ascii="宋体" w:hAnsi="宋体" w:cs="宋体"/>
          <w:sz w:val="24"/>
        </w:rPr>
      </w:pPr>
      <w:r>
        <w:rPr>
          <w:rFonts w:hint="eastAsia" w:ascii="宋体" w:hAnsi="宋体" w:cs="宋体"/>
          <w:sz w:val="24"/>
        </w:rPr>
        <w:t>·国家、行业、地方相关技术标准、规范。</w:t>
      </w:r>
    </w:p>
    <w:p w14:paraId="2FBBA594">
      <w:pPr>
        <w:widowControl/>
        <w:spacing w:line="480" w:lineRule="exact"/>
        <w:ind w:firstLine="480" w:firstLineChars="200"/>
        <w:jc w:val="left"/>
        <w:rPr>
          <w:rFonts w:ascii="宋体" w:hAnsi="宋体" w:cs="宋体"/>
          <w:sz w:val="24"/>
        </w:rPr>
      </w:pPr>
      <w:r>
        <w:rPr>
          <w:rFonts w:hint="eastAsia" w:ascii="宋体" w:hAnsi="宋体" w:cs="宋体"/>
          <w:sz w:val="24"/>
        </w:rPr>
        <w:t>8.2 验收方式：采用甲方出具的验收证明作为验收通过依据。</w:t>
      </w:r>
    </w:p>
    <w:p w14:paraId="7B4E6740">
      <w:pPr>
        <w:widowControl/>
        <w:spacing w:line="480" w:lineRule="exact"/>
        <w:ind w:firstLine="480" w:firstLineChars="200"/>
        <w:jc w:val="left"/>
        <w:rPr>
          <w:rFonts w:ascii="宋体" w:hAnsi="宋体" w:cs="宋体"/>
          <w:sz w:val="24"/>
        </w:rPr>
      </w:pPr>
      <w:r>
        <w:rPr>
          <w:rFonts w:hint="eastAsia" w:ascii="宋体" w:hAnsi="宋体" w:cs="宋体"/>
          <w:sz w:val="24"/>
        </w:rPr>
        <w:t>8.3 验收标准：按照现行国家标准及相关专业标准、规范，并符合采购文件相关的要求。</w:t>
      </w:r>
    </w:p>
    <w:p w14:paraId="667E0711">
      <w:pPr>
        <w:widowControl/>
        <w:spacing w:line="480" w:lineRule="exact"/>
        <w:ind w:firstLine="480" w:firstLineChars="200"/>
        <w:jc w:val="left"/>
        <w:rPr>
          <w:rFonts w:ascii="宋体" w:hAnsi="宋体" w:cs="宋体"/>
          <w:sz w:val="24"/>
        </w:rPr>
      </w:pPr>
      <w:r>
        <w:rPr>
          <w:rFonts w:hint="eastAsia" w:ascii="宋体" w:hAnsi="宋体" w:cs="宋体"/>
          <w:sz w:val="24"/>
        </w:rPr>
        <w:t>8.4 验收程序：乙方提交成果后，甲方应在____个工作日内组织验收。验收结束后，验收小组出具验收书，列明各项标准的验收情况及项目总体评价，由验收双方共同签署。</w:t>
      </w:r>
    </w:p>
    <w:p w14:paraId="43C0B88B">
      <w:pPr>
        <w:widowControl/>
        <w:spacing w:line="480" w:lineRule="exact"/>
        <w:ind w:firstLine="480" w:firstLineChars="200"/>
        <w:jc w:val="left"/>
        <w:rPr>
          <w:rFonts w:ascii="宋体" w:hAnsi="宋体" w:cs="宋体"/>
          <w:sz w:val="24"/>
        </w:rPr>
      </w:pPr>
      <w:r>
        <w:rPr>
          <w:rFonts w:hint="eastAsia" w:ascii="宋体" w:hAnsi="宋体" w:cs="宋体"/>
          <w:sz w:val="24"/>
        </w:rPr>
        <w:t>8.5 验收不合格的处理：如乙方成果连续____次无法通过专家评审，视为乙方根本违约，甲方有权解除本合同，并要求乙方赔偿甲方相应损失。</w:t>
      </w:r>
    </w:p>
    <w:p w14:paraId="5C2D5247">
      <w:pPr>
        <w:widowControl/>
        <w:spacing w:line="480" w:lineRule="exact"/>
        <w:ind w:firstLine="480" w:firstLineChars="200"/>
        <w:jc w:val="center"/>
        <w:rPr>
          <w:rFonts w:ascii="宋体" w:hAnsi="宋体" w:cs="宋体"/>
          <w:sz w:val="24"/>
        </w:rPr>
      </w:pPr>
      <w:r>
        <w:rPr>
          <w:rFonts w:hint="eastAsia" w:ascii="宋体" w:hAnsi="宋体" w:cs="宋体"/>
          <w:sz w:val="24"/>
        </w:rPr>
        <w:t>第九条 保密条款</w:t>
      </w:r>
    </w:p>
    <w:p w14:paraId="044311CB">
      <w:pPr>
        <w:widowControl/>
        <w:spacing w:line="480" w:lineRule="exact"/>
        <w:ind w:firstLine="480" w:firstLineChars="200"/>
        <w:jc w:val="left"/>
        <w:rPr>
          <w:rFonts w:ascii="宋体" w:hAnsi="宋体" w:cs="宋体"/>
          <w:sz w:val="24"/>
        </w:rPr>
      </w:pPr>
      <w:r>
        <w:rPr>
          <w:rFonts w:hint="eastAsia" w:ascii="宋体" w:hAnsi="宋体" w:cs="宋体"/>
          <w:sz w:val="24"/>
        </w:rPr>
        <w:t>9.1 乙方对在履行本合同过程中知悉的甲方提供的资料、数据及最终成果文件承担保密义务。</w:t>
      </w:r>
    </w:p>
    <w:p w14:paraId="0569AF97">
      <w:pPr>
        <w:widowControl/>
        <w:spacing w:line="480" w:lineRule="exact"/>
        <w:ind w:firstLine="480" w:firstLineChars="200"/>
        <w:jc w:val="left"/>
        <w:rPr>
          <w:rFonts w:ascii="宋体" w:hAnsi="宋体" w:cs="宋体"/>
          <w:sz w:val="24"/>
        </w:rPr>
      </w:pPr>
      <w:r>
        <w:rPr>
          <w:rFonts w:hint="eastAsia" w:ascii="宋体" w:hAnsi="宋体" w:cs="宋体"/>
          <w:sz w:val="24"/>
        </w:rPr>
        <w:t>9.2 未经甲方书面同意，乙方不得将上述资料、数据及成果文件用于本合同以外的任何目的，也不得向任何第三方泄露、提供或许可使用。</w:t>
      </w:r>
    </w:p>
    <w:p w14:paraId="2302E48C">
      <w:pPr>
        <w:widowControl/>
        <w:spacing w:line="480" w:lineRule="exact"/>
        <w:ind w:firstLine="480" w:firstLineChars="200"/>
        <w:jc w:val="left"/>
        <w:rPr>
          <w:rFonts w:ascii="宋体" w:hAnsi="宋体" w:cs="宋体"/>
          <w:sz w:val="24"/>
        </w:rPr>
      </w:pPr>
      <w:r>
        <w:rPr>
          <w:rFonts w:hint="eastAsia" w:ascii="宋体" w:hAnsi="宋体" w:cs="宋体"/>
          <w:sz w:val="24"/>
        </w:rPr>
        <w:t>9.3 本保密条款不因合同的终止而失效。</w:t>
      </w:r>
    </w:p>
    <w:p w14:paraId="1950FD6F">
      <w:pPr>
        <w:widowControl/>
        <w:spacing w:line="480" w:lineRule="exact"/>
        <w:ind w:firstLine="480" w:firstLineChars="200"/>
        <w:jc w:val="center"/>
        <w:rPr>
          <w:rFonts w:ascii="宋体" w:hAnsi="宋体" w:cs="宋体"/>
          <w:sz w:val="24"/>
        </w:rPr>
      </w:pPr>
      <w:r>
        <w:rPr>
          <w:rFonts w:hint="eastAsia" w:ascii="宋体" w:hAnsi="宋体" w:cs="宋体"/>
          <w:sz w:val="24"/>
        </w:rPr>
        <w:t>第十条 知识产权</w:t>
      </w:r>
    </w:p>
    <w:p w14:paraId="78589F32">
      <w:pPr>
        <w:widowControl/>
        <w:spacing w:line="480" w:lineRule="exact"/>
        <w:ind w:firstLine="480" w:firstLineChars="200"/>
        <w:jc w:val="left"/>
        <w:rPr>
          <w:rFonts w:ascii="宋体" w:hAnsi="宋体" w:cs="宋体"/>
          <w:sz w:val="24"/>
        </w:rPr>
      </w:pPr>
      <w:r>
        <w:rPr>
          <w:rFonts w:hint="eastAsia" w:ascii="宋体" w:hAnsi="宋体" w:cs="宋体"/>
          <w:sz w:val="24"/>
        </w:rPr>
        <w:t>10.1 本项目全部阶段性成果和最终成果的所有权、知识产权以及与之相关的所有权利归甲方所有。</w:t>
      </w:r>
    </w:p>
    <w:p w14:paraId="1B2C909C">
      <w:pPr>
        <w:widowControl/>
        <w:spacing w:line="480" w:lineRule="exact"/>
        <w:ind w:firstLine="480" w:firstLineChars="200"/>
        <w:jc w:val="left"/>
        <w:rPr>
          <w:rFonts w:ascii="宋体" w:hAnsi="宋体" w:cs="宋体"/>
          <w:sz w:val="24"/>
        </w:rPr>
      </w:pPr>
      <w:r>
        <w:rPr>
          <w:rFonts w:hint="eastAsia" w:ascii="宋体" w:hAnsi="宋体" w:cs="宋体"/>
          <w:sz w:val="24"/>
        </w:rPr>
        <w:t>10.2 甲方有权利用乙方按照本合同约定提供的成果进行后续改进。</w:t>
      </w:r>
    </w:p>
    <w:p w14:paraId="7164A04C">
      <w:pPr>
        <w:widowControl/>
        <w:spacing w:line="480" w:lineRule="exact"/>
        <w:ind w:firstLine="480" w:firstLineChars="200"/>
        <w:jc w:val="left"/>
        <w:rPr>
          <w:rFonts w:ascii="宋体" w:hAnsi="宋体" w:cs="宋体"/>
          <w:sz w:val="24"/>
        </w:rPr>
      </w:pPr>
      <w:r>
        <w:rPr>
          <w:rFonts w:hint="eastAsia" w:ascii="宋体" w:hAnsi="宋体" w:cs="宋体"/>
          <w:sz w:val="24"/>
        </w:rPr>
        <w:t>10.3 乙方应保证在本项目中使用的任何产品和服务不会出现因第三方提出侵犯其专利权、商标权或其他知识产权而引发法律或经济纠纷。如因相关知识产权而引起法律和经济纠纷，由乙方承担所有相关责任。</w:t>
      </w:r>
    </w:p>
    <w:p w14:paraId="68359D4D">
      <w:pPr>
        <w:widowControl/>
        <w:spacing w:line="480" w:lineRule="exact"/>
        <w:ind w:firstLine="480" w:firstLineChars="200"/>
        <w:jc w:val="left"/>
        <w:rPr>
          <w:rFonts w:ascii="宋体" w:hAnsi="宋体" w:cs="宋体"/>
          <w:sz w:val="24"/>
        </w:rPr>
      </w:pPr>
      <w:r>
        <w:rPr>
          <w:rFonts w:hint="eastAsia" w:ascii="宋体" w:hAnsi="宋体" w:cs="宋体"/>
          <w:sz w:val="24"/>
        </w:rPr>
        <w:t>10.4 未经甲方同意，乙方不得擅自将本合同项目成果对外公开或使用。</w:t>
      </w:r>
    </w:p>
    <w:p w14:paraId="5757ADCA">
      <w:pPr>
        <w:widowControl/>
        <w:spacing w:line="480" w:lineRule="exact"/>
        <w:ind w:firstLine="480" w:firstLineChars="200"/>
        <w:jc w:val="center"/>
        <w:rPr>
          <w:rFonts w:ascii="宋体" w:hAnsi="宋体" w:cs="宋体"/>
          <w:sz w:val="24"/>
        </w:rPr>
      </w:pPr>
      <w:r>
        <w:rPr>
          <w:rFonts w:hint="eastAsia" w:ascii="宋体" w:hAnsi="宋体" w:cs="宋体"/>
          <w:sz w:val="24"/>
        </w:rPr>
        <w:t>第十一条 违约责任</w:t>
      </w:r>
    </w:p>
    <w:p w14:paraId="35EB39AD">
      <w:pPr>
        <w:widowControl/>
        <w:spacing w:line="480" w:lineRule="exact"/>
        <w:ind w:firstLine="480" w:firstLineChars="200"/>
        <w:jc w:val="left"/>
        <w:rPr>
          <w:rFonts w:ascii="宋体" w:hAnsi="宋体" w:cs="宋体"/>
          <w:sz w:val="24"/>
        </w:rPr>
      </w:pPr>
      <w:r>
        <w:rPr>
          <w:rFonts w:hint="eastAsia" w:ascii="宋体" w:hAnsi="宋体" w:cs="宋体"/>
          <w:sz w:val="24"/>
        </w:rPr>
        <w:t>11.1 乙方提供的服务不符合采购文件、响应文件或本合同规定的，甲方有权拒收，且乙方须向甲方支付本合同总价____%的违约金。</w:t>
      </w:r>
    </w:p>
    <w:p w14:paraId="783B4589">
      <w:pPr>
        <w:widowControl/>
        <w:spacing w:line="480" w:lineRule="exact"/>
        <w:ind w:firstLine="480" w:firstLineChars="200"/>
        <w:jc w:val="left"/>
        <w:rPr>
          <w:rFonts w:ascii="宋体" w:hAnsi="宋体" w:cs="宋体"/>
          <w:sz w:val="24"/>
        </w:rPr>
      </w:pPr>
      <w:r>
        <w:rPr>
          <w:rFonts w:hint="eastAsia" w:ascii="宋体" w:hAnsi="宋体" w:cs="宋体"/>
          <w:sz w:val="24"/>
        </w:rPr>
        <w:t>11.2 乙方未能按本合同规定的服务时间交付成果，从逾期之日起每日按本合同总价____‰的数额向甲方支付违约金；逾期____天以上的，甲方有权终止合同，由此造成的甲方经济损失由乙方承担。</w:t>
      </w:r>
    </w:p>
    <w:p w14:paraId="4E8B078D">
      <w:pPr>
        <w:widowControl/>
        <w:spacing w:line="480" w:lineRule="exact"/>
        <w:ind w:firstLine="480" w:firstLineChars="200"/>
        <w:jc w:val="left"/>
        <w:rPr>
          <w:rFonts w:ascii="宋体" w:hAnsi="宋体" w:cs="宋体"/>
          <w:sz w:val="24"/>
        </w:rPr>
      </w:pPr>
      <w:r>
        <w:rPr>
          <w:rFonts w:hint="eastAsia" w:ascii="宋体" w:hAnsi="宋体" w:cs="宋体"/>
          <w:sz w:val="24"/>
        </w:rPr>
        <w:t>11.3 未经甲方同意，乙方不得私自将本合同服务转包或分包给第三方完成。如私自转包或分包，甲方有权解除合同，乙方须向甲方支付本合同总价____%的违约金。</w:t>
      </w:r>
    </w:p>
    <w:p w14:paraId="0848CC9E">
      <w:pPr>
        <w:widowControl/>
        <w:spacing w:line="480" w:lineRule="exact"/>
        <w:ind w:firstLine="480" w:firstLineChars="200"/>
        <w:jc w:val="left"/>
        <w:rPr>
          <w:rFonts w:ascii="宋体" w:hAnsi="宋体" w:cs="宋体"/>
          <w:sz w:val="24"/>
        </w:rPr>
      </w:pPr>
      <w:r>
        <w:rPr>
          <w:rFonts w:hint="eastAsia" w:ascii="宋体" w:hAnsi="宋体" w:cs="宋体"/>
          <w:sz w:val="24"/>
        </w:rPr>
        <w:t>11.4 甲方无正当理由拒绝接受服务或到期拒付服务款项的，甲方向乙方偿付本合同总价的____‰的违约金。甲方逾期付款，则每日按逾期金额的____‰向乙方偿付违约金。</w:t>
      </w:r>
    </w:p>
    <w:p w14:paraId="559B62DA">
      <w:pPr>
        <w:widowControl/>
        <w:spacing w:line="480" w:lineRule="exact"/>
        <w:ind w:firstLine="480" w:firstLineChars="200"/>
        <w:jc w:val="left"/>
        <w:rPr>
          <w:rFonts w:ascii="宋体" w:hAnsi="宋体" w:cs="宋体"/>
          <w:sz w:val="24"/>
        </w:rPr>
      </w:pPr>
      <w:r>
        <w:rPr>
          <w:rFonts w:hint="eastAsia" w:ascii="宋体" w:hAnsi="宋体" w:cs="宋体"/>
          <w:sz w:val="24"/>
        </w:rPr>
        <w:t>11.5 一方违反本合同约定给对方造成损失的，应赔偿对方因此遭受的全部损失。</w:t>
      </w:r>
    </w:p>
    <w:p w14:paraId="7A76785F">
      <w:pPr>
        <w:widowControl/>
        <w:spacing w:line="480" w:lineRule="exact"/>
        <w:ind w:firstLine="480" w:firstLineChars="200"/>
        <w:jc w:val="left"/>
        <w:rPr>
          <w:rFonts w:ascii="宋体" w:hAnsi="宋体" w:cs="宋体"/>
          <w:sz w:val="24"/>
        </w:rPr>
      </w:pPr>
      <w:r>
        <w:rPr>
          <w:rFonts w:hint="eastAsia" w:ascii="宋体" w:hAnsi="宋体" w:cs="宋体"/>
          <w:sz w:val="24"/>
        </w:rPr>
        <w:t>11.6 其他违约责任按《中华人民共和国民法典》处理。</w:t>
      </w:r>
    </w:p>
    <w:p w14:paraId="7309CEE9">
      <w:pPr>
        <w:widowControl/>
        <w:spacing w:line="480" w:lineRule="exact"/>
        <w:ind w:firstLine="480" w:firstLineChars="200"/>
        <w:jc w:val="center"/>
        <w:rPr>
          <w:rFonts w:ascii="宋体" w:hAnsi="宋体" w:cs="宋体"/>
          <w:sz w:val="24"/>
        </w:rPr>
      </w:pPr>
      <w:r>
        <w:rPr>
          <w:rFonts w:hint="eastAsia" w:ascii="宋体" w:hAnsi="宋体" w:cs="宋体"/>
          <w:sz w:val="24"/>
        </w:rPr>
        <w:t>第十二条 不可抗力</w:t>
      </w:r>
    </w:p>
    <w:p w14:paraId="1D1ABBC9">
      <w:pPr>
        <w:widowControl/>
        <w:spacing w:line="480" w:lineRule="exact"/>
        <w:ind w:firstLine="480" w:firstLineChars="200"/>
        <w:jc w:val="left"/>
        <w:rPr>
          <w:rFonts w:ascii="宋体" w:hAnsi="宋体" w:cs="宋体"/>
          <w:sz w:val="24"/>
        </w:rPr>
      </w:pPr>
      <w:r>
        <w:rPr>
          <w:rFonts w:hint="eastAsia" w:ascii="宋体" w:hAnsi="宋体" w:cs="宋体"/>
          <w:sz w:val="24"/>
        </w:rPr>
        <w:t>12.1 因不可抗力不能履行合同的，根据不可抗力的影响，部分或者全部免除责任，但法律另有规定的除外。当事人迟延履行后发生不可抗力的，不能免除责任。</w:t>
      </w:r>
    </w:p>
    <w:p w14:paraId="6410359D">
      <w:pPr>
        <w:widowControl/>
        <w:spacing w:line="480" w:lineRule="exact"/>
        <w:ind w:firstLine="480" w:firstLineChars="200"/>
        <w:jc w:val="left"/>
        <w:rPr>
          <w:rFonts w:ascii="宋体" w:hAnsi="宋体" w:cs="宋体"/>
          <w:sz w:val="24"/>
        </w:rPr>
      </w:pPr>
      <w:r>
        <w:rPr>
          <w:rFonts w:hint="eastAsia" w:ascii="宋体" w:hAnsi="宋体" w:cs="宋体"/>
          <w:sz w:val="24"/>
        </w:rPr>
        <w:t>12.2 当事人一方因不可抗力不能履行合同的，应当及时通知对方，以减轻可能给对方造成的损失，并应当在合理期限内提供证明。</w:t>
      </w:r>
    </w:p>
    <w:p w14:paraId="21296607">
      <w:pPr>
        <w:widowControl/>
        <w:spacing w:line="480" w:lineRule="exact"/>
        <w:ind w:firstLine="480" w:firstLineChars="200"/>
        <w:jc w:val="center"/>
        <w:rPr>
          <w:rFonts w:ascii="宋体" w:hAnsi="宋体" w:cs="宋体"/>
          <w:sz w:val="24"/>
        </w:rPr>
      </w:pPr>
      <w:r>
        <w:rPr>
          <w:rFonts w:hint="eastAsia" w:ascii="宋体" w:hAnsi="宋体" w:cs="宋体"/>
          <w:sz w:val="24"/>
        </w:rPr>
        <w:t>第十三条 合同的变更、解除与终止</w:t>
      </w:r>
    </w:p>
    <w:p w14:paraId="6CB433FA">
      <w:pPr>
        <w:widowControl/>
        <w:spacing w:line="480" w:lineRule="exact"/>
        <w:ind w:firstLine="480" w:firstLineChars="200"/>
        <w:jc w:val="left"/>
        <w:rPr>
          <w:rFonts w:ascii="宋体" w:hAnsi="宋体" w:cs="宋体"/>
          <w:sz w:val="24"/>
        </w:rPr>
      </w:pPr>
      <w:r>
        <w:rPr>
          <w:rFonts w:hint="eastAsia" w:ascii="宋体" w:hAnsi="宋体" w:cs="宋体"/>
          <w:sz w:val="24"/>
        </w:rPr>
        <w:t>13.1 经双方协商一致，可以变更或解除本合同，但须以书面形式确认。</w:t>
      </w:r>
    </w:p>
    <w:p w14:paraId="093EDFA1">
      <w:pPr>
        <w:widowControl/>
        <w:spacing w:line="480" w:lineRule="exact"/>
        <w:ind w:firstLine="480" w:firstLineChars="200"/>
        <w:jc w:val="left"/>
        <w:rPr>
          <w:rFonts w:ascii="宋体" w:hAnsi="宋体" w:cs="宋体"/>
          <w:sz w:val="24"/>
        </w:rPr>
      </w:pPr>
      <w:r>
        <w:rPr>
          <w:rFonts w:hint="eastAsia" w:ascii="宋体" w:hAnsi="宋体" w:cs="宋体"/>
          <w:sz w:val="24"/>
        </w:rPr>
        <w:t>13.2 有下列情形之一的，当事人可以解除合同：</w:t>
      </w:r>
    </w:p>
    <w:p w14:paraId="24C1B811">
      <w:pPr>
        <w:widowControl/>
        <w:spacing w:line="480" w:lineRule="exact"/>
        <w:ind w:firstLine="480" w:firstLineChars="200"/>
        <w:jc w:val="left"/>
        <w:rPr>
          <w:rFonts w:ascii="宋体" w:hAnsi="宋体" w:cs="宋体"/>
          <w:sz w:val="24"/>
        </w:rPr>
      </w:pPr>
      <w:r>
        <w:rPr>
          <w:rFonts w:hint="eastAsia" w:ascii="宋体" w:hAnsi="宋体" w:cs="宋体"/>
          <w:sz w:val="24"/>
        </w:rPr>
        <w:t>· 因不可抗力致使不能实现合同目的；</w:t>
      </w:r>
    </w:p>
    <w:p w14:paraId="447F5E80">
      <w:pPr>
        <w:widowControl/>
        <w:spacing w:line="480" w:lineRule="exact"/>
        <w:ind w:firstLine="480" w:firstLineChars="200"/>
        <w:jc w:val="left"/>
        <w:rPr>
          <w:rFonts w:ascii="宋体" w:hAnsi="宋体" w:cs="宋体"/>
          <w:sz w:val="24"/>
        </w:rPr>
      </w:pPr>
      <w:r>
        <w:rPr>
          <w:rFonts w:hint="eastAsia" w:ascii="宋体" w:hAnsi="宋体" w:cs="宋体"/>
          <w:sz w:val="24"/>
        </w:rPr>
        <w:t>· 在履行期限届满前，当事人一方明确表示或者以自己的行为表明不履行主要义务；</w:t>
      </w:r>
    </w:p>
    <w:p w14:paraId="185C1991">
      <w:pPr>
        <w:widowControl/>
        <w:spacing w:line="480" w:lineRule="exact"/>
        <w:ind w:firstLine="480" w:firstLineChars="200"/>
        <w:jc w:val="left"/>
        <w:rPr>
          <w:rFonts w:ascii="宋体" w:hAnsi="宋体" w:cs="宋体"/>
          <w:sz w:val="24"/>
        </w:rPr>
      </w:pPr>
      <w:r>
        <w:rPr>
          <w:rFonts w:hint="eastAsia" w:ascii="宋体" w:hAnsi="宋体" w:cs="宋体"/>
          <w:sz w:val="24"/>
        </w:rPr>
        <w:t>· 当事人一方迟延履行主要义务，经催告后在合理期限内仍未履行；</w:t>
      </w:r>
    </w:p>
    <w:p w14:paraId="0A3DE833">
      <w:pPr>
        <w:widowControl/>
        <w:spacing w:line="480" w:lineRule="exact"/>
        <w:ind w:firstLine="480" w:firstLineChars="200"/>
        <w:jc w:val="left"/>
        <w:rPr>
          <w:rFonts w:ascii="宋体" w:hAnsi="宋体" w:cs="宋体"/>
          <w:sz w:val="24"/>
        </w:rPr>
      </w:pPr>
      <w:r>
        <w:rPr>
          <w:rFonts w:hint="eastAsia" w:ascii="宋体" w:hAnsi="宋体" w:cs="宋体"/>
          <w:sz w:val="24"/>
        </w:rPr>
        <w:t>· 当事人一方迟延履行义务或者有其他违约行为致使不能实现合同目的；</w:t>
      </w:r>
    </w:p>
    <w:p w14:paraId="6A53CA2B">
      <w:pPr>
        <w:widowControl/>
        <w:spacing w:line="480" w:lineRule="exact"/>
        <w:ind w:firstLine="480" w:firstLineChars="200"/>
        <w:jc w:val="left"/>
        <w:rPr>
          <w:rFonts w:ascii="宋体" w:hAnsi="宋体" w:cs="宋体"/>
          <w:sz w:val="24"/>
        </w:rPr>
      </w:pPr>
      <w:r>
        <w:rPr>
          <w:rFonts w:hint="eastAsia" w:ascii="宋体" w:hAnsi="宋体" w:cs="宋体"/>
          <w:sz w:val="24"/>
        </w:rPr>
        <w:t>· 法律规定的其他情形。</w:t>
      </w:r>
    </w:p>
    <w:p w14:paraId="2882DAAC">
      <w:pPr>
        <w:widowControl/>
        <w:spacing w:line="480" w:lineRule="exact"/>
        <w:ind w:firstLine="480" w:firstLineChars="200"/>
        <w:jc w:val="left"/>
        <w:rPr>
          <w:rFonts w:ascii="宋体" w:hAnsi="宋体" w:cs="宋体"/>
          <w:sz w:val="24"/>
        </w:rPr>
      </w:pPr>
      <w:r>
        <w:rPr>
          <w:rFonts w:hint="eastAsia" w:ascii="宋体" w:hAnsi="宋体" w:cs="宋体"/>
          <w:sz w:val="24"/>
        </w:rPr>
        <w:t>13.3 合同解除后，尚未履行的，终止履行；已经履行的，根据履行情况和合同性质，当事人可以要求恢复原状、采取其他补救措施，并有权要求赔偿损失。</w:t>
      </w:r>
    </w:p>
    <w:p w14:paraId="4D1C0437">
      <w:pPr>
        <w:widowControl/>
        <w:spacing w:line="480" w:lineRule="exact"/>
        <w:ind w:firstLine="480" w:firstLineChars="200"/>
        <w:jc w:val="left"/>
        <w:rPr>
          <w:rFonts w:ascii="宋体" w:hAnsi="宋体" w:cs="宋体"/>
          <w:sz w:val="24"/>
        </w:rPr>
      </w:pPr>
      <w:r>
        <w:rPr>
          <w:rFonts w:hint="eastAsia" w:ascii="宋体" w:hAnsi="宋体" w:cs="宋体"/>
          <w:sz w:val="24"/>
        </w:rPr>
        <w:t>第十四条 争议解决</w:t>
      </w:r>
    </w:p>
    <w:p w14:paraId="76455F27">
      <w:pPr>
        <w:widowControl/>
        <w:spacing w:line="480" w:lineRule="exact"/>
        <w:ind w:firstLine="480" w:firstLineChars="200"/>
        <w:jc w:val="left"/>
        <w:rPr>
          <w:rFonts w:ascii="宋体" w:hAnsi="宋体" w:cs="宋体"/>
          <w:sz w:val="24"/>
        </w:rPr>
      </w:pPr>
      <w:r>
        <w:rPr>
          <w:rFonts w:hint="eastAsia" w:ascii="宋体" w:hAnsi="宋体" w:cs="宋体"/>
          <w:sz w:val="24"/>
        </w:rPr>
        <w:t>因本合同引起的或与本合同有关的任何争议，双方应首先通过友好协商解决。协商不成的，任何一方均可向项目所在地有管辖权的人民法院提起诉讼。</w:t>
      </w:r>
    </w:p>
    <w:p w14:paraId="23ED313E">
      <w:pPr>
        <w:widowControl/>
        <w:spacing w:line="480" w:lineRule="exact"/>
        <w:ind w:firstLine="480" w:firstLineChars="200"/>
        <w:jc w:val="left"/>
        <w:rPr>
          <w:rFonts w:ascii="宋体" w:hAnsi="宋体" w:cs="宋体"/>
          <w:sz w:val="24"/>
        </w:rPr>
      </w:pPr>
      <w:r>
        <w:rPr>
          <w:rFonts w:hint="eastAsia" w:ascii="宋体" w:hAnsi="宋体" w:cs="宋体"/>
          <w:sz w:val="24"/>
        </w:rPr>
        <w:t>第十五条 其他约定</w:t>
      </w:r>
    </w:p>
    <w:p w14:paraId="1755EBF8">
      <w:pPr>
        <w:widowControl/>
        <w:spacing w:line="480" w:lineRule="exact"/>
        <w:ind w:firstLine="480" w:firstLineChars="200"/>
        <w:jc w:val="left"/>
        <w:rPr>
          <w:rFonts w:ascii="宋体" w:hAnsi="宋体" w:cs="宋体"/>
          <w:sz w:val="24"/>
        </w:rPr>
      </w:pPr>
      <w:r>
        <w:rPr>
          <w:rFonts w:hint="eastAsia" w:ascii="宋体" w:hAnsi="宋体" w:cs="宋体"/>
          <w:sz w:val="24"/>
        </w:rPr>
        <w:t>15.1 本合同未尽事宜，双方可签订补充协议，补充协议与本合同具有同等法律效力。</w:t>
      </w:r>
    </w:p>
    <w:p w14:paraId="0C03E961">
      <w:pPr>
        <w:widowControl/>
        <w:spacing w:line="480" w:lineRule="exact"/>
        <w:ind w:firstLine="480" w:firstLineChars="200"/>
        <w:jc w:val="left"/>
        <w:rPr>
          <w:rFonts w:ascii="宋体" w:hAnsi="宋体" w:cs="宋体"/>
          <w:sz w:val="24"/>
        </w:rPr>
      </w:pPr>
      <w:r>
        <w:rPr>
          <w:rFonts w:hint="eastAsia" w:ascii="宋体" w:hAnsi="宋体" w:cs="宋体"/>
          <w:sz w:val="24"/>
        </w:rPr>
        <w:t>15.2 本合同一式____份，甲方持____份，乙方持____份，每份具有同等法律效力。</w:t>
      </w:r>
    </w:p>
    <w:p w14:paraId="442B04F3">
      <w:pPr>
        <w:widowControl/>
        <w:spacing w:line="480" w:lineRule="exact"/>
        <w:ind w:firstLine="480" w:firstLineChars="200"/>
        <w:jc w:val="left"/>
        <w:rPr>
          <w:rFonts w:ascii="宋体" w:hAnsi="宋体"/>
          <w:sz w:val="24"/>
        </w:rPr>
      </w:pPr>
      <w:r>
        <w:rPr>
          <w:rFonts w:hint="eastAsia" w:ascii="宋体" w:hAnsi="宋体" w:cs="宋体"/>
          <w:sz w:val="24"/>
        </w:rPr>
        <w:t>15.3 本合同自双方法定代表人</w:t>
      </w:r>
      <w:r>
        <w:rPr>
          <w:rFonts w:hint="eastAsia" w:ascii="宋体" w:hAnsi="宋体"/>
          <w:sz w:val="24"/>
        </w:rPr>
        <w:t>或授权代表签字并加盖公章之日起生效。</w:t>
      </w:r>
    </w:p>
    <w:p w14:paraId="1C642126">
      <w:pPr>
        <w:spacing w:line="360" w:lineRule="auto"/>
        <w:rPr>
          <w:rFonts w:ascii="宋体" w:hAnsi="宋体"/>
          <w:sz w:val="24"/>
        </w:rPr>
      </w:pPr>
    </w:p>
    <w:p w14:paraId="3ED93EFC">
      <w:pPr>
        <w:spacing w:line="360" w:lineRule="auto"/>
        <w:ind w:firstLine="480" w:firstLineChars="200"/>
        <w:rPr>
          <w:rFonts w:ascii="宋体" w:hAnsi="宋体"/>
          <w:sz w:val="24"/>
        </w:rPr>
      </w:pPr>
    </w:p>
    <w:p w14:paraId="65D47F4F">
      <w:pPr>
        <w:spacing w:line="360" w:lineRule="auto"/>
        <w:rPr>
          <w:rFonts w:ascii="宋体" w:hAnsi="宋体"/>
          <w:sz w:val="24"/>
        </w:rPr>
      </w:pPr>
      <w:r>
        <w:rPr>
          <w:rFonts w:hint="eastAsia" w:ascii="宋体" w:hAnsi="宋体"/>
          <w:sz w:val="24"/>
        </w:rPr>
        <w:t>甲方（盖章）：_____________               乙方（盖章）：________________</w:t>
      </w:r>
    </w:p>
    <w:p w14:paraId="34A7D553">
      <w:pPr>
        <w:spacing w:line="360" w:lineRule="auto"/>
        <w:rPr>
          <w:rFonts w:ascii="宋体" w:hAnsi="宋体"/>
          <w:sz w:val="24"/>
        </w:rPr>
      </w:pPr>
      <w:r>
        <w:rPr>
          <w:rFonts w:hint="eastAsia" w:ascii="宋体" w:hAnsi="宋体"/>
          <w:sz w:val="24"/>
        </w:rPr>
        <w:t>法人或项目负责人                         法人或委项目负责人</w:t>
      </w:r>
    </w:p>
    <w:p w14:paraId="2DA4E083">
      <w:pPr>
        <w:spacing w:line="360" w:lineRule="auto"/>
        <w:rPr>
          <w:rFonts w:ascii="宋体" w:hAnsi="宋体"/>
          <w:sz w:val="24"/>
        </w:rPr>
      </w:pPr>
      <w:r>
        <w:rPr>
          <w:rFonts w:hint="eastAsia" w:ascii="宋体" w:hAnsi="宋体"/>
          <w:sz w:val="24"/>
        </w:rPr>
        <w:t>（签字或盖章）：___________             （签字或盖章）：________________</w:t>
      </w:r>
    </w:p>
    <w:p w14:paraId="117D1FB5">
      <w:pPr>
        <w:spacing w:line="360" w:lineRule="auto"/>
        <w:rPr>
          <w:rFonts w:ascii="宋体" w:hAnsi="宋体"/>
          <w:sz w:val="24"/>
        </w:rPr>
      </w:pPr>
      <w:r>
        <w:rPr>
          <w:rFonts w:hint="eastAsia" w:ascii="宋体" w:hAnsi="宋体"/>
          <w:sz w:val="24"/>
        </w:rPr>
        <w:t>联系电话：                              联系电话：</w:t>
      </w:r>
    </w:p>
    <w:p w14:paraId="05FC2FB4">
      <w:pPr>
        <w:spacing w:line="360" w:lineRule="auto"/>
        <w:rPr>
          <w:rFonts w:ascii="宋体" w:hAnsi="宋体"/>
          <w:sz w:val="24"/>
        </w:rPr>
      </w:pPr>
      <w:r>
        <w:rPr>
          <w:rFonts w:hint="eastAsia" w:ascii="宋体" w:hAnsi="宋体"/>
          <w:sz w:val="24"/>
        </w:rPr>
        <w:t>日期：______年____月____日              日期：______年____月____日</w:t>
      </w:r>
    </w:p>
    <w:p w14:paraId="10623232">
      <w:pPr>
        <w:spacing w:line="360" w:lineRule="auto"/>
        <w:jc w:val="both"/>
        <w:outlineLvl w:val="0"/>
        <w:rPr>
          <w:rFonts w:ascii="宋体" w:hAnsi="宋体"/>
          <w:b/>
          <w:bCs/>
          <w:sz w:val="36"/>
          <w:szCs w:val="36"/>
        </w:rPr>
      </w:pPr>
      <w:bookmarkStart w:id="405" w:name="_Toc508179891"/>
      <w:bookmarkStart w:id="406" w:name="_Toc8657"/>
      <w:bookmarkStart w:id="407" w:name="_Toc16520168"/>
      <w:bookmarkStart w:id="408" w:name="_Toc16520680"/>
    </w:p>
    <w:p w14:paraId="19D7B64B">
      <w:pPr>
        <w:spacing w:line="360" w:lineRule="auto"/>
        <w:jc w:val="center"/>
        <w:outlineLvl w:val="0"/>
        <w:rPr>
          <w:rFonts w:ascii="宋体" w:hAnsi="宋体"/>
          <w:b/>
          <w:bCs/>
          <w:sz w:val="36"/>
          <w:szCs w:val="36"/>
        </w:rPr>
      </w:pPr>
      <w:r>
        <w:rPr>
          <w:rFonts w:hint="eastAsia" w:ascii="宋体" w:hAnsi="宋体"/>
          <w:b/>
          <w:bCs/>
          <w:sz w:val="36"/>
          <w:szCs w:val="36"/>
        </w:rPr>
        <w:t>第六章 响应性文件部分格式</w:t>
      </w:r>
      <w:bookmarkEnd w:id="405"/>
      <w:bookmarkEnd w:id="406"/>
      <w:bookmarkEnd w:id="407"/>
      <w:bookmarkEnd w:id="408"/>
    </w:p>
    <w:p w14:paraId="6C58A4F2">
      <w:pPr>
        <w:spacing w:line="360" w:lineRule="auto"/>
        <w:rPr>
          <w:rFonts w:ascii="宋体" w:hAnsi="宋体" w:cs="宋体"/>
          <w:b/>
          <w:bCs/>
          <w:sz w:val="24"/>
        </w:rPr>
      </w:pPr>
    </w:p>
    <w:p w14:paraId="0BA685B7">
      <w:pPr>
        <w:spacing w:line="360" w:lineRule="auto"/>
        <w:rPr>
          <w:rFonts w:ascii="宋体" w:hAnsi="宋体" w:cs="宋体"/>
          <w:b/>
          <w:sz w:val="24"/>
        </w:rPr>
      </w:pPr>
      <w:r>
        <w:rPr>
          <w:rFonts w:hint="eastAsia" w:ascii="宋体" w:hAnsi="宋体" w:cs="宋体"/>
          <w:b/>
          <w:sz w:val="24"/>
        </w:rPr>
        <w:t xml:space="preserve">                                                           正/副本</w:t>
      </w:r>
    </w:p>
    <w:p w14:paraId="2260A6AA">
      <w:pPr>
        <w:widowControl/>
        <w:jc w:val="left"/>
        <w:rPr>
          <w:rFonts w:ascii="宋体" w:hAnsi="宋体"/>
          <w:sz w:val="24"/>
        </w:rPr>
      </w:pPr>
    </w:p>
    <w:p w14:paraId="44A01C62">
      <w:pPr>
        <w:spacing w:line="360" w:lineRule="auto"/>
        <w:jc w:val="center"/>
        <w:rPr>
          <w:rFonts w:ascii="宋体" w:hAnsi="宋体" w:cs="宋体"/>
          <w:b/>
          <w:sz w:val="36"/>
          <w:szCs w:val="36"/>
          <w:u w:val="single"/>
        </w:rPr>
      </w:pPr>
      <w:r>
        <w:rPr>
          <w:rFonts w:hint="eastAsia" w:ascii="宋体" w:hAnsi="宋体" w:cs="宋体"/>
          <w:b/>
          <w:sz w:val="24"/>
        </w:rPr>
        <w:t xml:space="preserve">     </w:t>
      </w:r>
      <w:r>
        <w:rPr>
          <w:rFonts w:hint="eastAsia" w:ascii="宋体" w:hAnsi="宋体" w:cs="宋体"/>
          <w:b/>
          <w:sz w:val="36"/>
          <w:szCs w:val="36"/>
        </w:rPr>
        <w:t xml:space="preserve">  </w:t>
      </w:r>
      <w:r>
        <w:rPr>
          <w:rFonts w:hint="eastAsia" w:ascii="宋体" w:hAnsi="宋体" w:cs="宋体"/>
          <w:b/>
          <w:sz w:val="36"/>
          <w:szCs w:val="36"/>
          <w:u w:val="single"/>
        </w:rPr>
        <w:t xml:space="preserve">                 </w:t>
      </w:r>
      <w:r>
        <w:rPr>
          <w:rFonts w:hint="eastAsia" w:ascii="宋体" w:hAnsi="宋体" w:cs="宋体"/>
          <w:b/>
          <w:sz w:val="36"/>
          <w:szCs w:val="36"/>
        </w:rPr>
        <w:t>（项目名称）</w:t>
      </w:r>
    </w:p>
    <w:p w14:paraId="145F074E">
      <w:pPr>
        <w:spacing w:line="360" w:lineRule="auto"/>
        <w:rPr>
          <w:rFonts w:ascii="宋体" w:hAnsi="宋体" w:cs="宋体"/>
          <w:b/>
          <w:sz w:val="24"/>
        </w:rPr>
      </w:pPr>
    </w:p>
    <w:p w14:paraId="6FB74958">
      <w:pPr>
        <w:spacing w:line="360" w:lineRule="auto"/>
        <w:jc w:val="center"/>
        <w:rPr>
          <w:rFonts w:ascii="宋体" w:hAnsi="宋体" w:cs="宋体"/>
          <w:b/>
          <w:sz w:val="84"/>
          <w:szCs w:val="84"/>
        </w:rPr>
      </w:pPr>
      <w:r>
        <w:rPr>
          <w:rFonts w:hint="eastAsia" w:ascii="宋体" w:hAnsi="宋体" w:cs="宋体"/>
          <w:b/>
          <w:sz w:val="84"/>
          <w:szCs w:val="84"/>
        </w:rPr>
        <w:t>响 应 性 文 件</w:t>
      </w:r>
    </w:p>
    <w:p w14:paraId="3A50C8EF">
      <w:pPr>
        <w:spacing w:line="360" w:lineRule="auto"/>
        <w:ind w:firstLine="480" w:firstLineChars="200"/>
        <w:rPr>
          <w:rFonts w:ascii="宋体" w:hAnsi="宋体" w:cs="宋体"/>
          <w:sz w:val="24"/>
        </w:rPr>
      </w:pPr>
    </w:p>
    <w:p w14:paraId="6DDE328F">
      <w:pPr>
        <w:spacing w:line="360" w:lineRule="auto"/>
        <w:jc w:val="center"/>
        <w:rPr>
          <w:rFonts w:ascii="宋体" w:hAnsi="宋体" w:cs="宋体"/>
          <w:b/>
          <w:sz w:val="24"/>
        </w:rPr>
      </w:pPr>
      <w:r>
        <w:rPr>
          <w:rFonts w:hint="eastAsia" w:ascii="宋体" w:hAnsi="宋体" w:cs="宋体"/>
          <w:b/>
          <w:sz w:val="24"/>
        </w:rPr>
        <w:t>项目编号：</w:t>
      </w:r>
    </w:p>
    <w:p w14:paraId="7FDB187E">
      <w:pPr>
        <w:spacing w:line="360" w:lineRule="auto"/>
        <w:ind w:firstLine="480" w:firstLineChars="200"/>
        <w:rPr>
          <w:rFonts w:ascii="宋体" w:hAnsi="宋体" w:cs="宋体"/>
          <w:sz w:val="24"/>
        </w:rPr>
      </w:pPr>
    </w:p>
    <w:p w14:paraId="6441ED79">
      <w:pPr>
        <w:spacing w:line="360" w:lineRule="auto"/>
        <w:ind w:firstLine="480" w:firstLineChars="200"/>
        <w:rPr>
          <w:rFonts w:ascii="宋体" w:hAnsi="宋体" w:cs="宋体"/>
          <w:sz w:val="24"/>
        </w:rPr>
      </w:pPr>
    </w:p>
    <w:p w14:paraId="443D1EB7">
      <w:pPr>
        <w:spacing w:line="360" w:lineRule="auto"/>
        <w:ind w:firstLine="480" w:firstLineChars="200"/>
        <w:rPr>
          <w:rFonts w:ascii="宋体" w:hAnsi="宋体" w:cs="宋体"/>
          <w:sz w:val="24"/>
        </w:rPr>
      </w:pPr>
    </w:p>
    <w:p w14:paraId="4A31C317">
      <w:pPr>
        <w:spacing w:line="360" w:lineRule="auto"/>
        <w:ind w:firstLine="480" w:firstLineChars="200"/>
        <w:rPr>
          <w:rFonts w:ascii="宋体" w:hAnsi="宋体" w:cs="宋体"/>
          <w:sz w:val="24"/>
        </w:rPr>
      </w:pPr>
    </w:p>
    <w:p w14:paraId="69F627B0">
      <w:pPr>
        <w:spacing w:line="360" w:lineRule="auto"/>
        <w:ind w:firstLine="480" w:firstLineChars="200"/>
        <w:rPr>
          <w:rFonts w:ascii="宋体" w:hAnsi="宋体" w:cs="宋体"/>
          <w:sz w:val="24"/>
        </w:rPr>
      </w:pPr>
    </w:p>
    <w:p w14:paraId="703BCAD2">
      <w:pPr>
        <w:spacing w:line="360" w:lineRule="auto"/>
        <w:ind w:firstLine="480" w:firstLineChars="200"/>
        <w:rPr>
          <w:rFonts w:ascii="宋体" w:hAnsi="宋体" w:cs="宋体"/>
          <w:sz w:val="24"/>
        </w:rPr>
      </w:pPr>
    </w:p>
    <w:p w14:paraId="25794CAF">
      <w:pPr>
        <w:spacing w:line="360" w:lineRule="auto"/>
        <w:ind w:firstLine="480" w:firstLineChars="200"/>
        <w:rPr>
          <w:rFonts w:ascii="宋体" w:hAnsi="宋体" w:cs="宋体"/>
          <w:sz w:val="24"/>
        </w:rPr>
      </w:pPr>
    </w:p>
    <w:p w14:paraId="575ABA9D">
      <w:pPr>
        <w:spacing w:line="360" w:lineRule="auto"/>
        <w:rPr>
          <w:rFonts w:ascii="宋体" w:hAnsi="宋体" w:cs="宋体"/>
          <w:sz w:val="24"/>
        </w:rPr>
      </w:pPr>
    </w:p>
    <w:p w14:paraId="26855D13">
      <w:pPr>
        <w:spacing w:line="480" w:lineRule="auto"/>
        <w:jc w:val="center"/>
        <w:rPr>
          <w:rFonts w:ascii="宋体" w:hAnsi="宋体" w:cs="宋体"/>
          <w:sz w:val="24"/>
        </w:rPr>
      </w:pPr>
      <w:r>
        <w:rPr>
          <w:rFonts w:hint="eastAsia" w:ascii="宋体" w:hAnsi="宋体" w:cs="宋体"/>
          <w:sz w:val="24"/>
        </w:rPr>
        <w:t>投标供应商：</w:t>
      </w:r>
      <w:r>
        <w:rPr>
          <w:rFonts w:hint="eastAsia" w:ascii="宋体" w:hAnsi="宋体" w:cs="宋体"/>
          <w:sz w:val="24"/>
          <w:u w:val="single"/>
        </w:rPr>
        <w:t xml:space="preserve">                               </w:t>
      </w:r>
      <w:r>
        <w:rPr>
          <w:rFonts w:hint="eastAsia" w:ascii="宋体" w:hAnsi="宋体" w:cs="宋体"/>
          <w:sz w:val="24"/>
        </w:rPr>
        <w:t>（电子签章）</w:t>
      </w:r>
    </w:p>
    <w:p w14:paraId="1CE5230B">
      <w:pPr>
        <w:spacing w:line="480" w:lineRule="auto"/>
        <w:jc w:val="center"/>
        <w:rPr>
          <w:rFonts w:ascii="宋体" w:hAnsi="宋体" w:cs="宋体"/>
          <w:sz w:val="24"/>
        </w:rPr>
      </w:pPr>
      <w:r>
        <w:rPr>
          <w:rFonts w:hint="eastAsia" w:ascii="宋体" w:hAnsi="宋体" w:cs="宋体"/>
          <w:sz w:val="24"/>
        </w:rPr>
        <w:t>法定代表人或委托代理人：</w:t>
      </w:r>
      <w:r>
        <w:rPr>
          <w:rFonts w:hint="eastAsia" w:ascii="宋体" w:hAnsi="宋体" w:cs="宋体"/>
          <w:sz w:val="24"/>
          <w:u w:val="single"/>
        </w:rPr>
        <w:t xml:space="preserve">            </w:t>
      </w:r>
      <w:r>
        <w:rPr>
          <w:rFonts w:hint="eastAsia" w:ascii="宋体" w:hAnsi="宋体" w:cs="宋体"/>
          <w:sz w:val="24"/>
        </w:rPr>
        <w:t>（电子签章）</w:t>
      </w:r>
    </w:p>
    <w:p w14:paraId="01867F2A">
      <w:pPr>
        <w:spacing w:line="480" w:lineRule="auto"/>
        <w:jc w:val="center"/>
        <w:rPr>
          <w:rFonts w:ascii="宋体" w:hAnsi="宋体" w:cs="宋体"/>
          <w:sz w:val="24"/>
        </w:rPr>
      </w:pPr>
      <w:r>
        <w:rPr>
          <w:rFonts w:hint="eastAsia" w:ascii="宋体" w:hAnsi="宋体" w:cs="宋体"/>
          <w:sz w:val="24"/>
        </w:rPr>
        <w:t xml:space="preserve">                          _____年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A1F015F">
      <w:pPr>
        <w:spacing w:line="360" w:lineRule="auto"/>
        <w:rPr>
          <w:rFonts w:ascii="宋体" w:hAnsi="宋体" w:cs="宋体"/>
          <w:sz w:val="24"/>
        </w:rPr>
      </w:pPr>
    </w:p>
    <w:p w14:paraId="25C391B5">
      <w:pPr>
        <w:spacing w:line="360" w:lineRule="auto"/>
        <w:rPr>
          <w:rFonts w:ascii="宋体" w:hAnsi="宋体" w:cs="宋体"/>
          <w:sz w:val="24"/>
        </w:rPr>
      </w:pPr>
    </w:p>
    <w:p w14:paraId="17A9C58E">
      <w:pPr>
        <w:spacing w:line="360" w:lineRule="auto"/>
        <w:rPr>
          <w:rFonts w:ascii="宋体" w:hAnsi="宋体" w:cs="宋体"/>
          <w:sz w:val="24"/>
        </w:rPr>
      </w:pPr>
    </w:p>
    <w:p w14:paraId="7348F994">
      <w:pPr>
        <w:spacing w:line="360" w:lineRule="auto"/>
        <w:rPr>
          <w:rFonts w:ascii="宋体" w:hAnsi="宋体" w:cs="宋体"/>
          <w:sz w:val="24"/>
        </w:rPr>
      </w:pPr>
    </w:p>
    <w:p w14:paraId="08829875">
      <w:pPr>
        <w:spacing w:line="360" w:lineRule="auto"/>
        <w:ind w:firstLine="361" w:firstLineChars="150"/>
        <w:rPr>
          <w:rFonts w:ascii="宋体" w:hAnsi="宋体" w:cs="宋体"/>
          <w:b/>
          <w:sz w:val="24"/>
        </w:rPr>
      </w:pPr>
      <w:r>
        <w:rPr>
          <w:rFonts w:hint="eastAsia" w:ascii="宋体" w:hAnsi="宋体" w:cs="宋体"/>
          <w:b/>
          <w:sz w:val="24"/>
        </w:rPr>
        <w:t>注：1、此页格式作为响应性文件封面标准格式；</w:t>
      </w:r>
    </w:p>
    <w:p w14:paraId="6A37EBFB">
      <w:pPr>
        <w:tabs>
          <w:tab w:val="right" w:pos="6077"/>
        </w:tabs>
        <w:spacing w:line="360" w:lineRule="auto"/>
        <w:jc w:val="left"/>
        <w:rPr>
          <w:rFonts w:ascii="宋体" w:hAnsi="宋体" w:cs="宋体"/>
          <w:b/>
          <w:sz w:val="24"/>
        </w:rPr>
      </w:pPr>
    </w:p>
    <w:p w14:paraId="65D30EA8">
      <w:pPr>
        <w:spacing w:line="480" w:lineRule="exact"/>
        <w:ind w:firstLine="480" w:firstLineChars="200"/>
        <w:rPr>
          <w:rFonts w:ascii="宋体" w:hAnsi="宋体" w:cs="宋体"/>
          <w:sz w:val="24"/>
          <w:lang w:val="zh-CN"/>
        </w:rPr>
      </w:pPr>
    </w:p>
    <w:p w14:paraId="466AD5EF">
      <w:pPr>
        <w:spacing w:line="480" w:lineRule="exact"/>
        <w:ind w:firstLine="480" w:firstLineChars="200"/>
        <w:jc w:val="center"/>
        <w:rPr>
          <w:rFonts w:ascii="宋体" w:hAnsi="宋体" w:cs="宋体"/>
          <w:sz w:val="24"/>
          <w:lang w:val="zh-CN"/>
        </w:rPr>
      </w:pPr>
      <w:r>
        <w:rPr>
          <w:rFonts w:hint="eastAsia" w:ascii="宋体" w:hAnsi="宋体" w:cs="宋体"/>
          <w:sz w:val="24"/>
          <w:lang w:val="zh-CN"/>
        </w:rPr>
        <w:t>目    录</w:t>
      </w:r>
    </w:p>
    <w:p w14:paraId="121D4E98">
      <w:pPr>
        <w:spacing w:line="480" w:lineRule="exact"/>
        <w:ind w:firstLine="480" w:firstLineChars="200"/>
        <w:rPr>
          <w:rFonts w:ascii="宋体" w:hAnsi="宋体" w:cs="宋体"/>
          <w:sz w:val="24"/>
          <w:lang w:val="zh-CN"/>
        </w:rPr>
      </w:pPr>
    </w:p>
    <w:p w14:paraId="21D9FD1C">
      <w:pPr>
        <w:spacing w:line="480" w:lineRule="exact"/>
        <w:ind w:firstLine="420" w:firstLineChars="200"/>
        <w:rPr>
          <w:rFonts w:ascii="宋体" w:hAnsi="宋体" w:cs="宋体"/>
          <w:sz w:val="24"/>
          <w:lang w:val="zh-CN"/>
        </w:rPr>
      </w:pPr>
      <w:r>
        <w:fldChar w:fldCharType="begin"/>
      </w:r>
      <w:r>
        <w:instrText xml:space="preserve"> HYPERLINK \l "_Toc20884" </w:instrText>
      </w:r>
      <w:r>
        <w:fldChar w:fldCharType="separate"/>
      </w:r>
      <w:r>
        <w:rPr>
          <w:rFonts w:hint="eastAsia" w:ascii="宋体" w:hAnsi="宋体" w:cs="宋体"/>
          <w:sz w:val="24"/>
        </w:rPr>
        <w:t>1磋商申请</w:t>
      </w:r>
      <w:r>
        <w:rPr>
          <w:rFonts w:hint="eastAsia" w:ascii="宋体" w:hAnsi="宋体" w:cs="宋体"/>
          <w:sz w:val="24"/>
          <w:lang w:val="zh-CN"/>
        </w:rPr>
        <w:t>函及投标函附录</w:t>
      </w:r>
      <w:r>
        <w:rPr>
          <w:rFonts w:hint="eastAsia" w:ascii="宋体" w:hAnsi="宋体" w:cs="宋体"/>
          <w:sz w:val="24"/>
          <w:lang w:val="zh-CN"/>
        </w:rPr>
        <w:fldChar w:fldCharType="end"/>
      </w:r>
    </w:p>
    <w:p w14:paraId="6FA603A5">
      <w:pPr>
        <w:spacing w:line="480" w:lineRule="exact"/>
        <w:ind w:firstLine="420" w:firstLineChars="200"/>
        <w:rPr>
          <w:rFonts w:ascii="宋体" w:hAnsi="宋体" w:cs="宋体"/>
          <w:sz w:val="24"/>
          <w:lang w:val="zh-CN"/>
        </w:rPr>
      </w:pPr>
      <w:r>
        <w:fldChar w:fldCharType="begin"/>
      </w:r>
      <w:r>
        <w:instrText xml:space="preserve"> HYPERLINK \l "_Toc5977" </w:instrText>
      </w:r>
      <w:r>
        <w:fldChar w:fldCharType="separate"/>
      </w:r>
      <w:r>
        <w:rPr>
          <w:rFonts w:hint="eastAsia" w:ascii="宋体" w:hAnsi="宋体" w:cs="宋体"/>
          <w:sz w:val="24"/>
        </w:rPr>
        <w:t>2</w:t>
      </w:r>
      <w:r>
        <w:rPr>
          <w:rFonts w:hint="eastAsia" w:ascii="宋体" w:hAnsi="宋体" w:cs="宋体"/>
          <w:sz w:val="24"/>
          <w:lang w:val="zh-CN"/>
        </w:rPr>
        <w:t>法定代表人身份证明及授权委托书</w:t>
      </w:r>
      <w:r>
        <w:rPr>
          <w:rFonts w:hint="eastAsia" w:ascii="宋体" w:hAnsi="宋体" w:cs="宋体"/>
          <w:sz w:val="24"/>
          <w:lang w:val="zh-CN"/>
        </w:rPr>
        <w:fldChar w:fldCharType="end"/>
      </w:r>
    </w:p>
    <w:p w14:paraId="7C7BED7B">
      <w:pPr>
        <w:spacing w:line="480" w:lineRule="exact"/>
        <w:ind w:firstLine="480" w:firstLineChars="200"/>
        <w:jc w:val="left"/>
        <w:rPr>
          <w:rFonts w:ascii="宋体" w:hAnsi="宋体" w:cs="宋体"/>
          <w:sz w:val="24"/>
          <w:lang w:val="zh-CN"/>
        </w:rPr>
      </w:pPr>
      <w:r>
        <w:rPr>
          <w:rFonts w:hint="eastAsia" w:ascii="宋体" w:hAnsi="宋体" w:cs="宋体"/>
          <w:sz w:val="24"/>
          <w:lang w:val="zh-CN"/>
        </w:rPr>
        <w:t>3投标承诺函</w:t>
      </w:r>
    </w:p>
    <w:p w14:paraId="47713C3C">
      <w:pPr>
        <w:spacing w:line="480" w:lineRule="exact"/>
        <w:ind w:firstLine="480" w:firstLineChars="200"/>
        <w:rPr>
          <w:rFonts w:ascii="宋体" w:hAnsi="宋体" w:cs="宋体"/>
          <w:sz w:val="24"/>
        </w:rPr>
      </w:pPr>
      <w:r>
        <w:rPr>
          <w:rFonts w:hint="eastAsia" w:ascii="宋体" w:hAnsi="宋体" w:cs="宋体"/>
          <w:sz w:val="24"/>
          <w:lang w:val="zh-CN"/>
        </w:rPr>
        <w:fldChar w:fldCharType="begin"/>
      </w:r>
      <w:r>
        <w:rPr>
          <w:rFonts w:hint="eastAsia" w:ascii="宋体" w:hAnsi="宋体" w:cs="宋体"/>
          <w:sz w:val="24"/>
          <w:lang w:val="zh-CN"/>
        </w:rPr>
        <w:instrText xml:space="preserve"> HYPERLINK \l _Toc30617 </w:instrText>
      </w:r>
      <w:r>
        <w:rPr>
          <w:rFonts w:hint="eastAsia" w:ascii="宋体" w:hAnsi="宋体" w:cs="宋体"/>
          <w:sz w:val="24"/>
          <w:lang w:val="zh-CN"/>
        </w:rPr>
        <w:fldChar w:fldCharType="separate"/>
      </w:r>
      <w:r>
        <w:rPr>
          <w:rFonts w:hint="eastAsia" w:ascii="宋体" w:hAnsi="宋体" w:cs="宋体"/>
          <w:sz w:val="24"/>
        </w:rPr>
        <w:t>4</w:t>
      </w:r>
      <w:r>
        <w:rPr>
          <w:rFonts w:hint="eastAsia" w:ascii="宋体" w:hAnsi="宋体" w:cs="宋体"/>
          <w:sz w:val="24"/>
          <w:lang w:val="zh-CN"/>
        </w:rPr>
        <w:t>供应商</w:t>
      </w:r>
      <w:r>
        <w:rPr>
          <w:rFonts w:hint="eastAsia" w:ascii="宋体" w:hAnsi="宋体" w:cs="宋体"/>
          <w:sz w:val="24"/>
        </w:rPr>
        <w:t xml:space="preserve">基本情况 </w:t>
      </w:r>
    </w:p>
    <w:p w14:paraId="5C8EE035">
      <w:pPr>
        <w:spacing w:line="480" w:lineRule="exact"/>
        <w:ind w:firstLine="480" w:firstLineChars="200"/>
        <w:rPr>
          <w:rFonts w:ascii="宋体" w:hAnsi="宋体" w:cs="宋体"/>
          <w:sz w:val="24"/>
        </w:rPr>
      </w:pPr>
      <w:r>
        <w:rPr>
          <w:rFonts w:hint="eastAsia" w:ascii="宋体" w:hAnsi="宋体" w:cs="宋体"/>
          <w:sz w:val="24"/>
        </w:rPr>
        <w:t>5技术方案</w:t>
      </w:r>
    </w:p>
    <w:p w14:paraId="0A57A512">
      <w:pPr>
        <w:spacing w:line="480" w:lineRule="exact"/>
        <w:ind w:firstLine="480" w:firstLineChars="200"/>
        <w:rPr>
          <w:rFonts w:ascii="宋体" w:hAnsi="宋体" w:cs="宋体"/>
          <w:sz w:val="24"/>
        </w:rPr>
      </w:pPr>
      <w:r>
        <w:rPr>
          <w:rFonts w:hint="eastAsia" w:ascii="宋体" w:hAnsi="宋体" w:cs="宋体"/>
          <w:sz w:val="24"/>
          <w:lang w:val="zh-CN"/>
        </w:rPr>
        <w:t>6</w:t>
      </w:r>
      <w:r>
        <w:rPr>
          <w:rFonts w:hint="eastAsia" w:ascii="宋体" w:hAnsi="宋体" w:cs="宋体"/>
          <w:color w:val="000000"/>
          <w:sz w:val="24"/>
          <w:lang w:val="zh-CN"/>
        </w:rPr>
        <w:t xml:space="preserve">履职尽责承诺及服务承诺 </w:t>
      </w:r>
    </w:p>
    <w:p w14:paraId="23DB12AD">
      <w:pPr>
        <w:spacing w:line="480" w:lineRule="exact"/>
        <w:ind w:firstLine="480" w:firstLineChars="200"/>
        <w:rPr>
          <w:rFonts w:ascii="宋体" w:hAnsi="宋体" w:cs="宋体"/>
          <w:sz w:val="24"/>
          <w:lang w:val="zh-CN"/>
        </w:rPr>
      </w:pPr>
      <w:r>
        <w:rPr>
          <w:rFonts w:hint="eastAsia" w:ascii="宋体" w:hAnsi="宋体" w:cs="宋体"/>
          <w:sz w:val="24"/>
          <w:lang w:val="zh-CN"/>
        </w:rPr>
        <w:t>7</w:t>
      </w:r>
      <w:r>
        <w:rPr>
          <w:rFonts w:hint="eastAsia" w:ascii="宋体" w:hAnsi="宋体" w:cs="宋体"/>
          <w:color w:val="000000"/>
          <w:sz w:val="24"/>
          <w:lang w:val="zh-CN"/>
        </w:rPr>
        <w:t>投标供应商认为需提供的其他资料</w:t>
      </w:r>
      <w:r>
        <w:rPr>
          <w:rFonts w:hint="eastAsia" w:ascii="宋体" w:hAnsi="宋体" w:cs="宋体"/>
          <w:sz w:val="24"/>
          <w:lang w:val="zh-CN"/>
        </w:rPr>
        <w:fldChar w:fldCharType="end"/>
      </w:r>
    </w:p>
    <w:p w14:paraId="46273E3B">
      <w:pPr>
        <w:spacing w:line="480" w:lineRule="exact"/>
        <w:ind w:firstLine="480" w:firstLineChars="200"/>
        <w:rPr>
          <w:rFonts w:ascii="宋体" w:hAnsi="宋体" w:cs="宋体"/>
          <w:sz w:val="24"/>
          <w:lang w:val="zh-CN"/>
        </w:rPr>
      </w:pPr>
      <w:r>
        <w:rPr>
          <w:rFonts w:hint="eastAsia" w:ascii="宋体" w:hAnsi="宋体" w:cs="宋体"/>
          <w:sz w:val="24"/>
          <w:lang w:val="zh-CN"/>
        </w:rPr>
        <w:fldChar w:fldCharType="begin"/>
      </w:r>
      <w:r>
        <w:rPr>
          <w:rFonts w:hint="eastAsia" w:ascii="宋体" w:hAnsi="宋体" w:cs="宋体"/>
          <w:sz w:val="24"/>
          <w:lang w:val="zh-CN"/>
        </w:rPr>
        <w:instrText xml:space="preserve"> HYPERLINK \l _Toc12541 </w:instrText>
      </w:r>
      <w:r>
        <w:rPr>
          <w:rFonts w:hint="eastAsia" w:ascii="宋体" w:hAnsi="宋体" w:cs="宋体"/>
          <w:sz w:val="24"/>
          <w:lang w:val="zh-CN"/>
        </w:rPr>
        <w:fldChar w:fldCharType="separate"/>
      </w:r>
      <w:r>
        <w:rPr>
          <w:rFonts w:hint="eastAsia" w:ascii="宋体" w:hAnsi="宋体" w:cs="宋体"/>
          <w:sz w:val="24"/>
          <w:lang w:val="zh-CN"/>
        </w:rPr>
        <w:t xml:space="preserve"> </w:t>
      </w:r>
    </w:p>
    <w:p w14:paraId="372A0312">
      <w:pPr>
        <w:spacing w:line="480" w:lineRule="exact"/>
        <w:ind w:firstLine="480" w:firstLineChars="200"/>
        <w:rPr>
          <w:rFonts w:ascii="宋体" w:hAnsi="宋体" w:cs="宋体"/>
          <w:sz w:val="24"/>
          <w:lang w:val="zh-CN"/>
        </w:rPr>
      </w:pPr>
      <w:r>
        <w:rPr>
          <w:rFonts w:hint="eastAsia" w:ascii="宋体" w:hAnsi="宋体" w:cs="宋体"/>
          <w:sz w:val="24"/>
          <w:lang w:val="zh-CN"/>
        </w:rPr>
        <w:fldChar w:fldCharType="end"/>
      </w:r>
    </w:p>
    <w:p w14:paraId="3EFB73B8">
      <w:pPr>
        <w:spacing w:line="480" w:lineRule="exact"/>
        <w:ind w:firstLine="420" w:firstLineChars="200"/>
        <w:rPr>
          <w:rFonts w:ascii="宋体" w:hAnsi="宋体" w:cs="宋体"/>
          <w:sz w:val="24"/>
          <w:lang w:val="zh-CN"/>
        </w:rPr>
      </w:pPr>
      <w:r>
        <w:fldChar w:fldCharType="begin"/>
      </w:r>
      <w:r>
        <w:instrText xml:space="preserve"> HYPERLINK \l "_Toc28856" </w:instrText>
      </w:r>
      <w:r>
        <w:fldChar w:fldCharType="separate"/>
      </w:r>
      <w:r>
        <w:fldChar w:fldCharType="end"/>
      </w:r>
      <w:r>
        <w:rPr>
          <w:rFonts w:hint="eastAsia" w:ascii="宋体" w:hAnsi="宋体" w:cs="宋体"/>
          <w:sz w:val="24"/>
          <w:lang w:val="zh-CN"/>
        </w:rPr>
        <w:t xml:space="preserve"> </w:t>
      </w:r>
    </w:p>
    <w:p w14:paraId="5B30FFE0">
      <w:pPr>
        <w:spacing w:line="480" w:lineRule="exact"/>
        <w:ind w:firstLine="480" w:firstLineChars="200"/>
        <w:rPr>
          <w:rFonts w:ascii="宋体" w:hAnsi="宋体" w:cs="宋体"/>
          <w:sz w:val="24"/>
          <w:lang w:val="zh-CN"/>
        </w:rPr>
      </w:pPr>
    </w:p>
    <w:p w14:paraId="32CDD95B">
      <w:pPr>
        <w:spacing w:line="480" w:lineRule="exact"/>
        <w:ind w:firstLine="480" w:firstLineChars="200"/>
        <w:rPr>
          <w:rFonts w:ascii="宋体" w:hAnsi="宋体" w:cs="宋体"/>
          <w:sz w:val="24"/>
          <w:lang w:val="zh-CN"/>
        </w:rPr>
      </w:pPr>
    </w:p>
    <w:p w14:paraId="5E395084">
      <w:pPr>
        <w:spacing w:line="480" w:lineRule="exact"/>
        <w:ind w:firstLine="480" w:firstLineChars="200"/>
        <w:rPr>
          <w:rFonts w:ascii="宋体" w:hAnsi="宋体" w:cs="宋体"/>
          <w:sz w:val="24"/>
          <w:lang w:val="zh-CN"/>
        </w:rPr>
      </w:pPr>
    </w:p>
    <w:p w14:paraId="56833BD6">
      <w:pPr>
        <w:spacing w:line="480" w:lineRule="exact"/>
        <w:ind w:firstLine="480" w:firstLineChars="200"/>
        <w:rPr>
          <w:rFonts w:ascii="宋体" w:hAnsi="宋体" w:cs="宋体"/>
          <w:sz w:val="24"/>
          <w:lang w:val="zh-CN"/>
        </w:rPr>
      </w:pPr>
    </w:p>
    <w:p w14:paraId="6A64E9E4">
      <w:pPr>
        <w:spacing w:line="480" w:lineRule="exact"/>
        <w:ind w:firstLine="480" w:firstLineChars="200"/>
        <w:rPr>
          <w:rFonts w:ascii="宋体" w:hAnsi="宋体" w:cs="宋体"/>
          <w:sz w:val="24"/>
          <w:lang w:val="zh-CN"/>
        </w:rPr>
      </w:pPr>
    </w:p>
    <w:p w14:paraId="19923364">
      <w:pPr>
        <w:spacing w:line="480" w:lineRule="exact"/>
        <w:ind w:firstLine="480" w:firstLineChars="200"/>
        <w:rPr>
          <w:rFonts w:ascii="宋体" w:hAnsi="宋体" w:cs="宋体"/>
          <w:sz w:val="24"/>
          <w:lang w:val="zh-CN"/>
        </w:rPr>
      </w:pPr>
    </w:p>
    <w:p w14:paraId="74611EC7">
      <w:pPr>
        <w:spacing w:line="480" w:lineRule="exact"/>
        <w:ind w:firstLine="480" w:firstLineChars="200"/>
        <w:rPr>
          <w:rFonts w:ascii="宋体" w:hAnsi="宋体" w:cs="宋体"/>
          <w:sz w:val="24"/>
          <w:lang w:val="zh-CN"/>
        </w:rPr>
      </w:pPr>
    </w:p>
    <w:p w14:paraId="04540DC0">
      <w:pPr>
        <w:spacing w:line="480" w:lineRule="exact"/>
        <w:ind w:firstLine="480" w:firstLineChars="200"/>
        <w:rPr>
          <w:rFonts w:ascii="宋体" w:hAnsi="宋体" w:cs="宋体"/>
          <w:sz w:val="24"/>
          <w:lang w:val="zh-CN"/>
        </w:rPr>
      </w:pPr>
    </w:p>
    <w:p w14:paraId="4265BE61">
      <w:pPr>
        <w:spacing w:line="480" w:lineRule="exact"/>
        <w:ind w:firstLine="480" w:firstLineChars="200"/>
        <w:rPr>
          <w:rFonts w:ascii="宋体" w:hAnsi="宋体" w:cs="宋体"/>
          <w:sz w:val="24"/>
          <w:lang w:val="zh-CN"/>
        </w:rPr>
      </w:pPr>
    </w:p>
    <w:p w14:paraId="137F0C8B">
      <w:pPr>
        <w:spacing w:line="480" w:lineRule="exact"/>
        <w:ind w:firstLine="480" w:firstLineChars="200"/>
        <w:rPr>
          <w:rFonts w:ascii="宋体" w:hAnsi="宋体" w:cs="宋体"/>
          <w:sz w:val="24"/>
          <w:lang w:val="zh-CN"/>
        </w:rPr>
      </w:pPr>
    </w:p>
    <w:p w14:paraId="6C9936B2">
      <w:pPr>
        <w:spacing w:line="480" w:lineRule="exact"/>
        <w:ind w:firstLine="480" w:firstLineChars="200"/>
        <w:rPr>
          <w:rFonts w:ascii="宋体" w:hAnsi="宋体" w:cs="宋体"/>
          <w:sz w:val="24"/>
          <w:lang w:val="zh-CN"/>
        </w:rPr>
      </w:pPr>
      <w:bookmarkStart w:id="409" w:name="_Toc508179892"/>
      <w:bookmarkStart w:id="410" w:name="_Toc16520681"/>
      <w:bookmarkStart w:id="411" w:name="_Toc16520169"/>
    </w:p>
    <w:p w14:paraId="0BB85008">
      <w:pPr>
        <w:spacing w:line="480" w:lineRule="exact"/>
        <w:ind w:firstLine="480" w:firstLineChars="200"/>
        <w:rPr>
          <w:rFonts w:ascii="宋体" w:hAnsi="宋体" w:cs="宋体"/>
          <w:sz w:val="24"/>
          <w:lang w:val="zh-CN"/>
        </w:rPr>
      </w:pPr>
    </w:p>
    <w:p w14:paraId="13A1C909">
      <w:pPr>
        <w:spacing w:line="480" w:lineRule="exact"/>
        <w:ind w:firstLine="480" w:firstLineChars="200"/>
        <w:rPr>
          <w:rFonts w:ascii="宋体" w:hAnsi="宋体" w:cs="宋体"/>
          <w:sz w:val="24"/>
          <w:lang w:val="zh-CN"/>
        </w:rPr>
      </w:pPr>
    </w:p>
    <w:p w14:paraId="5C6B9933">
      <w:pPr>
        <w:widowControl/>
        <w:jc w:val="left"/>
        <w:rPr>
          <w:rFonts w:ascii="宋体" w:hAnsi="宋体"/>
          <w:sz w:val="24"/>
        </w:rPr>
      </w:pPr>
    </w:p>
    <w:p w14:paraId="1A56B691">
      <w:pPr>
        <w:spacing w:line="360" w:lineRule="auto"/>
        <w:jc w:val="center"/>
        <w:outlineLvl w:val="1"/>
        <w:rPr>
          <w:rFonts w:ascii="宋体" w:hAnsi="宋体" w:cs="宋体"/>
          <w:b/>
          <w:bCs/>
          <w:color w:val="000000"/>
          <w:spacing w:val="20"/>
          <w:kern w:val="44"/>
          <w:sz w:val="28"/>
          <w:szCs w:val="28"/>
        </w:rPr>
      </w:pPr>
      <w:r>
        <w:rPr>
          <w:rFonts w:ascii="宋体" w:hAnsi="宋体" w:cs="宋体"/>
          <w:b/>
          <w:bCs/>
          <w:color w:val="000000"/>
          <w:sz w:val="24"/>
        </w:rPr>
        <w:br w:type="page"/>
      </w:r>
      <w:bookmarkEnd w:id="409"/>
      <w:bookmarkEnd w:id="410"/>
      <w:bookmarkEnd w:id="411"/>
      <w:bookmarkStart w:id="412" w:name="_Toc20884"/>
      <w:bookmarkStart w:id="413" w:name="_Toc7263"/>
      <w:bookmarkStart w:id="414" w:name="_Toc9939"/>
      <w:r>
        <w:rPr>
          <w:rFonts w:hint="eastAsia" w:ascii="宋体" w:hAnsi="宋体" w:cs="宋体"/>
          <w:b/>
          <w:bCs/>
          <w:color w:val="000000"/>
          <w:sz w:val="28"/>
          <w:szCs w:val="28"/>
        </w:rPr>
        <w:t>一、</w:t>
      </w:r>
      <w:bookmarkEnd w:id="412"/>
      <w:bookmarkEnd w:id="413"/>
      <w:r>
        <w:rPr>
          <w:rFonts w:hint="eastAsia" w:ascii="宋体" w:hAnsi="宋体" w:cs="宋体"/>
          <w:b/>
          <w:bCs/>
          <w:color w:val="000000"/>
          <w:sz w:val="28"/>
          <w:szCs w:val="28"/>
        </w:rPr>
        <w:t>磋商申请函及投标函附录</w:t>
      </w:r>
      <w:bookmarkEnd w:id="414"/>
    </w:p>
    <w:p w14:paraId="2E4A1073">
      <w:pPr>
        <w:jc w:val="center"/>
        <w:rPr>
          <w:rFonts w:ascii="宋体" w:hAnsi="宋体" w:cs="宋体"/>
          <w:b/>
          <w:sz w:val="24"/>
        </w:rPr>
      </w:pPr>
      <w:r>
        <w:rPr>
          <w:rFonts w:hint="eastAsia" w:ascii="宋体" w:hAnsi="宋体" w:cs="宋体"/>
          <w:b/>
          <w:sz w:val="24"/>
        </w:rPr>
        <w:t>（1）磋商申请函</w:t>
      </w:r>
    </w:p>
    <w:p w14:paraId="04E3C04D">
      <w:pPr>
        <w:spacing w:before="100" w:beforeAutospacing="1" w:after="100" w:afterAutospacing="1" w:line="276" w:lineRule="auto"/>
        <w:ind w:left="240"/>
        <w:rPr>
          <w:rFonts w:ascii="宋体" w:hAnsi="宋体" w:cs="宋体"/>
          <w:sz w:val="24"/>
        </w:rPr>
      </w:pPr>
      <w:r>
        <w:rPr>
          <w:rFonts w:hint="eastAsia" w:ascii="宋体" w:hAnsi="宋体" w:cs="宋体"/>
          <w:bCs/>
          <w:sz w:val="24"/>
        </w:rPr>
        <w:t>致:</w:t>
      </w:r>
      <w:r>
        <w:rPr>
          <w:rFonts w:hint="eastAsia" w:ascii="宋体" w:hAnsi="宋体" w:cs="宋体"/>
          <w:color w:val="000000"/>
          <w:sz w:val="24"/>
          <w:u w:val="single"/>
          <w:lang w:bidi="zh-CN"/>
        </w:rPr>
        <w:t xml:space="preserve">                </w:t>
      </w:r>
      <w:r>
        <w:rPr>
          <w:rFonts w:hint="eastAsia" w:ascii="宋体" w:hAnsi="宋体" w:cs="宋体"/>
          <w:color w:val="000000"/>
          <w:sz w:val="24"/>
          <w:lang w:bidi="zh-CN"/>
        </w:rPr>
        <w:t>（采购人名称）</w:t>
      </w:r>
      <w:r>
        <w:rPr>
          <w:rFonts w:hint="eastAsia" w:ascii="宋体" w:hAnsi="宋体" w:cs="宋体"/>
          <w:sz w:val="24"/>
        </w:rPr>
        <w:t xml:space="preserve"> </w:t>
      </w:r>
    </w:p>
    <w:p w14:paraId="5E5171BA">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u w:val="single"/>
        </w:rPr>
        <w:t xml:space="preserve">           </w:t>
      </w:r>
      <w:r>
        <w:rPr>
          <w:rFonts w:hint="eastAsia" w:ascii="宋体" w:hAnsi="宋体" w:cs="宋体"/>
          <w:sz w:val="24"/>
        </w:rPr>
        <w:t>(供应商全称)授权</w:t>
      </w:r>
      <w:r>
        <w:rPr>
          <w:rFonts w:hint="eastAsia" w:ascii="宋体" w:hAnsi="宋体" w:cs="宋体"/>
          <w:sz w:val="24"/>
          <w:u w:val="single"/>
        </w:rPr>
        <w:t xml:space="preserve">       </w:t>
      </w:r>
      <w:r>
        <w:rPr>
          <w:rFonts w:hint="eastAsia" w:ascii="宋体" w:hAnsi="宋体" w:cs="宋体"/>
          <w:sz w:val="24"/>
        </w:rPr>
        <w:t>(供应商代表姓名)</w:t>
      </w:r>
      <w:r>
        <w:rPr>
          <w:rFonts w:hint="eastAsia" w:ascii="宋体" w:hAnsi="宋体" w:cs="宋体"/>
          <w:sz w:val="24"/>
          <w:u w:val="single"/>
        </w:rPr>
        <w:t xml:space="preserve">      </w:t>
      </w:r>
      <w:r>
        <w:rPr>
          <w:rFonts w:hint="eastAsia" w:ascii="宋体" w:hAnsi="宋体" w:cs="宋体"/>
          <w:sz w:val="24"/>
        </w:rPr>
        <w:t xml:space="preserve"> (职务、职称)为我方代表，参加贵方组织的招标的有关活动，并对此项目进行投标。为此：</w:t>
      </w:r>
    </w:p>
    <w:p w14:paraId="22281803">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1、我方同意在本项目竞争性磋商文件中规定的投标截止日期起日内60（日历天）遵守本响应文件中的承诺且在此期限期满之前均具有约束力。</w:t>
      </w:r>
    </w:p>
    <w:p w14:paraId="0BC06810">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2、我方承诺已经具备《中华人民共和国政府采购法》中规定的参加政府采购活动的供应商应当具备的条件。</w:t>
      </w:r>
    </w:p>
    <w:p w14:paraId="53CB9F16">
      <w:pPr>
        <w:spacing w:before="100" w:beforeAutospacing="1" w:after="100" w:afterAutospacing="1" w:line="276" w:lineRule="auto"/>
        <w:ind w:left="1" w:firstLine="480" w:firstLineChars="200"/>
        <w:rPr>
          <w:rFonts w:ascii="宋体" w:hAnsi="宋体" w:cs="宋体"/>
          <w:sz w:val="24"/>
          <w:u w:val="single"/>
        </w:rPr>
      </w:pPr>
      <w:r>
        <w:rPr>
          <w:rFonts w:hint="eastAsia" w:ascii="宋体" w:hAnsi="宋体" w:cs="宋体"/>
          <w:sz w:val="24"/>
        </w:rPr>
        <w:t>3、我方按竞争性磋商文件要求提供和交付本次采购项目服务的投标报价为：</w:t>
      </w:r>
      <w:r>
        <w:rPr>
          <w:rFonts w:hint="eastAsia" w:ascii="宋体" w:hAnsi="宋体" w:cs="宋体"/>
          <w:sz w:val="24"/>
          <w:u w:val="single"/>
        </w:rPr>
        <w:t xml:space="preserve">     </w:t>
      </w:r>
    </w:p>
    <w:p w14:paraId="134CDEDD">
      <w:pPr>
        <w:spacing w:before="100" w:beforeAutospacing="1" w:after="100" w:afterAutospacing="1" w:line="276" w:lineRule="auto"/>
        <w:rPr>
          <w:rFonts w:ascii="宋体" w:hAnsi="宋体" w:cs="宋体"/>
          <w:sz w:val="24"/>
        </w:rPr>
      </w:pPr>
      <w:r>
        <w:rPr>
          <w:rFonts w:hint="eastAsia" w:ascii="宋体" w:hAnsi="宋体" w:cs="宋体"/>
          <w:sz w:val="24"/>
          <w:u w:val="single"/>
        </w:rPr>
        <w:t xml:space="preserve">       </w:t>
      </w:r>
      <w:r>
        <w:rPr>
          <w:rFonts w:hint="eastAsia" w:ascii="宋体" w:hAnsi="宋体" w:cs="宋体"/>
          <w:sz w:val="24"/>
        </w:rPr>
        <w:t xml:space="preserve"> (大写)，</w:t>
      </w:r>
      <w:r>
        <w:rPr>
          <w:rFonts w:hint="eastAsia" w:ascii="宋体" w:hAnsi="宋体" w:cs="宋体"/>
          <w:sz w:val="24"/>
          <w:u w:val="single"/>
        </w:rPr>
        <w:t xml:space="preserve">        </w:t>
      </w:r>
      <w:r>
        <w:rPr>
          <w:rFonts w:hint="eastAsia" w:ascii="宋体" w:hAnsi="宋体" w:cs="宋体"/>
          <w:sz w:val="24"/>
        </w:rPr>
        <w:t xml:space="preserve">(小写)。 </w:t>
      </w:r>
    </w:p>
    <w:p w14:paraId="23C1C36A">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4、我方保证忠实地执行双方所签订的合同，并承担合同规定的责任和义务。</w:t>
      </w:r>
    </w:p>
    <w:p w14:paraId="08B7406E">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5、我方承诺完全满足和响应竞争性磋商文件中的各项商务和技术要求，若有偏差，已在响应文件商务条款偏离表中予以明确特别说明。</w:t>
      </w:r>
    </w:p>
    <w:p w14:paraId="717465A1">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6、我方完全理解贵方不一定接受最低价的投标。</w:t>
      </w:r>
    </w:p>
    <w:p w14:paraId="5A156638">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7、我方愿意向贵方提供任何与本项投标有关的数据、情况和技术资料。若贵方需要，我方愿意提供我方作出的一切承诺的证明材料。</w:t>
      </w:r>
    </w:p>
    <w:p w14:paraId="08D1C3E4">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8、我方已详细审核全部响应文件及有关附件，确认无误。</w:t>
      </w:r>
    </w:p>
    <w:p w14:paraId="2EF6F4BF">
      <w:pPr>
        <w:spacing w:before="100" w:beforeAutospacing="1" w:after="100" w:afterAutospacing="1" w:line="276" w:lineRule="auto"/>
        <w:ind w:firstLine="480" w:firstLineChars="200"/>
        <w:rPr>
          <w:rFonts w:ascii="宋体" w:hAnsi="宋体" w:cs="宋体"/>
          <w:sz w:val="24"/>
        </w:rPr>
      </w:pPr>
      <w:r>
        <w:rPr>
          <w:rFonts w:hint="eastAsia" w:ascii="宋体" w:hAnsi="宋体" w:cs="宋体"/>
          <w:sz w:val="24"/>
        </w:rPr>
        <w:t>9、我方一旦中标，同意</w:t>
      </w:r>
      <w:r>
        <w:rPr>
          <w:rFonts w:hint="eastAsia" w:ascii="宋体" w:hAnsi="宋体"/>
          <w:sz w:val="24"/>
        </w:rPr>
        <w:t>参照豫招协【2023】002号文件所规定的收费标准缴纳</w:t>
      </w:r>
      <w:r>
        <w:rPr>
          <w:rFonts w:hint="eastAsia" w:ascii="宋体" w:hAnsi="宋体" w:cs="宋体"/>
          <w:sz w:val="24"/>
        </w:rPr>
        <w:t>招标代理服务费。</w:t>
      </w:r>
    </w:p>
    <w:p w14:paraId="7A62B27E">
      <w:pPr>
        <w:pStyle w:val="3"/>
        <w:rPr>
          <w:rFonts w:ascii="Times New Roman"/>
        </w:rPr>
      </w:pPr>
    </w:p>
    <w:p w14:paraId="410DD644">
      <w:pPr>
        <w:spacing w:before="100" w:beforeAutospacing="1" w:after="100" w:afterAutospacing="1" w:line="380" w:lineRule="exact"/>
        <w:ind w:firstLine="480" w:firstLineChars="200"/>
        <w:rPr>
          <w:rFonts w:ascii="宋体" w:hAnsi="宋体" w:cs="宋体"/>
          <w:sz w:val="24"/>
        </w:rPr>
      </w:pPr>
      <w:r>
        <w:rPr>
          <w:rFonts w:hint="eastAsia" w:ascii="宋体" w:hAnsi="宋体" w:cs="宋体"/>
          <w:sz w:val="24"/>
        </w:rPr>
        <w:t>投标供应商（电子签章）：</w:t>
      </w:r>
    </w:p>
    <w:p w14:paraId="0C16C6E7">
      <w:pPr>
        <w:spacing w:before="100" w:beforeAutospacing="1" w:after="100" w:afterAutospacing="1" w:line="380" w:lineRule="exact"/>
        <w:ind w:firstLine="480" w:firstLineChars="200"/>
        <w:rPr>
          <w:rFonts w:ascii="宋体" w:hAnsi="宋体" w:cs="宋体"/>
          <w:sz w:val="24"/>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宋体"/>
          <w:sz w:val="24"/>
        </w:rPr>
        <w:t>（电子签章）：</w:t>
      </w:r>
    </w:p>
    <w:p w14:paraId="3946E96E">
      <w:pPr>
        <w:autoSpaceDE w:val="0"/>
        <w:autoSpaceDN w:val="0"/>
        <w:adjustRightInd w:val="0"/>
        <w:ind w:firstLine="480" w:firstLineChars="200"/>
        <w:jc w:val="left"/>
        <w:rPr>
          <w:rFonts w:ascii="宋体" w:hAnsi="宋体" w:cs="宋体"/>
          <w:color w:val="000000"/>
          <w:kern w:val="0"/>
          <w:sz w:val="24"/>
        </w:rPr>
      </w:pPr>
      <w:r>
        <w:rPr>
          <w:rFonts w:hint="eastAsia" w:ascii="宋体" w:hAnsi="宋体" w:cs="宋体"/>
          <w:color w:val="000000"/>
          <w:kern w:val="0"/>
          <w:sz w:val="24"/>
        </w:rPr>
        <w:t>电话：（填写能联系到的电话号码，方便通知二次报价）</w:t>
      </w:r>
    </w:p>
    <w:p w14:paraId="4F14D35A">
      <w:pPr>
        <w:spacing w:before="100" w:beforeAutospacing="1" w:after="100" w:afterAutospacing="1" w:line="380" w:lineRule="exact"/>
        <w:ind w:firstLine="480" w:firstLineChars="200"/>
        <w:rPr>
          <w:rFonts w:ascii="宋体" w:hAnsi="宋体" w:cs="宋体"/>
          <w:sz w:val="24"/>
        </w:rPr>
      </w:pPr>
      <w:r>
        <w:rPr>
          <w:rFonts w:hint="eastAsia" w:ascii="宋体" w:hAnsi="宋体" w:cs="宋体"/>
          <w:sz w:val="24"/>
        </w:rPr>
        <w:t>日期：</w:t>
      </w:r>
    </w:p>
    <w:p w14:paraId="06B9967A">
      <w:pPr>
        <w:jc w:val="center"/>
        <w:rPr>
          <w:rFonts w:ascii="宋体" w:hAnsi="宋体" w:cs="宋体"/>
          <w:b/>
          <w:sz w:val="24"/>
        </w:rPr>
      </w:pPr>
      <w:r>
        <w:rPr>
          <w:rFonts w:hint="eastAsia" w:ascii="宋体" w:hAnsi="宋体" w:cs="宋体"/>
          <w:b/>
          <w:sz w:val="24"/>
        </w:rPr>
        <w:t>（2）投标函附录</w:t>
      </w:r>
    </w:p>
    <w:p w14:paraId="42EE1DFD">
      <w:pPr>
        <w:pStyle w:val="3"/>
        <w:rPr>
          <w:rFonts w:hAnsi="宋体"/>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1"/>
        <w:gridCol w:w="6240"/>
      </w:tblGrid>
      <w:tr w14:paraId="0105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2331" w:type="dxa"/>
            <w:vAlign w:val="center"/>
          </w:tcPr>
          <w:p w14:paraId="344B3A27">
            <w:pPr>
              <w:spacing w:line="360" w:lineRule="auto"/>
              <w:jc w:val="center"/>
              <w:rPr>
                <w:rFonts w:ascii="宋体" w:hAnsi="宋体" w:cs="宋体"/>
                <w:color w:val="000000"/>
                <w:sz w:val="24"/>
              </w:rPr>
            </w:pPr>
            <w:r>
              <w:rPr>
                <w:rFonts w:hint="eastAsia" w:ascii="宋体" w:hAnsi="宋体" w:cs="宋体"/>
                <w:color w:val="000000"/>
                <w:sz w:val="24"/>
              </w:rPr>
              <w:t>项目名称</w:t>
            </w:r>
          </w:p>
        </w:tc>
        <w:tc>
          <w:tcPr>
            <w:tcW w:w="6240" w:type="dxa"/>
          </w:tcPr>
          <w:p w14:paraId="0FA8C4E4">
            <w:pPr>
              <w:spacing w:line="360" w:lineRule="auto"/>
              <w:rPr>
                <w:rFonts w:ascii="宋体" w:hAnsi="宋体" w:cs="宋体"/>
                <w:color w:val="000000"/>
                <w:sz w:val="24"/>
              </w:rPr>
            </w:pPr>
          </w:p>
        </w:tc>
      </w:tr>
      <w:tr w14:paraId="0993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2331" w:type="dxa"/>
            <w:vAlign w:val="center"/>
          </w:tcPr>
          <w:p w14:paraId="437F890D">
            <w:pPr>
              <w:spacing w:line="360" w:lineRule="auto"/>
              <w:jc w:val="center"/>
              <w:rPr>
                <w:rFonts w:ascii="宋体" w:hAnsi="宋体" w:cs="宋体"/>
                <w:color w:val="000000"/>
                <w:sz w:val="24"/>
              </w:rPr>
            </w:pPr>
            <w:r>
              <w:rPr>
                <w:rFonts w:hint="eastAsia" w:ascii="宋体" w:hAnsi="宋体" w:cs="宋体"/>
                <w:color w:val="000000"/>
                <w:kern w:val="0"/>
                <w:sz w:val="24"/>
              </w:rPr>
              <w:t>供应商</w:t>
            </w:r>
            <w:r>
              <w:rPr>
                <w:rFonts w:hint="eastAsia" w:ascii="宋体" w:hAnsi="宋体" w:cs="宋体"/>
                <w:color w:val="000000"/>
                <w:sz w:val="24"/>
              </w:rPr>
              <w:t>名称</w:t>
            </w:r>
          </w:p>
        </w:tc>
        <w:tc>
          <w:tcPr>
            <w:tcW w:w="6240" w:type="dxa"/>
          </w:tcPr>
          <w:p w14:paraId="51F6D73D">
            <w:pPr>
              <w:spacing w:line="360" w:lineRule="auto"/>
              <w:rPr>
                <w:rFonts w:ascii="宋体" w:hAnsi="宋体" w:cs="宋体"/>
                <w:color w:val="000000"/>
                <w:sz w:val="24"/>
              </w:rPr>
            </w:pPr>
          </w:p>
        </w:tc>
      </w:tr>
      <w:tr w14:paraId="15FA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2331" w:type="dxa"/>
            <w:vAlign w:val="center"/>
          </w:tcPr>
          <w:p w14:paraId="03D0CBE4">
            <w:pPr>
              <w:widowControl/>
              <w:ind w:firstLine="240" w:firstLineChars="100"/>
              <w:jc w:val="center"/>
              <w:rPr>
                <w:rFonts w:ascii="宋体" w:hAnsi="宋体" w:cs="宋体"/>
                <w:sz w:val="24"/>
              </w:rPr>
            </w:pPr>
            <w:r>
              <w:rPr>
                <w:rFonts w:hint="eastAsia" w:ascii="宋体" w:hAnsi="宋体" w:cs="宋体"/>
                <w:sz w:val="24"/>
              </w:rPr>
              <w:t>响应范围</w:t>
            </w:r>
          </w:p>
        </w:tc>
        <w:tc>
          <w:tcPr>
            <w:tcW w:w="6240" w:type="dxa"/>
            <w:vAlign w:val="center"/>
          </w:tcPr>
          <w:p w14:paraId="3BAABCF6">
            <w:pPr>
              <w:spacing w:line="600" w:lineRule="exact"/>
              <w:jc w:val="left"/>
              <w:rPr>
                <w:rFonts w:ascii="宋体" w:hAnsi="宋体" w:cs="宋体"/>
                <w:sz w:val="24"/>
              </w:rPr>
            </w:pPr>
            <w:r>
              <w:rPr>
                <w:rFonts w:hint="eastAsia" w:ascii="宋体" w:hAnsi="宋体" w:cs="宋体"/>
                <w:sz w:val="24"/>
              </w:rPr>
              <w:t>完成磋商文件采购内容及服务范围的所有服务，满足采购人服务需求</w:t>
            </w:r>
          </w:p>
        </w:tc>
      </w:tr>
      <w:tr w14:paraId="2FF3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2331" w:type="dxa"/>
            <w:vAlign w:val="center"/>
          </w:tcPr>
          <w:p w14:paraId="28735817">
            <w:pPr>
              <w:widowControl/>
              <w:ind w:firstLine="240" w:firstLineChars="100"/>
              <w:jc w:val="center"/>
              <w:rPr>
                <w:rFonts w:ascii="宋体" w:hAnsi="宋体" w:cs="宋体"/>
                <w:sz w:val="24"/>
              </w:rPr>
            </w:pPr>
            <w:r>
              <w:rPr>
                <w:rFonts w:hint="eastAsia" w:ascii="宋体" w:hAnsi="宋体" w:cs="宋体"/>
                <w:sz w:val="24"/>
              </w:rPr>
              <w:t xml:space="preserve">投标报价 </w:t>
            </w:r>
          </w:p>
          <w:p w14:paraId="5B3BAFAD">
            <w:pPr>
              <w:widowControl/>
              <w:ind w:firstLine="240" w:firstLineChars="100"/>
              <w:jc w:val="center"/>
              <w:rPr>
                <w:rFonts w:ascii="宋体" w:hAnsi="宋体" w:cs="宋体"/>
                <w:sz w:val="24"/>
              </w:rPr>
            </w:pPr>
            <w:r>
              <w:rPr>
                <w:rFonts w:hint="eastAsia" w:ascii="宋体" w:hAnsi="宋体" w:cs="宋体"/>
                <w:sz w:val="24"/>
              </w:rPr>
              <w:t>（元）</w:t>
            </w:r>
          </w:p>
        </w:tc>
        <w:tc>
          <w:tcPr>
            <w:tcW w:w="6240" w:type="dxa"/>
            <w:vAlign w:val="center"/>
          </w:tcPr>
          <w:p w14:paraId="4AAE87B4">
            <w:pPr>
              <w:spacing w:line="360" w:lineRule="auto"/>
              <w:rPr>
                <w:rFonts w:ascii="宋体" w:hAnsi="宋体" w:cs="宋体"/>
                <w:sz w:val="24"/>
              </w:rPr>
            </w:pPr>
            <w:r>
              <w:rPr>
                <w:rFonts w:hint="eastAsia" w:ascii="宋体" w:hAnsi="宋体" w:cs="宋体"/>
                <w:sz w:val="24"/>
              </w:rPr>
              <w:t>小写：</w:t>
            </w:r>
          </w:p>
          <w:p w14:paraId="182E5A30">
            <w:pPr>
              <w:spacing w:line="360" w:lineRule="auto"/>
              <w:rPr>
                <w:rFonts w:ascii="宋体" w:hAnsi="宋体" w:cs="宋体"/>
                <w:sz w:val="24"/>
              </w:rPr>
            </w:pPr>
            <w:r>
              <w:rPr>
                <w:rFonts w:hint="eastAsia" w:ascii="宋体" w:hAnsi="宋体" w:cs="宋体"/>
                <w:sz w:val="24"/>
              </w:rPr>
              <w:t>大写：</w:t>
            </w:r>
          </w:p>
        </w:tc>
      </w:tr>
      <w:tr w14:paraId="3F3D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2331" w:type="dxa"/>
            <w:vAlign w:val="center"/>
          </w:tcPr>
          <w:p w14:paraId="02F8EFD9">
            <w:pPr>
              <w:spacing w:line="360" w:lineRule="auto"/>
              <w:jc w:val="center"/>
              <w:rPr>
                <w:rFonts w:ascii="宋体" w:hAnsi="宋体" w:cs="宋体"/>
                <w:color w:val="000000"/>
                <w:sz w:val="24"/>
              </w:rPr>
            </w:pPr>
            <w:r>
              <w:rPr>
                <w:rFonts w:hint="eastAsia" w:ascii="宋体" w:hAnsi="宋体" w:cs="宋体"/>
                <w:color w:val="000000"/>
                <w:sz w:val="24"/>
              </w:rPr>
              <w:t>服务期限</w:t>
            </w:r>
          </w:p>
        </w:tc>
        <w:tc>
          <w:tcPr>
            <w:tcW w:w="6240" w:type="dxa"/>
          </w:tcPr>
          <w:p w14:paraId="6977338F">
            <w:pPr>
              <w:spacing w:line="360" w:lineRule="auto"/>
              <w:rPr>
                <w:rFonts w:ascii="宋体" w:hAnsi="宋体" w:cs="宋体"/>
                <w:color w:val="000000"/>
                <w:sz w:val="24"/>
              </w:rPr>
            </w:pPr>
          </w:p>
        </w:tc>
      </w:tr>
      <w:tr w14:paraId="02B0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2331" w:type="dxa"/>
            <w:vAlign w:val="center"/>
          </w:tcPr>
          <w:p w14:paraId="37656CCD">
            <w:pPr>
              <w:spacing w:line="360" w:lineRule="auto"/>
              <w:jc w:val="center"/>
              <w:rPr>
                <w:rFonts w:ascii="宋体" w:hAnsi="宋体" w:cs="宋体"/>
                <w:color w:val="000000"/>
                <w:sz w:val="24"/>
              </w:rPr>
            </w:pPr>
            <w:r>
              <w:rPr>
                <w:rFonts w:hint="eastAsia" w:ascii="宋体" w:hAnsi="宋体" w:cs="宋体"/>
                <w:color w:val="000000"/>
                <w:sz w:val="24"/>
              </w:rPr>
              <w:t>质量要求</w:t>
            </w:r>
          </w:p>
        </w:tc>
        <w:tc>
          <w:tcPr>
            <w:tcW w:w="6240" w:type="dxa"/>
          </w:tcPr>
          <w:p w14:paraId="5DD1821D">
            <w:pPr>
              <w:spacing w:line="360" w:lineRule="auto"/>
              <w:rPr>
                <w:rFonts w:ascii="宋体" w:hAnsi="宋体" w:cs="宋体"/>
                <w:color w:val="000000"/>
                <w:sz w:val="24"/>
              </w:rPr>
            </w:pPr>
          </w:p>
        </w:tc>
      </w:tr>
      <w:tr w14:paraId="4F95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2331" w:type="dxa"/>
            <w:vAlign w:val="center"/>
          </w:tcPr>
          <w:p w14:paraId="2E867528">
            <w:pPr>
              <w:spacing w:line="360" w:lineRule="auto"/>
              <w:jc w:val="center"/>
              <w:rPr>
                <w:rFonts w:ascii="宋体" w:hAnsi="宋体" w:cs="宋体"/>
                <w:color w:val="000000"/>
                <w:sz w:val="24"/>
              </w:rPr>
            </w:pPr>
            <w:r>
              <w:rPr>
                <w:rFonts w:hint="eastAsia" w:ascii="宋体" w:hAnsi="宋体" w:cs="宋体"/>
                <w:color w:val="000000"/>
                <w:sz w:val="24"/>
              </w:rPr>
              <w:t>投标有效期</w:t>
            </w:r>
          </w:p>
        </w:tc>
        <w:tc>
          <w:tcPr>
            <w:tcW w:w="6240" w:type="dxa"/>
          </w:tcPr>
          <w:p w14:paraId="4A399A88">
            <w:pPr>
              <w:spacing w:line="360" w:lineRule="auto"/>
              <w:rPr>
                <w:rFonts w:ascii="宋体" w:hAnsi="宋体" w:cs="宋体"/>
                <w:color w:val="000000"/>
                <w:sz w:val="24"/>
              </w:rPr>
            </w:pPr>
          </w:p>
        </w:tc>
      </w:tr>
      <w:tr w14:paraId="799D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2331" w:type="dxa"/>
            <w:vAlign w:val="center"/>
          </w:tcPr>
          <w:p w14:paraId="105BC418">
            <w:pPr>
              <w:spacing w:line="360" w:lineRule="auto"/>
              <w:jc w:val="center"/>
              <w:rPr>
                <w:rFonts w:ascii="宋体" w:hAnsi="宋体" w:cs="宋体"/>
                <w:color w:val="000000"/>
                <w:sz w:val="24"/>
              </w:rPr>
            </w:pPr>
            <w:r>
              <w:rPr>
                <w:rFonts w:hint="eastAsia" w:ascii="宋体" w:hAnsi="宋体" w:cs="宋体"/>
                <w:color w:val="000000"/>
                <w:sz w:val="24"/>
              </w:rPr>
              <w:t>拟派项目负责人</w:t>
            </w:r>
          </w:p>
        </w:tc>
        <w:tc>
          <w:tcPr>
            <w:tcW w:w="6240" w:type="dxa"/>
          </w:tcPr>
          <w:p w14:paraId="77DF14BE">
            <w:pPr>
              <w:spacing w:line="360" w:lineRule="auto"/>
              <w:rPr>
                <w:rFonts w:ascii="宋体" w:hAnsi="宋体" w:cs="宋体"/>
                <w:color w:val="000000"/>
                <w:sz w:val="24"/>
              </w:rPr>
            </w:pPr>
          </w:p>
        </w:tc>
      </w:tr>
      <w:tr w14:paraId="075E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2331" w:type="dxa"/>
            <w:vAlign w:val="center"/>
          </w:tcPr>
          <w:p w14:paraId="0C58831A">
            <w:pPr>
              <w:spacing w:line="360" w:lineRule="auto"/>
              <w:jc w:val="center"/>
              <w:rPr>
                <w:rFonts w:ascii="宋体" w:hAnsi="宋体" w:cs="宋体"/>
                <w:color w:val="000000"/>
                <w:sz w:val="24"/>
              </w:rPr>
            </w:pPr>
            <w:r>
              <w:rPr>
                <w:rFonts w:hint="eastAsia" w:ascii="宋体" w:hAnsi="宋体" w:cs="宋体"/>
                <w:color w:val="000000"/>
                <w:sz w:val="24"/>
              </w:rPr>
              <w:t>其他说明</w:t>
            </w:r>
          </w:p>
        </w:tc>
        <w:tc>
          <w:tcPr>
            <w:tcW w:w="6240" w:type="dxa"/>
          </w:tcPr>
          <w:p w14:paraId="72A3DEE1">
            <w:pPr>
              <w:spacing w:line="360" w:lineRule="auto"/>
              <w:rPr>
                <w:rFonts w:ascii="宋体" w:hAnsi="宋体" w:cs="宋体"/>
                <w:color w:val="000000"/>
                <w:sz w:val="24"/>
              </w:rPr>
            </w:pPr>
          </w:p>
        </w:tc>
      </w:tr>
    </w:tbl>
    <w:p w14:paraId="388FE31B">
      <w:pPr>
        <w:spacing w:line="360" w:lineRule="auto"/>
        <w:rPr>
          <w:rFonts w:ascii="宋体" w:hAnsi="宋体" w:cs="宋体"/>
          <w:sz w:val="24"/>
        </w:rPr>
      </w:pPr>
      <w:r>
        <w:rPr>
          <w:rFonts w:ascii="宋体" w:hAnsi="宋体" w:cs="宋体"/>
          <w:sz w:val="24"/>
        </w:rPr>
        <w:tab/>
      </w:r>
      <w:r>
        <w:rPr>
          <w:rFonts w:hint="eastAsia" w:ascii="宋体" w:hAnsi="宋体" w:cs="宋体"/>
          <w:sz w:val="24"/>
        </w:rPr>
        <w:t xml:space="preserve">  注：以上报价包括调研踏勘费、技术咨询服务费、资料收集与数据处理费、文本编制费、评审费、管理费、税费、利润等为完成此项服务有关的一切费用，采购人不另外支付其他任何费用； </w:t>
      </w:r>
    </w:p>
    <w:p w14:paraId="5271792A"/>
    <w:p w14:paraId="3BD34C1C">
      <w:pPr>
        <w:autoSpaceDE w:val="0"/>
        <w:autoSpaceDN w:val="0"/>
        <w:adjustRightInd w:val="0"/>
        <w:spacing w:line="360" w:lineRule="auto"/>
        <w:ind w:right="315"/>
        <w:jc w:val="center"/>
        <w:textAlignment w:val="baseline"/>
        <w:rPr>
          <w:rFonts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sz w:val="24"/>
        </w:rPr>
        <w:t>投标</w:t>
      </w:r>
      <w:r>
        <w:rPr>
          <w:rFonts w:hint="eastAsia" w:ascii="宋体" w:hAnsi="宋体" w:cs="宋体"/>
          <w:color w:val="000000"/>
          <w:kern w:val="0"/>
          <w:sz w:val="24"/>
        </w:rPr>
        <w:t>供应商：</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255A0CA4">
      <w:pPr>
        <w:autoSpaceDE w:val="0"/>
        <w:autoSpaceDN w:val="0"/>
        <w:adjustRightInd w:val="0"/>
        <w:spacing w:line="360" w:lineRule="auto"/>
        <w:ind w:right="315"/>
        <w:jc w:val="center"/>
        <w:textAlignment w:val="baseline"/>
        <w:rPr>
          <w:rFonts w:ascii="宋体" w:hAnsi="宋体" w:cs="宋体"/>
          <w:color w:val="000000"/>
          <w:kern w:val="0"/>
          <w:sz w:val="24"/>
          <w:u w:val="single"/>
        </w:rPr>
      </w:pPr>
      <w:r>
        <w:rPr>
          <w:rFonts w:hint="eastAsia" w:ascii="宋体" w:hAnsi="宋体" w:cs="宋体"/>
          <w:color w:val="000000"/>
          <w:kern w:val="0"/>
          <w:sz w:val="24"/>
        </w:rPr>
        <w:t xml:space="preserve">                法定代表人和委托代理人：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电子签章和签字）    </w:t>
      </w:r>
    </w:p>
    <w:p w14:paraId="3277FB4A">
      <w:pPr>
        <w:autoSpaceDE w:val="0"/>
        <w:autoSpaceDN w:val="0"/>
        <w:adjustRightInd w:val="0"/>
        <w:spacing w:line="360" w:lineRule="auto"/>
        <w:jc w:val="center"/>
        <w:textAlignment w:val="baseline"/>
        <w:rPr>
          <w:rFonts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rPr>
        <w:t>年</w:t>
      </w:r>
      <w:r>
        <w:rPr>
          <w:rFonts w:hint="eastAsia" w:ascii="宋体" w:hAnsi="宋体" w:cs="宋体"/>
          <w:color w:val="000000"/>
          <w:kern w:val="0"/>
          <w:sz w:val="24"/>
          <w:u w:val="single"/>
        </w:rPr>
        <w:t xml:space="preserve">     </w:t>
      </w:r>
      <w:r>
        <w:rPr>
          <w:rFonts w:hint="eastAsia" w:ascii="宋体" w:hAnsi="宋体" w:cs="宋体"/>
          <w:color w:val="000000"/>
          <w:kern w:val="0"/>
          <w:sz w:val="24"/>
        </w:rPr>
        <w:t>月</w:t>
      </w:r>
      <w:r>
        <w:rPr>
          <w:rFonts w:hint="eastAsia" w:ascii="宋体" w:hAnsi="宋体" w:cs="宋体"/>
          <w:color w:val="000000"/>
          <w:kern w:val="0"/>
          <w:sz w:val="24"/>
          <w:u w:val="single"/>
        </w:rPr>
        <w:t xml:space="preserve">     </w:t>
      </w:r>
      <w:r>
        <w:rPr>
          <w:rFonts w:hint="eastAsia" w:ascii="宋体" w:hAnsi="宋体" w:cs="宋体"/>
          <w:color w:val="000000"/>
          <w:kern w:val="0"/>
          <w:sz w:val="24"/>
        </w:rPr>
        <w:t>日</w:t>
      </w:r>
    </w:p>
    <w:p w14:paraId="54B94EC4">
      <w:pPr>
        <w:autoSpaceDE w:val="0"/>
        <w:autoSpaceDN w:val="0"/>
        <w:adjustRightInd w:val="0"/>
        <w:spacing w:line="360" w:lineRule="auto"/>
        <w:jc w:val="center"/>
        <w:textAlignment w:val="baseline"/>
        <w:rPr>
          <w:rFonts w:ascii="宋体" w:hAnsi="宋体" w:cs="宋体"/>
          <w:color w:val="000000"/>
          <w:kern w:val="0"/>
          <w:sz w:val="24"/>
        </w:rPr>
      </w:pPr>
    </w:p>
    <w:p w14:paraId="48DFCB31">
      <w:pPr>
        <w:jc w:val="center"/>
        <w:rPr>
          <w:rFonts w:ascii="宋体" w:hAnsi="宋体" w:cs="宋体"/>
          <w:b/>
          <w:sz w:val="24"/>
        </w:rPr>
      </w:pPr>
      <w:bookmarkStart w:id="415" w:name="_Toc27258"/>
    </w:p>
    <w:p w14:paraId="06108A51">
      <w:pPr>
        <w:jc w:val="center"/>
        <w:rPr>
          <w:rFonts w:ascii="宋体" w:hAnsi="宋体" w:cs="宋体"/>
          <w:b/>
          <w:sz w:val="24"/>
        </w:rPr>
      </w:pPr>
    </w:p>
    <w:bookmarkEnd w:id="415"/>
    <w:p w14:paraId="6816F2B9">
      <w:pPr>
        <w:spacing w:line="360" w:lineRule="auto"/>
        <w:jc w:val="center"/>
        <w:outlineLvl w:val="1"/>
        <w:rPr>
          <w:rFonts w:ascii="宋体" w:hAnsi="宋体" w:cs="宋体"/>
          <w:b/>
          <w:bCs/>
          <w:color w:val="000000"/>
          <w:sz w:val="28"/>
          <w:szCs w:val="28"/>
        </w:rPr>
      </w:pPr>
      <w:bookmarkStart w:id="416" w:name="_Toc508179893"/>
      <w:bookmarkStart w:id="417" w:name="_Toc16520682"/>
      <w:bookmarkStart w:id="418" w:name="_Toc16520170"/>
      <w:r>
        <w:rPr>
          <w:rFonts w:ascii="宋体" w:hAnsi="宋体" w:cs="宋体"/>
          <w:b/>
          <w:bCs/>
          <w:color w:val="000000"/>
          <w:sz w:val="24"/>
        </w:rPr>
        <w:br w:type="page"/>
      </w:r>
      <w:bookmarkStart w:id="419" w:name="_Toc28266"/>
      <w:r>
        <w:rPr>
          <w:rFonts w:hint="eastAsia" w:ascii="宋体" w:hAnsi="宋体" w:cs="宋体"/>
          <w:b/>
          <w:bCs/>
          <w:color w:val="000000"/>
          <w:sz w:val="28"/>
          <w:szCs w:val="28"/>
        </w:rPr>
        <w:t>二、法定代表人身份证明及授权委托书</w:t>
      </w:r>
      <w:bookmarkEnd w:id="416"/>
      <w:bookmarkEnd w:id="417"/>
      <w:bookmarkEnd w:id="418"/>
      <w:bookmarkEnd w:id="419"/>
    </w:p>
    <w:p w14:paraId="2622D37B">
      <w:pPr>
        <w:rPr>
          <w:rFonts w:ascii="宋体" w:hAnsi="宋体" w:cs="宋体"/>
          <w:sz w:val="24"/>
        </w:rPr>
      </w:pPr>
      <w:bookmarkStart w:id="420" w:name="_Toc387671317"/>
      <w:bookmarkStart w:id="421" w:name="_Toc387669603"/>
      <w:bookmarkStart w:id="422" w:name="_Toc387671679"/>
      <w:bookmarkStart w:id="423" w:name="_Toc234382962"/>
    </w:p>
    <w:p w14:paraId="5457858E">
      <w:pPr>
        <w:jc w:val="center"/>
        <w:rPr>
          <w:rFonts w:ascii="宋体" w:hAnsi="宋体" w:cs="宋体"/>
          <w:b/>
          <w:sz w:val="24"/>
        </w:rPr>
      </w:pPr>
      <w:r>
        <w:rPr>
          <w:rFonts w:hint="eastAsia" w:ascii="宋体" w:hAnsi="宋体" w:cs="宋体"/>
          <w:b/>
          <w:sz w:val="24"/>
        </w:rPr>
        <w:t>（1）法定代表人身份证明</w:t>
      </w:r>
      <w:bookmarkEnd w:id="420"/>
      <w:bookmarkEnd w:id="421"/>
      <w:bookmarkEnd w:id="422"/>
      <w:bookmarkEnd w:id="423"/>
    </w:p>
    <w:p w14:paraId="3996F838">
      <w:pPr>
        <w:rPr>
          <w:rFonts w:ascii="宋体" w:hAnsi="宋体" w:cs="宋体"/>
          <w:sz w:val="24"/>
        </w:rPr>
      </w:pPr>
    </w:p>
    <w:p w14:paraId="3AF2FDB2">
      <w:pPr>
        <w:spacing w:line="500" w:lineRule="exact"/>
        <w:ind w:firstLine="480" w:firstLineChars="200"/>
        <w:rPr>
          <w:rFonts w:ascii="宋体" w:hAnsi="宋体" w:cs="宋体"/>
          <w:sz w:val="24"/>
        </w:rPr>
      </w:pPr>
      <w:r>
        <w:rPr>
          <w:rFonts w:hint="eastAsia" w:ascii="宋体" w:hAnsi="宋体" w:cs="宋体"/>
          <w:sz w:val="24"/>
        </w:rPr>
        <w:t>供应商名称：</w:t>
      </w:r>
    </w:p>
    <w:p w14:paraId="3251E645">
      <w:pPr>
        <w:spacing w:line="500" w:lineRule="exact"/>
        <w:ind w:left="-210" w:leftChars="-100" w:right="-210" w:rightChars="-100" w:firstLine="720" w:firstLineChars="200"/>
        <w:rPr>
          <w:rFonts w:ascii="宋体" w:hAnsi="宋体" w:cs="宋体"/>
          <w:sz w:val="24"/>
          <w:u w:val="single"/>
        </w:rPr>
      </w:pPr>
      <w:r>
        <w:rPr>
          <w:rFonts w:hint="eastAsia" w:ascii="宋体" w:hAnsi="宋体" w:cs="宋体"/>
          <w:spacing w:val="60"/>
          <w:kern w:val="0"/>
          <w:sz w:val="24"/>
        </w:rPr>
        <w:t>单位性</w:t>
      </w:r>
      <w:r>
        <w:rPr>
          <w:rFonts w:hint="eastAsia" w:ascii="宋体" w:hAnsi="宋体" w:cs="宋体"/>
          <w:kern w:val="0"/>
          <w:sz w:val="24"/>
        </w:rPr>
        <w:t>质</w:t>
      </w:r>
      <w:r>
        <w:rPr>
          <w:rFonts w:hint="eastAsia" w:ascii="宋体" w:hAnsi="宋体" w:cs="宋体"/>
          <w:sz w:val="24"/>
        </w:rPr>
        <w:t>：</w:t>
      </w:r>
    </w:p>
    <w:p w14:paraId="5B55D8A1">
      <w:pPr>
        <w:spacing w:line="500" w:lineRule="exact"/>
        <w:ind w:left="-210" w:leftChars="-100" w:firstLine="720" w:firstLineChars="200"/>
        <w:rPr>
          <w:rFonts w:ascii="宋体" w:hAnsi="宋体" w:cs="宋体"/>
          <w:spacing w:val="60"/>
          <w:kern w:val="0"/>
          <w:sz w:val="24"/>
        </w:rPr>
      </w:pPr>
      <w:r>
        <w:rPr>
          <w:rFonts w:hint="eastAsia" w:ascii="宋体" w:hAnsi="宋体" w:cs="宋体"/>
          <w:spacing w:val="60"/>
          <w:kern w:val="0"/>
          <w:sz w:val="24"/>
        </w:rPr>
        <w:t>地址：</w:t>
      </w:r>
    </w:p>
    <w:p w14:paraId="35E1835C">
      <w:pPr>
        <w:spacing w:line="500" w:lineRule="exact"/>
        <w:ind w:firstLine="480" w:firstLineChars="200"/>
        <w:rPr>
          <w:rFonts w:ascii="宋体" w:hAnsi="宋体" w:cs="宋体"/>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6DB80132">
      <w:pPr>
        <w:spacing w:line="500" w:lineRule="exact"/>
        <w:ind w:firstLine="480" w:firstLineChars="200"/>
        <w:rPr>
          <w:rFonts w:ascii="宋体" w:hAnsi="宋体" w:cs="宋体"/>
          <w:sz w:val="24"/>
          <w:u w:val="single"/>
        </w:rPr>
      </w:pPr>
      <w:r>
        <w:rPr>
          <w:rFonts w:hint="eastAsia" w:ascii="宋体" w:hAnsi="宋体" w:cs="宋体"/>
          <w:sz w:val="24"/>
        </w:rPr>
        <w:t>经营期限：</w:t>
      </w:r>
    </w:p>
    <w:p w14:paraId="53768C64">
      <w:pPr>
        <w:spacing w:line="500" w:lineRule="exact"/>
        <w:ind w:firstLine="480" w:firstLineChars="200"/>
        <w:rPr>
          <w:rFonts w:ascii="宋体" w:hAnsi="宋体" w:cs="宋体"/>
          <w:sz w:val="24"/>
        </w:rPr>
      </w:pPr>
      <w:r>
        <w:rPr>
          <w:rFonts w:hint="eastAsia" w:ascii="宋体" w:hAnsi="宋体" w:cs="宋体"/>
          <w:sz w:val="24"/>
        </w:rPr>
        <w:t>姓名：</w:t>
      </w:r>
      <w:r>
        <w:rPr>
          <w:rFonts w:hint="eastAsia" w:ascii="宋体" w:hAnsi="宋体" w:cs="宋体"/>
          <w:sz w:val="24"/>
          <w:u w:val="single"/>
        </w:rPr>
        <w:t xml:space="preserve">               （法定代表人） </w:t>
      </w:r>
      <w:r>
        <w:rPr>
          <w:rFonts w:hint="eastAsia" w:ascii="宋体" w:hAnsi="宋体" w:cs="宋体"/>
          <w:sz w:val="24"/>
        </w:rPr>
        <w:t xml:space="preserve">  性别：</w:t>
      </w:r>
      <w:r>
        <w:rPr>
          <w:rFonts w:hint="eastAsia" w:ascii="宋体" w:hAnsi="宋体" w:cs="宋体"/>
          <w:sz w:val="24"/>
          <w:u w:val="single"/>
        </w:rPr>
        <w:t xml:space="preserve">      </w:t>
      </w:r>
      <w:r>
        <w:rPr>
          <w:rFonts w:hint="eastAsia" w:ascii="宋体" w:hAnsi="宋体" w:cs="宋体"/>
          <w:sz w:val="24"/>
        </w:rPr>
        <w:t xml:space="preserve">  年龄：</w:t>
      </w:r>
      <w:r>
        <w:rPr>
          <w:rFonts w:hint="eastAsia" w:ascii="宋体" w:hAnsi="宋体" w:cs="宋体"/>
          <w:sz w:val="24"/>
          <w:u w:val="single"/>
        </w:rPr>
        <w:t xml:space="preserve">      </w:t>
      </w:r>
      <w:r>
        <w:rPr>
          <w:rFonts w:hint="eastAsia" w:ascii="宋体" w:hAnsi="宋体" w:cs="宋体"/>
          <w:sz w:val="24"/>
        </w:rPr>
        <w:t xml:space="preserve">  职务：</w:t>
      </w:r>
      <w:r>
        <w:rPr>
          <w:rFonts w:hint="eastAsia" w:ascii="宋体" w:hAnsi="宋体" w:cs="宋体"/>
          <w:sz w:val="24"/>
          <w:u w:val="single"/>
        </w:rPr>
        <w:t>_________</w:t>
      </w:r>
      <w:r>
        <w:rPr>
          <w:rFonts w:hint="eastAsia" w:ascii="宋体" w:hAnsi="宋体" w:cs="宋体"/>
          <w:sz w:val="24"/>
        </w:rPr>
        <w:t>系</w:t>
      </w:r>
      <w:r>
        <w:rPr>
          <w:rFonts w:hint="eastAsia" w:ascii="宋体" w:hAnsi="宋体" w:cs="宋体"/>
          <w:sz w:val="24"/>
          <w:u w:val="single"/>
        </w:rPr>
        <w:t xml:space="preserve">                   </w:t>
      </w:r>
      <w:r>
        <w:rPr>
          <w:rFonts w:hint="eastAsia" w:ascii="宋体" w:hAnsi="宋体" w:cs="宋体"/>
          <w:sz w:val="24"/>
        </w:rPr>
        <w:t>（供应商名称）的法定代表人。</w:t>
      </w:r>
    </w:p>
    <w:p w14:paraId="1E0A3953">
      <w:pPr>
        <w:spacing w:line="500" w:lineRule="exact"/>
        <w:ind w:firstLine="480" w:firstLineChars="200"/>
        <w:rPr>
          <w:rFonts w:ascii="宋体" w:hAnsi="宋体" w:cs="宋体"/>
          <w:sz w:val="24"/>
        </w:rPr>
      </w:pPr>
    </w:p>
    <w:p w14:paraId="27159527">
      <w:pPr>
        <w:spacing w:line="500" w:lineRule="exact"/>
        <w:ind w:firstLine="480" w:firstLineChars="200"/>
        <w:rPr>
          <w:rFonts w:ascii="宋体" w:hAnsi="宋体" w:cs="宋体"/>
          <w:sz w:val="24"/>
        </w:rPr>
      </w:pPr>
      <w:r>
        <w:rPr>
          <w:rFonts w:hint="eastAsia" w:ascii="宋体" w:hAnsi="宋体" w:cs="宋体"/>
          <w:sz w:val="24"/>
        </w:rPr>
        <w:t>特此证明。</w:t>
      </w:r>
    </w:p>
    <w:p w14:paraId="1D53F0AC">
      <w:pPr>
        <w:spacing w:line="600" w:lineRule="exact"/>
        <w:ind w:firstLine="566" w:firstLineChars="236"/>
        <w:rPr>
          <w:rFonts w:ascii="宋体" w:hAnsi="宋体" w:cs="仿宋_GB2312"/>
          <w:sz w:val="24"/>
          <w:shd w:val="clear" w:color="auto" w:fill="FFFFFF"/>
          <w:lang w:bidi="ar"/>
        </w:rPr>
      </w:pPr>
      <w:r>
        <w:rPr>
          <w:rFonts w:hint="eastAsia" w:ascii="宋体" w:hAnsi="宋体" w:cs="仿宋_GB2312"/>
          <w:sz w:val="24"/>
          <w:shd w:val="clear" w:color="auto" w:fill="FFFFFF"/>
          <w:lang w:bidi="ar"/>
        </w:rPr>
        <w:t>（后附法定代表人身份证正反面扫描件）</w:t>
      </w:r>
    </w:p>
    <w:p w14:paraId="76A8C880">
      <w:pPr>
        <w:spacing w:line="500" w:lineRule="exact"/>
        <w:rPr>
          <w:rFonts w:ascii="宋体" w:hAnsi="宋体" w:cs="宋体"/>
          <w:sz w:val="24"/>
        </w:rPr>
      </w:pPr>
    </w:p>
    <w:p w14:paraId="4C4FA81E">
      <w:pPr>
        <w:spacing w:line="500" w:lineRule="exact"/>
        <w:rPr>
          <w:rFonts w:ascii="宋体" w:hAnsi="宋体" w:cs="宋体"/>
          <w:sz w:val="24"/>
        </w:rPr>
      </w:pPr>
    </w:p>
    <w:p w14:paraId="2F4A7063">
      <w:pPr>
        <w:spacing w:line="500" w:lineRule="exact"/>
        <w:jc w:val="right"/>
        <w:rPr>
          <w:rFonts w:ascii="宋体" w:hAnsi="宋体" w:cs="宋体"/>
          <w:sz w:val="24"/>
        </w:rPr>
      </w:pPr>
      <w:r>
        <w:rPr>
          <w:rFonts w:hint="eastAsia" w:ascii="宋体" w:hAnsi="宋体" w:cs="宋体"/>
          <w:sz w:val="24"/>
        </w:rPr>
        <w:t xml:space="preserve">                            </w:t>
      </w:r>
    </w:p>
    <w:p w14:paraId="49874629">
      <w:pPr>
        <w:spacing w:line="500" w:lineRule="exact"/>
        <w:jc w:val="right"/>
        <w:rPr>
          <w:rFonts w:ascii="宋体" w:hAnsi="宋体" w:cs="宋体"/>
          <w:sz w:val="24"/>
        </w:rPr>
      </w:pPr>
    </w:p>
    <w:p w14:paraId="4750E79E">
      <w:pPr>
        <w:spacing w:line="500" w:lineRule="exact"/>
        <w:jc w:val="right"/>
        <w:rPr>
          <w:rFonts w:ascii="宋体" w:hAnsi="宋体" w:cs="宋体"/>
          <w:sz w:val="24"/>
        </w:rPr>
      </w:pPr>
    </w:p>
    <w:p w14:paraId="420FFD51">
      <w:pPr>
        <w:spacing w:line="500" w:lineRule="exact"/>
        <w:jc w:val="right"/>
        <w:rPr>
          <w:rFonts w:ascii="宋体" w:hAnsi="宋体" w:cs="宋体"/>
          <w:sz w:val="24"/>
        </w:rPr>
      </w:pPr>
    </w:p>
    <w:p w14:paraId="17A50268">
      <w:pPr>
        <w:autoSpaceDE w:val="0"/>
        <w:autoSpaceDN w:val="0"/>
        <w:adjustRightInd w:val="0"/>
        <w:spacing w:line="360" w:lineRule="auto"/>
        <w:ind w:right="315"/>
        <w:jc w:val="center"/>
        <w:textAlignment w:val="baseline"/>
        <w:rPr>
          <w:rFonts w:ascii="宋体" w:hAnsi="宋体" w:cs="宋体"/>
          <w:color w:val="000000"/>
          <w:kern w:val="0"/>
          <w:sz w:val="24"/>
        </w:rPr>
      </w:pPr>
      <w:r>
        <w:rPr>
          <w:rFonts w:hint="eastAsia" w:ascii="宋体" w:hAnsi="宋体" w:cs="宋体"/>
          <w:color w:val="000000"/>
          <w:kern w:val="0"/>
          <w:sz w:val="24"/>
        </w:rPr>
        <w:t xml:space="preserve">                      </w:t>
      </w:r>
      <w:r>
        <w:rPr>
          <w:rFonts w:hint="eastAsia" w:ascii="宋体" w:hAnsi="宋体" w:cs="宋体"/>
          <w:sz w:val="24"/>
        </w:rPr>
        <w:t>投标供应商</w:t>
      </w:r>
      <w:r>
        <w:rPr>
          <w:rFonts w:hint="eastAsia" w:ascii="宋体" w:hAnsi="宋体" w:cs="宋体"/>
          <w:color w:val="000000"/>
          <w:kern w:val="0"/>
          <w:sz w:val="24"/>
        </w:rPr>
        <w:t>：</w:t>
      </w:r>
      <w:r>
        <w:rPr>
          <w:rFonts w:hint="eastAsia" w:ascii="宋体" w:hAnsi="宋体" w:cs="宋体"/>
          <w:color w:val="000000"/>
          <w:kern w:val="0"/>
          <w:sz w:val="24"/>
          <w:u w:val="single"/>
        </w:rPr>
        <w:t xml:space="preserve">                             </w:t>
      </w:r>
      <w:r>
        <w:rPr>
          <w:rFonts w:hint="eastAsia" w:ascii="宋体" w:hAnsi="宋体" w:cs="宋体"/>
          <w:color w:val="000000"/>
          <w:kern w:val="0"/>
          <w:sz w:val="24"/>
        </w:rPr>
        <w:t>（电子签章）</w:t>
      </w:r>
    </w:p>
    <w:p w14:paraId="65DB9082">
      <w:pPr>
        <w:autoSpaceDE w:val="0"/>
        <w:autoSpaceDN w:val="0"/>
        <w:adjustRightInd w:val="0"/>
        <w:spacing w:line="360" w:lineRule="auto"/>
        <w:ind w:right="315"/>
        <w:jc w:val="center"/>
        <w:textAlignment w:val="baseline"/>
        <w:rPr>
          <w:rFonts w:ascii="宋体" w:hAnsi="宋体" w:cs="宋体"/>
          <w:color w:val="000000"/>
          <w:kern w:val="0"/>
          <w:sz w:val="24"/>
          <w:u w:val="single"/>
        </w:rPr>
      </w:pPr>
      <w:r>
        <w:rPr>
          <w:rFonts w:hint="eastAsia" w:ascii="宋体" w:hAnsi="宋体" w:cs="宋体"/>
          <w:color w:val="000000"/>
          <w:kern w:val="0"/>
          <w:sz w:val="24"/>
        </w:rPr>
        <w:t xml:space="preserve">                        法定代表人：</w:t>
      </w:r>
      <w:r>
        <w:rPr>
          <w:rFonts w:hint="eastAsia" w:ascii="宋体" w:hAnsi="宋体" w:cs="宋体"/>
          <w:color w:val="000000"/>
          <w:kern w:val="0"/>
          <w:sz w:val="24"/>
          <w:u w:val="single"/>
        </w:rPr>
        <w:t xml:space="preserve">          （</w:t>
      </w:r>
      <w:r>
        <w:rPr>
          <w:rFonts w:hint="eastAsia" w:ascii="宋体" w:hAnsi="宋体" w:cs="宋体"/>
          <w:color w:val="000000"/>
          <w:kern w:val="0"/>
          <w:sz w:val="24"/>
        </w:rPr>
        <w:t xml:space="preserve">电子签章）                             </w:t>
      </w:r>
    </w:p>
    <w:p w14:paraId="6FCDF31B">
      <w:pPr>
        <w:spacing w:line="460" w:lineRule="exact"/>
        <w:ind w:firstLine="4080" w:firstLineChars="1700"/>
        <w:rPr>
          <w:rFonts w:ascii="宋体" w:hAnsi="宋体" w:cs="仿宋_GB2312"/>
          <w:sz w:val="24"/>
          <w:shd w:val="clear" w:color="auto" w:fill="FFFFFF"/>
          <w:lang w:bidi="ar"/>
        </w:rPr>
      </w:pPr>
      <w:r>
        <w:rPr>
          <w:rFonts w:hint="eastAsia" w:ascii="宋体" w:hAnsi="宋体" w:cs="宋体"/>
          <w:color w:val="000000"/>
          <w:kern w:val="0"/>
          <w:sz w:val="24"/>
        </w:rPr>
        <w:t xml:space="preserve">  </w:t>
      </w:r>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p w14:paraId="39441443">
      <w:pPr>
        <w:autoSpaceDE w:val="0"/>
        <w:autoSpaceDN w:val="0"/>
        <w:adjustRightInd w:val="0"/>
        <w:spacing w:line="360" w:lineRule="auto"/>
        <w:jc w:val="center"/>
        <w:textAlignment w:val="baseline"/>
        <w:rPr>
          <w:rFonts w:ascii="宋体" w:hAnsi="宋体" w:cs="宋体"/>
          <w:color w:val="000000"/>
          <w:kern w:val="0"/>
          <w:sz w:val="24"/>
        </w:rPr>
      </w:pPr>
    </w:p>
    <w:p w14:paraId="19072621">
      <w:pPr>
        <w:spacing w:line="400" w:lineRule="exact"/>
        <w:rPr>
          <w:rFonts w:ascii="宋体" w:hAnsi="宋体" w:cs="宋体"/>
          <w:sz w:val="24"/>
        </w:rPr>
      </w:pPr>
    </w:p>
    <w:p w14:paraId="0B69B32D">
      <w:pPr>
        <w:rPr>
          <w:rFonts w:ascii="宋体" w:hAnsi="宋体" w:cs="宋体"/>
          <w:sz w:val="24"/>
        </w:rPr>
      </w:pPr>
    </w:p>
    <w:p w14:paraId="40DDC81A">
      <w:pPr>
        <w:rPr>
          <w:rFonts w:ascii="宋体" w:hAnsi="宋体" w:cs="宋体"/>
          <w:sz w:val="24"/>
        </w:rPr>
      </w:pPr>
    </w:p>
    <w:p w14:paraId="05E3EEA4">
      <w:pPr>
        <w:rPr>
          <w:rFonts w:ascii="宋体" w:hAnsi="宋体" w:cs="宋体"/>
          <w:sz w:val="24"/>
        </w:rPr>
      </w:pPr>
    </w:p>
    <w:p w14:paraId="29442C01">
      <w:pPr>
        <w:rPr>
          <w:rFonts w:ascii="宋体" w:hAnsi="宋体" w:cs="宋体"/>
          <w:sz w:val="24"/>
        </w:rPr>
      </w:pPr>
      <w:r>
        <w:rPr>
          <w:rFonts w:hint="eastAsia" w:ascii="宋体" w:hAnsi="宋体" w:cs="宋体"/>
          <w:sz w:val="24"/>
        </w:rPr>
        <w:t>.</w:t>
      </w:r>
    </w:p>
    <w:p w14:paraId="14E3D665">
      <w:pPr>
        <w:rPr>
          <w:rFonts w:ascii="宋体" w:hAnsi="宋体" w:cs="宋体"/>
          <w:sz w:val="24"/>
        </w:rPr>
      </w:pPr>
    </w:p>
    <w:p w14:paraId="0C057F70">
      <w:pPr>
        <w:spacing w:line="360" w:lineRule="auto"/>
        <w:rPr>
          <w:rFonts w:ascii="宋体" w:hAnsi="宋体" w:cs="宋体"/>
          <w:sz w:val="24"/>
        </w:rPr>
      </w:pPr>
    </w:p>
    <w:p w14:paraId="57CFC165">
      <w:pPr>
        <w:jc w:val="center"/>
        <w:rPr>
          <w:rFonts w:ascii="宋体" w:hAnsi="宋体" w:cs="宋体"/>
          <w:sz w:val="24"/>
        </w:rPr>
      </w:pPr>
    </w:p>
    <w:p w14:paraId="214041C8">
      <w:pPr>
        <w:jc w:val="center"/>
        <w:rPr>
          <w:rFonts w:ascii="宋体" w:hAnsi="宋体" w:cs="宋体"/>
          <w:b/>
          <w:sz w:val="24"/>
        </w:rPr>
      </w:pPr>
      <w:r>
        <w:rPr>
          <w:rFonts w:hint="eastAsia" w:ascii="宋体" w:hAnsi="宋体" w:cs="宋体"/>
          <w:b/>
          <w:bCs/>
          <w:kern w:val="44"/>
          <w:sz w:val="24"/>
        </w:rPr>
        <w:t>（2）授权委托书</w:t>
      </w:r>
    </w:p>
    <w:p w14:paraId="6F0FBB8E">
      <w:pPr>
        <w:spacing w:line="460" w:lineRule="exact"/>
        <w:ind w:firstLine="480" w:firstLineChars="200"/>
        <w:rPr>
          <w:rFonts w:ascii="宋体" w:hAnsi="宋体"/>
          <w:sz w:val="24"/>
        </w:rPr>
      </w:pPr>
      <w:r>
        <w:rPr>
          <w:rFonts w:hint="eastAsia" w:ascii="宋体" w:hAnsi="宋体"/>
          <w:sz w:val="24"/>
        </w:rPr>
        <w:t>本人</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（投标人全称，统一社会信用代码）的法定代表人，职务：    ，身份证号：     。现授权委托本单位在职职工</w:t>
      </w:r>
      <w:r>
        <w:rPr>
          <w:rFonts w:hint="eastAsia" w:ascii="宋体" w:hAnsi="宋体"/>
          <w:sz w:val="24"/>
          <w:u w:val="single"/>
        </w:rPr>
        <w:t xml:space="preserve">       </w:t>
      </w:r>
      <w:r>
        <w:rPr>
          <w:rFonts w:hint="eastAsia" w:ascii="宋体" w:hAnsi="宋体"/>
          <w:sz w:val="24"/>
        </w:rPr>
        <w:t>（姓名），身份证号：   职务：   联系电话：    ， 作为我公司委托代理人。以我方名义全权处理下述项目投标及相关事宜：</w:t>
      </w:r>
    </w:p>
    <w:p w14:paraId="1367F980">
      <w:pPr>
        <w:spacing w:line="460" w:lineRule="exact"/>
        <w:ind w:firstLine="480" w:firstLineChars="200"/>
        <w:rPr>
          <w:rFonts w:ascii="宋体" w:hAnsi="宋体"/>
          <w:sz w:val="24"/>
        </w:rPr>
      </w:pPr>
      <w:r>
        <w:rPr>
          <w:rFonts w:hint="eastAsia" w:ascii="宋体" w:hAnsi="宋体"/>
          <w:sz w:val="24"/>
        </w:rPr>
        <w:t>项目名称：____________________</w:t>
      </w:r>
    </w:p>
    <w:p w14:paraId="2103D40F">
      <w:pPr>
        <w:spacing w:line="460" w:lineRule="exact"/>
        <w:ind w:firstLine="480" w:firstLineChars="200"/>
        <w:rPr>
          <w:rFonts w:ascii="宋体" w:hAnsi="宋体"/>
          <w:sz w:val="24"/>
        </w:rPr>
      </w:pPr>
      <w:r>
        <w:rPr>
          <w:rFonts w:hint="eastAsia" w:ascii="宋体" w:hAnsi="宋体"/>
          <w:sz w:val="24"/>
        </w:rPr>
        <w:t>项目编号：____________________</w:t>
      </w:r>
    </w:p>
    <w:p w14:paraId="5780291A">
      <w:pPr>
        <w:numPr>
          <w:ilvl w:val="0"/>
          <w:numId w:val="3"/>
        </w:numPr>
        <w:spacing w:line="460" w:lineRule="exact"/>
        <w:ind w:firstLine="480" w:firstLineChars="200"/>
        <w:rPr>
          <w:rFonts w:ascii="宋体" w:hAnsi="宋体"/>
          <w:sz w:val="24"/>
        </w:rPr>
      </w:pPr>
      <w:r>
        <w:rPr>
          <w:rFonts w:hint="eastAsia" w:ascii="宋体" w:hAnsi="宋体"/>
          <w:sz w:val="24"/>
        </w:rPr>
        <w:t>授权范围</w:t>
      </w:r>
    </w:p>
    <w:p w14:paraId="17E5ABAC">
      <w:pPr>
        <w:spacing w:line="460" w:lineRule="exact"/>
        <w:ind w:firstLine="480" w:firstLineChars="200"/>
        <w:rPr>
          <w:rFonts w:ascii="宋体" w:hAnsi="宋体"/>
          <w:sz w:val="24"/>
        </w:rPr>
      </w:pPr>
      <w:r>
        <w:rPr>
          <w:rFonts w:hint="eastAsia" w:ascii="宋体" w:hAnsi="宋体"/>
          <w:sz w:val="24"/>
        </w:rPr>
        <w:t>1、签署、澄清、说明、补正、递交、撤回、修改投标文件；</w:t>
      </w:r>
    </w:p>
    <w:p w14:paraId="6FADF2C8">
      <w:pPr>
        <w:spacing w:line="460" w:lineRule="exact"/>
        <w:ind w:firstLine="480" w:firstLineChars="200"/>
        <w:rPr>
          <w:rFonts w:ascii="宋体" w:hAnsi="宋体"/>
          <w:sz w:val="24"/>
        </w:rPr>
      </w:pPr>
      <w:r>
        <w:rPr>
          <w:rFonts w:hint="eastAsia" w:ascii="宋体" w:hAnsi="宋体"/>
          <w:sz w:val="24"/>
        </w:rPr>
        <w:t>2、参加开标会议、资格审查、磋商；</w:t>
      </w:r>
    </w:p>
    <w:p w14:paraId="16174A78">
      <w:pPr>
        <w:spacing w:line="460" w:lineRule="exact"/>
        <w:ind w:firstLine="480" w:firstLineChars="200"/>
        <w:rPr>
          <w:rFonts w:ascii="宋体" w:hAnsi="宋体"/>
          <w:sz w:val="24"/>
        </w:rPr>
      </w:pPr>
      <w:r>
        <w:rPr>
          <w:rFonts w:hint="eastAsia" w:ascii="宋体" w:hAnsi="宋体"/>
          <w:sz w:val="24"/>
        </w:rPr>
        <w:t>3、签署开标记录、承诺书、保函确认等相关文件；</w:t>
      </w:r>
    </w:p>
    <w:p w14:paraId="3C9F5C34">
      <w:pPr>
        <w:spacing w:line="460" w:lineRule="exact"/>
        <w:ind w:firstLine="480" w:firstLineChars="200"/>
        <w:rPr>
          <w:rFonts w:ascii="宋体" w:hAnsi="宋体"/>
          <w:sz w:val="24"/>
        </w:rPr>
      </w:pPr>
      <w:r>
        <w:rPr>
          <w:rFonts w:hint="eastAsia" w:ascii="宋体" w:hAnsi="宋体"/>
          <w:sz w:val="24"/>
        </w:rPr>
        <w:t>4、办理投标保证金递交与退还、合同签订前对接事宜；</w:t>
      </w:r>
    </w:p>
    <w:p w14:paraId="25DFB1B5">
      <w:pPr>
        <w:spacing w:line="460" w:lineRule="exact"/>
        <w:ind w:firstLine="480" w:firstLineChars="200"/>
        <w:rPr>
          <w:rFonts w:ascii="宋体" w:hAnsi="宋体"/>
          <w:sz w:val="24"/>
        </w:rPr>
      </w:pPr>
      <w:r>
        <w:rPr>
          <w:rFonts w:hint="eastAsia" w:ascii="宋体" w:hAnsi="宋体"/>
          <w:sz w:val="24"/>
        </w:rPr>
        <w:t>5、处理与本项目投标有关的一切事务。</w:t>
      </w:r>
    </w:p>
    <w:p w14:paraId="6AF28ED8">
      <w:pPr>
        <w:spacing w:line="460" w:lineRule="exact"/>
        <w:ind w:firstLine="480" w:firstLineChars="200"/>
        <w:rPr>
          <w:rFonts w:ascii="宋体" w:hAnsi="宋体"/>
          <w:sz w:val="24"/>
        </w:rPr>
      </w:pPr>
      <w:r>
        <w:rPr>
          <w:rFonts w:hint="eastAsia" w:ascii="宋体" w:hAnsi="宋体"/>
          <w:sz w:val="24"/>
        </w:rPr>
        <w:t>二、授权期限自____年__月__日起，至本项目投标有效期届满后30日止。</w:t>
      </w:r>
    </w:p>
    <w:p w14:paraId="0EAE163A">
      <w:pPr>
        <w:spacing w:line="460" w:lineRule="exact"/>
        <w:ind w:firstLine="480" w:firstLineChars="200"/>
        <w:rPr>
          <w:rFonts w:ascii="宋体" w:hAnsi="宋体"/>
          <w:sz w:val="24"/>
        </w:rPr>
      </w:pPr>
      <w:r>
        <w:rPr>
          <w:rFonts w:hint="eastAsia" w:ascii="宋体" w:hAnsi="宋体"/>
          <w:sz w:val="24"/>
        </w:rPr>
        <w:t>三、特别声明</w:t>
      </w:r>
    </w:p>
    <w:p w14:paraId="55CDDA2F">
      <w:pPr>
        <w:spacing w:line="460" w:lineRule="exact"/>
        <w:ind w:firstLine="480" w:firstLineChars="200"/>
        <w:rPr>
          <w:rFonts w:ascii="宋体" w:hAnsi="宋体"/>
          <w:sz w:val="24"/>
        </w:rPr>
      </w:pPr>
      <w:r>
        <w:rPr>
          <w:rFonts w:hint="eastAsia" w:ascii="宋体" w:hAnsi="宋体"/>
          <w:sz w:val="24"/>
        </w:rPr>
        <w:t>1、委托代理人无转委托权；</w:t>
      </w:r>
    </w:p>
    <w:p w14:paraId="1BCE156B">
      <w:pPr>
        <w:spacing w:line="460" w:lineRule="exact"/>
        <w:ind w:firstLine="480" w:firstLineChars="200"/>
        <w:rPr>
          <w:rFonts w:ascii="宋体" w:hAnsi="宋体"/>
          <w:sz w:val="24"/>
        </w:rPr>
      </w:pPr>
      <w:r>
        <w:rPr>
          <w:rFonts w:hint="eastAsia" w:ascii="宋体" w:hAnsi="宋体"/>
          <w:sz w:val="24"/>
        </w:rPr>
        <w:t>2、代理人在授权范围内所签署的一切文件，我公司均予承认，并承担全部法律责任；</w:t>
      </w:r>
    </w:p>
    <w:p w14:paraId="2945D2EA">
      <w:pPr>
        <w:spacing w:line="460" w:lineRule="exact"/>
        <w:ind w:firstLine="480" w:firstLineChars="200"/>
        <w:rPr>
          <w:rFonts w:ascii="宋体" w:hAnsi="宋体"/>
          <w:sz w:val="24"/>
        </w:rPr>
      </w:pPr>
      <w:r>
        <w:rPr>
          <w:rFonts w:hint="eastAsia" w:ascii="宋体" w:hAnsi="宋体"/>
          <w:sz w:val="24"/>
        </w:rPr>
        <w:t>3、本授权书自法定代表人签字并加盖单位公章之日起生效，有效期内不得擅自撤销。</w:t>
      </w:r>
    </w:p>
    <w:p w14:paraId="4E42A177">
      <w:pPr>
        <w:spacing w:line="460" w:lineRule="exact"/>
        <w:ind w:firstLine="480" w:firstLineChars="200"/>
        <w:rPr>
          <w:rFonts w:ascii="宋体" w:hAnsi="宋体"/>
          <w:sz w:val="24"/>
        </w:rPr>
      </w:pPr>
      <w:r>
        <w:rPr>
          <w:rFonts w:hint="eastAsia" w:ascii="宋体" w:hAnsi="宋体"/>
          <w:sz w:val="24"/>
        </w:rPr>
        <w:t>附：法定代表人及委托代理人身份证正反面原件扫描件</w:t>
      </w:r>
    </w:p>
    <w:p w14:paraId="6B57B2DA">
      <w:pPr>
        <w:spacing w:after="312" w:afterLines="100" w:line="480" w:lineRule="exact"/>
        <w:ind w:firstLine="482" w:firstLineChars="200"/>
        <w:rPr>
          <w:rFonts w:ascii="宋体" w:hAnsi="宋体"/>
          <w:b/>
          <w:sz w:val="24"/>
        </w:rPr>
      </w:pPr>
    </w:p>
    <w:p w14:paraId="5CA3ECB7">
      <w:pPr>
        <w:spacing w:line="480" w:lineRule="auto"/>
        <w:ind w:firstLine="2400" w:firstLineChars="1000"/>
        <w:rPr>
          <w:rFonts w:ascii="宋体" w:hAnsi="宋体"/>
          <w:sz w:val="24"/>
        </w:rPr>
      </w:pPr>
      <w:r>
        <w:rPr>
          <w:rFonts w:hint="eastAsia" w:ascii="宋体" w:hAnsi="宋体" w:cs="Calibri Light"/>
          <w:sz w:val="24"/>
        </w:rPr>
        <w:t>投标供应商</w:t>
      </w:r>
      <w:r>
        <w:rPr>
          <w:rFonts w:hint="eastAsia" w:ascii="宋体" w:hAnsi="宋体"/>
          <w:sz w:val="24"/>
        </w:rPr>
        <w:t>：（电子签章）</w:t>
      </w:r>
    </w:p>
    <w:p w14:paraId="4EE09F7A">
      <w:pPr>
        <w:spacing w:line="480" w:lineRule="auto"/>
        <w:ind w:firstLine="2400" w:firstLineChars="1000"/>
        <w:rPr>
          <w:rFonts w:ascii="宋体" w:hAnsi="宋体"/>
          <w:sz w:val="24"/>
        </w:rPr>
      </w:pPr>
      <w:r>
        <w:rPr>
          <w:rFonts w:hint="eastAsia" w:ascii="宋体" w:hAnsi="宋体"/>
          <w:sz w:val="24"/>
        </w:rPr>
        <w:t>法定代表人：（电子签章）</w:t>
      </w:r>
    </w:p>
    <w:p w14:paraId="1111F8D5">
      <w:pPr>
        <w:spacing w:line="480" w:lineRule="auto"/>
        <w:ind w:firstLine="2400" w:firstLineChars="1000"/>
        <w:rPr>
          <w:rFonts w:ascii="宋体" w:hAnsi="宋体"/>
          <w:sz w:val="24"/>
        </w:rPr>
      </w:pPr>
      <w:r>
        <w:rPr>
          <w:rFonts w:hint="eastAsia" w:ascii="宋体" w:hAnsi="宋体"/>
          <w:sz w:val="24"/>
        </w:rPr>
        <w:t>委托代理人：（签字）</w:t>
      </w:r>
    </w:p>
    <w:p w14:paraId="495A35FB">
      <w:pPr>
        <w:spacing w:line="480" w:lineRule="exact"/>
        <w:ind w:firstLine="2700" w:firstLineChars="1125"/>
        <w:rPr>
          <w:rFonts w:ascii="宋体" w:hAnsi="宋体"/>
          <w:sz w:val="24"/>
        </w:rPr>
      </w:pPr>
      <w:r>
        <w:rPr>
          <w:rFonts w:hint="eastAsia" w:ascii="宋体" w:hAnsi="宋体"/>
          <w:sz w:val="24"/>
        </w:rPr>
        <w:t xml:space="preserve">        年  月  日</w:t>
      </w:r>
    </w:p>
    <w:p w14:paraId="1802685D">
      <w:pPr>
        <w:rPr>
          <w:rFonts w:ascii="宋体" w:hAnsi="宋体"/>
          <w:sz w:val="24"/>
        </w:rPr>
      </w:pPr>
    </w:p>
    <w:p w14:paraId="151A45C2">
      <w:pPr>
        <w:rPr>
          <w:rFonts w:ascii="宋体" w:hAnsi="宋体"/>
          <w:sz w:val="24"/>
        </w:rPr>
      </w:pPr>
    </w:p>
    <w:p w14:paraId="4660CBC5">
      <w:pPr>
        <w:rPr>
          <w:rFonts w:ascii="宋体" w:hAnsi="宋体"/>
          <w:sz w:val="24"/>
        </w:rPr>
      </w:pPr>
      <w:r>
        <w:rPr>
          <w:rFonts w:hint="eastAsia" w:ascii="宋体" w:hAnsi="宋体"/>
          <w:sz w:val="24"/>
        </w:rPr>
        <w:t>注：1、因投标文件中授权委托书授权代理人无法手写签字，可以以印刷体代替（印刷体为电脑打出的字体）或者法定代表人电子签章代替。</w:t>
      </w:r>
    </w:p>
    <w:p w14:paraId="3F062CE6">
      <w:pPr>
        <w:rPr>
          <w:rFonts w:ascii="宋体" w:hAnsi="宋体"/>
          <w:sz w:val="24"/>
        </w:rPr>
      </w:pPr>
      <w:r>
        <w:rPr>
          <w:rFonts w:hint="eastAsia" w:ascii="宋体" w:hAnsi="宋体"/>
          <w:sz w:val="24"/>
        </w:rPr>
        <w:t>2、如为法定代表人参与投标，无委托代理人的，投标文件中可以删除此授权委托书。</w:t>
      </w:r>
    </w:p>
    <w:p w14:paraId="530218FA">
      <w:pPr>
        <w:spacing w:line="500" w:lineRule="exact"/>
        <w:rPr>
          <w:rFonts w:ascii="宋体" w:hAnsi="宋体" w:cs="宋体"/>
          <w:sz w:val="24"/>
        </w:rPr>
      </w:pPr>
    </w:p>
    <w:p w14:paraId="0F919BE3">
      <w:pPr>
        <w:spacing w:line="360" w:lineRule="auto"/>
        <w:jc w:val="center"/>
        <w:outlineLvl w:val="1"/>
        <w:rPr>
          <w:rFonts w:ascii="宋体" w:hAnsi="宋体" w:cs="宋体"/>
          <w:b/>
          <w:bCs/>
          <w:color w:val="000000"/>
          <w:sz w:val="28"/>
          <w:szCs w:val="28"/>
          <w:lang w:val="zh-CN"/>
        </w:rPr>
      </w:pPr>
      <w:bookmarkStart w:id="424" w:name="_Toc176358379"/>
      <w:bookmarkStart w:id="425" w:name="_Toc525836337"/>
      <w:bookmarkStart w:id="426" w:name="_Toc16520172"/>
      <w:bookmarkStart w:id="427" w:name="_Toc16520684"/>
      <w:r>
        <w:rPr>
          <w:rFonts w:ascii="宋体" w:hAnsi="宋体" w:cs="Calibri Light"/>
          <w:b/>
          <w:bCs/>
          <w:sz w:val="24"/>
          <w:lang w:val="zh-CN" w:bidi="zh-CN"/>
        </w:rPr>
        <w:br w:type="page"/>
      </w:r>
      <w:bookmarkEnd w:id="424"/>
      <w:bookmarkEnd w:id="425"/>
      <w:bookmarkStart w:id="428" w:name="_Toc217581299"/>
      <w:bookmarkStart w:id="429" w:name="_Toc6979"/>
      <w:bookmarkStart w:id="430" w:name="_Toc176358382"/>
      <w:r>
        <w:rPr>
          <w:rFonts w:hint="eastAsia" w:ascii="宋体" w:hAnsi="宋体" w:cs="宋体"/>
          <w:b/>
          <w:bCs/>
          <w:color w:val="000000"/>
          <w:sz w:val="28"/>
          <w:szCs w:val="28"/>
          <w:lang w:val="zh-CN"/>
        </w:rPr>
        <w:t>三、</w:t>
      </w:r>
      <w:bookmarkStart w:id="431" w:name="_Toc171014059"/>
      <w:bookmarkStart w:id="432" w:name="OLE_LINK186"/>
      <w:r>
        <w:rPr>
          <w:rFonts w:hint="eastAsia" w:ascii="宋体" w:hAnsi="宋体" w:cs="宋体"/>
          <w:b/>
          <w:bCs/>
          <w:color w:val="000000"/>
          <w:sz w:val="28"/>
          <w:szCs w:val="28"/>
          <w:lang w:val="zh-CN"/>
        </w:rPr>
        <w:t>投标承诺函</w:t>
      </w:r>
      <w:bookmarkEnd w:id="428"/>
      <w:bookmarkEnd w:id="429"/>
      <w:bookmarkEnd w:id="431"/>
      <w:bookmarkEnd w:id="432"/>
    </w:p>
    <w:p w14:paraId="2D794D40">
      <w:pPr>
        <w:spacing w:line="420" w:lineRule="exact"/>
        <w:ind w:firstLine="480" w:firstLineChars="200"/>
        <w:contextualSpacing/>
        <w:rPr>
          <w:rFonts w:ascii="宋体" w:hAnsi="宋体"/>
          <w:sz w:val="24"/>
        </w:rPr>
      </w:pPr>
      <w:bookmarkStart w:id="433" w:name="_Toc1186"/>
    </w:p>
    <w:p w14:paraId="3782341C">
      <w:pPr>
        <w:shd w:val="clear" w:color="auto" w:fill="FFFFFF"/>
        <w:tabs>
          <w:tab w:val="right" w:pos="6077"/>
        </w:tabs>
        <w:autoSpaceDE w:val="0"/>
        <w:autoSpaceDN w:val="0"/>
        <w:spacing w:line="500" w:lineRule="exact"/>
        <w:rPr>
          <w:rFonts w:ascii="宋体" w:hAnsi="宋体"/>
          <w:sz w:val="24"/>
        </w:rPr>
      </w:pPr>
      <w:r>
        <w:rPr>
          <w:rFonts w:hint="eastAsia" w:ascii="宋体" w:hAnsi="宋体"/>
          <w:sz w:val="24"/>
        </w:rPr>
        <w:t>致：（采购人）</w:t>
      </w:r>
    </w:p>
    <w:p w14:paraId="1A801BCD">
      <w:pPr>
        <w:spacing w:line="500" w:lineRule="exact"/>
        <w:ind w:firstLine="480" w:firstLineChars="200"/>
        <w:contextualSpacing/>
        <w:rPr>
          <w:rFonts w:ascii="宋体" w:hAnsi="宋体"/>
          <w:sz w:val="24"/>
        </w:rPr>
      </w:pPr>
      <w:r>
        <w:rPr>
          <w:rFonts w:hint="eastAsia" w:ascii="宋体" w:hAnsi="宋体"/>
          <w:sz w:val="24"/>
        </w:rPr>
        <w:t>获悉 （</w:t>
      </w:r>
      <w:r>
        <w:rPr>
          <w:rFonts w:hint="eastAsia" w:ascii="宋体" w:hAnsi="宋体"/>
          <w:sz w:val="24"/>
          <w:u w:val="single"/>
        </w:rPr>
        <w:t>项目名称</w:t>
      </w:r>
      <w:r>
        <w:rPr>
          <w:rFonts w:hint="eastAsia" w:ascii="宋体" w:hAnsi="宋体"/>
          <w:sz w:val="24"/>
        </w:rPr>
        <w:t xml:space="preserve">）组织招标，我单位特此郑重承诺： </w:t>
      </w:r>
    </w:p>
    <w:p w14:paraId="2205A1E4">
      <w:pPr>
        <w:spacing w:line="500" w:lineRule="exact"/>
        <w:ind w:firstLine="480" w:firstLineChars="200"/>
        <w:contextualSpacing/>
        <w:rPr>
          <w:rFonts w:ascii="宋体" w:hAnsi="宋体"/>
          <w:sz w:val="24"/>
        </w:rPr>
      </w:pPr>
      <w:r>
        <w:rPr>
          <w:rFonts w:hint="eastAsia" w:ascii="宋体" w:hAnsi="宋体"/>
          <w:sz w:val="24"/>
        </w:rPr>
        <w:t>一、遵循公开、公平、公正和诚信的原则，自愿参与该项目的投标；</w:t>
      </w:r>
    </w:p>
    <w:p w14:paraId="096A66DA">
      <w:pPr>
        <w:spacing w:line="500" w:lineRule="exact"/>
        <w:ind w:firstLine="480" w:firstLineChars="200"/>
        <w:contextualSpacing/>
        <w:rPr>
          <w:rFonts w:ascii="宋体" w:hAnsi="宋体"/>
          <w:sz w:val="24"/>
        </w:rPr>
      </w:pPr>
      <w:r>
        <w:rPr>
          <w:rFonts w:hint="eastAsia" w:ascii="宋体" w:hAnsi="宋体"/>
          <w:sz w:val="24"/>
        </w:rPr>
        <w:t>二、严格遵守国家、省采购法管理的法律、法规和规章制度的规定；本次投标所提供的证件、证书、文件等相关资料真实、有效、合法；</w:t>
      </w:r>
    </w:p>
    <w:p w14:paraId="2B823B6E">
      <w:pPr>
        <w:spacing w:line="500" w:lineRule="exact"/>
        <w:ind w:firstLine="480" w:firstLineChars="200"/>
        <w:contextualSpacing/>
        <w:rPr>
          <w:rFonts w:ascii="宋体" w:hAnsi="宋体"/>
          <w:sz w:val="24"/>
        </w:rPr>
      </w:pPr>
      <w:r>
        <w:rPr>
          <w:rFonts w:hint="eastAsia" w:ascii="宋体" w:hAnsi="宋体"/>
          <w:sz w:val="24"/>
        </w:rPr>
        <w:t>三、不出借、转让资质证书，不让他人挂靠投标，不以他人名义或弄虚作假方式投标，骗取中标；</w:t>
      </w:r>
    </w:p>
    <w:p w14:paraId="35D15049">
      <w:pPr>
        <w:spacing w:line="500" w:lineRule="exact"/>
        <w:ind w:firstLine="480" w:firstLineChars="200"/>
        <w:contextualSpacing/>
        <w:rPr>
          <w:rFonts w:ascii="宋体" w:hAnsi="宋体"/>
          <w:sz w:val="24"/>
        </w:rPr>
      </w:pPr>
      <w:r>
        <w:rPr>
          <w:rFonts w:hint="eastAsia" w:ascii="宋体" w:hAnsi="宋体"/>
          <w:sz w:val="24"/>
        </w:rPr>
        <w:t>四、不与其他供应商相互串通投标，不排挤其他供应商的公平竞争；</w:t>
      </w:r>
    </w:p>
    <w:p w14:paraId="35AE73A0">
      <w:pPr>
        <w:spacing w:line="500" w:lineRule="exact"/>
        <w:ind w:firstLine="480" w:firstLineChars="200"/>
        <w:contextualSpacing/>
        <w:rPr>
          <w:rFonts w:ascii="宋体" w:hAnsi="宋体"/>
          <w:sz w:val="24"/>
        </w:rPr>
      </w:pPr>
      <w:r>
        <w:rPr>
          <w:rFonts w:hint="eastAsia" w:ascii="宋体" w:hAnsi="宋体"/>
          <w:sz w:val="24"/>
        </w:rPr>
        <w:t>五、不与采购人串通投标，不向采购人或者评标委员会成员行贿以谋取中标；</w:t>
      </w:r>
    </w:p>
    <w:p w14:paraId="7217DEB4">
      <w:pPr>
        <w:spacing w:line="500" w:lineRule="exact"/>
        <w:ind w:firstLine="480" w:firstLineChars="200"/>
        <w:contextualSpacing/>
        <w:rPr>
          <w:rFonts w:ascii="宋体" w:hAnsi="宋体"/>
          <w:sz w:val="24"/>
        </w:rPr>
      </w:pPr>
      <w:r>
        <w:rPr>
          <w:rFonts w:hint="eastAsia" w:ascii="宋体" w:hAnsi="宋体"/>
          <w:sz w:val="24"/>
        </w:rPr>
        <w:t>六、单位信誉良好，无不良行为记录；</w:t>
      </w:r>
    </w:p>
    <w:p w14:paraId="765D4DC9">
      <w:pPr>
        <w:spacing w:line="500" w:lineRule="exact"/>
        <w:ind w:firstLine="480" w:firstLineChars="200"/>
        <w:contextualSpacing/>
        <w:rPr>
          <w:rFonts w:ascii="宋体" w:hAnsi="宋体"/>
          <w:sz w:val="24"/>
        </w:rPr>
      </w:pPr>
      <w:r>
        <w:rPr>
          <w:rFonts w:hint="eastAsia" w:ascii="宋体" w:hAnsi="宋体"/>
          <w:sz w:val="24"/>
        </w:rPr>
        <w:t>七、我单位在投标截止时间前及时递交投标文件，递交投标文件后，不修改、补充、撤回；</w:t>
      </w:r>
    </w:p>
    <w:p w14:paraId="7E46BEAB">
      <w:pPr>
        <w:spacing w:line="500" w:lineRule="exact"/>
        <w:ind w:firstLine="480" w:firstLineChars="200"/>
        <w:contextualSpacing/>
        <w:rPr>
          <w:rFonts w:ascii="宋体" w:hAnsi="宋体"/>
          <w:sz w:val="24"/>
        </w:rPr>
      </w:pPr>
      <w:r>
        <w:rPr>
          <w:rFonts w:hint="eastAsia" w:ascii="宋体" w:hAnsi="宋体"/>
          <w:sz w:val="24"/>
        </w:rPr>
        <w:t>八、不搞虚假恶意质疑或投诉；</w:t>
      </w:r>
    </w:p>
    <w:p w14:paraId="0C6B2384">
      <w:pPr>
        <w:spacing w:line="500" w:lineRule="exact"/>
        <w:ind w:firstLine="480" w:firstLineChars="200"/>
        <w:contextualSpacing/>
        <w:rPr>
          <w:rFonts w:ascii="宋体" w:hAnsi="宋体"/>
          <w:sz w:val="24"/>
        </w:rPr>
      </w:pPr>
      <w:r>
        <w:rPr>
          <w:rFonts w:hint="eastAsia" w:ascii="宋体" w:hAnsi="宋体"/>
          <w:sz w:val="24"/>
        </w:rPr>
        <w:t>九、我单位一旦被公示为第一中标候选人或确定为中标人，在不违背招标文件的前提下，不放弃中标资格，与采购人签订合同。</w:t>
      </w:r>
    </w:p>
    <w:p w14:paraId="44D6986D">
      <w:pPr>
        <w:spacing w:line="500" w:lineRule="exact"/>
        <w:ind w:firstLine="480" w:firstLineChars="200"/>
        <w:contextualSpacing/>
        <w:rPr>
          <w:rFonts w:ascii="宋体" w:hAnsi="宋体"/>
          <w:sz w:val="24"/>
        </w:rPr>
      </w:pPr>
      <w:r>
        <w:rPr>
          <w:rFonts w:hint="eastAsia" w:ascii="宋体" w:hAnsi="宋体"/>
          <w:sz w:val="24"/>
        </w:rPr>
        <w:t>十、我单位如中标，将严格按照本次采购项目磋商文件载明的全部服务要求、投标文件的实质性响应承诺以及本合同约定，提供完整、合规、标准一致的拍卖服务。如发现有不符要求的，我方将立即无条件更改。如因此造成服务期限超出我方承诺期限的，我方接受招标人扣除履约保证金的处理，同时愿承担合同约定的违约责任；</w:t>
      </w:r>
    </w:p>
    <w:p w14:paraId="5B663C9D">
      <w:pPr>
        <w:spacing w:line="500" w:lineRule="exact"/>
        <w:ind w:firstLine="480" w:firstLineChars="200"/>
        <w:rPr>
          <w:rFonts w:ascii="宋体" w:hAnsi="宋体"/>
          <w:sz w:val="24"/>
        </w:rPr>
      </w:pPr>
      <w:bookmarkStart w:id="434" w:name="_Toc203759639"/>
      <w:bookmarkStart w:id="435" w:name="_Toc203756122"/>
      <w:bookmarkStart w:id="436" w:name="_Toc171014078"/>
      <w:bookmarkStart w:id="437" w:name="_Toc50194509"/>
      <w:bookmarkStart w:id="438" w:name="_Toc70350682"/>
      <w:bookmarkStart w:id="439" w:name="_Toc16146"/>
      <w:r>
        <w:rPr>
          <w:rFonts w:hint="eastAsia" w:ascii="宋体" w:hAnsi="宋体"/>
          <w:sz w:val="24"/>
        </w:rPr>
        <w:t>十一、存在以下行为之一的愿意接受相关部门的处理：</w:t>
      </w:r>
      <w:bookmarkEnd w:id="434"/>
      <w:bookmarkEnd w:id="435"/>
      <w:bookmarkEnd w:id="436"/>
      <w:bookmarkEnd w:id="437"/>
      <w:bookmarkEnd w:id="438"/>
      <w:bookmarkEnd w:id="439"/>
    </w:p>
    <w:p w14:paraId="4416AEED">
      <w:pPr>
        <w:spacing w:line="500" w:lineRule="exact"/>
        <w:ind w:firstLine="480" w:firstLineChars="200"/>
        <w:rPr>
          <w:rFonts w:ascii="宋体" w:hAnsi="宋体"/>
          <w:sz w:val="24"/>
        </w:rPr>
      </w:pPr>
      <w:bookmarkStart w:id="440" w:name="_Toc203759640"/>
      <w:bookmarkStart w:id="441" w:name="_Toc203756123"/>
      <w:bookmarkStart w:id="442" w:name="_Toc8505"/>
      <w:r>
        <w:rPr>
          <w:rFonts w:hint="eastAsia" w:ascii="宋体" w:hAnsi="宋体"/>
          <w:sz w:val="24"/>
        </w:rPr>
        <w:t>（一）投标有效期内撤销投标文件的；</w:t>
      </w:r>
      <w:bookmarkEnd w:id="440"/>
      <w:bookmarkEnd w:id="441"/>
      <w:bookmarkEnd w:id="442"/>
    </w:p>
    <w:p w14:paraId="1817D4EC">
      <w:pPr>
        <w:spacing w:line="500" w:lineRule="exact"/>
        <w:ind w:firstLine="480" w:firstLineChars="200"/>
        <w:rPr>
          <w:rFonts w:ascii="宋体" w:hAnsi="宋体"/>
          <w:sz w:val="24"/>
        </w:rPr>
      </w:pPr>
      <w:bookmarkStart w:id="443" w:name="_Toc70350684"/>
      <w:bookmarkStart w:id="444" w:name="_Toc171014080"/>
      <w:bookmarkStart w:id="445" w:name="_Toc11075"/>
      <w:bookmarkStart w:id="446" w:name="_Toc203756124"/>
      <w:bookmarkStart w:id="447" w:name="_Toc203759641"/>
      <w:bookmarkStart w:id="448" w:name="_Toc50194511"/>
      <w:r>
        <w:rPr>
          <w:rFonts w:hint="eastAsia" w:ascii="宋体" w:hAnsi="宋体"/>
          <w:sz w:val="24"/>
        </w:rPr>
        <w:t>（二）在采购人确定中标人以前放弃中标候选资格的；</w:t>
      </w:r>
      <w:bookmarkEnd w:id="443"/>
      <w:bookmarkEnd w:id="444"/>
      <w:bookmarkEnd w:id="445"/>
      <w:bookmarkEnd w:id="446"/>
      <w:bookmarkEnd w:id="447"/>
      <w:bookmarkEnd w:id="448"/>
    </w:p>
    <w:p w14:paraId="18B72EFC">
      <w:pPr>
        <w:spacing w:line="500" w:lineRule="exact"/>
        <w:ind w:firstLine="480" w:firstLineChars="200"/>
        <w:rPr>
          <w:rFonts w:ascii="宋体" w:hAnsi="宋体"/>
          <w:sz w:val="24"/>
        </w:rPr>
      </w:pPr>
      <w:bookmarkStart w:id="449" w:name="_Toc70350685"/>
      <w:bookmarkStart w:id="450" w:name="_Toc203756125"/>
      <w:bookmarkStart w:id="451" w:name="_Toc171014081"/>
      <w:bookmarkStart w:id="452" w:name="_Toc203759642"/>
      <w:bookmarkStart w:id="453" w:name="_Toc30995"/>
      <w:bookmarkStart w:id="454" w:name="_Toc50194512"/>
      <w:r>
        <w:rPr>
          <w:rFonts w:hint="eastAsia" w:ascii="宋体" w:hAnsi="宋体"/>
          <w:sz w:val="24"/>
        </w:rPr>
        <w:t>（三）由于中标人的原因未能按照征集文件的规定与采购人签订合同；</w:t>
      </w:r>
      <w:bookmarkEnd w:id="449"/>
      <w:bookmarkEnd w:id="450"/>
      <w:bookmarkEnd w:id="451"/>
      <w:bookmarkEnd w:id="452"/>
      <w:bookmarkEnd w:id="453"/>
      <w:bookmarkEnd w:id="454"/>
    </w:p>
    <w:p w14:paraId="5DDBEAEC">
      <w:pPr>
        <w:spacing w:line="500" w:lineRule="exact"/>
        <w:ind w:firstLine="480" w:firstLineChars="200"/>
        <w:rPr>
          <w:rFonts w:ascii="宋体" w:hAnsi="宋体"/>
          <w:sz w:val="24"/>
        </w:rPr>
      </w:pPr>
      <w:bookmarkStart w:id="455" w:name="_Toc171014082"/>
      <w:bookmarkStart w:id="456" w:name="_Toc5000"/>
      <w:bookmarkStart w:id="457" w:name="_Toc70350687"/>
      <w:bookmarkStart w:id="458" w:name="_Toc203759643"/>
      <w:bookmarkStart w:id="459" w:name="_Toc203756126"/>
      <w:bookmarkStart w:id="460" w:name="_Toc50194514"/>
      <w:r>
        <w:rPr>
          <w:rFonts w:hint="eastAsia" w:ascii="宋体" w:hAnsi="宋体"/>
          <w:sz w:val="24"/>
        </w:rPr>
        <w:t>（四）在投标文件中提供虚假材料谋取中标；</w:t>
      </w:r>
      <w:bookmarkEnd w:id="455"/>
      <w:bookmarkEnd w:id="456"/>
      <w:bookmarkEnd w:id="457"/>
      <w:bookmarkEnd w:id="458"/>
      <w:bookmarkEnd w:id="459"/>
      <w:bookmarkEnd w:id="460"/>
    </w:p>
    <w:p w14:paraId="2E4B035B">
      <w:pPr>
        <w:spacing w:line="500" w:lineRule="exact"/>
        <w:ind w:firstLine="480" w:firstLineChars="200"/>
        <w:rPr>
          <w:rFonts w:ascii="宋体" w:hAnsi="宋体"/>
          <w:sz w:val="24"/>
        </w:rPr>
      </w:pPr>
      <w:bookmarkStart w:id="461" w:name="_Toc171014083"/>
      <w:bookmarkStart w:id="462" w:name="_Toc203759644"/>
      <w:bookmarkStart w:id="463" w:name="_Toc70350688"/>
      <w:bookmarkStart w:id="464" w:name="_Toc203756127"/>
      <w:bookmarkStart w:id="465" w:name="_Toc8554"/>
      <w:bookmarkStart w:id="466" w:name="_Toc50194515"/>
      <w:r>
        <w:rPr>
          <w:rFonts w:hint="eastAsia" w:ascii="宋体" w:hAnsi="宋体"/>
          <w:sz w:val="24"/>
        </w:rPr>
        <w:t>（五）与采购人、其他供应商或者采购代理机构恶意串通的；</w:t>
      </w:r>
      <w:bookmarkEnd w:id="461"/>
      <w:bookmarkEnd w:id="462"/>
      <w:bookmarkEnd w:id="463"/>
      <w:bookmarkEnd w:id="464"/>
      <w:bookmarkEnd w:id="465"/>
      <w:bookmarkEnd w:id="466"/>
      <w:bookmarkStart w:id="467" w:name="_Toc171014084"/>
      <w:bookmarkStart w:id="468" w:name="_Toc50194516"/>
      <w:bookmarkStart w:id="469" w:name="_Toc70350689"/>
    </w:p>
    <w:p w14:paraId="50B4D1E2">
      <w:pPr>
        <w:spacing w:line="500" w:lineRule="exact"/>
        <w:ind w:firstLine="480" w:firstLineChars="200"/>
        <w:rPr>
          <w:rFonts w:ascii="宋体" w:hAnsi="宋体"/>
          <w:sz w:val="24"/>
        </w:rPr>
      </w:pPr>
      <w:bookmarkStart w:id="470" w:name="_Toc203756128"/>
      <w:bookmarkStart w:id="471" w:name="_Toc25908"/>
      <w:bookmarkStart w:id="472" w:name="_Toc203759645"/>
      <w:r>
        <w:rPr>
          <w:rFonts w:hint="eastAsia" w:ascii="宋体" w:hAnsi="宋体"/>
          <w:sz w:val="24"/>
        </w:rPr>
        <w:t>（六）投标有效期内，投标人在政府采购活动中有违法、违规、违纪行为。</w:t>
      </w:r>
      <w:bookmarkEnd w:id="467"/>
      <w:bookmarkEnd w:id="468"/>
      <w:bookmarkEnd w:id="469"/>
      <w:bookmarkEnd w:id="470"/>
      <w:bookmarkEnd w:id="471"/>
      <w:bookmarkEnd w:id="472"/>
    </w:p>
    <w:p w14:paraId="54090D60">
      <w:pPr>
        <w:spacing w:line="500" w:lineRule="exact"/>
        <w:ind w:firstLine="480" w:firstLineChars="200"/>
        <w:contextualSpacing/>
        <w:rPr>
          <w:rFonts w:ascii="宋体" w:hAnsi="宋体"/>
          <w:sz w:val="24"/>
        </w:rPr>
      </w:pPr>
      <w:r>
        <w:rPr>
          <w:rFonts w:hint="eastAsia" w:ascii="宋体" w:hAnsi="宋体"/>
          <w:sz w:val="24"/>
        </w:rPr>
        <w:t>本公司若有违反本承诺内容的行为，自愿接受以下处理：</w:t>
      </w:r>
    </w:p>
    <w:p w14:paraId="0888A5BF">
      <w:pPr>
        <w:spacing w:line="500" w:lineRule="exact"/>
        <w:ind w:firstLine="480" w:firstLineChars="200"/>
        <w:contextualSpacing/>
        <w:rPr>
          <w:rFonts w:ascii="宋体" w:hAnsi="宋体"/>
          <w:sz w:val="24"/>
        </w:rPr>
      </w:pPr>
      <w:r>
        <w:rPr>
          <w:rFonts w:hint="eastAsia" w:ascii="宋体" w:hAnsi="宋体"/>
          <w:sz w:val="24"/>
        </w:rPr>
        <w:t>我单位自愿接受被处以成交无效，采购金额不超过（千分之三以上千分之十以下）的罚款并赔偿采购人及采购代理机构的损失，列入不良行为记录名单，在一至三年内禁止参加灵宝招投标活动，有违法所得的，并处没收违法所得，情节严重的，由工商行政管理机关吊销营业执照；构成犯罪的，依法追究刑事责任。</w:t>
      </w:r>
    </w:p>
    <w:bookmarkEnd w:id="433"/>
    <w:p w14:paraId="0ED89FC6">
      <w:pPr>
        <w:spacing w:line="480" w:lineRule="exact"/>
        <w:rPr>
          <w:rFonts w:ascii="宋体" w:hAnsi="宋体"/>
          <w:sz w:val="24"/>
        </w:rPr>
      </w:pPr>
    </w:p>
    <w:p w14:paraId="60DE8F54">
      <w:pPr>
        <w:spacing w:line="480" w:lineRule="exact"/>
        <w:rPr>
          <w:rFonts w:ascii="宋体" w:hAnsi="宋体"/>
          <w:sz w:val="24"/>
        </w:rPr>
      </w:pPr>
    </w:p>
    <w:p w14:paraId="1F335DC9">
      <w:pPr>
        <w:spacing w:line="480" w:lineRule="exact"/>
        <w:rPr>
          <w:rFonts w:ascii="宋体" w:hAnsi="宋体"/>
          <w:sz w:val="24"/>
        </w:rPr>
      </w:pPr>
    </w:p>
    <w:p w14:paraId="4C363A8F">
      <w:pPr>
        <w:spacing w:line="480" w:lineRule="exact"/>
        <w:ind w:left="3150" w:leftChars="1500"/>
        <w:rPr>
          <w:rFonts w:ascii="宋体" w:hAnsi="宋体"/>
          <w:sz w:val="24"/>
        </w:rPr>
      </w:pPr>
      <w:bookmarkStart w:id="473" w:name="OLE_LINK174"/>
      <w:bookmarkStart w:id="474" w:name="OLE_LINK175"/>
      <w:r>
        <w:rPr>
          <w:rFonts w:hint="eastAsia" w:ascii="宋体" w:hAnsi="宋体"/>
          <w:sz w:val="24"/>
        </w:rPr>
        <w:t xml:space="preserve">响应人：       (签章) </w:t>
      </w:r>
    </w:p>
    <w:p w14:paraId="3589D409">
      <w:pPr>
        <w:spacing w:line="480" w:lineRule="exact"/>
        <w:ind w:left="3150" w:leftChars="1500"/>
        <w:rPr>
          <w:rFonts w:ascii="宋体" w:hAnsi="宋体"/>
          <w:sz w:val="24"/>
        </w:rPr>
      </w:pPr>
      <w:r>
        <w:rPr>
          <w:rFonts w:hint="eastAsia" w:ascii="宋体" w:hAnsi="宋体"/>
          <w:sz w:val="24"/>
        </w:rPr>
        <w:t>法定代表人或</w:t>
      </w:r>
      <w:r>
        <w:rPr>
          <w:rFonts w:ascii="宋体" w:hAnsi="宋体"/>
          <w:sz w:val="24"/>
        </w:rPr>
        <w:t>委托代理人</w:t>
      </w:r>
      <w:r>
        <w:rPr>
          <w:rFonts w:hint="eastAsia" w:ascii="宋体" w:hAnsi="宋体"/>
          <w:sz w:val="24"/>
        </w:rPr>
        <w:t>：       （签字或签章）</w:t>
      </w:r>
    </w:p>
    <w:p w14:paraId="3D7D5EAF">
      <w:pPr>
        <w:spacing w:line="480" w:lineRule="exact"/>
        <w:ind w:left="4305" w:leftChars="2050"/>
        <w:rPr>
          <w:rFonts w:ascii="宋体" w:hAnsi="宋体"/>
          <w:sz w:val="24"/>
        </w:rPr>
      </w:pPr>
      <w:r>
        <w:rPr>
          <w:rFonts w:hint="eastAsia" w:ascii="宋体" w:hAnsi="宋体"/>
          <w:sz w:val="24"/>
        </w:rPr>
        <w:t xml:space="preserve">       ____年____月_____日</w:t>
      </w:r>
    </w:p>
    <w:bookmarkEnd w:id="473"/>
    <w:bookmarkEnd w:id="474"/>
    <w:p w14:paraId="5157EBDF">
      <w:pPr>
        <w:spacing w:line="517" w:lineRule="exact"/>
        <w:ind w:left="277" w:hanging="277" w:hangingChars="115"/>
        <w:jc w:val="center"/>
        <w:outlineLvl w:val="1"/>
        <w:rPr>
          <w:rFonts w:ascii="宋体" w:hAnsi="宋体" w:cs="Calibri Light"/>
          <w:b/>
          <w:bCs/>
          <w:sz w:val="24"/>
          <w:lang w:val="zh-CN" w:bidi="zh-CN"/>
        </w:rPr>
      </w:pPr>
    </w:p>
    <w:p w14:paraId="4F771229">
      <w:pPr>
        <w:spacing w:line="517" w:lineRule="exact"/>
        <w:ind w:left="277" w:hanging="277" w:hangingChars="115"/>
        <w:jc w:val="center"/>
        <w:outlineLvl w:val="1"/>
        <w:rPr>
          <w:rFonts w:ascii="宋体" w:hAnsi="宋体" w:cs="Calibri Light"/>
          <w:b/>
          <w:bCs/>
          <w:sz w:val="24"/>
          <w:lang w:val="zh-CN" w:bidi="zh-CN"/>
        </w:rPr>
      </w:pPr>
    </w:p>
    <w:p w14:paraId="6DFEA242">
      <w:pPr>
        <w:spacing w:line="517" w:lineRule="exact"/>
        <w:ind w:left="277" w:hanging="277" w:hangingChars="115"/>
        <w:jc w:val="center"/>
        <w:outlineLvl w:val="1"/>
        <w:rPr>
          <w:rFonts w:ascii="宋体" w:hAnsi="宋体" w:cs="Calibri Light"/>
          <w:b/>
          <w:bCs/>
          <w:sz w:val="24"/>
          <w:lang w:val="zh-CN" w:bidi="zh-CN"/>
        </w:rPr>
      </w:pPr>
    </w:p>
    <w:p w14:paraId="7922BFC5">
      <w:pPr>
        <w:spacing w:line="517" w:lineRule="exact"/>
        <w:ind w:left="277" w:hanging="277" w:hangingChars="115"/>
        <w:jc w:val="center"/>
        <w:outlineLvl w:val="1"/>
        <w:rPr>
          <w:rFonts w:ascii="宋体" w:hAnsi="宋体" w:cs="Calibri Light"/>
          <w:b/>
          <w:bCs/>
          <w:sz w:val="24"/>
          <w:lang w:val="zh-CN" w:bidi="zh-CN"/>
        </w:rPr>
      </w:pPr>
    </w:p>
    <w:p w14:paraId="7736E046">
      <w:pPr>
        <w:spacing w:line="360" w:lineRule="auto"/>
        <w:jc w:val="center"/>
        <w:outlineLvl w:val="1"/>
        <w:rPr>
          <w:rFonts w:ascii="宋体" w:hAnsi="宋体" w:cs="宋体"/>
          <w:b/>
          <w:bCs/>
          <w:color w:val="000000"/>
          <w:sz w:val="28"/>
          <w:szCs w:val="28"/>
          <w:lang w:val="zh-CN"/>
        </w:rPr>
      </w:pPr>
    </w:p>
    <w:p w14:paraId="2130EC3D">
      <w:pPr>
        <w:spacing w:line="360" w:lineRule="auto"/>
        <w:jc w:val="center"/>
        <w:outlineLvl w:val="1"/>
        <w:rPr>
          <w:rFonts w:ascii="宋体" w:hAnsi="宋体" w:cs="宋体"/>
          <w:b/>
          <w:bCs/>
          <w:color w:val="000000"/>
          <w:sz w:val="28"/>
          <w:szCs w:val="28"/>
          <w:lang w:val="zh-CN"/>
        </w:rPr>
      </w:pPr>
    </w:p>
    <w:p w14:paraId="112C3994">
      <w:pPr>
        <w:spacing w:line="360" w:lineRule="auto"/>
        <w:jc w:val="center"/>
        <w:outlineLvl w:val="1"/>
        <w:rPr>
          <w:rFonts w:ascii="宋体" w:hAnsi="宋体" w:cs="宋体"/>
          <w:b/>
          <w:bCs/>
          <w:color w:val="000000"/>
          <w:sz w:val="28"/>
          <w:szCs w:val="28"/>
          <w:lang w:val="zh-CN"/>
        </w:rPr>
      </w:pPr>
    </w:p>
    <w:p w14:paraId="3486F53C">
      <w:pPr>
        <w:spacing w:line="360" w:lineRule="auto"/>
        <w:jc w:val="center"/>
        <w:outlineLvl w:val="1"/>
        <w:rPr>
          <w:rFonts w:ascii="宋体" w:hAnsi="宋体" w:cs="宋体"/>
          <w:b/>
          <w:bCs/>
          <w:color w:val="000000"/>
          <w:sz w:val="28"/>
          <w:szCs w:val="28"/>
          <w:lang w:val="zh-CN"/>
        </w:rPr>
      </w:pPr>
    </w:p>
    <w:p w14:paraId="6D751151">
      <w:pPr>
        <w:spacing w:line="360" w:lineRule="auto"/>
        <w:jc w:val="center"/>
        <w:outlineLvl w:val="1"/>
        <w:rPr>
          <w:rFonts w:ascii="宋体" w:hAnsi="宋体" w:cs="宋体"/>
          <w:b/>
          <w:bCs/>
          <w:color w:val="000000"/>
          <w:sz w:val="28"/>
          <w:szCs w:val="28"/>
          <w:lang w:val="zh-CN"/>
        </w:rPr>
      </w:pPr>
    </w:p>
    <w:p w14:paraId="5FA66F2F">
      <w:pPr>
        <w:spacing w:line="360" w:lineRule="auto"/>
        <w:jc w:val="center"/>
        <w:outlineLvl w:val="1"/>
        <w:rPr>
          <w:rFonts w:ascii="宋体" w:hAnsi="宋体" w:cs="宋体"/>
          <w:b/>
          <w:bCs/>
          <w:color w:val="000000"/>
          <w:sz w:val="28"/>
          <w:szCs w:val="28"/>
          <w:lang w:val="zh-CN"/>
        </w:rPr>
      </w:pPr>
    </w:p>
    <w:p w14:paraId="119D955A">
      <w:pPr>
        <w:spacing w:line="360" w:lineRule="auto"/>
        <w:jc w:val="center"/>
        <w:outlineLvl w:val="1"/>
        <w:rPr>
          <w:rFonts w:ascii="宋体" w:hAnsi="宋体" w:cs="宋体"/>
          <w:b/>
          <w:bCs/>
          <w:color w:val="000000"/>
          <w:sz w:val="28"/>
          <w:szCs w:val="28"/>
          <w:lang w:val="zh-CN"/>
        </w:rPr>
      </w:pPr>
    </w:p>
    <w:p w14:paraId="76CB3EBA">
      <w:pPr>
        <w:spacing w:line="360" w:lineRule="auto"/>
        <w:jc w:val="center"/>
        <w:outlineLvl w:val="1"/>
        <w:rPr>
          <w:rFonts w:ascii="宋体" w:hAnsi="宋体" w:cs="宋体"/>
          <w:b/>
          <w:bCs/>
          <w:color w:val="000000"/>
          <w:sz w:val="28"/>
          <w:szCs w:val="28"/>
          <w:lang w:val="zh-CN"/>
        </w:rPr>
      </w:pPr>
    </w:p>
    <w:p w14:paraId="41064850">
      <w:pPr>
        <w:spacing w:line="360" w:lineRule="auto"/>
        <w:jc w:val="center"/>
        <w:outlineLvl w:val="1"/>
        <w:rPr>
          <w:rFonts w:ascii="宋体" w:hAnsi="宋体" w:cs="宋体"/>
          <w:b/>
          <w:bCs/>
          <w:color w:val="000000"/>
          <w:sz w:val="28"/>
          <w:szCs w:val="28"/>
          <w:lang w:val="zh-CN"/>
        </w:rPr>
      </w:pPr>
    </w:p>
    <w:p w14:paraId="67DC79B1">
      <w:pPr>
        <w:spacing w:line="360" w:lineRule="auto"/>
        <w:jc w:val="center"/>
        <w:outlineLvl w:val="1"/>
        <w:rPr>
          <w:rFonts w:ascii="宋体" w:hAnsi="宋体" w:cs="宋体"/>
          <w:b/>
          <w:bCs/>
          <w:color w:val="000000"/>
          <w:sz w:val="28"/>
          <w:szCs w:val="28"/>
          <w:lang w:val="zh-CN"/>
        </w:rPr>
      </w:pPr>
    </w:p>
    <w:p w14:paraId="34E8CF87">
      <w:pPr>
        <w:spacing w:line="360" w:lineRule="auto"/>
        <w:jc w:val="center"/>
        <w:outlineLvl w:val="1"/>
        <w:rPr>
          <w:rFonts w:ascii="宋体" w:hAnsi="宋体" w:cs="宋体"/>
          <w:b/>
          <w:bCs/>
          <w:color w:val="000000"/>
          <w:sz w:val="28"/>
          <w:szCs w:val="28"/>
          <w:lang w:val="zh-CN"/>
        </w:rPr>
      </w:pPr>
    </w:p>
    <w:p w14:paraId="2E3486B7">
      <w:pPr>
        <w:spacing w:line="360" w:lineRule="auto"/>
        <w:jc w:val="center"/>
        <w:outlineLvl w:val="1"/>
        <w:rPr>
          <w:rFonts w:ascii="宋体" w:hAnsi="宋体" w:cs="宋体"/>
          <w:b/>
          <w:bCs/>
          <w:color w:val="000000"/>
          <w:sz w:val="28"/>
          <w:szCs w:val="28"/>
        </w:rPr>
      </w:pPr>
      <w:bookmarkStart w:id="475" w:name="_Toc13195"/>
      <w:r>
        <w:rPr>
          <w:rFonts w:hint="eastAsia" w:ascii="宋体" w:hAnsi="宋体" w:cs="宋体"/>
          <w:b/>
          <w:bCs/>
          <w:color w:val="000000"/>
          <w:sz w:val="28"/>
          <w:szCs w:val="28"/>
          <w:lang w:val="zh-CN"/>
        </w:rPr>
        <w:t>四、</w:t>
      </w:r>
      <w:bookmarkStart w:id="476" w:name="OLE_LINK67"/>
      <w:r>
        <w:rPr>
          <w:rFonts w:hint="eastAsia" w:ascii="宋体" w:hAnsi="宋体" w:cs="宋体"/>
          <w:b/>
          <w:bCs/>
          <w:color w:val="000000"/>
          <w:sz w:val="28"/>
          <w:szCs w:val="28"/>
          <w:lang w:val="zh-CN"/>
        </w:rPr>
        <w:t>供应商</w:t>
      </w:r>
      <w:bookmarkEnd w:id="430"/>
      <w:bookmarkEnd w:id="476"/>
      <w:r>
        <w:rPr>
          <w:rFonts w:hint="eastAsia" w:ascii="宋体" w:hAnsi="宋体" w:cs="宋体"/>
          <w:b/>
          <w:bCs/>
          <w:color w:val="000000"/>
          <w:sz w:val="28"/>
          <w:szCs w:val="28"/>
        </w:rPr>
        <w:t>基本情况</w:t>
      </w:r>
      <w:bookmarkEnd w:id="475"/>
    </w:p>
    <w:p w14:paraId="417A9EA0">
      <w:pPr>
        <w:spacing w:before="53"/>
        <w:jc w:val="center"/>
        <w:outlineLvl w:val="2"/>
        <w:rPr>
          <w:rFonts w:ascii="宋体" w:hAnsi="宋体" w:cs="Calibri Light"/>
          <w:b/>
          <w:bCs/>
          <w:sz w:val="24"/>
          <w:lang w:val="zh-CN" w:bidi="zh-CN"/>
        </w:rPr>
      </w:pPr>
      <w:bookmarkStart w:id="477" w:name="_Toc151210175"/>
      <w:bookmarkStart w:id="478" w:name="_Toc176358383"/>
      <w:r>
        <w:rPr>
          <w:rFonts w:hint="eastAsia" w:ascii="宋体" w:hAnsi="宋体" w:cs="Calibri Light"/>
          <w:b/>
          <w:bCs/>
          <w:sz w:val="24"/>
          <w:lang w:val="zh-CN" w:bidi="zh-CN"/>
        </w:rPr>
        <w:t>（1）供应商基本情况表</w:t>
      </w:r>
      <w:bookmarkEnd w:id="477"/>
      <w:bookmarkEnd w:id="478"/>
    </w:p>
    <w:tbl>
      <w:tblPr>
        <w:tblStyle w:val="10"/>
        <w:tblpPr w:leftFromText="180" w:rightFromText="180" w:vertAnchor="text" w:horzAnchor="page" w:tblpXSpec="center" w:tblpY="275"/>
        <w:tblOverlap w:val="never"/>
        <w:tblW w:w="87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5"/>
        <w:gridCol w:w="952"/>
        <w:gridCol w:w="1769"/>
        <w:gridCol w:w="1224"/>
        <w:gridCol w:w="2654"/>
      </w:tblGrid>
      <w:tr w14:paraId="35A2F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45" w:type="dxa"/>
            <w:vAlign w:val="center"/>
          </w:tcPr>
          <w:p w14:paraId="0BBA60BA">
            <w:pPr>
              <w:topLinePunct/>
              <w:spacing w:line="440" w:lineRule="exact"/>
              <w:jc w:val="center"/>
              <w:rPr>
                <w:rFonts w:ascii="宋体" w:hAnsi="宋体" w:cs="Calibri Light"/>
                <w:sz w:val="24"/>
              </w:rPr>
            </w:pPr>
            <w:r>
              <w:rPr>
                <w:rFonts w:hint="eastAsia" w:ascii="宋体" w:hAnsi="宋体" w:cs="Calibri Light"/>
                <w:sz w:val="24"/>
              </w:rPr>
              <w:t>供应商名称</w:t>
            </w:r>
          </w:p>
        </w:tc>
        <w:tc>
          <w:tcPr>
            <w:tcW w:w="6599" w:type="dxa"/>
            <w:gridSpan w:val="4"/>
            <w:vAlign w:val="center"/>
          </w:tcPr>
          <w:p w14:paraId="363EF962">
            <w:pPr>
              <w:topLinePunct/>
              <w:spacing w:line="440" w:lineRule="exact"/>
              <w:jc w:val="center"/>
              <w:rPr>
                <w:rFonts w:ascii="宋体" w:hAnsi="宋体" w:cs="Calibri Light"/>
                <w:sz w:val="24"/>
              </w:rPr>
            </w:pPr>
          </w:p>
        </w:tc>
      </w:tr>
      <w:tr w14:paraId="2D42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45" w:type="dxa"/>
            <w:vAlign w:val="center"/>
          </w:tcPr>
          <w:p w14:paraId="0A1C87C6">
            <w:pPr>
              <w:topLinePunct/>
              <w:spacing w:line="440" w:lineRule="exact"/>
              <w:jc w:val="center"/>
              <w:rPr>
                <w:rFonts w:ascii="宋体" w:hAnsi="宋体" w:cs="Calibri Light"/>
                <w:sz w:val="24"/>
              </w:rPr>
            </w:pPr>
            <w:r>
              <w:rPr>
                <w:rFonts w:hint="eastAsia" w:ascii="宋体" w:hAnsi="宋体" w:cs="Calibri Light"/>
                <w:sz w:val="24"/>
              </w:rPr>
              <w:t>注册地址</w:t>
            </w:r>
          </w:p>
        </w:tc>
        <w:tc>
          <w:tcPr>
            <w:tcW w:w="2721" w:type="dxa"/>
            <w:gridSpan w:val="2"/>
            <w:vAlign w:val="center"/>
          </w:tcPr>
          <w:p w14:paraId="45D01979">
            <w:pPr>
              <w:topLinePunct/>
              <w:spacing w:line="440" w:lineRule="exact"/>
              <w:jc w:val="center"/>
              <w:rPr>
                <w:rFonts w:ascii="宋体" w:hAnsi="宋体" w:cs="Calibri Light"/>
                <w:sz w:val="24"/>
              </w:rPr>
            </w:pPr>
          </w:p>
        </w:tc>
        <w:tc>
          <w:tcPr>
            <w:tcW w:w="1224" w:type="dxa"/>
            <w:vAlign w:val="center"/>
          </w:tcPr>
          <w:p w14:paraId="03729D00">
            <w:pPr>
              <w:topLinePunct/>
              <w:spacing w:line="440" w:lineRule="exact"/>
              <w:jc w:val="center"/>
              <w:rPr>
                <w:rFonts w:ascii="宋体" w:hAnsi="宋体" w:cs="Calibri Light"/>
                <w:sz w:val="24"/>
              </w:rPr>
            </w:pPr>
            <w:r>
              <w:rPr>
                <w:rFonts w:hint="eastAsia" w:ascii="宋体" w:hAnsi="宋体" w:cs="Calibri Light"/>
                <w:sz w:val="24"/>
              </w:rPr>
              <w:t>邮政编码</w:t>
            </w:r>
          </w:p>
        </w:tc>
        <w:tc>
          <w:tcPr>
            <w:tcW w:w="2654" w:type="dxa"/>
            <w:vAlign w:val="center"/>
          </w:tcPr>
          <w:p w14:paraId="63964A2F">
            <w:pPr>
              <w:topLinePunct/>
              <w:spacing w:line="440" w:lineRule="exact"/>
              <w:jc w:val="center"/>
              <w:rPr>
                <w:rFonts w:ascii="宋体" w:hAnsi="宋体" w:cs="Calibri Light"/>
                <w:sz w:val="24"/>
              </w:rPr>
            </w:pPr>
          </w:p>
        </w:tc>
      </w:tr>
      <w:tr w14:paraId="3CDF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145" w:type="dxa"/>
            <w:vMerge w:val="restart"/>
            <w:vAlign w:val="center"/>
          </w:tcPr>
          <w:p w14:paraId="2ABEB00B">
            <w:pPr>
              <w:topLinePunct/>
              <w:spacing w:line="440" w:lineRule="exact"/>
              <w:jc w:val="center"/>
              <w:rPr>
                <w:rFonts w:ascii="宋体" w:hAnsi="宋体" w:cs="Calibri Light"/>
                <w:sz w:val="24"/>
              </w:rPr>
            </w:pPr>
            <w:r>
              <w:rPr>
                <w:rFonts w:hint="eastAsia" w:ascii="宋体" w:hAnsi="宋体" w:cs="Calibri Light"/>
                <w:sz w:val="24"/>
              </w:rPr>
              <w:t>联系方式</w:t>
            </w:r>
          </w:p>
        </w:tc>
        <w:tc>
          <w:tcPr>
            <w:tcW w:w="952" w:type="dxa"/>
            <w:vAlign w:val="center"/>
          </w:tcPr>
          <w:p w14:paraId="4B2FDAE5">
            <w:pPr>
              <w:topLinePunct/>
              <w:spacing w:line="440" w:lineRule="exact"/>
              <w:jc w:val="center"/>
              <w:rPr>
                <w:rFonts w:ascii="宋体" w:hAnsi="宋体" w:cs="Calibri Light"/>
                <w:sz w:val="24"/>
              </w:rPr>
            </w:pPr>
            <w:r>
              <w:rPr>
                <w:rFonts w:hint="eastAsia" w:ascii="宋体" w:hAnsi="宋体" w:cs="Calibri Light"/>
                <w:sz w:val="24"/>
              </w:rPr>
              <w:t>联系人</w:t>
            </w:r>
          </w:p>
        </w:tc>
        <w:tc>
          <w:tcPr>
            <w:tcW w:w="1769" w:type="dxa"/>
            <w:vAlign w:val="center"/>
          </w:tcPr>
          <w:p w14:paraId="29F041FB">
            <w:pPr>
              <w:topLinePunct/>
              <w:spacing w:line="440" w:lineRule="exact"/>
              <w:jc w:val="center"/>
              <w:rPr>
                <w:rFonts w:ascii="宋体" w:hAnsi="宋体" w:cs="Calibri Light"/>
                <w:sz w:val="24"/>
              </w:rPr>
            </w:pPr>
          </w:p>
        </w:tc>
        <w:tc>
          <w:tcPr>
            <w:tcW w:w="1224" w:type="dxa"/>
            <w:vAlign w:val="center"/>
          </w:tcPr>
          <w:p w14:paraId="46528528">
            <w:pPr>
              <w:topLinePunct/>
              <w:spacing w:line="440" w:lineRule="exact"/>
              <w:jc w:val="center"/>
              <w:rPr>
                <w:rFonts w:ascii="宋体" w:hAnsi="宋体" w:cs="Calibri Light"/>
                <w:sz w:val="24"/>
              </w:rPr>
            </w:pPr>
            <w:r>
              <w:rPr>
                <w:rFonts w:hint="eastAsia" w:ascii="宋体" w:hAnsi="宋体" w:cs="Calibri Light"/>
                <w:sz w:val="24"/>
              </w:rPr>
              <w:t>电 话</w:t>
            </w:r>
          </w:p>
        </w:tc>
        <w:tc>
          <w:tcPr>
            <w:tcW w:w="2654" w:type="dxa"/>
            <w:vAlign w:val="center"/>
          </w:tcPr>
          <w:p w14:paraId="2AAE9F9C">
            <w:pPr>
              <w:topLinePunct/>
              <w:spacing w:line="440" w:lineRule="exact"/>
              <w:jc w:val="center"/>
              <w:rPr>
                <w:rFonts w:ascii="宋体" w:hAnsi="宋体" w:cs="Calibri Light"/>
                <w:sz w:val="24"/>
              </w:rPr>
            </w:pPr>
          </w:p>
        </w:tc>
      </w:tr>
      <w:tr w14:paraId="4C9D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145" w:type="dxa"/>
            <w:vMerge w:val="continue"/>
            <w:vAlign w:val="center"/>
          </w:tcPr>
          <w:p w14:paraId="0777792B">
            <w:pPr>
              <w:topLinePunct/>
              <w:spacing w:line="440" w:lineRule="exact"/>
              <w:jc w:val="center"/>
              <w:rPr>
                <w:rFonts w:ascii="宋体" w:hAnsi="宋体" w:cs="Calibri Light"/>
                <w:sz w:val="24"/>
              </w:rPr>
            </w:pPr>
          </w:p>
        </w:tc>
        <w:tc>
          <w:tcPr>
            <w:tcW w:w="952" w:type="dxa"/>
            <w:vAlign w:val="center"/>
          </w:tcPr>
          <w:p w14:paraId="14A8CD84">
            <w:pPr>
              <w:topLinePunct/>
              <w:spacing w:line="440" w:lineRule="exact"/>
              <w:jc w:val="center"/>
              <w:rPr>
                <w:rFonts w:ascii="宋体" w:hAnsi="宋体" w:cs="Calibri Light"/>
                <w:sz w:val="24"/>
              </w:rPr>
            </w:pPr>
            <w:r>
              <w:rPr>
                <w:rFonts w:hint="eastAsia" w:ascii="宋体" w:hAnsi="宋体" w:cs="Calibri Light"/>
                <w:sz w:val="24"/>
              </w:rPr>
              <w:t>传  真</w:t>
            </w:r>
          </w:p>
        </w:tc>
        <w:tc>
          <w:tcPr>
            <w:tcW w:w="1769" w:type="dxa"/>
            <w:vAlign w:val="center"/>
          </w:tcPr>
          <w:p w14:paraId="45E63F70">
            <w:pPr>
              <w:topLinePunct/>
              <w:spacing w:line="440" w:lineRule="exact"/>
              <w:jc w:val="center"/>
              <w:rPr>
                <w:rFonts w:ascii="宋体" w:hAnsi="宋体" w:cs="Calibri Light"/>
                <w:sz w:val="24"/>
              </w:rPr>
            </w:pPr>
          </w:p>
        </w:tc>
        <w:tc>
          <w:tcPr>
            <w:tcW w:w="1224" w:type="dxa"/>
            <w:vAlign w:val="center"/>
          </w:tcPr>
          <w:p w14:paraId="034E254F">
            <w:pPr>
              <w:topLinePunct/>
              <w:spacing w:line="440" w:lineRule="exact"/>
              <w:jc w:val="center"/>
              <w:rPr>
                <w:rFonts w:ascii="宋体" w:hAnsi="宋体" w:cs="Calibri Light"/>
                <w:sz w:val="24"/>
              </w:rPr>
            </w:pPr>
            <w:r>
              <w:rPr>
                <w:rFonts w:hint="eastAsia" w:ascii="宋体" w:hAnsi="宋体" w:cs="Calibri Light"/>
                <w:sz w:val="24"/>
              </w:rPr>
              <w:t>网 址</w:t>
            </w:r>
          </w:p>
        </w:tc>
        <w:tc>
          <w:tcPr>
            <w:tcW w:w="2654" w:type="dxa"/>
            <w:vAlign w:val="center"/>
          </w:tcPr>
          <w:p w14:paraId="2893AF75">
            <w:pPr>
              <w:topLinePunct/>
              <w:spacing w:line="440" w:lineRule="exact"/>
              <w:jc w:val="center"/>
              <w:rPr>
                <w:rFonts w:ascii="宋体" w:hAnsi="宋体" w:cs="Calibri Light"/>
                <w:sz w:val="24"/>
              </w:rPr>
            </w:pPr>
          </w:p>
        </w:tc>
      </w:tr>
      <w:tr w14:paraId="3A49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45" w:type="dxa"/>
            <w:vAlign w:val="center"/>
          </w:tcPr>
          <w:p w14:paraId="6F262142">
            <w:pPr>
              <w:topLinePunct/>
              <w:jc w:val="center"/>
              <w:rPr>
                <w:rFonts w:ascii="宋体" w:hAnsi="宋体" w:cs="Calibri Light"/>
                <w:sz w:val="24"/>
              </w:rPr>
            </w:pPr>
            <w:r>
              <w:rPr>
                <w:rFonts w:hint="eastAsia" w:ascii="宋体" w:hAnsi="宋体" w:cs="Calibri Light"/>
                <w:sz w:val="24"/>
              </w:rPr>
              <w:t xml:space="preserve">法定代表人        </w:t>
            </w:r>
          </w:p>
        </w:tc>
        <w:tc>
          <w:tcPr>
            <w:tcW w:w="952" w:type="dxa"/>
            <w:vAlign w:val="center"/>
          </w:tcPr>
          <w:p w14:paraId="05A8B3F7">
            <w:pPr>
              <w:topLinePunct/>
              <w:spacing w:line="440" w:lineRule="exact"/>
              <w:jc w:val="center"/>
              <w:rPr>
                <w:rFonts w:ascii="宋体" w:hAnsi="宋体" w:cs="Calibri Light"/>
                <w:sz w:val="24"/>
              </w:rPr>
            </w:pPr>
            <w:r>
              <w:rPr>
                <w:rFonts w:hint="eastAsia" w:ascii="宋体" w:hAnsi="宋体" w:cs="Calibri Light"/>
                <w:sz w:val="24"/>
              </w:rPr>
              <w:t>姓名</w:t>
            </w:r>
          </w:p>
        </w:tc>
        <w:tc>
          <w:tcPr>
            <w:tcW w:w="1769" w:type="dxa"/>
            <w:vAlign w:val="center"/>
          </w:tcPr>
          <w:p w14:paraId="16D27330">
            <w:pPr>
              <w:topLinePunct/>
              <w:spacing w:line="440" w:lineRule="exact"/>
              <w:jc w:val="center"/>
              <w:rPr>
                <w:rFonts w:ascii="宋体" w:hAnsi="宋体" w:cs="Calibri Light"/>
                <w:sz w:val="24"/>
              </w:rPr>
            </w:pPr>
          </w:p>
        </w:tc>
        <w:tc>
          <w:tcPr>
            <w:tcW w:w="1224" w:type="dxa"/>
            <w:vAlign w:val="center"/>
          </w:tcPr>
          <w:p w14:paraId="0BBC2BC6">
            <w:pPr>
              <w:topLinePunct/>
              <w:spacing w:line="440" w:lineRule="exact"/>
              <w:jc w:val="center"/>
              <w:rPr>
                <w:rFonts w:ascii="宋体" w:hAnsi="宋体" w:cs="Calibri Light"/>
                <w:sz w:val="24"/>
              </w:rPr>
            </w:pPr>
            <w:r>
              <w:rPr>
                <w:rFonts w:hint="eastAsia" w:ascii="宋体" w:hAnsi="宋体" w:cs="Calibri Light"/>
                <w:sz w:val="24"/>
              </w:rPr>
              <w:t>电话</w:t>
            </w:r>
          </w:p>
        </w:tc>
        <w:tc>
          <w:tcPr>
            <w:tcW w:w="2654" w:type="dxa"/>
            <w:vAlign w:val="center"/>
          </w:tcPr>
          <w:p w14:paraId="41D141B0">
            <w:pPr>
              <w:topLinePunct/>
              <w:spacing w:line="440" w:lineRule="exact"/>
              <w:jc w:val="center"/>
              <w:rPr>
                <w:rFonts w:ascii="宋体" w:hAnsi="宋体" w:cs="Calibri Light"/>
                <w:sz w:val="24"/>
              </w:rPr>
            </w:pPr>
          </w:p>
        </w:tc>
      </w:tr>
      <w:tr w14:paraId="0064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145" w:type="dxa"/>
            <w:vAlign w:val="center"/>
          </w:tcPr>
          <w:p w14:paraId="547519EE">
            <w:pPr>
              <w:topLinePunct/>
              <w:spacing w:line="440" w:lineRule="exact"/>
              <w:jc w:val="center"/>
              <w:rPr>
                <w:rFonts w:ascii="宋体" w:hAnsi="宋体" w:cs="Calibri Light"/>
                <w:sz w:val="24"/>
              </w:rPr>
            </w:pPr>
            <w:r>
              <w:rPr>
                <w:rFonts w:hint="eastAsia" w:ascii="宋体" w:hAnsi="宋体" w:cs="Calibri Light"/>
                <w:sz w:val="24"/>
              </w:rPr>
              <w:t>营业执照号</w:t>
            </w:r>
          </w:p>
        </w:tc>
        <w:tc>
          <w:tcPr>
            <w:tcW w:w="6599" w:type="dxa"/>
            <w:gridSpan w:val="4"/>
            <w:vAlign w:val="center"/>
          </w:tcPr>
          <w:p w14:paraId="39F91B53">
            <w:pPr>
              <w:topLinePunct/>
              <w:spacing w:line="440" w:lineRule="exact"/>
              <w:jc w:val="center"/>
              <w:rPr>
                <w:rFonts w:ascii="宋体" w:hAnsi="宋体" w:cs="Calibri Light"/>
                <w:sz w:val="24"/>
              </w:rPr>
            </w:pPr>
          </w:p>
        </w:tc>
      </w:tr>
      <w:tr w14:paraId="3261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145" w:type="dxa"/>
            <w:vAlign w:val="center"/>
          </w:tcPr>
          <w:p w14:paraId="3441AF4D">
            <w:pPr>
              <w:topLinePunct/>
              <w:spacing w:line="440" w:lineRule="exact"/>
              <w:jc w:val="center"/>
              <w:rPr>
                <w:rFonts w:ascii="宋体" w:hAnsi="宋体" w:cs="Calibri Light"/>
                <w:sz w:val="24"/>
              </w:rPr>
            </w:pPr>
            <w:r>
              <w:rPr>
                <w:rFonts w:hint="eastAsia" w:ascii="宋体" w:hAnsi="宋体" w:cs="Calibri Light"/>
                <w:sz w:val="24"/>
              </w:rPr>
              <w:t>注册资金</w:t>
            </w:r>
          </w:p>
        </w:tc>
        <w:tc>
          <w:tcPr>
            <w:tcW w:w="6599" w:type="dxa"/>
            <w:gridSpan w:val="4"/>
            <w:vAlign w:val="center"/>
          </w:tcPr>
          <w:p w14:paraId="17BAFA67">
            <w:pPr>
              <w:topLinePunct/>
              <w:spacing w:line="440" w:lineRule="exact"/>
              <w:jc w:val="center"/>
              <w:rPr>
                <w:rFonts w:ascii="宋体" w:hAnsi="宋体" w:cs="Calibri Light"/>
                <w:sz w:val="24"/>
              </w:rPr>
            </w:pPr>
          </w:p>
        </w:tc>
      </w:tr>
      <w:tr w14:paraId="1E3F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145" w:type="dxa"/>
            <w:vAlign w:val="center"/>
          </w:tcPr>
          <w:p w14:paraId="666264C7">
            <w:pPr>
              <w:topLinePunct/>
              <w:spacing w:line="440" w:lineRule="exact"/>
              <w:jc w:val="center"/>
              <w:rPr>
                <w:rFonts w:ascii="宋体" w:hAnsi="宋体" w:cs="Calibri Light"/>
                <w:sz w:val="24"/>
              </w:rPr>
            </w:pPr>
            <w:r>
              <w:rPr>
                <w:rFonts w:hint="eastAsia" w:ascii="宋体" w:hAnsi="宋体" w:cs="Calibri Light"/>
                <w:sz w:val="24"/>
              </w:rPr>
              <w:t>开户银行</w:t>
            </w:r>
          </w:p>
        </w:tc>
        <w:tc>
          <w:tcPr>
            <w:tcW w:w="6599" w:type="dxa"/>
            <w:gridSpan w:val="4"/>
            <w:vAlign w:val="center"/>
          </w:tcPr>
          <w:p w14:paraId="39077EF5">
            <w:pPr>
              <w:topLinePunct/>
              <w:spacing w:line="440" w:lineRule="exact"/>
              <w:jc w:val="center"/>
              <w:rPr>
                <w:rFonts w:ascii="宋体" w:hAnsi="宋体" w:cs="Calibri Light"/>
                <w:sz w:val="24"/>
              </w:rPr>
            </w:pPr>
          </w:p>
        </w:tc>
      </w:tr>
      <w:tr w14:paraId="0EA9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2145" w:type="dxa"/>
            <w:vAlign w:val="center"/>
          </w:tcPr>
          <w:p w14:paraId="48DAB77F">
            <w:pPr>
              <w:topLinePunct/>
              <w:spacing w:line="440" w:lineRule="exact"/>
              <w:jc w:val="center"/>
              <w:rPr>
                <w:rFonts w:ascii="宋体" w:hAnsi="宋体" w:cs="Calibri Light"/>
                <w:sz w:val="24"/>
              </w:rPr>
            </w:pPr>
            <w:r>
              <w:rPr>
                <w:rFonts w:hint="eastAsia" w:ascii="宋体" w:hAnsi="宋体" w:cs="Calibri Light"/>
                <w:sz w:val="24"/>
              </w:rPr>
              <w:t>账号</w:t>
            </w:r>
          </w:p>
        </w:tc>
        <w:tc>
          <w:tcPr>
            <w:tcW w:w="6599" w:type="dxa"/>
            <w:gridSpan w:val="4"/>
            <w:vAlign w:val="center"/>
          </w:tcPr>
          <w:p w14:paraId="30EBE409">
            <w:pPr>
              <w:topLinePunct/>
              <w:spacing w:line="440" w:lineRule="exact"/>
              <w:jc w:val="center"/>
              <w:rPr>
                <w:rFonts w:ascii="宋体" w:hAnsi="宋体" w:cs="Calibri Light"/>
                <w:sz w:val="24"/>
              </w:rPr>
            </w:pPr>
          </w:p>
        </w:tc>
      </w:tr>
      <w:tr w14:paraId="66F9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45" w:type="dxa"/>
            <w:vAlign w:val="center"/>
          </w:tcPr>
          <w:p w14:paraId="7FB04E16">
            <w:pPr>
              <w:topLinePunct/>
              <w:spacing w:line="440" w:lineRule="exact"/>
              <w:ind w:firstLine="240" w:firstLineChars="100"/>
              <w:jc w:val="center"/>
              <w:rPr>
                <w:rFonts w:ascii="宋体" w:hAnsi="宋体" w:cs="Calibri Light"/>
                <w:sz w:val="24"/>
              </w:rPr>
            </w:pPr>
            <w:r>
              <w:rPr>
                <w:rFonts w:hint="eastAsia" w:ascii="宋体" w:hAnsi="宋体" w:cs="Calibri Light"/>
                <w:sz w:val="24"/>
              </w:rPr>
              <w:t>经营范围</w:t>
            </w:r>
          </w:p>
        </w:tc>
        <w:tc>
          <w:tcPr>
            <w:tcW w:w="6599" w:type="dxa"/>
            <w:gridSpan w:val="4"/>
            <w:vAlign w:val="center"/>
          </w:tcPr>
          <w:p w14:paraId="14824950">
            <w:pPr>
              <w:topLinePunct/>
              <w:spacing w:line="440" w:lineRule="exact"/>
              <w:jc w:val="left"/>
              <w:rPr>
                <w:rFonts w:ascii="宋体" w:hAnsi="宋体" w:cs="Calibri Light"/>
                <w:sz w:val="24"/>
              </w:rPr>
            </w:pPr>
          </w:p>
        </w:tc>
      </w:tr>
      <w:tr w14:paraId="60A3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145" w:type="dxa"/>
            <w:vAlign w:val="center"/>
          </w:tcPr>
          <w:p w14:paraId="11189366">
            <w:pPr>
              <w:topLinePunct/>
              <w:spacing w:line="440" w:lineRule="exact"/>
              <w:jc w:val="center"/>
              <w:rPr>
                <w:rFonts w:ascii="宋体" w:hAnsi="宋体" w:cs="Calibri Light"/>
                <w:sz w:val="24"/>
              </w:rPr>
            </w:pPr>
            <w:r>
              <w:rPr>
                <w:rFonts w:hint="eastAsia" w:ascii="宋体" w:hAnsi="宋体" w:cs="Calibri Light"/>
                <w:sz w:val="24"/>
              </w:rPr>
              <w:t>备注</w:t>
            </w:r>
          </w:p>
        </w:tc>
        <w:tc>
          <w:tcPr>
            <w:tcW w:w="6599" w:type="dxa"/>
            <w:gridSpan w:val="4"/>
            <w:vAlign w:val="center"/>
          </w:tcPr>
          <w:p w14:paraId="718EC86A">
            <w:pPr>
              <w:topLinePunct/>
              <w:spacing w:line="440" w:lineRule="exact"/>
              <w:jc w:val="center"/>
              <w:rPr>
                <w:rFonts w:ascii="宋体" w:hAnsi="宋体" w:cs="Calibri Light"/>
                <w:sz w:val="24"/>
              </w:rPr>
            </w:pPr>
          </w:p>
        </w:tc>
      </w:tr>
    </w:tbl>
    <w:p w14:paraId="5B34A026">
      <w:pPr>
        <w:spacing w:line="276" w:lineRule="auto"/>
        <w:ind w:firstLine="240" w:firstLineChars="100"/>
        <w:rPr>
          <w:rFonts w:ascii="宋体" w:hAnsi="宋体" w:cs="仿宋_GB2312"/>
          <w:sz w:val="24"/>
          <w:shd w:val="clear" w:color="auto" w:fill="FFFFFF"/>
          <w:lang w:bidi="ar"/>
        </w:rPr>
      </w:pPr>
    </w:p>
    <w:p w14:paraId="4250FDDF">
      <w:pPr>
        <w:spacing w:line="276" w:lineRule="auto"/>
        <w:ind w:firstLine="482" w:firstLineChars="200"/>
        <w:jc w:val="left"/>
        <w:rPr>
          <w:rFonts w:ascii="宋体" w:hAnsi="宋体" w:cs="仿宋_GB2312"/>
          <w:b/>
          <w:sz w:val="24"/>
          <w:shd w:val="clear" w:color="auto" w:fill="FFFFFF"/>
          <w:lang w:bidi="ar"/>
        </w:rPr>
      </w:pPr>
    </w:p>
    <w:p w14:paraId="774EC2B0">
      <w:pPr>
        <w:spacing w:line="276" w:lineRule="auto"/>
        <w:ind w:firstLine="482" w:firstLineChars="200"/>
        <w:jc w:val="left"/>
        <w:rPr>
          <w:rFonts w:ascii="宋体" w:hAnsi="宋体" w:cs="仿宋_GB2312"/>
          <w:b/>
          <w:sz w:val="24"/>
          <w:shd w:val="clear" w:color="auto" w:fill="FFFFFF"/>
          <w:lang w:bidi="ar"/>
        </w:rPr>
      </w:pPr>
    </w:p>
    <w:p w14:paraId="1BA80D08">
      <w:pPr>
        <w:spacing w:line="460" w:lineRule="exact"/>
        <w:ind w:firstLine="4080" w:firstLineChars="1700"/>
        <w:rPr>
          <w:rFonts w:ascii="宋体" w:hAnsi="宋体" w:cs="仿宋_GB2312"/>
          <w:sz w:val="24"/>
          <w:shd w:val="clear" w:color="auto" w:fill="FFFFFF"/>
          <w:lang w:bidi="ar"/>
        </w:rPr>
      </w:pPr>
      <w:r>
        <w:rPr>
          <w:rFonts w:hint="eastAsia" w:ascii="宋体" w:hAnsi="宋体" w:cs="宋体"/>
          <w:sz w:val="24"/>
        </w:rPr>
        <w:t>投标供应商</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300F30CE">
      <w:pPr>
        <w:spacing w:line="460" w:lineRule="exact"/>
        <w:ind w:firstLine="4080" w:firstLineChars="1700"/>
        <w:rPr>
          <w:rFonts w:ascii="宋体" w:hAnsi="宋体" w:cs="仿宋_GB2312"/>
          <w:sz w:val="24"/>
          <w:shd w:val="clear" w:color="auto" w:fill="FFFFFF"/>
          <w:lang w:bidi="ar"/>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0AE8AB02">
      <w:pPr>
        <w:spacing w:line="460" w:lineRule="exact"/>
        <w:ind w:firstLine="4080" w:firstLineChars="1700"/>
        <w:rPr>
          <w:rFonts w:ascii="宋体" w:hAnsi="宋体" w:cs="仿宋_GB2312"/>
          <w:sz w:val="24"/>
          <w:shd w:val="clear" w:color="auto" w:fill="FFFFFF"/>
          <w:lang w:bidi="ar"/>
        </w:rPr>
      </w:pPr>
      <w:bookmarkStart w:id="479" w:name="_Toc96965862"/>
      <w:bookmarkStart w:id="480" w:name="_Toc176358384"/>
      <w:bookmarkStart w:id="481" w:name="_Toc151210176"/>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p w14:paraId="065BA0DC">
      <w:pPr>
        <w:spacing w:before="53" w:line="360" w:lineRule="auto"/>
        <w:jc w:val="center"/>
        <w:outlineLvl w:val="2"/>
        <w:rPr>
          <w:rFonts w:ascii="宋体" w:hAnsi="宋体" w:cs="Calibri Light"/>
          <w:b/>
          <w:bCs/>
          <w:sz w:val="24"/>
          <w:lang w:val="zh-CN" w:bidi="zh-CN"/>
        </w:rPr>
      </w:pPr>
    </w:p>
    <w:p w14:paraId="13F79998">
      <w:pPr>
        <w:spacing w:before="53"/>
        <w:jc w:val="center"/>
        <w:outlineLvl w:val="2"/>
        <w:rPr>
          <w:rFonts w:ascii="宋体" w:hAnsi="宋体" w:cs="Calibri Light"/>
          <w:b/>
          <w:bCs/>
          <w:sz w:val="24"/>
          <w:lang w:val="zh-CN" w:bidi="zh-CN"/>
        </w:rPr>
      </w:pPr>
    </w:p>
    <w:p w14:paraId="7E2862CC">
      <w:pPr>
        <w:spacing w:before="53"/>
        <w:jc w:val="center"/>
        <w:outlineLvl w:val="2"/>
        <w:rPr>
          <w:rFonts w:ascii="宋体" w:hAnsi="宋体" w:cs="Calibri Light"/>
          <w:b/>
          <w:bCs/>
          <w:sz w:val="24"/>
          <w:lang w:val="zh-CN" w:bidi="zh-CN"/>
        </w:rPr>
      </w:pPr>
    </w:p>
    <w:p w14:paraId="3D09F907">
      <w:pPr>
        <w:spacing w:line="560" w:lineRule="exact"/>
        <w:ind w:firstLine="2400"/>
        <w:rPr>
          <w:rFonts w:ascii="宋体" w:hAnsi="宋体" w:cs="宋体"/>
          <w:sz w:val="24"/>
        </w:rPr>
      </w:pPr>
    </w:p>
    <w:p w14:paraId="39EBBEDE">
      <w:pPr>
        <w:spacing w:line="560" w:lineRule="exact"/>
        <w:ind w:firstLine="2400"/>
        <w:rPr>
          <w:rFonts w:ascii="宋体" w:hAnsi="宋体" w:cs="宋体"/>
          <w:sz w:val="24"/>
        </w:rPr>
      </w:pPr>
    </w:p>
    <w:p w14:paraId="162ACEAF">
      <w:pPr>
        <w:spacing w:line="560" w:lineRule="exact"/>
        <w:ind w:firstLine="2400"/>
        <w:rPr>
          <w:rFonts w:ascii="宋体" w:hAnsi="宋体" w:cs="宋体"/>
          <w:sz w:val="24"/>
        </w:rPr>
      </w:pPr>
    </w:p>
    <w:p w14:paraId="3436924C">
      <w:pPr>
        <w:numPr>
          <w:ilvl w:val="0"/>
          <w:numId w:val="4"/>
        </w:numPr>
        <w:spacing w:before="53"/>
        <w:jc w:val="center"/>
        <w:outlineLvl w:val="2"/>
        <w:rPr>
          <w:rFonts w:ascii="宋体" w:hAnsi="宋体" w:cs="Calibri Light"/>
          <w:b/>
          <w:bCs/>
          <w:sz w:val="24"/>
          <w:lang w:val="zh-CN" w:bidi="zh-CN"/>
        </w:rPr>
      </w:pPr>
      <w:r>
        <w:rPr>
          <w:rFonts w:hint="eastAsia" w:ascii="宋体" w:hAnsi="宋体" w:cs="Calibri Light"/>
          <w:b/>
          <w:bCs/>
          <w:sz w:val="24"/>
          <w:lang w:val="zh-CN" w:bidi="zh-CN"/>
        </w:rPr>
        <w:t>拟投入项目服务人员汇总表</w:t>
      </w:r>
    </w:p>
    <w:p w14:paraId="20DCF2CC">
      <w:pPr>
        <w:spacing w:before="53"/>
        <w:outlineLvl w:val="2"/>
        <w:rPr>
          <w:rFonts w:ascii="宋体" w:hAnsi="宋体" w:cs="Calibri Light"/>
          <w:b/>
          <w:bCs/>
          <w:sz w:val="24"/>
          <w:lang w:val="zh-CN" w:bidi="zh-CN"/>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732"/>
        <w:gridCol w:w="760"/>
        <w:gridCol w:w="1331"/>
        <w:gridCol w:w="760"/>
        <w:gridCol w:w="892"/>
        <w:gridCol w:w="1195"/>
        <w:gridCol w:w="1537"/>
        <w:gridCol w:w="1263"/>
      </w:tblGrid>
      <w:tr w14:paraId="4FD3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2" w:hRule="atLeast"/>
          <w:jc w:val="center"/>
        </w:trPr>
        <w:tc>
          <w:tcPr>
            <w:tcW w:w="713" w:type="dxa"/>
            <w:vAlign w:val="center"/>
          </w:tcPr>
          <w:p w14:paraId="39B5819A">
            <w:pPr>
              <w:adjustRightInd w:val="0"/>
              <w:snapToGrid w:val="0"/>
              <w:rPr>
                <w:rFonts w:ascii="宋体" w:hAnsi="宋体" w:cs="宋体"/>
                <w:sz w:val="24"/>
              </w:rPr>
            </w:pPr>
            <w:r>
              <w:rPr>
                <w:rFonts w:hint="eastAsia" w:ascii="宋体" w:hAnsi="宋体" w:cs="宋体"/>
                <w:sz w:val="24"/>
              </w:rPr>
              <w:t>序号</w:t>
            </w:r>
          </w:p>
        </w:tc>
        <w:tc>
          <w:tcPr>
            <w:tcW w:w="732" w:type="dxa"/>
            <w:vAlign w:val="center"/>
          </w:tcPr>
          <w:p w14:paraId="0EE672FA">
            <w:pPr>
              <w:adjustRightInd w:val="0"/>
              <w:snapToGrid w:val="0"/>
              <w:spacing w:line="620" w:lineRule="exact"/>
              <w:rPr>
                <w:rFonts w:ascii="宋体" w:hAnsi="宋体" w:cs="宋体"/>
                <w:sz w:val="24"/>
              </w:rPr>
            </w:pPr>
            <w:r>
              <w:rPr>
                <w:rFonts w:hint="eastAsia" w:ascii="宋体" w:hAnsi="宋体" w:cs="宋体"/>
                <w:sz w:val="24"/>
              </w:rPr>
              <w:t>姓名</w:t>
            </w:r>
          </w:p>
        </w:tc>
        <w:tc>
          <w:tcPr>
            <w:tcW w:w="760" w:type="dxa"/>
            <w:vAlign w:val="center"/>
          </w:tcPr>
          <w:p w14:paraId="1E3E9759">
            <w:pPr>
              <w:adjustRightInd w:val="0"/>
              <w:snapToGrid w:val="0"/>
              <w:spacing w:line="620" w:lineRule="exact"/>
              <w:rPr>
                <w:rFonts w:ascii="宋体" w:hAnsi="宋体" w:cs="宋体"/>
                <w:sz w:val="24"/>
              </w:rPr>
            </w:pPr>
            <w:r>
              <w:rPr>
                <w:rFonts w:hint="eastAsia" w:ascii="宋体" w:hAnsi="宋体" w:cs="宋体"/>
                <w:sz w:val="24"/>
              </w:rPr>
              <w:t>性别</w:t>
            </w:r>
          </w:p>
        </w:tc>
        <w:tc>
          <w:tcPr>
            <w:tcW w:w="1331" w:type="dxa"/>
            <w:vAlign w:val="center"/>
          </w:tcPr>
          <w:p w14:paraId="2A147AE7">
            <w:pPr>
              <w:adjustRightInd w:val="0"/>
              <w:snapToGrid w:val="0"/>
              <w:spacing w:line="620" w:lineRule="exact"/>
              <w:rPr>
                <w:rFonts w:ascii="宋体" w:hAnsi="宋体" w:cs="宋体"/>
                <w:sz w:val="24"/>
              </w:rPr>
            </w:pPr>
            <w:r>
              <w:rPr>
                <w:rFonts w:hint="eastAsia" w:ascii="宋体" w:hAnsi="宋体" w:cs="宋体"/>
                <w:sz w:val="24"/>
              </w:rPr>
              <w:t>出生日期</w:t>
            </w:r>
          </w:p>
        </w:tc>
        <w:tc>
          <w:tcPr>
            <w:tcW w:w="760" w:type="dxa"/>
            <w:vAlign w:val="center"/>
          </w:tcPr>
          <w:p w14:paraId="43AD8FE0">
            <w:pPr>
              <w:adjustRightInd w:val="0"/>
              <w:snapToGrid w:val="0"/>
              <w:spacing w:line="620" w:lineRule="exact"/>
              <w:rPr>
                <w:rFonts w:ascii="宋体" w:hAnsi="宋体" w:cs="宋体"/>
                <w:sz w:val="24"/>
              </w:rPr>
            </w:pPr>
            <w:r>
              <w:rPr>
                <w:rFonts w:hint="eastAsia" w:ascii="宋体" w:hAnsi="宋体" w:cs="宋体"/>
                <w:sz w:val="24"/>
              </w:rPr>
              <w:t>学历</w:t>
            </w:r>
          </w:p>
        </w:tc>
        <w:tc>
          <w:tcPr>
            <w:tcW w:w="892" w:type="dxa"/>
            <w:vAlign w:val="center"/>
          </w:tcPr>
          <w:p w14:paraId="66955C36">
            <w:pPr>
              <w:adjustRightInd w:val="0"/>
              <w:snapToGrid w:val="0"/>
              <w:spacing w:line="620" w:lineRule="exact"/>
              <w:rPr>
                <w:rFonts w:ascii="宋体" w:hAnsi="宋体" w:cs="宋体"/>
                <w:sz w:val="24"/>
              </w:rPr>
            </w:pPr>
            <w:r>
              <w:rPr>
                <w:rFonts w:hint="eastAsia" w:ascii="宋体" w:hAnsi="宋体" w:cs="宋体"/>
                <w:sz w:val="24"/>
              </w:rPr>
              <w:t>专业</w:t>
            </w:r>
          </w:p>
        </w:tc>
        <w:tc>
          <w:tcPr>
            <w:tcW w:w="1195" w:type="dxa"/>
            <w:vAlign w:val="center"/>
          </w:tcPr>
          <w:p w14:paraId="0B9148CE">
            <w:pPr>
              <w:adjustRightInd w:val="0"/>
              <w:snapToGrid w:val="0"/>
              <w:spacing w:line="620" w:lineRule="exact"/>
              <w:rPr>
                <w:rFonts w:ascii="宋体" w:hAnsi="宋体" w:cs="宋体"/>
                <w:sz w:val="24"/>
              </w:rPr>
            </w:pPr>
            <w:r>
              <w:rPr>
                <w:rFonts w:hint="eastAsia" w:ascii="宋体" w:hAnsi="宋体" w:cs="宋体"/>
                <w:sz w:val="24"/>
              </w:rPr>
              <w:t>技术职称</w:t>
            </w:r>
          </w:p>
        </w:tc>
        <w:tc>
          <w:tcPr>
            <w:tcW w:w="1537" w:type="dxa"/>
            <w:vAlign w:val="center"/>
          </w:tcPr>
          <w:p w14:paraId="444C0D52">
            <w:pPr>
              <w:adjustRightInd w:val="0"/>
              <w:snapToGrid w:val="0"/>
              <w:jc w:val="center"/>
              <w:rPr>
                <w:rFonts w:ascii="宋体" w:hAnsi="宋体" w:cs="宋体"/>
                <w:sz w:val="24"/>
              </w:rPr>
            </w:pPr>
            <w:r>
              <w:rPr>
                <w:rFonts w:hint="eastAsia" w:ascii="宋体" w:hAnsi="宋体" w:cs="宋体"/>
                <w:sz w:val="24"/>
              </w:rPr>
              <w:t>在本项目</w:t>
            </w:r>
          </w:p>
          <w:p w14:paraId="5EE84AFF">
            <w:pPr>
              <w:adjustRightInd w:val="0"/>
              <w:snapToGrid w:val="0"/>
              <w:ind w:firstLine="2400"/>
              <w:jc w:val="center"/>
              <w:rPr>
                <w:rFonts w:ascii="宋体" w:hAnsi="宋体" w:cs="宋体"/>
                <w:sz w:val="24"/>
              </w:rPr>
            </w:pPr>
            <w:r>
              <w:rPr>
                <w:rFonts w:hint="eastAsia" w:ascii="宋体" w:hAnsi="宋体" w:cs="宋体"/>
                <w:sz w:val="24"/>
              </w:rPr>
              <w:t>拟拟任职务</w:t>
            </w:r>
          </w:p>
        </w:tc>
        <w:tc>
          <w:tcPr>
            <w:tcW w:w="1263" w:type="dxa"/>
            <w:vAlign w:val="center"/>
          </w:tcPr>
          <w:p w14:paraId="619F7B15">
            <w:pPr>
              <w:adjustRightInd w:val="0"/>
              <w:snapToGrid w:val="0"/>
              <w:jc w:val="center"/>
              <w:rPr>
                <w:rFonts w:ascii="宋体" w:hAnsi="宋体" w:cs="宋体"/>
                <w:sz w:val="24"/>
              </w:rPr>
            </w:pPr>
            <w:r>
              <w:rPr>
                <w:rFonts w:hint="eastAsia" w:ascii="宋体" w:hAnsi="宋体" w:cs="宋体"/>
                <w:sz w:val="24"/>
              </w:rPr>
              <w:t>主要参与项目</w:t>
            </w:r>
          </w:p>
        </w:tc>
      </w:tr>
      <w:tr w14:paraId="3161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6F12EF90">
            <w:pPr>
              <w:adjustRightInd w:val="0"/>
              <w:snapToGrid w:val="0"/>
              <w:spacing w:line="620" w:lineRule="exact"/>
              <w:ind w:firstLine="2400"/>
              <w:jc w:val="center"/>
              <w:rPr>
                <w:rFonts w:ascii="宋体" w:hAnsi="宋体" w:cs="宋体"/>
                <w:sz w:val="24"/>
              </w:rPr>
            </w:pPr>
          </w:p>
        </w:tc>
        <w:tc>
          <w:tcPr>
            <w:tcW w:w="732" w:type="dxa"/>
            <w:vAlign w:val="center"/>
          </w:tcPr>
          <w:p w14:paraId="17C88000">
            <w:pPr>
              <w:adjustRightInd w:val="0"/>
              <w:snapToGrid w:val="0"/>
              <w:spacing w:line="620" w:lineRule="exact"/>
              <w:ind w:firstLine="2400"/>
              <w:jc w:val="center"/>
              <w:rPr>
                <w:rFonts w:ascii="宋体" w:hAnsi="宋体" w:cs="宋体"/>
                <w:sz w:val="24"/>
              </w:rPr>
            </w:pPr>
          </w:p>
        </w:tc>
        <w:tc>
          <w:tcPr>
            <w:tcW w:w="760" w:type="dxa"/>
            <w:vAlign w:val="center"/>
          </w:tcPr>
          <w:p w14:paraId="76C5E5F7">
            <w:pPr>
              <w:adjustRightInd w:val="0"/>
              <w:snapToGrid w:val="0"/>
              <w:spacing w:line="620" w:lineRule="exact"/>
              <w:ind w:firstLine="2400"/>
              <w:jc w:val="center"/>
              <w:rPr>
                <w:rFonts w:ascii="宋体" w:hAnsi="宋体" w:cs="宋体"/>
                <w:sz w:val="24"/>
              </w:rPr>
            </w:pPr>
          </w:p>
        </w:tc>
        <w:tc>
          <w:tcPr>
            <w:tcW w:w="1331" w:type="dxa"/>
            <w:vAlign w:val="center"/>
          </w:tcPr>
          <w:p w14:paraId="707065C4">
            <w:pPr>
              <w:adjustRightInd w:val="0"/>
              <w:snapToGrid w:val="0"/>
              <w:spacing w:line="620" w:lineRule="exact"/>
              <w:ind w:firstLine="2400"/>
              <w:jc w:val="center"/>
              <w:rPr>
                <w:rFonts w:ascii="宋体" w:hAnsi="宋体" w:cs="宋体"/>
                <w:sz w:val="24"/>
              </w:rPr>
            </w:pPr>
          </w:p>
        </w:tc>
        <w:tc>
          <w:tcPr>
            <w:tcW w:w="760" w:type="dxa"/>
            <w:vAlign w:val="center"/>
          </w:tcPr>
          <w:p w14:paraId="49D57DD3">
            <w:pPr>
              <w:adjustRightInd w:val="0"/>
              <w:snapToGrid w:val="0"/>
              <w:spacing w:line="620" w:lineRule="exact"/>
              <w:ind w:firstLine="2400"/>
              <w:jc w:val="center"/>
              <w:rPr>
                <w:rFonts w:ascii="宋体" w:hAnsi="宋体" w:cs="宋体"/>
                <w:sz w:val="24"/>
              </w:rPr>
            </w:pPr>
          </w:p>
        </w:tc>
        <w:tc>
          <w:tcPr>
            <w:tcW w:w="892" w:type="dxa"/>
            <w:vAlign w:val="center"/>
          </w:tcPr>
          <w:p w14:paraId="0C23AD9F">
            <w:pPr>
              <w:adjustRightInd w:val="0"/>
              <w:snapToGrid w:val="0"/>
              <w:spacing w:line="620" w:lineRule="exact"/>
              <w:ind w:firstLine="2400"/>
              <w:jc w:val="center"/>
              <w:rPr>
                <w:rFonts w:ascii="宋体" w:hAnsi="宋体" w:cs="宋体"/>
                <w:sz w:val="24"/>
              </w:rPr>
            </w:pPr>
          </w:p>
        </w:tc>
        <w:tc>
          <w:tcPr>
            <w:tcW w:w="1195" w:type="dxa"/>
            <w:vAlign w:val="center"/>
          </w:tcPr>
          <w:p w14:paraId="70B04E11">
            <w:pPr>
              <w:adjustRightInd w:val="0"/>
              <w:snapToGrid w:val="0"/>
              <w:spacing w:line="620" w:lineRule="exact"/>
              <w:ind w:firstLine="2400"/>
              <w:jc w:val="center"/>
              <w:rPr>
                <w:rFonts w:ascii="宋体" w:hAnsi="宋体" w:cs="宋体"/>
                <w:sz w:val="24"/>
              </w:rPr>
            </w:pPr>
          </w:p>
        </w:tc>
        <w:tc>
          <w:tcPr>
            <w:tcW w:w="1537" w:type="dxa"/>
            <w:vAlign w:val="center"/>
          </w:tcPr>
          <w:p w14:paraId="39DDD043">
            <w:pPr>
              <w:adjustRightInd w:val="0"/>
              <w:snapToGrid w:val="0"/>
              <w:spacing w:line="620" w:lineRule="exact"/>
              <w:ind w:firstLine="2400"/>
              <w:jc w:val="center"/>
              <w:rPr>
                <w:rFonts w:ascii="宋体" w:hAnsi="宋体" w:cs="宋体"/>
                <w:sz w:val="24"/>
              </w:rPr>
            </w:pPr>
          </w:p>
        </w:tc>
        <w:tc>
          <w:tcPr>
            <w:tcW w:w="1263" w:type="dxa"/>
            <w:vAlign w:val="center"/>
          </w:tcPr>
          <w:p w14:paraId="209D426D">
            <w:pPr>
              <w:adjustRightInd w:val="0"/>
              <w:snapToGrid w:val="0"/>
              <w:spacing w:line="620" w:lineRule="exact"/>
              <w:ind w:firstLine="2400"/>
              <w:jc w:val="center"/>
              <w:rPr>
                <w:rFonts w:ascii="宋体" w:hAnsi="宋体" w:cs="宋体"/>
                <w:sz w:val="24"/>
              </w:rPr>
            </w:pPr>
          </w:p>
        </w:tc>
      </w:tr>
      <w:tr w14:paraId="3A88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630A4302">
            <w:pPr>
              <w:adjustRightInd w:val="0"/>
              <w:snapToGrid w:val="0"/>
              <w:spacing w:line="620" w:lineRule="exact"/>
              <w:ind w:firstLine="2400"/>
              <w:jc w:val="center"/>
              <w:rPr>
                <w:rFonts w:ascii="宋体" w:hAnsi="宋体" w:cs="宋体"/>
                <w:sz w:val="24"/>
              </w:rPr>
            </w:pPr>
          </w:p>
        </w:tc>
        <w:tc>
          <w:tcPr>
            <w:tcW w:w="732" w:type="dxa"/>
            <w:vAlign w:val="center"/>
          </w:tcPr>
          <w:p w14:paraId="3EB45688">
            <w:pPr>
              <w:adjustRightInd w:val="0"/>
              <w:snapToGrid w:val="0"/>
              <w:spacing w:line="620" w:lineRule="exact"/>
              <w:ind w:firstLine="2400"/>
              <w:jc w:val="center"/>
              <w:rPr>
                <w:rFonts w:ascii="宋体" w:hAnsi="宋体" w:cs="宋体"/>
                <w:sz w:val="24"/>
              </w:rPr>
            </w:pPr>
          </w:p>
        </w:tc>
        <w:tc>
          <w:tcPr>
            <w:tcW w:w="760" w:type="dxa"/>
            <w:vAlign w:val="center"/>
          </w:tcPr>
          <w:p w14:paraId="4585E2EE">
            <w:pPr>
              <w:adjustRightInd w:val="0"/>
              <w:snapToGrid w:val="0"/>
              <w:spacing w:line="620" w:lineRule="exact"/>
              <w:ind w:firstLine="2400"/>
              <w:jc w:val="center"/>
              <w:rPr>
                <w:rFonts w:ascii="宋体" w:hAnsi="宋体" w:cs="宋体"/>
                <w:sz w:val="24"/>
              </w:rPr>
            </w:pPr>
          </w:p>
        </w:tc>
        <w:tc>
          <w:tcPr>
            <w:tcW w:w="1331" w:type="dxa"/>
            <w:vAlign w:val="center"/>
          </w:tcPr>
          <w:p w14:paraId="21775E12">
            <w:pPr>
              <w:adjustRightInd w:val="0"/>
              <w:snapToGrid w:val="0"/>
              <w:spacing w:line="620" w:lineRule="exact"/>
              <w:ind w:firstLine="2400"/>
              <w:jc w:val="center"/>
              <w:rPr>
                <w:rFonts w:ascii="宋体" w:hAnsi="宋体" w:cs="宋体"/>
                <w:sz w:val="24"/>
              </w:rPr>
            </w:pPr>
          </w:p>
        </w:tc>
        <w:tc>
          <w:tcPr>
            <w:tcW w:w="760" w:type="dxa"/>
            <w:vAlign w:val="center"/>
          </w:tcPr>
          <w:p w14:paraId="6EE31A14">
            <w:pPr>
              <w:adjustRightInd w:val="0"/>
              <w:snapToGrid w:val="0"/>
              <w:spacing w:line="620" w:lineRule="exact"/>
              <w:ind w:firstLine="2400"/>
              <w:jc w:val="center"/>
              <w:rPr>
                <w:rFonts w:ascii="宋体" w:hAnsi="宋体" w:cs="宋体"/>
                <w:sz w:val="24"/>
              </w:rPr>
            </w:pPr>
          </w:p>
        </w:tc>
        <w:tc>
          <w:tcPr>
            <w:tcW w:w="892" w:type="dxa"/>
            <w:vAlign w:val="center"/>
          </w:tcPr>
          <w:p w14:paraId="0FEAADBE">
            <w:pPr>
              <w:adjustRightInd w:val="0"/>
              <w:snapToGrid w:val="0"/>
              <w:spacing w:line="620" w:lineRule="exact"/>
              <w:ind w:firstLine="2400"/>
              <w:jc w:val="center"/>
              <w:rPr>
                <w:rFonts w:ascii="宋体" w:hAnsi="宋体" w:cs="宋体"/>
                <w:sz w:val="24"/>
              </w:rPr>
            </w:pPr>
          </w:p>
        </w:tc>
        <w:tc>
          <w:tcPr>
            <w:tcW w:w="1195" w:type="dxa"/>
            <w:vAlign w:val="center"/>
          </w:tcPr>
          <w:p w14:paraId="589BBBA2">
            <w:pPr>
              <w:adjustRightInd w:val="0"/>
              <w:snapToGrid w:val="0"/>
              <w:spacing w:line="620" w:lineRule="exact"/>
              <w:ind w:firstLine="2400"/>
              <w:jc w:val="center"/>
              <w:rPr>
                <w:rFonts w:ascii="宋体" w:hAnsi="宋体" w:cs="宋体"/>
                <w:sz w:val="24"/>
              </w:rPr>
            </w:pPr>
          </w:p>
        </w:tc>
        <w:tc>
          <w:tcPr>
            <w:tcW w:w="1537" w:type="dxa"/>
            <w:vAlign w:val="center"/>
          </w:tcPr>
          <w:p w14:paraId="4458C7D8">
            <w:pPr>
              <w:adjustRightInd w:val="0"/>
              <w:snapToGrid w:val="0"/>
              <w:spacing w:line="620" w:lineRule="exact"/>
              <w:ind w:firstLine="2400"/>
              <w:jc w:val="center"/>
              <w:rPr>
                <w:rFonts w:ascii="宋体" w:hAnsi="宋体" w:cs="宋体"/>
                <w:sz w:val="24"/>
              </w:rPr>
            </w:pPr>
          </w:p>
        </w:tc>
        <w:tc>
          <w:tcPr>
            <w:tcW w:w="1263" w:type="dxa"/>
            <w:vAlign w:val="center"/>
          </w:tcPr>
          <w:p w14:paraId="524ADF7A">
            <w:pPr>
              <w:adjustRightInd w:val="0"/>
              <w:snapToGrid w:val="0"/>
              <w:spacing w:line="620" w:lineRule="exact"/>
              <w:ind w:firstLine="2400"/>
              <w:jc w:val="center"/>
              <w:rPr>
                <w:rFonts w:ascii="宋体" w:hAnsi="宋体" w:cs="宋体"/>
                <w:sz w:val="24"/>
              </w:rPr>
            </w:pPr>
          </w:p>
        </w:tc>
      </w:tr>
      <w:tr w14:paraId="4AF7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198C71C9">
            <w:pPr>
              <w:adjustRightInd w:val="0"/>
              <w:snapToGrid w:val="0"/>
              <w:spacing w:line="620" w:lineRule="exact"/>
              <w:ind w:firstLine="2400"/>
              <w:jc w:val="center"/>
              <w:rPr>
                <w:rFonts w:ascii="宋体" w:hAnsi="宋体" w:cs="宋体"/>
                <w:sz w:val="24"/>
              </w:rPr>
            </w:pPr>
          </w:p>
        </w:tc>
        <w:tc>
          <w:tcPr>
            <w:tcW w:w="732" w:type="dxa"/>
            <w:vAlign w:val="center"/>
          </w:tcPr>
          <w:p w14:paraId="734BFE21">
            <w:pPr>
              <w:adjustRightInd w:val="0"/>
              <w:snapToGrid w:val="0"/>
              <w:spacing w:line="620" w:lineRule="exact"/>
              <w:ind w:firstLine="2400"/>
              <w:jc w:val="center"/>
              <w:rPr>
                <w:rFonts w:ascii="宋体" w:hAnsi="宋体" w:cs="宋体"/>
                <w:sz w:val="24"/>
              </w:rPr>
            </w:pPr>
          </w:p>
        </w:tc>
        <w:tc>
          <w:tcPr>
            <w:tcW w:w="760" w:type="dxa"/>
            <w:vAlign w:val="center"/>
          </w:tcPr>
          <w:p w14:paraId="281274A3">
            <w:pPr>
              <w:adjustRightInd w:val="0"/>
              <w:snapToGrid w:val="0"/>
              <w:spacing w:line="620" w:lineRule="exact"/>
              <w:ind w:firstLine="2400"/>
              <w:jc w:val="center"/>
              <w:rPr>
                <w:rFonts w:ascii="宋体" w:hAnsi="宋体" w:cs="宋体"/>
                <w:sz w:val="24"/>
              </w:rPr>
            </w:pPr>
          </w:p>
        </w:tc>
        <w:tc>
          <w:tcPr>
            <w:tcW w:w="1331" w:type="dxa"/>
            <w:vAlign w:val="center"/>
          </w:tcPr>
          <w:p w14:paraId="2B3630E0">
            <w:pPr>
              <w:adjustRightInd w:val="0"/>
              <w:snapToGrid w:val="0"/>
              <w:spacing w:line="620" w:lineRule="exact"/>
              <w:ind w:firstLine="2400"/>
              <w:jc w:val="center"/>
              <w:rPr>
                <w:rFonts w:ascii="宋体" w:hAnsi="宋体" w:cs="宋体"/>
                <w:sz w:val="24"/>
              </w:rPr>
            </w:pPr>
          </w:p>
        </w:tc>
        <w:tc>
          <w:tcPr>
            <w:tcW w:w="760" w:type="dxa"/>
            <w:vAlign w:val="center"/>
          </w:tcPr>
          <w:p w14:paraId="4B8B19A0">
            <w:pPr>
              <w:adjustRightInd w:val="0"/>
              <w:snapToGrid w:val="0"/>
              <w:spacing w:line="620" w:lineRule="exact"/>
              <w:ind w:firstLine="2400"/>
              <w:jc w:val="center"/>
              <w:rPr>
                <w:rFonts w:ascii="宋体" w:hAnsi="宋体" w:cs="宋体"/>
                <w:sz w:val="24"/>
              </w:rPr>
            </w:pPr>
          </w:p>
        </w:tc>
        <w:tc>
          <w:tcPr>
            <w:tcW w:w="892" w:type="dxa"/>
            <w:vAlign w:val="center"/>
          </w:tcPr>
          <w:p w14:paraId="1AF66EDE">
            <w:pPr>
              <w:adjustRightInd w:val="0"/>
              <w:snapToGrid w:val="0"/>
              <w:spacing w:line="620" w:lineRule="exact"/>
              <w:ind w:firstLine="2400"/>
              <w:jc w:val="center"/>
              <w:rPr>
                <w:rFonts w:ascii="宋体" w:hAnsi="宋体" w:cs="宋体"/>
                <w:sz w:val="24"/>
              </w:rPr>
            </w:pPr>
          </w:p>
        </w:tc>
        <w:tc>
          <w:tcPr>
            <w:tcW w:w="1195" w:type="dxa"/>
            <w:vAlign w:val="center"/>
          </w:tcPr>
          <w:p w14:paraId="4E14AEDA">
            <w:pPr>
              <w:adjustRightInd w:val="0"/>
              <w:snapToGrid w:val="0"/>
              <w:spacing w:line="620" w:lineRule="exact"/>
              <w:ind w:firstLine="2400"/>
              <w:jc w:val="center"/>
              <w:rPr>
                <w:rFonts w:ascii="宋体" w:hAnsi="宋体" w:cs="宋体"/>
                <w:sz w:val="24"/>
              </w:rPr>
            </w:pPr>
          </w:p>
        </w:tc>
        <w:tc>
          <w:tcPr>
            <w:tcW w:w="1537" w:type="dxa"/>
            <w:vAlign w:val="center"/>
          </w:tcPr>
          <w:p w14:paraId="1D2A4463">
            <w:pPr>
              <w:adjustRightInd w:val="0"/>
              <w:snapToGrid w:val="0"/>
              <w:spacing w:line="620" w:lineRule="exact"/>
              <w:ind w:firstLine="2400"/>
              <w:jc w:val="center"/>
              <w:rPr>
                <w:rFonts w:ascii="宋体" w:hAnsi="宋体" w:cs="宋体"/>
                <w:sz w:val="24"/>
              </w:rPr>
            </w:pPr>
          </w:p>
        </w:tc>
        <w:tc>
          <w:tcPr>
            <w:tcW w:w="1263" w:type="dxa"/>
            <w:vAlign w:val="center"/>
          </w:tcPr>
          <w:p w14:paraId="0EA9CD2F">
            <w:pPr>
              <w:adjustRightInd w:val="0"/>
              <w:snapToGrid w:val="0"/>
              <w:spacing w:line="620" w:lineRule="exact"/>
              <w:ind w:firstLine="2400"/>
              <w:jc w:val="center"/>
              <w:rPr>
                <w:rFonts w:ascii="宋体" w:hAnsi="宋体" w:cs="宋体"/>
                <w:sz w:val="24"/>
              </w:rPr>
            </w:pPr>
          </w:p>
        </w:tc>
      </w:tr>
      <w:tr w14:paraId="5648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092D5E09">
            <w:pPr>
              <w:adjustRightInd w:val="0"/>
              <w:snapToGrid w:val="0"/>
              <w:spacing w:line="620" w:lineRule="exact"/>
              <w:ind w:firstLine="2400"/>
              <w:jc w:val="center"/>
              <w:rPr>
                <w:rFonts w:ascii="宋体" w:hAnsi="宋体" w:cs="宋体"/>
                <w:sz w:val="24"/>
              </w:rPr>
            </w:pPr>
          </w:p>
        </w:tc>
        <w:tc>
          <w:tcPr>
            <w:tcW w:w="732" w:type="dxa"/>
            <w:vAlign w:val="center"/>
          </w:tcPr>
          <w:p w14:paraId="1FA128E5">
            <w:pPr>
              <w:adjustRightInd w:val="0"/>
              <w:snapToGrid w:val="0"/>
              <w:spacing w:line="620" w:lineRule="exact"/>
              <w:ind w:firstLine="2400"/>
              <w:jc w:val="center"/>
              <w:rPr>
                <w:rFonts w:ascii="宋体" w:hAnsi="宋体" w:cs="宋体"/>
                <w:sz w:val="24"/>
              </w:rPr>
            </w:pPr>
          </w:p>
        </w:tc>
        <w:tc>
          <w:tcPr>
            <w:tcW w:w="760" w:type="dxa"/>
            <w:vAlign w:val="center"/>
          </w:tcPr>
          <w:p w14:paraId="68602F19">
            <w:pPr>
              <w:adjustRightInd w:val="0"/>
              <w:snapToGrid w:val="0"/>
              <w:spacing w:line="620" w:lineRule="exact"/>
              <w:ind w:firstLine="2400"/>
              <w:jc w:val="center"/>
              <w:rPr>
                <w:rFonts w:ascii="宋体" w:hAnsi="宋体" w:cs="宋体"/>
                <w:sz w:val="24"/>
              </w:rPr>
            </w:pPr>
          </w:p>
        </w:tc>
        <w:tc>
          <w:tcPr>
            <w:tcW w:w="1331" w:type="dxa"/>
            <w:vAlign w:val="center"/>
          </w:tcPr>
          <w:p w14:paraId="33FE3D54">
            <w:pPr>
              <w:adjustRightInd w:val="0"/>
              <w:snapToGrid w:val="0"/>
              <w:spacing w:line="620" w:lineRule="exact"/>
              <w:ind w:firstLine="2400"/>
              <w:jc w:val="center"/>
              <w:rPr>
                <w:rFonts w:ascii="宋体" w:hAnsi="宋体" w:cs="宋体"/>
                <w:sz w:val="24"/>
              </w:rPr>
            </w:pPr>
          </w:p>
        </w:tc>
        <w:tc>
          <w:tcPr>
            <w:tcW w:w="760" w:type="dxa"/>
            <w:vAlign w:val="center"/>
          </w:tcPr>
          <w:p w14:paraId="6838D4FC">
            <w:pPr>
              <w:adjustRightInd w:val="0"/>
              <w:snapToGrid w:val="0"/>
              <w:spacing w:line="620" w:lineRule="exact"/>
              <w:ind w:firstLine="2400"/>
              <w:jc w:val="center"/>
              <w:rPr>
                <w:rFonts w:ascii="宋体" w:hAnsi="宋体" w:cs="宋体"/>
                <w:sz w:val="24"/>
              </w:rPr>
            </w:pPr>
          </w:p>
        </w:tc>
        <w:tc>
          <w:tcPr>
            <w:tcW w:w="892" w:type="dxa"/>
            <w:vAlign w:val="center"/>
          </w:tcPr>
          <w:p w14:paraId="28602F0F">
            <w:pPr>
              <w:adjustRightInd w:val="0"/>
              <w:snapToGrid w:val="0"/>
              <w:spacing w:line="620" w:lineRule="exact"/>
              <w:ind w:firstLine="2400"/>
              <w:jc w:val="center"/>
              <w:rPr>
                <w:rFonts w:ascii="宋体" w:hAnsi="宋体" w:cs="宋体"/>
                <w:sz w:val="24"/>
              </w:rPr>
            </w:pPr>
          </w:p>
        </w:tc>
        <w:tc>
          <w:tcPr>
            <w:tcW w:w="1195" w:type="dxa"/>
            <w:vAlign w:val="center"/>
          </w:tcPr>
          <w:p w14:paraId="45726926">
            <w:pPr>
              <w:adjustRightInd w:val="0"/>
              <w:snapToGrid w:val="0"/>
              <w:spacing w:line="620" w:lineRule="exact"/>
              <w:ind w:firstLine="2400"/>
              <w:jc w:val="center"/>
              <w:rPr>
                <w:rFonts w:ascii="宋体" w:hAnsi="宋体" w:cs="宋体"/>
                <w:sz w:val="24"/>
              </w:rPr>
            </w:pPr>
          </w:p>
        </w:tc>
        <w:tc>
          <w:tcPr>
            <w:tcW w:w="1537" w:type="dxa"/>
            <w:vAlign w:val="center"/>
          </w:tcPr>
          <w:p w14:paraId="1F22F782">
            <w:pPr>
              <w:adjustRightInd w:val="0"/>
              <w:snapToGrid w:val="0"/>
              <w:spacing w:line="620" w:lineRule="exact"/>
              <w:ind w:firstLine="2400"/>
              <w:jc w:val="center"/>
              <w:rPr>
                <w:rFonts w:ascii="宋体" w:hAnsi="宋体" w:cs="宋体"/>
                <w:sz w:val="24"/>
              </w:rPr>
            </w:pPr>
          </w:p>
        </w:tc>
        <w:tc>
          <w:tcPr>
            <w:tcW w:w="1263" w:type="dxa"/>
            <w:vAlign w:val="center"/>
          </w:tcPr>
          <w:p w14:paraId="56118569">
            <w:pPr>
              <w:adjustRightInd w:val="0"/>
              <w:snapToGrid w:val="0"/>
              <w:spacing w:line="620" w:lineRule="exact"/>
              <w:ind w:firstLine="2400"/>
              <w:jc w:val="center"/>
              <w:rPr>
                <w:rFonts w:ascii="宋体" w:hAnsi="宋体" w:cs="宋体"/>
                <w:sz w:val="24"/>
              </w:rPr>
            </w:pPr>
          </w:p>
        </w:tc>
      </w:tr>
      <w:tr w14:paraId="261E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7C37EECA">
            <w:pPr>
              <w:adjustRightInd w:val="0"/>
              <w:snapToGrid w:val="0"/>
              <w:spacing w:line="620" w:lineRule="exact"/>
              <w:ind w:firstLine="2400"/>
              <w:jc w:val="center"/>
              <w:rPr>
                <w:rFonts w:ascii="宋体" w:hAnsi="宋体" w:cs="宋体"/>
                <w:sz w:val="24"/>
              </w:rPr>
            </w:pPr>
          </w:p>
        </w:tc>
        <w:tc>
          <w:tcPr>
            <w:tcW w:w="732" w:type="dxa"/>
            <w:vAlign w:val="center"/>
          </w:tcPr>
          <w:p w14:paraId="5C1E2E48">
            <w:pPr>
              <w:adjustRightInd w:val="0"/>
              <w:snapToGrid w:val="0"/>
              <w:spacing w:line="620" w:lineRule="exact"/>
              <w:ind w:firstLine="2400"/>
              <w:jc w:val="center"/>
              <w:rPr>
                <w:rFonts w:ascii="宋体" w:hAnsi="宋体" w:cs="宋体"/>
                <w:sz w:val="24"/>
              </w:rPr>
            </w:pPr>
          </w:p>
        </w:tc>
        <w:tc>
          <w:tcPr>
            <w:tcW w:w="760" w:type="dxa"/>
            <w:vAlign w:val="center"/>
          </w:tcPr>
          <w:p w14:paraId="0BE89662">
            <w:pPr>
              <w:adjustRightInd w:val="0"/>
              <w:snapToGrid w:val="0"/>
              <w:spacing w:line="620" w:lineRule="exact"/>
              <w:ind w:firstLine="2400"/>
              <w:jc w:val="center"/>
              <w:rPr>
                <w:rFonts w:ascii="宋体" w:hAnsi="宋体" w:cs="宋体"/>
                <w:sz w:val="24"/>
              </w:rPr>
            </w:pPr>
          </w:p>
        </w:tc>
        <w:tc>
          <w:tcPr>
            <w:tcW w:w="1331" w:type="dxa"/>
            <w:vAlign w:val="center"/>
          </w:tcPr>
          <w:p w14:paraId="4320DAB7">
            <w:pPr>
              <w:adjustRightInd w:val="0"/>
              <w:snapToGrid w:val="0"/>
              <w:spacing w:line="620" w:lineRule="exact"/>
              <w:ind w:firstLine="2400"/>
              <w:jc w:val="center"/>
              <w:rPr>
                <w:rFonts w:ascii="宋体" w:hAnsi="宋体" w:cs="宋体"/>
                <w:sz w:val="24"/>
              </w:rPr>
            </w:pPr>
          </w:p>
        </w:tc>
        <w:tc>
          <w:tcPr>
            <w:tcW w:w="760" w:type="dxa"/>
            <w:vAlign w:val="center"/>
          </w:tcPr>
          <w:p w14:paraId="162D0093">
            <w:pPr>
              <w:adjustRightInd w:val="0"/>
              <w:snapToGrid w:val="0"/>
              <w:spacing w:line="620" w:lineRule="exact"/>
              <w:ind w:firstLine="2400"/>
              <w:jc w:val="center"/>
              <w:rPr>
                <w:rFonts w:ascii="宋体" w:hAnsi="宋体" w:cs="宋体"/>
                <w:sz w:val="24"/>
              </w:rPr>
            </w:pPr>
          </w:p>
        </w:tc>
        <w:tc>
          <w:tcPr>
            <w:tcW w:w="892" w:type="dxa"/>
            <w:vAlign w:val="center"/>
          </w:tcPr>
          <w:p w14:paraId="5B71815B">
            <w:pPr>
              <w:adjustRightInd w:val="0"/>
              <w:snapToGrid w:val="0"/>
              <w:spacing w:line="620" w:lineRule="exact"/>
              <w:ind w:firstLine="2400"/>
              <w:jc w:val="center"/>
              <w:rPr>
                <w:rFonts w:ascii="宋体" w:hAnsi="宋体" w:cs="宋体"/>
                <w:sz w:val="24"/>
              </w:rPr>
            </w:pPr>
          </w:p>
        </w:tc>
        <w:tc>
          <w:tcPr>
            <w:tcW w:w="1195" w:type="dxa"/>
            <w:vAlign w:val="center"/>
          </w:tcPr>
          <w:p w14:paraId="283433EE">
            <w:pPr>
              <w:adjustRightInd w:val="0"/>
              <w:snapToGrid w:val="0"/>
              <w:spacing w:line="620" w:lineRule="exact"/>
              <w:ind w:firstLine="2400"/>
              <w:jc w:val="center"/>
              <w:rPr>
                <w:rFonts w:ascii="宋体" w:hAnsi="宋体" w:cs="宋体"/>
                <w:sz w:val="24"/>
              </w:rPr>
            </w:pPr>
          </w:p>
        </w:tc>
        <w:tc>
          <w:tcPr>
            <w:tcW w:w="1537" w:type="dxa"/>
            <w:vAlign w:val="center"/>
          </w:tcPr>
          <w:p w14:paraId="22C7E858">
            <w:pPr>
              <w:adjustRightInd w:val="0"/>
              <w:snapToGrid w:val="0"/>
              <w:spacing w:line="620" w:lineRule="exact"/>
              <w:ind w:firstLine="2400"/>
              <w:jc w:val="center"/>
              <w:rPr>
                <w:rFonts w:ascii="宋体" w:hAnsi="宋体" w:cs="宋体"/>
                <w:sz w:val="24"/>
              </w:rPr>
            </w:pPr>
          </w:p>
        </w:tc>
        <w:tc>
          <w:tcPr>
            <w:tcW w:w="1263" w:type="dxa"/>
            <w:vAlign w:val="center"/>
          </w:tcPr>
          <w:p w14:paraId="27A99167">
            <w:pPr>
              <w:adjustRightInd w:val="0"/>
              <w:snapToGrid w:val="0"/>
              <w:spacing w:line="620" w:lineRule="exact"/>
              <w:ind w:firstLine="2400"/>
              <w:jc w:val="center"/>
              <w:rPr>
                <w:rFonts w:ascii="宋体" w:hAnsi="宋体" w:cs="宋体"/>
                <w:sz w:val="24"/>
              </w:rPr>
            </w:pPr>
          </w:p>
        </w:tc>
      </w:tr>
      <w:tr w14:paraId="2B8D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0895D0B9">
            <w:pPr>
              <w:adjustRightInd w:val="0"/>
              <w:snapToGrid w:val="0"/>
              <w:spacing w:line="620" w:lineRule="exact"/>
              <w:ind w:firstLine="2400"/>
              <w:jc w:val="center"/>
              <w:rPr>
                <w:rFonts w:ascii="宋体" w:hAnsi="宋体" w:cs="宋体"/>
                <w:sz w:val="24"/>
              </w:rPr>
            </w:pPr>
          </w:p>
        </w:tc>
        <w:tc>
          <w:tcPr>
            <w:tcW w:w="732" w:type="dxa"/>
            <w:vAlign w:val="center"/>
          </w:tcPr>
          <w:p w14:paraId="6808D5A9">
            <w:pPr>
              <w:adjustRightInd w:val="0"/>
              <w:snapToGrid w:val="0"/>
              <w:spacing w:line="620" w:lineRule="exact"/>
              <w:ind w:firstLine="2400"/>
              <w:jc w:val="center"/>
              <w:rPr>
                <w:rFonts w:ascii="宋体" w:hAnsi="宋体" w:cs="宋体"/>
                <w:sz w:val="24"/>
              </w:rPr>
            </w:pPr>
          </w:p>
        </w:tc>
        <w:tc>
          <w:tcPr>
            <w:tcW w:w="760" w:type="dxa"/>
            <w:vAlign w:val="center"/>
          </w:tcPr>
          <w:p w14:paraId="7D011BB2">
            <w:pPr>
              <w:adjustRightInd w:val="0"/>
              <w:snapToGrid w:val="0"/>
              <w:spacing w:line="620" w:lineRule="exact"/>
              <w:ind w:firstLine="2400"/>
              <w:jc w:val="center"/>
              <w:rPr>
                <w:rFonts w:ascii="宋体" w:hAnsi="宋体" w:cs="宋体"/>
                <w:sz w:val="24"/>
              </w:rPr>
            </w:pPr>
          </w:p>
        </w:tc>
        <w:tc>
          <w:tcPr>
            <w:tcW w:w="1331" w:type="dxa"/>
            <w:vAlign w:val="center"/>
          </w:tcPr>
          <w:p w14:paraId="7C1A8A7D">
            <w:pPr>
              <w:adjustRightInd w:val="0"/>
              <w:snapToGrid w:val="0"/>
              <w:spacing w:line="620" w:lineRule="exact"/>
              <w:ind w:firstLine="2400"/>
              <w:jc w:val="center"/>
              <w:rPr>
                <w:rFonts w:ascii="宋体" w:hAnsi="宋体" w:cs="宋体"/>
                <w:sz w:val="24"/>
              </w:rPr>
            </w:pPr>
          </w:p>
        </w:tc>
        <w:tc>
          <w:tcPr>
            <w:tcW w:w="760" w:type="dxa"/>
            <w:vAlign w:val="center"/>
          </w:tcPr>
          <w:p w14:paraId="3F3A55E2">
            <w:pPr>
              <w:adjustRightInd w:val="0"/>
              <w:snapToGrid w:val="0"/>
              <w:spacing w:line="620" w:lineRule="exact"/>
              <w:ind w:firstLine="2400"/>
              <w:jc w:val="center"/>
              <w:rPr>
                <w:rFonts w:ascii="宋体" w:hAnsi="宋体" w:cs="宋体"/>
                <w:sz w:val="24"/>
              </w:rPr>
            </w:pPr>
          </w:p>
        </w:tc>
        <w:tc>
          <w:tcPr>
            <w:tcW w:w="892" w:type="dxa"/>
            <w:vAlign w:val="center"/>
          </w:tcPr>
          <w:p w14:paraId="2D6581C4">
            <w:pPr>
              <w:adjustRightInd w:val="0"/>
              <w:snapToGrid w:val="0"/>
              <w:spacing w:line="620" w:lineRule="exact"/>
              <w:ind w:firstLine="2400"/>
              <w:jc w:val="center"/>
              <w:rPr>
                <w:rFonts w:ascii="宋体" w:hAnsi="宋体" w:cs="宋体"/>
                <w:sz w:val="24"/>
              </w:rPr>
            </w:pPr>
          </w:p>
        </w:tc>
        <w:tc>
          <w:tcPr>
            <w:tcW w:w="1195" w:type="dxa"/>
            <w:vAlign w:val="center"/>
          </w:tcPr>
          <w:p w14:paraId="05FE68B6">
            <w:pPr>
              <w:adjustRightInd w:val="0"/>
              <w:snapToGrid w:val="0"/>
              <w:spacing w:line="620" w:lineRule="exact"/>
              <w:ind w:firstLine="2400"/>
              <w:jc w:val="center"/>
              <w:rPr>
                <w:rFonts w:ascii="宋体" w:hAnsi="宋体" w:cs="宋体"/>
                <w:sz w:val="24"/>
              </w:rPr>
            </w:pPr>
          </w:p>
        </w:tc>
        <w:tc>
          <w:tcPr>
            <w:tcW w:w="1537" w:type="dxa"/>
            <w:vAlign w:val="center"/>
          </w:tcPr>
          <w:p w14:paraId="7A5696AE">
            <w:pPr>
              <w:adjustRightInd w:val="0"/>
              <w:snapToGrid w:val="0"/>
              <w:spacing w:line="620" w:lineRule="exact"/>
              <w:ind w:firstLine="2400"/>
              <w:jc w:val="center"/>
              <w:rPr>
                <w:rFonts w:ascii="宋体" w:hAnsi="宋体" w:cs="宋体"/>
                <w:sz w:val="24"/>
              </w:rPr>
            </w:pPr>
          </w:p>
        </w:tc>
        <w:tc>
          <w:tcPr>
            <w:tcW w:w="1263" w:type="dxa"/>
            <w:vAlign w:val="center"/>
          </w:tcPr>
          <w:p w14:paraId="2F71A994">
            <w:pPr>
              <w:adjustRightInd w:val="0"/>
              <w:snapToGrid w:val="0"/>
              <w:spacing w:line="620" w:lineRule="exact"/>
              <w:ind w:firstLine="2400"/>
              <w:jc w:val="center"/>
              <w:rPr>
                <w:rFonts w:ascii="宋体" w:hAnsi="宋体" w:cs="宋体"/>
                <w:sz w:val="24"/>
              </w:rPr>
            </w:pPr>
          </w:p>
        </w:tc>
      </w:tr>
      <w:tr w14:paraId="04FD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59FFF597">
            <w:pPr>
              <w:adjustRightInd w:val="0"/>
              <w:snapToGrid w:val="0"/>
              <w:spacing w:line="620" w:lineRule="exact"/>
              <w:ind w:firstLine="2400"/>
              <w:jc w:val="center"/>
              <w:rPr>
                <w:rFonts w:ascii="宋体" w:hAnsi="宋体" w:cs="宋体"/>
                <w:sz w:val="24"/>
              </w:rPr>
            </w:pPr>
          </w:p>
        </w:tc>
        <w:tc>
          <w:tcPr>
            <w:tcW w:w="732" w:type="dxa"/>
            <w:vAlign w:val="center"/>
          </w:tcPr>
          <w:p w14:paraId="08C821D4">
            <w:pPr>
              <w:adjustRightInd w:val="0"/>
              <w:snapToGrid w:val="0"/>
              <w:spacing w:line="620" w:lineRule="exact"/>
              <w:ind w:firstLine="2400"/>
              <w:jc w:val="center"/>
              <w:rPr>
                <w:rFonts w:ascii="宋体" w:hAnsi="宋体" w:cs="宋体"/>
                <w:sz w:val="24"/>
              </w:rPr>
            </w:pPr>
          </w:p>
        </w:tc>
        <w:tc>
          <w:tcPr>
            <w:tcW w:w="760" w:type="dxa"/>
            <w:vAlign w:val="center"/>
          </w:tcPr>
          <w:p w14:paraId="733A07F5">
            <w:pPr>
              <w:adjustRightInd w:val="0"/>
              <w:snapToGrid w:val="0"/>
              <w:spacing w:line="620" w:lineRule="exact"/>
              <w:ind w:firstLine="2400"/>
              <w:jc w:val="center"/>
              <w:rPr>
                <w:rFonts w:ascii="宋体" w:hAnsi="宋体" w:cs="宋体"/>
                <w:sz w:val="24"/>
              </w:rPr>
            </w:pPr>
          </w:p>
        </w:tc>
        <w:tc>
          <w:tcPr>
            <w:tcW w:w="1331" w:type="dxa"/>
            <w:vAlign w:val="center"/>
          </w:tcPr>
          <w:p w14:paraId="262705D7">
            <w:pPr>
              <w:adjustRightInd w:val="0"/>
              <w:snapToGrid w:val="0"/>
              <w:spacing w:line="620" w:lineRule="exact"/>
              <w:ind w:firstLine="2400"/>
              <w:jc w:val="center"/>
              <w:rPr>
                <w:rFonts w:ascii="宋体" w:hAnsi="宋体" w:cs="宋体"/>
                <w:sz w:val="24"/>
              </w:rPr>
            </w:pPr>
          </w:p>
        </w:tc>
        <w:tc>
          <w:tcPr>
            <w:tcW w:w="760" w:type="dxa"/>
            <w:vAlign w:val="center"/>
          </w:tcPr>
          <w:p w14:paraId="57166859">
            <w:pPr>
              <w:adjustRightInd w:val="0"/>
              <w:snapToGrid w:val="0"/>
              <w:spacing w:line="620" w:lineRule="exact"/>
              <w:ind w:firstLine="2400"/>
              <w:jc w:val="center"/>
              <w:rPr>
                <w:rFonts w:ascii="宋体" w:hAnsi="宋体" w:cs="宋体"/>
                <w:sz w:val="24"/>
              </w:rPr>
            </w:pPr>
          </w:p>
        </w:tc>
        <w:tc>
          <w:tcPr>
            <w:tcW w:w="892" w:type="dxa"/>
            <w:vAlign w:val="center"/>
          </w:tcPr>
          <w:p w14:paraId="5C2565B9">
            <w:pPr>
              <w:adjustRightInd w:val="0"/>
              <w:snapToGrid w:val="0"/>
              <w:spacing w:line="620" w:lineRule="exact"/>
              <w:ind w:firstLine="2400"/>
              <w:jc w:val="center"/>
              <w:rPr>
                <w:rFonts w:ascii="宋体" w:hAnsi="宋体" w:cs="宋体"/>
                <w:sz w:val="24"/>
              </w:rPr>
            </w:pPr>
          </w:p>
        </w:tc>
        <w:tc>
          <w:tcPr>
            <w:tcW w:w="1195" w:type="dxa"/>
            <w:vAlign w:val="center"/>
          </w:tcPr>
          <w:p w14:paraId="462B6A72">
            <w:pPr>
              <w:adjustRightInd w:val="0"/>
              <w:snapToGrid w:val="0"/>
              <w:spacing w:line="620" w:lineRule="exact"/>
              <w:ind w:firstLine="2400"/>
              <w:jc w:val="center"/>
              <w:rPr>
                <w:rFonts w:ascii="宋体" w:hAnsi="宋体" w:cs="宋体"/>
                <w:sz w:val="24"/>
              </w:rPr>
            </w:pPr>
          </w:p>
        </w:tc>
        <w:tc>
          <w:tcPr>
            <w:tcW w:w="1537" w:type="dxa"/>
            <w:vAlign w:val="center"/>
          </w:tcPr>
          <w:p w14:paraId="61B79032">
            <w:pPr>
              <w:adjustRightInd w:val="0"/>
              <w:snapToGrid w:val="0"/>
              <w:spacing w:line="620" w:lineRule="exact"/>
              <w:ind w:firstLine="2400"/>
              <w:jc w:val="center"/>
              <w:rPr>
                <w:rFonts w:ascii="宋体" w:hAnsi="宋体" w:cs="宋体"/>
                <w:sz w:val="24"/>
              </w:rPr>
            </w:pPr>
          </w:p>
        </w:tc>
        <w:tc>
          <w:tcPr>
            <w:tcW w:w="1263" w:type="dxa"/>
            <w:vAlign w:val="center"/>
          </w:tcPr>
          <w:p w14:paraId="1BC9F96F">
            <w:pPr>
              <w:adjustRightInd w:val="0"/>
              <w:snapToGrid w:val="0"/>
              <w:spacing w:line="620" w:lineRule="exact"/>
              <w:ind w:firstLine="2400"/>
              <w:jc w:val="center"/>
              <w:rPr>
                <w:rFonts w:ascii="宋体" w:hAnsi="宋体" w:cs="宋体"/>
                <w:sz w:val="24"/>
              </w:rPr>
            </w:pPr>
          </w:p>
        </w:tc>
      </w:tr>
      <w:tr w14:paraId="7ABE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23CAF09B">
            <w:pPr>
              <w:adjustRightInd w:val="0"/>
              <w:snapToGrid w:val="0"/>
              <w:spacing w:line="620" w:lineRule="exact"/>
              <w:ind w:firstLine="2400"/>
              <w:jc w:val="center"/>
              <w:rPr>
                <w:rFonts w:ascii="宋体" w:hAnsi="宋体" w:cs="宋体"/>
                <w:sz w:val="24"/>
              </w:rPr>
            </w:pPr>
          </w:p>
        </w:tc>
        <w:tc>
          <w:tcPr>
            <w:tcW w:w="732" w:type="dxa"/>
            <w:vAlign w:val="center"/>
          </w:tcPr>
          <w:p w14:paraId="15A31CBE">
            <w:pPr>
              <w:adjustRightInd w:val="0"/>
              <w:snapToGrid w:val="0"/>
              <w:spacing w:line="620" w:lineRule="exact"/>
              <w:ind w:firstLine="2400"/>
              <w:jc w:val="center"/>
              <w:rPr>
                <w:rFonts w:ascii="宋体" w:hAnsi="宋体" w:cs="宋体"/>
                <w:sz w:val="24"/>
              </w:rPr>
            </w:pPr>
          </w:p>
        </w:tc>
        <w:tc>
          <w:tcPr>
            <w:tcW w:w="760" w:type="dxa"/>
            <w:vAlign w:val="center"/>
          </w:tcPr>
          <w:p w14:paraId="2BD25463">
            <w:pPr>
              <w:adjustRightInd w:val="0"/>
              <w:snapToGrid w:val="0"/>
              <w:spacing w:line="620" w:lineRule="exact"/>
              <w:ind w:firstLine="2400"/>
              <w:jc w:val="center"/>
              <w:rPr>
                <w:rFonts w:ascii="宋体" w:hAnsi="宋体" w:cs="宋体"/>
                <w:sz w:val="24"/>
              </w:rPr>
            </w:pPr>
          </w:p>
        </w:tc>
        <w:tc>
          <w:tcPr>
            <w:tcW w:w="1331" w:type="dxa"/>
            <w:vAlign w:val="center"/>
          </w:tcPr>
          <w:p w14:paraId="7ABB31CF">
            <w:pPr>
              <w:adjustRightInd w:val="0"/>
              <w:snapToGrid w:val="0"/>
              <w:spacing w:line="620" w:lineRule="exact"/>
              <w:ind w:firstLine="2400"/>
              <w:jc w:val="center"/>
              <w:rPr>
                <w:rFonts w:ascii="宋体" w:hAnsi="宋体" w:cs="宋体"/>
                <w:sz w:val="24"/>
              </w:rPr>
            </w:pPr>
          </w:p>
        </w:tc>
        <w:tc>
          <w:tcPr>
            <w:tcW w:w="760" w:type="dxa"/>
            <w:vAlign w:val="center"/>
          </w:tcPr>
          <w:p w14:paraId="1931E841">
            <w:pPr>
              <w:adjustRightInd w:val="0"/>
              <w:snapToGrid w:val="0"/>
              <w:spacing w:line="620" w:lineRule="exact"/>
              <w:ind w:firstLine="2400"/>
              <w:jc w:val="center"/>
              <w:rPr>
                <w:rFonts w:ascii="宋体" w:hAnsi="宋体" w:cs="宋体"/>
                <w:sz w:val="24"/>
              </w:rPr>
            </w:pPr>
          </w:p>
        </w:tc>
        <w:tc>
          <w:tcPr>
            <w:tcW w:w="892" w:type="dxa"/>
            <w:vAlign w:val="center"/>
          </w:tcPr>
          <w:p w14:paraId="2A9CDDB7">
            <w:pPr>
              <w:adjustRightInd w:val="0"/>
              <w:snapToGrid w:val="0"/>
              <w:spacing w:line="620" w:lineRule="exact"/>
              <w:ind w:firstLine="2400"/>
              <w:jc w:val="center"/>
              <w:rPr>
                <w:rFonts w:ascii="宋体" w:hAnsi="宋体" w:cs="宋体"/>
                <w:sz w:val="24"/>
              </w:rPr>
            </w:pPr>
          </w:p>
        </w:tc>
        <w:tc>
          <w:tcPr>
            <w:tcW w:w="1195" w:type="dxa"/>
            <w:vAlign w:val="center"/>
          </w:tcPr>
          <w:p w14:paraId="4548BC7B">
            <w:pPr>
              <w:adjustRightInd w:val="0"/>
              <w:snapToGrid w:val="0"/>
              <w:spacing w:line="620" w:lineRule="exact"/>
              <w:ind w:firstLine="2400"/>
              <w:jc w:val="center"/>
              <w:rPr>
                <w:rFonts w:ascii="宋体" w:hAnsi="宋体" w:cs="宋体"/>
                <w:sz w:val="24"/>
              </w:rPr>
            </w:pPr>
          </w:p>
        </w:tc>
        <w:tc>
          <w:tcPr>
            <w:tcW w:w="1537" w:type="dxa"/>
            <w:vAlign w:val="center"/>
          </w:tcPr>
          <w:p w14:paraId="0B1BA14B">
            <w:pPr>
              <w:adjustRightInd w:val="0"/>
              <w:snapToGrid w:val="0"/>
              <w:spacing w:line="620" w:lineRule="exact"/>
              <w:ind w:firstLine="2400"/>
              <w:jc w:val="center"/>
              <w:rPr>
                <w:rFonts w:ascii="宋体" w:hAnsi="宋体" w:cs="宋体"/>
                <w:sz w:val="24"/>
              </w:rPr>
            </w:pPr>
          </w:p>
        </w:tc>
        <w:tc>
          <w:tcPr>
            <w:tcW w:w="1263" w:type="dxa"/>
            <w:vAlign w:val="center"/>
          </w:tcPr>
          <w:p w14:paraId="5F490095">
            <w:pPr>
              <w:adjustRightInd w:val="0"/>
              <w:snapToGrid w:val="0"/>
              <w:spacing w:line="620" w:lineRule="exact"/>
              <w:ind w:firstLine="2400"/>
              <w:jc w:val="center"/>
              <w:rPr>
                <w:rFonts w:ascii="宋体" w:hAnsi="宋体" w:cs="宋体"/>
                <w:sz w:val="24"/>
              </w:rPr>
            </w:pPr>
          </w:p>
        </w:tc>
      </w:tr>
      <w:tr w14:paraId="04A3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713" w:type="dxa"/>
            <w:vAlign w:val="center"/>
          </w:tcPr>
          <w:p w14:paraId="26006211">
            <w:pPr>
              <w:adjustRightInd w:val="0"/>
              <w:snapToGrid w:val="0"/>
              <w:spacing w:line="620" w:lineRule="exact"/>
              <w:ind w:firstLine="2400"/>
              <w:jc w:val="center"/>
              <w:rPr>
                <w:rFonts w:ascii="宋体" w:hAnsi="宋体" w:cs="宋体"/>
                <w:sz w:val="24"/>
              </w:rPr>
            </w:pPr>
          </w:p>
        </w:tc>
        <w:tc>
          <w:tcPr>
            <w:tcW w:w="732" w:type="dxa"/>
            <w:vAlign w:val="center"/>
          </w:tcPr>
          <w:p w14:paraId="727475E4">
            <w:pPr>
              <w:adjustRightInd w:val="0"/>
              <w:snapToGrid w:val="0"/>
              <w:spacing w:line="620" w:lineRule="exact"/>
              <w:ind w:firstLine="2400"/>
              <w:jc w:val="center"/>
              <w:rPr>
                <w:rFonts w:ascii="宋体" w:hAnsi="宋体" w:cs="宋体"/>
                <w:sz w:val="24"/>
              </w:rPr>
            </w:pPr>
          </w:p>
        </w:tc>
        <w:tc>
          <w:tcPr>
            <w:tcW w:w="760" w:type="dxa"/>
            <w:vAlign w:val="center"/>
          </w:tcPr>
          <w:p w14:paraId="47BC7277">
            <w:pPr>
              <w:adjustRightInd w:val="0"/>
              <w:snapToGrid w:val="0"/>
              <w:spacing w:line="620" w:lineRule="exact"/>
              <w:ind w:firstLine="2400"/>
              <w:jc w:val="center"/>
              <w:rPr>
                <w:rFonts w:ascii="宋体" w:hAnsi="宋体" w:cs="宋体"/>
                <w:sz w:val="24"/>
              </w:rPr>
            </w:pPr>
          </w:p>
        </w:tc>
        <w:tc>
          <w:tcPr>
            <w:tcW w:w="1331" w:type="dxa"/>
            <w:vAlign w:val="center"/>
          </w:tcPr>
          <w:p w14:paraId="3B015517">
            <w:pPr>
              <w:adjustRightInd w:val="0"/>
              <w:snapToGrid w:val="0"/>
              <w:spacing w:line="620" w:lineRule="exact"/>
              <w:ind w:firstLine="2400"/>
              <w:jc w:val="center"/>
              <w:rPr>
                <w:rFonts w:ascii="宋体" w:hAnsi="宋体" w:cs="宋体"/>
                <w:sz w:val="24"/>
              </w:rPr>
            </w:pPr>
          </w:p>
        </w:tc>
        <w:tc>
          <w:tcPr>
            <w:tcW w:w="760" w:type="dxa"/>
            <w:vAlign w:val="center"/>
          </w:tcPr>
          <w:p w14:paraId="1DBCC97E">
            <w:pPr>
              <w:adjustRightInd w:val="0"/>
              <w:snapToGrid w:val="0"/>
              <w:spacing w:line="620" w:lineRule="exact"/>
              <w:ind w:firstLine="2400"/>
              <w:jc w:val="center"/>
              <w:rPr>
                <w:rFonts w:ascii="宋体" w:hAnsi="宋体" w:cs="宋体"/>
                <w:sz w:val="24"/>
              </w:rPr>
            </w:pPr>
          </w:p>
        </w:tc>
        <w:tc>
          <w:tcPr>
            <w:tcW w:w="892" w:type="dxa"/>
            <w:vAlign w:val="center"/>
          </w:tcPr>
          <w:p w14:paraId="6AFC20CE">
            <w:pPr>
              <w:adjustRightInd w:val="0"/>
              <w:snapToGrid w:val="0"/>
              <w:spacing w:line="620" w:lineRule="exact"/>
              <w:ind w:firstLine="2400"/>
              <w:jc w:val="center"/>
              <w:rPr>
                <w:rFonts w:ascii="宋体" w:hAnsi="宋体" w:cs="宋体"/>
                <w:sz w:val="24"/>
              </w:rPr>
            </w:pPr>
          </w:p>
        </w:tc>
        <w:tc>
          <w:tcPr>
            <w:tcW w:w="1195" w:type="dxa"/>
            <w:vAlign w:val="center"/>
          </w:tcPr>
          <w:p w14:paraId="771DFB2F">
            <w:pPr>
              <w:adjustRightInd w:val="0"/>
              <w:snapToGrid w:val="0"/>
              <w:spacing w:line="620" w:lineRule="exact"/>
              <w:ind w:firstLine="2400"/>
              <w:jc w:val="center"/>
              <w:rPr>
                <w:rFonts w:ascii="宋体" w:hAnsi="宋体" w:cs="宋体"/>
                <w:sz w:val="24"/>
              </w:rPr>
            </w:pPr>
          </w:p>
        </w:tc>
        <w:tc>
          <w:tcPr>
            <w:tcW w:w="1537" w:type="dxa"/>
            <w:vAlign w:val="center"/>
          </w:tcPr>
          <w:p w14:paraId="6D959A2D">
            <w:pPr>
              <w:adjustRightInd w:val="0"/>
              <w:snapToGrid w:val="0"/>
              <w:spacing w:line="620" w:lineRule="exact"/>
              <w:ind w:firstLine="2400"/>
              <w:jc w:val="center"/>
              <w:rPr>
                <w:rFonts w:ascii="宋体" w:hAnsi="宋体" w:cs="宋体"/>
                <w:sz w:val="24"/>
              </w:rPr>
            </w:pPr>
          </w:p>
        </w:tc>
        <w:tc>
          <w:tcPr>
            <w:tcW w:w="1263" w:type="dxa"/>
            <w:vAlign w:val="center"/>
          </w:tcPr>
          <w:p w14:paraId="73304CA7">
            <w:pPr>
              <w:adjustRightInd w:val="0"/>
              <w:snapToGrid w:val="0"/>
              <w:spacing w:line="620" w:lineRule="exact"/>
              <w:ind w:firstLine="2400"/>
              <w:jc w:val="center"/>
              <w:rPr>
                <w:rFonts w:ascii="宋体" w:hAnsi="宋体" w:cs="宋体"/>
                <w:sz w:val="24"/>
              </w:rPr>
            </w:pPr>
          </w:p>
        </w:tc>
      </w:tr>
    </w:tbl>
    <w:p w14:paraId="11DB1FFF">
      <w:pPr>
        <w:spacing w:line="360" w:lineRule="auto"/>
        <w:ind w:firstLine="240" w:firstLineChars="100"/>
        <w:rPr>
          <w:rFonts w:ascii="宋体" w:hAnsi="宋体" w:cs="宋体"/>
          <w:sz w:val="24"/>
        </w:rPr>
      </w:pPr>
      <w:r>
        <w:rPr>
          <w:rFonts w:hint="eastAsia" w:ascii="宋体" w:hAnsi="宋体" w:cs="宋体"/>
          <w:sz w:val="24"/>
        </w:rPr>
        <w:t>备注：结合本企业实际情况，</w:t>
      </w:r>
      <w:r>
        <w:rPr>
          <w:rFonts w:ascii="宋体" w:hAnsi="宋体" w:cs="宋体"/>
          <w:sz w:val="24"/>
        </w:rPr>
        <w:t>根据磋商文件第</w:t>
      </w:r>
      <w:r>
        <w:rPr>
          <w:rFonts w:hint="eastAsia" w:ascii="宋体" w:hAnsi="宋体" w:cs="宋体"/>
          <w:sz w:val="24"/>
        </w:rPr>
        <w:t>四</w:t>
      </w:r>
      <w:r>
        <w:rPr>
          <w:rFonts w:ascii="宋体" w:hAnsi="宋体" w:cs="宋体"/>
          <w:sz w:val="24"/>
        </w:rPr>
        <w:t>章</w:t>
      </w:r>
      <w:r>
        <w:rPr>
          <w:rFonts w:hint="eastAsia" w:ascii="宋体" w:hAnsi="宋体" w:cs="宋体"/>
          <w:sz w:val="24"/>
        </w:rPr>
        <w:t>2.1.1</w:t>
      </w:r>
      <w:r>
        <w:rPr>
          <w:rFonts w:hint="eastAsia" w:ascii="宋体" w:hAnsi="宋体"/>
          <w:color w:val="000000"/>
          <w:sz w:val="24"/>
        </w:rPr>
        <w:t>资格评审表和</w:t>
      </w:r>
      <w:r>
        <w:rPr>
          <w:rFonts w:hint="eastAsia" w:ascii="宋体" w:hAnsi="宋体" w:cs="宋体"/>
          <w:sz w:val="24"/>
        </w:rPr>
        <w:t xml:space="preserve">2.2.2详细评审表相应资料要求自行编制填写。 </w:t>
      </w:r>
    </w:p>
    <w:p w14:paraId="04421B3F">
      <w:pPr>
        <w:autoSpaceDE w:val="0"/>
        <w:autoSpaceDN w:val="0"/>
        <w:adjustRightInd w:val="0"/>
        <w:snapToGrid w:val="0"/>
        <w:spacing w:line="620" w:lineRule="exact"/>
        <w:ind w:firstLine="3960" w:firstLineChars="1650"/>
        <w:rPr>
          <w:rFonts w:ascii="宋体" w:hAnsi="宋体" w:cs="宋体"/>
          <w:kern w:val="0"/>
          <w:sz w:val="24"/>
        </w:rPr>
      </w:pPr>
    </w:p>
    <w:p w14:paraId="7934E218">
      <w:pPr>
        <w:spacing w:line="460" w:lineRule="exact"/>
        <w:ind w:firstLine="4080" w:firstLineChars="1700"/>
        <w:rPr>
          <w:rFonts w:ascii="宋体" w:hAnsi="宋体" w:cs="仿宋_GB2312"/>
          <w:sz w:val="24"/>
          <w:shd w:val="clear" w:color="auto" w:fill="FFFFFF"/>
          <w:lang w:bidi="ar"/>
        </w:rPr>
      </w:pPr>
      <w:r>
        <w:rPr>
          <w:rFonts w:hint="eastAsia" w:ascii="宋体" w:hAnsi="宋体" w:cs="宋体"/>
          <w:sz w:val="24"/>
        </w:rPr>
        <w:t>投标供应商</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7030FD53">
      <w:pPr>
        <w:spacing w:line="460" w:lineRule="exact"/>
        <w:ind w:firstLine="4080" w:firstLineChars="1700"/>
        <w:rPr>
          <w:rFonts w:ascii="宋体" w:hAnsi="宋体" w:cs="仿宋_GB2312"/>
          <w:sz w:val="24"/>
          <w:shd w:val="clear" w:color="auto" w:fill="FFFFFF"/>
          <w:lang w:bidi="ar"/>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5E61A6B4">
      <w:pPr>
        <w:spacing w:line="460" w:lineRule="exact"/>
        <w:ind w:firstLine="4080" w:firstLineChars="1700"/>
        <w:rPr>
          <w:rFonts w:ascii="宋体" w:hAnsi="宋体" w:cs="仿宋_GB2312"/>
          <w:sz w:val="24"/>
          <w:shd w:val="clear" w:color="auto" w:fill="FFFFFF"/>
          <w:lang w:bidi="ar"/>
        </w:rPr>
      </w:pPr>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p w14:paraId="051F989B">
      <w:pPr>
        <w:autoSpaceDE w:val="0"/>
        <w:autoSpaceDN w:val="0"/>
        <w:adjustRightInd w:val="0"/>
        <w:snapToGrid w:val="0"/>
        <w:spacing w:line="620" w:lineRule="exact"/>
        <w:ind w:firstLine="2409"/>
        <w:rPr>
          <w:rFonts w:ascii="宋体" w:hAnsi="宋体" w:cs="宋体"/>
          <w:b/>
          <w:sz w:val="24"/>
        </w:rPr>
      </w:pPr>
    </w:p>
    <w:p w14:paraId="1DA7FDC2">
      <w:pPr>
        <w:ind w:firstLine="2100"/>
        <w:rPr>
          <w:rFonts w:ascii="宋体" w:hAnsi="宋体" w:cs="宋体"/>
        </w:rPr>
      </w:pPr>
    </w:p>
    <w:p w14:paraId="2E563872">
      <w:pPr>
        <w:ind w:firstLine="2100"/>
        <w:rPr>
          <w:rFonts w:ascii="宋体" w:hAnsi="宋体" w:cs="宋体"/>
        </w:rPr>
      </w:pPr>
    </w:p>
    <w:p w14:paraId="36BFCDEA">
      <w:pPr>
        <w:numPr>
          <w:ilvl w:val="0"/>
          <w:numId w:val="5"/>
        </w:numPr>
        <w:spacing w:before="53"/>
        <w:jc w:val="center"/>
        <w:outlineLvl w:val="2"/>
        <w:rPr>
          <w:rFonts w:ascii="宋体" w:hAnsi="宋体" w:cs="Calibri Light"/>
          <w:b/>
          <w:bCs/>
          <w:sz w:val="24"/>
          <w:lang w:val="zh-CN" w:bidi="zh-CN"/>
        </w:rPr>
      </w:pPr>
      <w:r>
        <w:rPr>
          <w:rFonts w:hint="eastAsia" w:ascii="宋体" w:hAnsi="宋体" w:cs="Calibri Light"/>
          <w:b/>
          <w:bCs/>
          <w:sz w:val="24"/>
          <w:lang w:val="zh-CN" w:bidi="zh-CN"/>
        </w:rPr>
        <w:t>拟投入主要服务人员简历表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4"/>
        <w:gridCol w:w="1232"/>
        <w:gridCol w:w="1111"/>
        <w:gridCol w:w="889"/>
        <w:gridCol w:w="381"/>
        <w:gridCol w:w="1373"/>
        <w:gridCol w:w="1947"/>
      </w:tblGrid>
      <w:tr w14:paraId="4B4D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014" w:type="dxa"/>
            <w:vAlign w:val="center"/>
          </w:tcPr>
          <w:p w14:paraId="2A773DA0">
            <w:pPr>
              <w:adjustRightInd w:val="0"/>
              <w:snapToGrid w:val="0"/>
              <w:ind w:firstLine="240" w:firstLineChars="100"/>
              <w:rPr>
                <w:rFonts w:ascii="宋体" w:hAnsi="宋体" w:cs="宋体"/>
                <w:sz w:val="24"/>
              </w:rPr>
            </w:pPr>
            <w:r>
              <w:rPr>
                <w:rFonts w:hint="eastAsia" w:ascii="宋体" w:hAnsi="宋体" w:cs="宋体"/>
                <w:sz w:val="24"/>
              </w:rPr>
              <w:t xml:space="preserve"> 姓名</w:t>
            </w:r>
          </w:p>
        </w:tc>
        <w:tc>
          <w:tcPr>
            <w:tcW w:w="1232" w:type="dxa"/>
            <w:vAlign w:val="center"/>
          </w:tcPr>
          <w:p w14:paraId="3AE97582">
            <w:pPr>
              <w:adjustRightInd w:val="0"/>
              <w:snapToGrid w:val="0"/>
              <w:ind w:firstLine="2400"/>
              <w:jc w:val="center"/>
              <w:rPr>
                <w:rFonts w:ascii="宋体" w:hAnsi="宋体" w:cs="宋体"/>
                <w:sz w:val="24"/>
              </w:rPr>
            </w:pPr>
          </w:p>
        </w:tc>
        <w:tc>
          <w:tcPr>
            <w:tcW w:w="1111" w:type="dxa"/>
            <w:vAlign w:val="center"/>
          </w:tcPr>
          <w:p w14:paraId="660357BB">
            <w:pPr>
              <w:adjustRightInd w:val="0"/>
              <w:snapToGrid w:val="0"/>
              <w:ind w:firstLine="240" w:firstLineChars="100"/>
              <w:rPr>
                <w:rFonts w:ascii="宋体" w:hAnsi="宋体" w:cs="宋体"/>
                <w:sz w:val="24"/>
              </w:rPr>
            </w:pPr>
            <w:r>
              <w:rPr>
                <w:rFonts w:hint="eastAsia" w:ascii="宋体" w:hAnsi="宋体" w:cs="宋体"/>
                <w:sz w:val="24"/>
              </w:rPr>
              <w:t>性别</w:t>
            </w:r>
          </w:p>
        </w:tc>
        <w:tc>
          <w:tcPr>
            <w:tcW w:w="889" w:type="dxa"/>
            <w:vAlign w:val="center"/>
          </w:tcPr>
          <w:p w14:paraId="43642818">
            <w:pPr>
              <w:adjustRightInd w:val="0"/>
              <w:snapToGrid w:val="0"/>
              <w:ind w:firstLine="2400"/>
              <w:jc w:val="center"/>
              <w:rPr>
                <w:rFonts w:ascii="宋体" w:hAnsi="宋体" w:cs="宋体"/>
                <w:sz w:val="24"/>
              </w:rPr>
            </w:pPr>
          </w:p>
        </w:tc>
        <w:tc>
          <w:tcPr>
            <w:tcW w:w="1754" w:type="dxa"/>
            <w:gridSpan w:val="2"/>
            <w:vAlign w:val="center"/>
          </w:tcPr>
          <w:p w14:paraId="0EA823F7">
            <w:pPr>
              <w:adjustRightInd w:val="0"/>
              <w:snapToGrid w:val="0"/>
              <w:rPr>
                <w:rFonts w:ascii="宋体" w:hAnsi="宋体" w:cs="宋体"/>
                <w:sz w:val="24"/>
              </w:rPr>
            </w:pPr>
            <w:r>
              <w:rPr>
                <w:rFonts w:hint="eastAsia" w:ascii="宋体" w:hAnsi="宋体" w:cs="宋体"/>
                <w:sz w:val="24"/>
              </w:rPr>
              <w:t>出生日期</w:t>
            </w:r>
          </w:p>
        </w:tc>
        <w:tc>
          <w:tcPr>
            <w:tcW w:w="1947" w:type="dxa"/>
            <w:vAlign w:val="center"/>
          </w:tcPr>
          <w:p w14:paraId="77AFB321">
            <w:pPr>
              <w:adjustRightInd w:val="0"/>
              <w:snapToGrid w:val="0"/>
              <w:ind w:firstLine="240" w:firstLineChars="100"/>
              <w:rPr>
                <w:rFonts w:ascii="宋体" w:hAnsi="宋体" w:cs="宋体"/>
                <w:sz w:val="24"/>
              </w:rPr>
            </w:pPr>
            <w:r>
              <w:rPr>
                <w:rFonts w:hint="eastAsia" w:ascii="宋体" w:hAnsi="宋体" w:cs="宋体"/>
                <w:sz w:val="24"/>
              </w:rPr>
              <w:t>年  月   日</w:t>
            </w:r>
          </w:p>
        </w:tc>
      </w:tr>
      <w:tr w14:paraId="75F7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014" w:type="dxa"/>
            <w:vAlign w:val="center"/>
          </w:tcPr>
          <w:p w14:paraId="490D378B">
            <w:pPr>
              <w:adjustRightInd w:val="0"/>
              <w:snapToGrid w:val="0"/>
              <w:ind w:firstLine="240" w:firstLineChars="100"/>
              <w:rPr>
                <w:rFonts w:ascii="宋体" w:hAnsi="宋体" w:cs="宋体"/>
                <w:sz w:val="24"/>
              </w:rPr>
            </w:pPr>
            <w:r>
              <w:rPr>
                <w:rFonts w:hint="eastAsia" w:ascii="宋体" w:hAnsi="宋体" w:cs="宋体"/>
                <w:sz w:val="24"/>
              </w:rPr>
              <w:t>毕业院校专业</w:t>
            </w:r>
          </w:p>
        </w:tc>
        <w:tc>
          <w:tcPr>
            <w:tcW w:w="3232" w:type="dxa"/>
            <w:gridSpan w:val="3"/>
            <w:vAlign w:val="center"/>
          </w:tcPr>
          <w:p w14:paraId="2F439409">
            <w:pPr>
              <w:adjustRightInd w:val="0"/>
              <w:snapToGrid w:val="0"/>
              <w:ind w:firstLine="2400"/>
              <w:jc w:val="center"/>
              <w:rPr>
                <w:rFonts w:ascii="宋体" w:hAnsi="宋体" w:cs="宋体"/>
                <w:sz w:val="24"/>
              </w:rPr>
            </w:pPr>
          </w:p>
        </w:tc>
        <w:tc>
          <w:tcPr>
            <w:tcW w:w="1754" w:type="dxa"/>
            <w:gridSpan w:val="2"/>
            <w:vAlign w:val="center"/>
          </w:tcPr>
          <w:p w14:paraId="3F815E5C">
            <w:pPr>
              <w:adjustRightInd w:val="0"/>
              <w:snapToGrid w:val="0"/>
              <w:rPr>
                <w:rFonts w:ascii="宋体" w:hAnsi="宋体" w:cs="宋体"/>
                <w:sz w:val="24"/>
              </w:rPr>
            </w:pPr>
            <w:r>
              <w:rPr>
                <w:rFonts w:hint="eastAsia" w:ascii="宋体" w:hAnsi="宋体" w:cs="宋体"/>
                <w:sz w:val="24"/>
              </w:rPr>
              <w:t>毕业时间</w:t>
            </w:r>
          </w:p>
        </w:tc>
        <w:tc>
          <w:tcPr>
            <w:tcW w:w="1947" w:type="dxa"/>
            <w:vAlign w:val="center"/>
          </w:tcPr>
          <w:p w14:paraId="50296239">
            <w:pPr>
              <w:adjustRightInd w:val="0"/>
              <w:snapToGrid w:val="0"/>
              <w:ind w:firstLine="240" w:firstLineChars="100"/>
              <w:rPr>
                <w:rFonts w:ascii="宋体" w:hAnsi="宋体" w:cs="宋体"/>
                <w:sz w:val="24"/>
              </w:rPr>
            </w:pPr>
            <w:r>
              <w:rPr>
                <w:rFonts w:hint="eastAsia" w:ascii="宋体" w:hAnsi="宋体" w:cs="宋体"/>
                <w:sz w:val="24"/>
              </w:rPr>
              <w:t>年  月   日</w:t>
            </w:r>
          </w:p>
        </w:tc>
      </w:tr>
      <w:tr w14:paraId="2966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014" w:type="dxa"/>
            <w:vAlign w:val="center"/>
          </w:tcPr>
          <w:p w14:paraId="4A0A4ADB">
            <w:pPr>
              <w:adjustRightInd w:val="0"/>
              <w:snapToGrid w:val="0"/>
              <w:ind w:firstLine="240" w:firstLineChars="100"/>
              <w:rPr>
                <w:rFonts w:ascii="宋体" w:hAnsi="宋体" w:cs="宋体"/>
                <w:sz w:val="24"/>
              </w:rPr>
            </w:pPr>
            <w:r>
              <w:rPr>
                <w:rFonts w:hint="eastAsia" w:ascii="宋体" w:hAnsi="宋体" w:cs="宋体"/>
                <w:sz w:val="24"/>
              </w:rPr>
              <w:t>参加工作时间</w:t>
            </w:r>
          </w:p>
        </w:tc>
        <w:tc>
          <w:tcPr>
            <w:tcW w:w="2343" w:type="dxa"/>
            <w:gridSpan w:val="2"/>
            <w:vAlign w:val="center"/>
          </w:tcPr>
          <w:p w14:paraId="24D38E0A">
            <w:pPr>
              <w:adjustRightInd w:val="0"/>
              <w:snapToGrid w:val="0"/>
              <w:ind w:firstLine="2400"/>
              <w:jc w:val="center"/>
              <w:rPr>
                <w:rFonts w:ascii="宋体" w:hAnsi="宋体" w:cs="宋体"/>
                <w:sz w:val="24"/>
              </w:rPr>
            </w:pPr>
          </w:p>
        </w:tc>
        <w:tc>
          <w:tcPr>
            <w:tcW w:w="2643" w:type="dxa"/>
            <w:gridSpan w:val="3"/>
            <w:vAlign w:val="center"/>
          </w:tcPr>
          <w:p w14:paraId="4AD31C18">
            <w:pPr>
              <w:adjustRightInd w:val="0"/>
              <w:snapToGrid w:val="0"/>
              <w:rPr>
                <w:rFonts w:ascii="宋体" w:hAnsi="宋体" w:cs="宋体"/>
                <w:sz w:val="24"/>
              </w:rPr>
            </w:pPr>
            <w:r>
              <w:rPr>
                <w:rFonts w:hint="eastAsia" w:ascii="宋体" w:hAnsi="宋体" w:cs="宋体"/>
                <w:sz w:val="24"/>
              </w:rPr>
              <w:t>从事本专业年限</w:t>
            </w:r>
          </w:p>
        </w:tc>
        <w:tc>
          <w:tcPr>
            <w:tcW w:w="1947" w:type="dxa"/>
            <w:vAlign w:val="center"/>
          </w:tcPr>
          <w:p w14:paraId="1778D4D8">
            <w:pPr>
              <w:adjustRightInd w:val="0"/>
              <w:snapToGrid w:val="0"/>
              <w:ind w:firstLine="2400"/>
              <w:jc w:val="center"/>
              <w:rPr>
                <w:rFonts w:ascii="宋体" w:hAnsi="宋体" w:cs="宋体"/>
                <w:sz w:val="24"/>
              </w:rPr>
            </w:pPr>
          </w:p>
        </w:tc>
      </w:tr>
      <w:tr w14:paraId="6ECC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014" w:type="dxa"/>
            <w:vAlign w:val="center"/>
          </w:tcPr>
          <w:p w14:paraId="4B3169EA">
            <w:pPr>
              <w:adjustRightInd w:val="0"/>
              <w:snapToGrid w:val="0"/>
              <w:ind w:firstLine="240" w:firstLineChars="100"/>
              <w:rPr>
                <w:rFonts w:ascii="宋体" w:hAnsi="宋体" w:cs="宋体"/>
                <w:sz w:val="24"/>
              </w:rPr>
            </w:pPr>
            <w:r>
              <w:rPr>
                <w:rFonts w:hint="eastAsia" w:ascii="宋体" w:hAnsi="宋体" w:cs="宋体"/>
                <w:sz w:val="24"/>
              </w:rPr>
              <w:t>执业注册</w:t>
            </w:r>
          </w:p>
        </w:tc>
        <w:tc>
          <w:tcPr>
            <w:tcW w:w="2343" w:type="dxa"/>
            <w:gridSpan w:val="2"/>
            <w:vAlign w:val="center"/>
          </w:tcPr>
          <w:p w14:paraId="1F46FD3D">
            <w:pPr>
              <w:adjustRightInd w:val="0"/>
              <w:snapToGrid w:val="0"/>
              <w:ind w:firstLine="2400"/>
              <w:jc w:val="center"/>
              <w:rPr>
                <w:rFonts w:ascii="宋体" w:hAnsi="宋体" w:cs="宋体"/>
                <w:sz w:val="24"/>
              </w:rPr>
            </w:pPr>
          </w:p>
        </w:tc>
        <w:tc>
          <w:tcPr>
            <w:tcW w:w="2643" w:type="dxa"/>
            <w:gridSpan w:val="3"/>
            <w:vAlign w:val="center"/>
          </w:tcPr>
          <w:p w14:paraId="294D12FD">
            <w:pPr>
              <w:adjustRightInd w:val="0"/>
              <w:snapToGrid w:val="0"/>
              <w:rPr>
                <w:rFonts w:ascii="宋体" w:hAnsi="宋体" w:cs="宋体"/>
                <w:sz w:val="24"/>
              </w:rPr>
            </w:pPr>
            <w:r>
              <w:rPr>
                <w:rFonts w:hint="eastAsia" w:ascii="宋体" w:hAnsi="宋体" w:cs="宋体"/>
                <w:sz w:val="24"/>
              </w:rPr>
              <w:t>职    称</w:t>
            </w:r>
          </w:p>
        </w:tc>
        <w:tc>
          <w:tcPr>
            <w:tcW w:w="1947" w:type="dxa"/>
            <w:vAlign w:val="center"/>
          </w:tcPr>
          <w:p w14:paraId="252D8FE8">
            <w:pPr>
              <w:adjustRightInd w:val="0"/>
              <w:snapToGrid w:val="0"/>
              <w:ind w:firstLine="2400"/>
              <w:jc w:val="center"/>
              <w:rPr>
                <w:rFonts w:ascii="宋体" w:hAnsi="宋体" w:cs="宋体"/>
                <w:sz w:val="24"/>
              </w:rPr>
            </w:pPr>
          </w:p>
        </w:tc>
      </w:tr>
      <w:tr w14:paraId="6D99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357" w:type="dxa"/>
            <w:gridSpan w:val="3"/>
            <w:vAlign w:val="center"/>
          </w:tcPr>
          <w:p w14:paraId="51604A9F">
            <w:pPr>
              <w:adjustRightInd w:val="0"/>
              <w:snapToGrid w:val="0"/>
              <w:rPr>
                <w:rFonts w:ascii="宋体" w:hAnsi="宋体" w:cs="宋体"/>
                <w:sz w:val="24"/>
              </w:rPr>
            </w:pPr>
            <w:r>
              <w:rPr>
                <w:rFonts w:hint="eastAsia" w:ascii="宋体" w:hAnsi="宋体" w:cs="宋体"/>
                <w:sz w:val="24"/>
              </w:rPr>
              <w:t>在 本 项 目 拟 任 职 务</w:t>
            </w:r>
          </w:p>
        </w:tc>
        <w:tc>
          <w:tcPr>
            <w:tcW w:w="4590" w:type="dxa"/>
            <w:gridSpan w:val="4"/>
            <w:vAlign w:val="center"/>
          </w:tcPr>
          <w:p w14:paraId="06FE0F41">
            <w:pPr>
              <w:adjustRightInd w:val="0"/>
              <w:snapToGrid w:val="0"/>
              <w:ind w:firstLine="2400"/>
              <w:jc w:val="center"/>
              <w:rPr>
                <w:rFonts w:ascii="宋体" w:hAnsi="宋体" w:cs="宋体"/>
                <w:sz w:val="24"/>
              </w:rPr>
            </w:pPr>
          </w:p>
        </w:tc>
      </w:tr>
      <w:tr w14:paraId="316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947" w:type="dxa"/>
            <w:gridSpan w:val="7"/>
            <w:vAlign w:val="center"/>
          </w:tcPr>
          <w:p w14:paraId="717FB580">
            <w:pPr>
              <w:adjustRightInd w:val="0"/>
              <w:snapToGrid w:val="0"/>
              <w:ind w:firstLine="2400"/>
              <w:jc w:val="center"/>
              <w:rPr>
                <w:rFonts w:ascii="宋体" w:hAnsi="宋体" w:cs="宋体"/>
                <w:sz w:val="24"/>
              </w:rPr>
            </w:pPr>
            <w:r>
              <w:rPr>
                <w:rFonts w:hint="eastAsia" w:ascii="宋体" w:hAnsi="宋体" w:cs="宋体"/>
                <w:sz w:val="24"/>
              </w:rPr>
              <w:t>主  要  经  历</w:t>
            </w:r>
          </w:p>
        </w:tc>
      </w:tr>
      <w:tr w14:paraId="138E0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2014" w:type="dxa"/>
            <w:vAlign w:val="center"/>
          </w:tcPr>
          <w:p w14:paraId="3BEFDEFC">
            <w:pPr>
              <w:adjustRightInd w:val="0"/>
              <w:snapToGrid w:val="0"/>
              <w:ind w:firstLine="480" w:firstLineChars="200"/>
              <w:rPr>
                <w:rFonts w:ascii="宋体" w:hAnsi="宋体" w:cs="宋体"/>
                <w:sz w:val="24"/>
              </w:rPr>
            </w:pPr>
            <w:r>
              <w:rPr>
                <w:rFonts w:hint="eastAsia" w:ascii="宋体" w:hAnsi="宋体" w:cs="宋体"/>
                <w:sz w:val="24"/>
              </w:rPr>
              <w:t>时  间</w:t>
            </w:r>
          </w:p>
        </w:tc>
        <w:tc>
          <w:tcPr>
            <w:tcW w:w="3613" w:type="dxa"/>
            <w:gridSpan w:val="4"/>
            <w:vAlign w:val="center"/>
          </w:tcPr>
          <w:p w14:paraId="165F4248">
            <w:pPr>
              <w:adjustRightInd w:val="0"/>
              <w:snapToGrid w:val="0"/>
              <w:rPr>
                <w:rFonts w:ascii="宋体" w:hAnsi="宋体" w:cs="宋体"/>
                <w:sz w:val="24"/>
              </w:rPr>
            </w:pPr>
            <w:r>
              <w:rPr>
                <w:rFonts w:hint="eastAsia" w:ascii="宋体" w:hAnsi="宋体" w:cs="宋体"/>
                <w:sz w:val="24"/>
              </w:rPr>
              <w:t>参加过的类似项目名称及规模</w:t>
            </w:r>
          </w:p>
        </w:tc>
        <w:tc>
          <w:tcPr>
            <w:tcW w:w="3320" w:type="dxa"/>
            <w:gridSpan w:val="2"/>
            <w:vAlign w:val="center"/>
          </w:tcPr>
          <w:p w14:paraId="56429108">
            <w:pPr>
              <w:adjustRightInd w:val="0"/>
              <w:snapToGrid w:val="0"/>
              <w:ind w:firstLine="720" w:firstLineChars="300"/>
              <w:rPr>
                <w:rFonts w:ascii="宋体" w:hAnsi="宋体" w:cs="宋体"/>
                <w:sz w:val="24"/>
              </w:rPr>
            </w:pPr>
            <w:r>
              <w:rPr>
                <w:rFonts w:hint="eastAsia" w:ascii="宋体" w:hAnsi="宋体" w:cs="宋体"/>
                <w:sz w:val="24"/>
              </w:rPr>
              <w:t>该项目中任职</w:t>
            </w:r>
          </w:p>
        </w:tc>
      </w:tr>
      <w:tr w14:paraId="3AE7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2014" w:type="dxa"/>
            <w:vAlign w:val="center"/>
          </w:tcPr>
          <w:p w14:paraId="239A3F96">
            <w:pPr>
              <w:adjustRightInd w:val="0"/>
              <w:snapToGrid w:val="0"/>
              <w:ind w:firstLine="2400"/>
              <w:jc w:val="center"/>
              <w:rPr>
                <w:rFonts w:ascii="宋体" w:hAnsi="宋体" w:cs="宋体"/>
                <w:sz w:val="24"/>
              </w:rPr>
            </w:pPr>
          </w:p>
        </w:tc>
        <w:tc>
          <w:tcPr>
            <w:tcW w:w="3613" w:type="dxa"/>
            <w:gridSpan w:val="4"/>
            <w:vAlign w:val="center"/>
          </w:tcPr>
          <w:p w14:paraId="4B8D6393">
            <w:pPr>
              <w:adjustRightInd w:val="0"/>
              <w:snapToGrid w:val="0"/>
              <w:ind w:firstLine="2400"/>
              <w:jc w:val="center"/>
              <w:rPr>
                <w:rFonts w:ascii="宋体" w:hAnsi="宋体" w:cs="宋体"/>
                <w:sz w:val="24"/>
              </w:rPr>
            </w:pPr>
          </w:p>
        </w:tc>
        <w:tc>
          <w:tcPr>
            <w:tcW w:w="3320" w:type="dxa"/>
            <w:gridSpan w:val="2"/>
            <w:vAlign w:val="center"/>
          </w:tcPr>
          <w:p w14:paraId="18AC3286">
            <w:pPr>
              <w:adjustRightInd w:val="0"/>
              <w:snapToGrid w:val="0"/>
              <w:ind w:firstLine="2400"/>
              <w:jc w:val="center"/>
              <w:rPr>
                <w:rFonts w:ascii="宋体" w:hAnsi="宋体" w:cs="宋体"/>
                <w:sz w:val="24"/>
              </w:rPr>
            </w:pPr>
          </w:p>
        </w:tc>
      </w:tr>
    </w:tbl>
    <w:p w14:paraId="27573737">
      <w:pPr>
        <w:spacing w:before="53"/>
        <w:outlineLvl w:val="2"/>
        <w:rPr>
          <w:rFonts w:ascii="宋体" w:hAnsi="宋体" w:cs="Calibri Light"/>
          <w:b/>
          <w:bCs/>
          <w:sz w:val="24"/>
          <w:lang w:bidi="zh-CN"/>
        </w:rPr>
      </w:pPr>
      <w:r>
        <w:rPr>
          <w:rFonts w:hint="eastAsia" w:ascii="宋体" w:hAnsi="宋体" w:cs="宋体"/>
          <w:b/>
          <w:sz w:val="24"/>
        </w:rPr>
        <w:t>备注：结合</w:t>
      </w:r>
      <w:r>
        <w:rPr>
          <w:rFonts w:hint="eastAsia" w:ascii="宋体" w:hAnsi="宋体" w:cs="Calibri Light"/>
          <w:b/>
          <w:bCs/>
          <w:sz w:val="24"/>
          <w:lang w:val="zh-CN" w:bidi="zh-CN"/>
        </w:rPr>
        <w:t>拟投入</w:t>
      </w:r>
      <w:r>
        <w:rPr>
          <w:rFonts w:hint="eastAsia" w:ascii="宋体" w:hAnsi="宋体" w:cs="Calibri Light"/>
          <w:b/>
          <w:bCs/>
          <w:sz w:val="24"/>
          <w:lang w:bidi="zh-CN"/>
        </w:rPr>
        <w:t>本</w:t>
      </w:r>
      <w:r>
        <w:rPr>
          <w:rFonts w:hint="eastAsia" w:ascii="宋体" w:hAnsi="宋体" w:cs="Calibri Light"/>
          <w:b/>
          <w:bCs/>
          <w:sz w:val="24"/>
          <w:lang w:val="zh-CN" w:bidi="zh-CN"/>
        </w:rPr>
        <w:t>项目服务人员</w:t>
      </w:r>
      <w:r>
        <w:rPr>
          <w:rFonts w:hint="eastAsia" w:ascii="宋体" w:hAnsi="宋体" w:cs="Calibri Light"/>
          <w:b/>
          <w:bCs/>
          <w:sz w:val="24"/>
          <w:lang w:bidi="zh-CN"/>
        </w:rPr>
        <w:t>情况，</w:t>
      </w:r>
      <w:r>
        <w:rPr>
          <w:rFonts w:ascii="宋体" w:hAnsi="宋体" w:cs="宋体"/>
          <w:sz w:val="24"/>
        </w:rPr>
        <w:t>根据磋商文件第</w:t>
      </w:r>
      <w:r>
        <w:rPr>
          <w:rFonts w:hint="eastAsia" w:ascii="宋体" w:hAnsi="宋体" w:cs="宋体"/>
          <w:sz w:val="24"/>
        </w:rPr>
        <w:t>四</w:t>
      </w:r>
      <w:r>
        <w:rPr>
          <w:rFonts w:ascii="宋体" w:hAnsi="宋体" w:cs="宋体"/>
          <w:sz w:val="24"/>
        </w:rPr>
        <w:t>章</w:t>
      </w:r>
      <w:r>
        <w:rPr>
          <w:rFonts w:hint="eastAsia" w:ascii="宋体" w:hAnsi="宋体" w:cs="宋体"/>
          <w:sz w:val="24"/>
        </w:rPr>
        <w:t>2.1.1</w:t>
      </w:r>
      <w:r>
        <w:rPr>
          <w:rFonts w:hint="eastAsia" w:ascii="宋体" w:hAnsi="宋体"/>
          <w:color w:val="000000"/>
          <w:sz w:val="24"/>
        </w:rPr>
        <w:t>资格评审表和</w:t>
      </w:r>
      <w:r>
        <w:rPr>
          <w:rFonts w:hint="eastAsia" w:ascii="宋体" w:hAnsi="宋体" w:cs="宋体"/>
          <w:sz w:val="24"/>
        </w:rPr>
        <w:t>2.2.2详细评审表相应资料要求自行编制填写，</w:t>
      </w:r>
      <w:r>
        <w:rPr>
          <w:rFonts w:hint="eastAsia" w:ascii="宋体" w:hAnsi="宋体" w:cs="Calibri Light"/>
          <w:b/>
          <w:bCs/>
          <w:sz w:val="24"/>
          <w:lang w:bidi="zh-CN"/>
        </w:rPr>
        <w:t>并附相应的证明材料</w:t>
      </w:r>
    </w:p>
    <w:p w14:paraId="41F9C770">
      <w:pPr>
        <w:adjustRightInd w:val="0"/>
        <w:snapToGrid w:val="0"/>
        <w:spacing w:line="620" w:lineRule="exact"/>
        <w:ind w:firstLine="2409"/>
        <w:rPr>
          <w:rFonts w:ascii="宋体" w:hAnsi="宋体" w:cs="宋体"/>
          <w:b/>
          <w:sz w:val="24"/>
        </w:rPr>
      </w:pPr>
    </w:p>
    <w:p w14:paraId="4E72D2CD">
      <w:pPr>
        <w:adjustRightInd w:val="0"/>
        <w:snapToGrid w:val="0"/>
        <w:spacing w:line="360" w:lineRule="auto"/>
        <w:ind w:left="210" w:leftChars="100" w:firstLine="2400"/>
        <w:rPr>
          <w:rFonts w:ascii="宋体" w:hAnsi="宋体" w:cs="宋体"/>
          <w:sz w:val="24"/>
        </w:rPr>
      </w:pPr>
      <w:r>
        <w:rPr>
          <w:rFonts w:hint="eastAsia" w:ascii="宋体" w:hAnsi="宋体" w:cs="宋体"/>
          <w:sz w:val="24"/>
        </w:rPr>
        <w:t xml:space="preserve"> </w:t>
      </w:r>
    </w:p>
    <w:p w14:paraId="1093E2EC">
      <w:pPr>
        <w:spacing w:line="460" w:lineRule="exact"/>
        <w:ind w:firstLine="4080" w:firstLineChars="1700"/>
        <w:rPr>
          <w:rFonts w:ascii="宋体" w:hAnsi="宋体" w:cs="仿宋_GB2312"/>
          <w:sz w:val="24"/>
          <w:shd w:val="clear" w:color="auto" w:fill="FFFFFF"/>
          <w:lang w:bidi="ar"/>
        </w:rPr>
      </w:pPr>
      <w:r>
        <w:rPr>
          <w:rFonts w:hint="eastAsia" w:ascii="宋体" w:hAnsi="宋体" w:cs="宋体"/>
          <w:sz w:val="24"/>
        </w:rPr>
        <w:t>投标供应商</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734AACF9">
      <w:pPr>
        <w:spacing w:line="460" w:lineRule="exact"/>
        <w:ind w:firstLine="4080" w:firstLineChars="1700"/>
        <w:rPr>
          <w:rFonts w:ascii="宋体" w:hAnsi="宋体" w:cs="仿宋_GB2312"/>
          <w:sz w:val="24"/>
          <w:shd w:val="clear" w:color="auto" w:fill="FFFFFF"/>
          <w:lang w:bidi="ar"/>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121F5F27">
      <w:pPr>
        <w:spacing w:line="460" w:lineRule="exact"/>
        <w:ind w:firstLine="4080" w:firstLineChars="1700"/>
        <w:rPr>
          <w:rFonts w:ascii="宋体" w:hAnsi="宋体" w:cs="仿宋_GB2312"/>
          <w:sz w:val="24"/>
          <w:shd w:val="clear" w:color="auto" w:fill="FFFFFF"/>
          <w:lang w:bidi="ar"/>
        </w:rPr>
      </w:pPr>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p w14:paraId="304773EC">
      <w:pPr>
        <w:ind w:firstLine="2409"/>
        <w:rPr>
          <w:rFonts w:ascii="宋体" w:hAnsi="宋体" w:cs="宋体"/>
          <w:sz w:val="24"/>
        </w:rPr>
      </w:pPr>
      <w:r>
        <w:rPr>
          <w:rFonts w:hint="eastAsia" w:ascii="宋体" w:hAnsi="宋体" w:cs="宋体"/>
          <w:b/>
          <w:sz w:val="24"/>
        </w:rPr>
        <w:t xml:space="preserve"> </w:t>
      </w:r>
    </w:p>
    <w:p w14:paraId="4FF168CA">
      <w:pPr>
        <w:spacing w:before="53"/>
        <w:jc w:val="center"/>
        <w:outlineLvl w:val="2"/>
        <w:rPr>
          <w:rFonts w:ascii="宋体" w:hAnsi="宋体" w:cs="Calibri Light"/>
          <w:b/>
          <w:bCs/>
          <w:sz w:val="24"/>
          <w:lang w:val="zh-CN" w:bidi="zh-CN"/>
        </w:rPr>
      </w:pPr>
    </w:p>
    <w:p w14:paraId="39E7F5C4">
      <w:pPr>
        <w:spacing w:before="53"/>
        <w:jc w:val="center"/>
        <w:outlineLvl w:val="2"/>
        <w:rPr>
          <w:rFonts w:ascii="宋体" w:hAnsi="宋体" w:cs="Calibri Light"/>
          <w:b/>
          <w:bCs/>
          <w:sz w:val="24"/>
          <w:lang w:val="zh-CN" w:bidi="zh-CN"/>
        </w:rPr>
      </w:pPr>
    </w:p>
    <w:p w14:paraId="21AA5044">
      <w:pPr>
        <w:spacing w:before="53"/>
        <w:jc w:val="center"/>
        <w:outlineLvl w:val="2"/>
        <w:rPr>
          <w:rFonts w:ascii="宋体" w:hAnsi="宋体" w:cs="Calibri Light"/>
          <w:b/>
          <w:bCs/>
          <w:sz w:val="24"/>
          <w:lang w:val="zh-CN" w:bidi="zh-CN"/>
        </w:rPr>
      </w:pPr>
    </w:p>
    <w:p w14:paraId="34C3A9D3">
      <w:pPr>
        <w:spacing w:before="53"/>
        <w:jc w:val="center"/>
        <w:outlineLvl w:val="2"/>
        <w:rPr>
          <w:rFonts w:ascii="宋体" w:hAnsi="宋体" w:cs="Calibri Light"/>
          <w:b/>
          <w:bCs/>
          <w:sz w:val="24"/>
          <w:lang w:val="zh-CN" w:bidi="zh-CN"/>
        </w:rPr>
      </w:pPr>
    </w:p>
    <w:p w14:paraId="3AA3208F">
      <w:pPr>
        <w:spacing w:before="53"/>
        <w:jc w:val="center"/>
        <w:outlineLvl w:val="2"/>
        <w:rPr>
          <w:rFonts w:ascii="宋体" w:hAnsi="宋体" w:cs="Calibri Light"/>
          <w:b/>
          <w:bCs/>
          <w:sz w:val="24"/>
          <w:lang w:val="zh-CN" w:bidi="zh-CN"/>
        </w:rPr>
      </w:pPr>
    </w:p>
    <w:p w14:paraId="0142D708">
      <w:pPr>
        <w:spacing w:before="53"/>
        <w:jc w:val="center"/>
        <w:outlineLvl w:val="2"/>
        <w:rPr>
          <w:rFonts w:ascii="宋体" w:hAnsi="宋体" w:cs="Calibri Light"/>
          <w:b/>
          <w:bCs/>
          <w:sz w:val="24"/>
          <w:lang w:val="zh-CN" w:bidi="zh-CN"/>
        </w:rPr>
      </w:pPr>
    </w:p>
    <w:p w14:paraId="18DCBFFE">
      <w:pPr>
        <w:spacing w:before="53"/>
        <w:jc w:val="center"/>
        <w:outlineLvl w:val="2"/>
        <w:rPr>
          <w:rFonts w:ascii="宋体" w:hAnsi="宋体" w:cs="Calibri Light"/>
          <w:b/>
          <w:bCs/>
          <w:sz w:val="24"/>
          <w:lang w:val="zh-CN" w:bidi="zh-CN"/>
        </w:rPr>
      </w:pPr>
    </w:p>
    <w:p w14:paraId="621599E7">
      <w:pPr>
        <w:spacing w:before="53"/>
        <w:jc w:val="center"/>
        <w:outlineLvl w:val="2"/>
        <w:rPr>
          <w:rFonts w:ascii="宋体" w:hAnsi="宋体" w:cs="Calibri Light"/>
          <w:b/>
          <w:bCs/>
          <w:sz w:val="24"/>
          <w:lang w:val="zh-CN" w:bidi="zh-CN"/>
        </w:rPr>
      </w:pPr>
    </w:p>
    <w:p w14:paraId="676A2CF0">
      <w:pPr>
        <w:spacing w:before="53"/>
        <w:outlineLvl w:val="2"/>
        <w:rPr>
          <w:rFonts w:ascii="宋体" w:hAnsi="宋体" w:cs="Calibri Light"/>
          <w:b/>
          <w:bCs/>
          <w:sz w:val="24"/>
          <w:lang w:val="zh-CN" w:bidi="zh-CN"/>
        </w:rPr>
      </w:pPr>
    </w:p>
    <w:bookmarkEnd w:id="479"/>
    <w:bookmarkEnd w:id="480"/>
    <w:bookmarkEnd w:id="481"/>
    <w:p w14:paraId="3DE5D6E1">
      <w:pPr>
        <w:spacing w:before="53"/>
        <w:jc w:val="center"/>
        <w:outlineLvl w:val="2"/>
        <w:rPr>
          <w:rFonts w:ascii="宋体" w:hAnsi="宋体" w:cs="Calibri Light"/>
          <w:b/>
          <w:bCs/>
          <w:sz w:val="24"/>
          <w:lang w:val="zh-CN" w:bidi="zh-CN"/>
        </w:rPr>
      </w:pPr>
      <w:bookmarkStart w:id="482" w:name="_Toc94092133"/>
      <w:bookmarkStart w:id="483" w:name="_Toc96965863"/>
      <w:bookmarkStart w:id="484" w:name="_Toc151210177"/>
      <w:bookmarkStart w:id="485" w:name="_Toc176358385"/>
    </w:p>
    <w:p w14:paraId="214072B0">
      <w:pPr>
        <w:spacing w:before="53"/>
        <w:jc w:val="center"/>
        <w:outlineLvl w:val="2"/>
        <w:rPr>
          <w:rFonts w:ascii="宋体" w:hAnsi="宋体" w:cs="Calibri Light"/>
          <w:b/>
          <w:bCs/>
          <w:sz w:val="24"/>
          <w:lang w:val="zh-CN" w:bidi="zh-CN"/>
        </w:rPr>
      </w:pPr>
      <w:r>
        <w:rPr>
          <w:rFonts w:hint="eastAsia" w:ascii="宋体" w:hAnsi="宋体" w:cs="Calibri Light"/>
          <w:b/>
          <w:bCs/>
          <w:sz w:val="24"/>
          <w:lang w:val="zh-CN" w:bidi="zh-CN"/>
        </w:rPr>
        <w:t>（4）近年发生的诉讼及仲裁情况</w:t>
      </w:r>
      <w:bookmarkEnd w:id="482"/>
      <w:bookmarkEnd w:id="483"/>
      <w:bookmarkEnd w:id="484"/>
      <w:bookmarkEnd w:id="485"/>
    </w:p>
    <w:p w14:paraId="6CE6F56C">
      <w:pPr>
        <w:autoSpaceDE w:val="0"/>
        <w:autoSpaceDN w:val="0"/>
        <w:adjustRightInd w:val="0"/>
        <w:jc w:val="left"/>
        <w:rPr>
          <w:rFonts w:ascii="宋体" w:hAnsi="宋体" w:cs="仿宋_GB2312"/>
          <w:kern w:val="0"/>
          <w:sz w:val="24"/>
        </w:rPr>
      </w:pPr>
    </w:p>
    <w:p w14:paraId="63F9B93C">
      <w:pPr>
        <w:spacing w:line="360" w:lineRule="auto"/>
        <w:rPr>
          <w:rFonts w:ascii="宋体" w:hAnsi="宋体" w:cs="Calibri Light"/>
          <w:sz w:val="24"/>
        </w:rPr>
      </w:pPr>
    </w:p>
    <w:p w14:paraId="1455419B">
      <w:pPr>
        <w:spacing w:line="440" w:lineRule="exact"/>
        <w:jc w:val="left"/>
        <w:rPr>
          <w:rFonts w:ascii="宋体" w:hAnsi="宋体" w:cs="宋体"/>
          <w:bCs/>
          <w:sz w:val="24"/>
          <w:szCs w:val="32"/>
        </w:rPr>
      </w:pPr>
      <w:r>
        <w:rPr>
          <w:rFonts w:hint="eastAsia" w:ascii="宋体" w:hAnsi="宋体" w:cs="宋体"/>
          <w:bCs/>
          <w:sz w:val="24"/>
          <w:szCs w:val="32"/>
        </w:rPr>
        <w:t>说明：近年（</w:t>
      </w:r>
      <w:r>
        <w:rPr>
          <w:rFonts w:hint="eastAsia" w:ascii="宋体" w:hAnsi="宋体" w:cs="宋体"/>
          <w:sz w:val="24"/>
        </w:rPr>
        <w:t>2023年1月1日以来起至今</w:t>
      </w:r>
      <w:r>
        <w:rPr>
          <w:rFonts w:hint="eastAsia" w:ascii="宋体" w:hAnsi="宋体" w:cs="宋体"/>
          <w:bCs/>
          <w:sz w:val="24"/>
          <w:szCs w:val="32"/>
        </w:rPr>
        <w:t>）发生的诉讼和仲裁情况仅限于投标人败诉的，且与履行服务合同有关的案件，不包括调解结案以及未裁决的仲裁或未终审判决的诉讼。</w:t>
      </w:r>
      <w:r>
        <w:rPr>
          <w:rFonts w:ascii="宋体" w:hAnsi="宋体" w:cs="宋体"/>
          <w:sz w:val="24"/>
        </w:rPr>
        <w:t>新办企业以企业注册成立之日起提供</w:t>
      </w:r>
      <w:r>
        <w:rPr>
          <w:rFonts w:hint="eastAsia" w:ascii="宋体" w:hAnsi="宋体" w:cs="宋体"/>
          <w:bCs/>
          <w:sz w:val="24"/>
          <w:szCs w:val="32"/>
        </w:rPr>
        <w:t>。</w:t>
      </w:r>
    </w:p>
    <w:p w14:paraId="2B5F28E8">
      <w:pPr>
        <w:spacing w:line="360" w:lineRule="auto"/>
        <w:rPr>
          <w:rFonts w:ascii="宋体" w:hAnsi="宋体" w:cs="Calibri Light"/>
          <w:sz w:val="24"/>
        </w:rPr>
      </w:pPr>
    </w:p>
    <w:p w14:paraId="7F3A5D47">
      <w:pPr>
        <w:spacing w:line="360" w:lineRule="auto"/>
        <w:rPr>
          <w:rFonts w:ascii="宋体" w:hAnsi="宋体" w:cs="Calibri Light"/>
          <w:sz w:val="24"/>
        </w:rPr>
      </w:pPr>
    </w:p>
    <w:p w14:paraId="51C7F53F">
      <w:pPr>
        <w:spacing w:line="360" w:lineRule="auto"/>
        <w:rPr>
          <w:rFonts w:ascii="宋体" w:hAnsi="宋体" w:cs="Calibri Light"/>
          <w:sz w:val="24"/>
        </w:rPr>
      </w:pPr>
    </w:p>
    <w:p w14:paraId="1E137C58">
      <w:pPr>
        <w:spacing w:line="360" w:lineRule="auto"/>
        <w:rPr>
          <w:rFonts w:ascii="宋体" w:hAnsi="宋体" w:cs="Calibri Light"/>
          <w:sz w:val="24"/>
        </w:rPr>
      </w:pPr>
    </w:p>
    <w:p w14:paraId="08DBA3AC">
      <w:pPr>
        <w:spacing w:line="360" w:lineRule="auto"/>
        <w:rPr>
          <w:rFonts w:ascii="宋体" w:hAnsi="宋体" w:cs="Calibri Light"/>
          <w:sz w:val="24"/>
        </w:rPr>
      </w:pPr>
    </w:p>
    <w:p w14:paraId="7A867143">
      <w:pPr>
        <w:spacing w:line="360" w:lineRule="auto"/>
        <w:rPr>
          <w:rFonts w:ascii="宋体" w:hAnsi="宋体" w:cs="Calibri Light"/>
          <w:sz w:val="24"/>
        </w:rPr>
      </w:pPr>
    </w:p>
    <w:p w14:paraId="0EE1F805">
      <w:pPr>
        <w:spacing w:line="360" w:lineRule="auto"/>
        <w:rPr>
          <w:rFonts w:ascii="宋体" w:hAnsi="宋体" w:cs="Calibri Light"/>
          <w:sz w:val="24"/>
        </w:rPr>
      </w:pPr>
    </w:p>
    <w:p w14:paraId="23046BF9">
      <w:pPr>
        <w:spacing w:line="360" w:lineRule="auto"/>
        <w:rPr>
          <w:rFonts w:ascii="宋体" w:hAnsi="宋体" w:cs="Calibri Light"/>
          <w:sz w:val="24"/>
        </w:rPr>
      </w:pPr>
    </w:p>
    <w:p w14:paraId="58FD6680">
      <w:pPr>
        <w:spacing w:line="360" w:lineRule="auto"/>
        <w:rPr>
          <w:rFonts w:ascii="宋体" w:hAnsi="宋体" w:cs="Calibri Light"/>
          <w:sz w:val="24"/>
        </w:rPr>
      </w:pPr>
    </w:p>
    <w:p w14:paraId="1C3B657F">
      <w:pPr>
        <w:spacing w:line="360" w:lineRule="auto"/>
        <w:rPr>
          <w:rFonts w:ascii="宋体" w:hAnsi="宋体" w:cs="Calibri Light"/>
          <w:sz w:val="24"/>
        </w:rPr>
      </w:pPr>
    </w:p>
    <w:p w14:paraId="1EEFD4CD">
      <w:pPr>
        <w:numPr>
          <w:ilvl w:val="0"/>
          <w:numId w:val="6"/>
        </w:numPr>
        <w:adjustRightInd w:val="0"/>
        <w:snapToGrid w:val="0"/>
        <w:spacing w:after="100" w:afterAutospacing="1" w:line="620" w:lineRule="exact"/>
        <w:ind w:firstLine="2409"/>
        <w:rPr>
          <w:rFonts w:ascii="宋体" w:hAnsi="宋体" w:cs="宋体"/>
          <w:b/>
          <w:sz w:val="24"/>
        </w:rPr>
      </w:pPr>
      <w:r>
        <w:rPr>
          <w:rFonts w:ascii="宋体" w:hAnsi="宋体" w:cs="Calibri Light"/>
          <w:b/>
          <w:bCs/>
          <w:sz w:val="24"/>
          <w:lang w:val="zh-CN" w:bidi="zh-CN"/>
        </w:rPr>
        <w:br w:type="page"/>
      </w:r>
      <w:bookmarkStart w:id="486" w:name="_Toc94092131"/>
      <w:bookmarkStart w:id="487" w:name="_Toc176358386"/>
      <w:bookmarkStart w:id="488" w:name="_Toc96965864"/>
      <w:bookmarkStart w:id="489" w:name="_Toc151210178"/>
      <w:r>
        <w:rPr>
          <w:rFonts w:hint="eastAsia" w:ascii="宋体" w:hAnsi="宋体" w:cs="宋体"/>
          <w:b/>
          <w:sz w:val="24"/>
        </w:rPr>
        <w:t>供应商近三年来完成类似服务项目情况表</w:t>
      </w:r>
    </w:p>
    <w:tbl>
      <w:tblPr>
        <w:tblStyle w:val="10"/>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284"/>
        <w:gridCol w:w="1595"/>
        <w:gridCol w:w="1595"/>
        <w:gridCol w:w="1671"/>
        <w:gridCol w:w="1129"/>
        <w:gridCol w:w="610"/>
      </w:tblGrid>
      <w:tr w14:paraId="22476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636" w:type="dxa"/>
            <w:vAlign w:val="center"/>
          </w:tcPr>
          <w:p w14:paraId="0F86F1F3">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序号</w:t>
            </w:r>
          </w:p>
        </w:tc>
        <w:tc>
          <w:tcPr>
            <w:tcW w:w="1284" w:type="dxa"/>
            <w:vAlign w:val="center"/>
          </w:tcPr>
          <w:p w14:paraId="16AF61BC">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项目名称</w:t>
            </w:r>
          </w:p>
        </w:tc>
        <w:tc>
          <w:tcPr>
            <w:tcW w:w="1595" w:type="dxa"/>
            <w:vAlign w:val="center"/>
          </w:tcPr>
          <w:p w14:paraId="1D0472D9">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委托人名称</w:t>
            </w:r>
          </w:p>
        </w:tc>
        <w:tc>
          <w:tcPr>
            <w:tcW w:w="1595" w:type="dxa"/>
            <w:vAlign w:val="center"/>
          </w:tcPr>
          <w:p w14:paraId="084FDEFD">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合同金额（元）</w:t>
            </w:r>
          </w:p>
        </w:tc>
        <w:tc>
          <w:tcPr>
            <w:tcW w:w="1671" w:type="dxa"/>
            <w:vAlign w:val="center"/>
          </w:tcPr>
          <w:p w14:paraId="0FA17AC2">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合同时间</w:t>
            </w:r>
          </w:p>
        </w:tc>
        <w:tc>
          <w:tcPr>
            <w:tcW w:w="1129" w:type="dxa"/>
            <w:vAlign w:val="center"/>
          </w:tcPr>
          <w:p w14:paraId="5F6514B3">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拟派项目负责人</w:t>
            </w:r>
          </w:p>
        </w:tc>
        <w:tc>
          <w:tcPr>
            <w:tcW w:w="610" w:type="dxa"/>
            <w:vAlign w:val="center"/>
          </w:tcPr>
          <w:p w14:paraId="4E74255D">
            <w:pPr>
              <w:spacing w:line="500" w:lineRule="exact"/>
              <w:jc w:val="center"/>
              <w:rPr>
                <w:rFonts w:ascii="宋体" w:hAnsi="宋体" w:cs="仿宋_GB2312"/>
                <w:sz w:val="24"/>
                <w:shd w:val="clear" w:color="auto" w:fill="FFFFFF"/>
                <w:lang w:bidi="ar"/>
              </w:rPr>
            </w:pPr>
            <w:r>
              <w:rPr>
                <w:rFonts w:hint="eastAsia" w:ascii="宋体" w:hAnsi="宋体" w:cs="仿宋_GB2312"/>
                <w:sz w:val="24"/>
                <w:shd w:val="clear" w:color="auto" w:fill="FFFFFF"/>
                <w:lang w:bidi="ar"/>
              </w:rPr>
              <w:t>备注</w:t>
            </w:r>
          </w:p>
        </w:tc>
      </w:tr>
      <w:tr w14:paraId="6155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36" w:type="dxa"/>
            <w:vAlign w:val="center"/>
          </w:tcPr>
          <w:p w14:paraId="05241FFC">
            <w:pPr>
              <w:spacing w:line="500" w:lineRule="exact"/>
              <w:jc w:val="center"/>
              <w:rPr>
                <w:rFonts w:ascii="宋体" w:hAnsi="宋体" w:cs="仿宋_GB2312"/>
                <w:sz w:val="24"/>
                <w:shd w:val="clear" w:color="auto" w:fill="FFFFFF"/>
                <w:lang w:bidi="ar"/>
              </w:rPr>
            </w:pPr>
          </w:p>
        </w:tc>
        <w:tc>
          <w:tcPr>
            <w:tcW w:w="1284" w:type="dxa"/>
            <w:vAlign w:val="center"/>
          </w:tcPr>
          <w:p w14:paraId="1AA8FC80">
            <w:pPr>
              <w:spacing w:line="500" w:lineRule="exact"/>
              <w:jc w:val="center"/>
              <w:rPr>
                <w:rFonts w:ascii="宋体" w:hAnsi="宋体" w:cs="仿宋_GB2312"/>
                <w:sz w:val="24"/>
                <w:shd w:val="clear" w:color="auto" w:fill="FFFFFF"/>
                <w:lang w:bidi="ar"/>
              </w:rPr>
            </w:pPr>
          </w:p>
        </w:tc>
        <w:tc>
          <w:tcPr>
            <w:tcW w:w="1595" w:type="dxa"/>
            <w:vAlign w:val="center"/>
          </w:tcPr>
          <w:p w14:paraId="358EAA3B">
            <w:pPr>
              <w:spacing w:line="500" w:lineRule="exact"/>
              <w:jc w:val="center"/>
              <w:rPr>
                <w:rFonts w:ascii="宋体" w:hAnsi="宋体" w:cs="仿宋_GB2312"/>
                <w:sz w:val="24"/>
                <w:shd w:val="clear" w:color="auto" w:fill="FFFFFF"/>
                <w:lang w:bidi="ar"/>
              </w:rPr>
            </w:pPr>
          </w:p>
        </w:tc>
        <w:tc>
          <w:tcPr>
            <w:tcW w:w="1595" w:type="dxa"/>
            <w:vAlign w:val="center"/>
          </w:tcPr>
          <w:p w14:paraId="295D86EF">
            <w:pPr>
              <w:spacing w:line="500" w:lineRule="exact"/>
              <w:jc w:val="center"/>
              <w:rPr>
                <w:rFonts w:ascii="宋体" w:hAnsi="宋体" w:cs="仿宋_GB2312"/>
                <w:sz w:val="24"/>
                <w:shd w:val="clear" w:color="auto" w:fill="FFFFFF"/>
                <w:lang w:bidi="ar"/>
              </w:rPr>
            </w:pPr>
          </w:p>
        </w:tc>
        <w:tc>
          <w:tcPr>
            <w:tcW w:w="1671" w:type="dxa"/>
            <w:vAlign w:val="center"/>
          </w:tcPr>
          <w:p w14:paraId="38C74D49">
            <w:pPr>
              <w:spacing w:line="500" w:lineRule="exact"/>
              <w:jc w:val="center"/>
              <w:rPr>
                <w:rFonts w:ascii="宋体" w:hAnsi="宋体" w:cs="仿宋_GB2312"/>
                <w:sz w:val="24"/>
                <w:shd w:val="clear" w:color="auto" w:fill="FFFFFF"/>
                <w:lang w:bidi="ar"/>
              </w:rPr>
            </w:pPr>
          </w:p>
        </w:tc>
        <w:tc>
          <w:tcPr>
            <w:tcW w:w="1129" w:type="dxa"/>
            <w:vAlign w:val="center"/>
          </w:tcPr>
          <w:p w14:paraId="4E2E5445">
            <w:pPr>
              <w:spacing w:line="500" w:lineRule="exact"/>
              <w:jc w:val="center"/>
              <w:rPr>
                <w:rFonts w:ascii="宋体" w:hAnsi="宋体" w:cs="仿宋_GB2312"/>
                <w:sz w:val="24"/>
                <w:shd w:val="clear" w:color="auto" w:fill="FFFFFF"/>
                <w:lang w:bidi="ar"/>
              </w:rPr>
            </w:pPr>
          </w:p>
        </w:tc>
        <w:tc>
          <w:tcPr>
            <w:tcW w:w="610" w:type="dxa"/>
            <w:vAlign w:val="center"/>
          </w:tcPr>
          <w:p w14:paraId="05029224">
            <w:pPr>
              <w:spacing w:line="500" w:lineRule="exact"/>
              <w:jc w:val="center"/>
              <w:rPr>
                <w:rFonts w:ascii="宋体" w:hAnsi="宋体" w:cs="仿宋_GB2312"/>
                <w:sz w:val="24"/>
                <w:shd w:val="clear" w:color="auto" w:fill="FFFFFF"/>
                <w:lang w:bidi="ar"/>
              </w:rPr>
            </w:pPr>
          </w:p>
        </w:tc>
      </w:tr>
      <w:tr w14:paraId="22D1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36" w:type="dxa"/>
            <w:vAlign w:val="center"/>
          </w:tcPr>
          <w:p w14:paraId="4068E928">
            <w:pPr>
              <w:spacing w:line="500" w:lineRule="exact"/>
              <w:jc w:val="center"/>
              <w:rPr>
                <w:rFonts w:ascii="宋体" w:hAnsi="宋体" w:cs="仿宋_GB2312"/>
                <w:sz w:val="24"/>
                <w:shd w:val="clear" w:color="auto" w:fill="FFFFFF"/>
                <w:lang w:bidi="ar"/>
              </w:rPr>
            </w:pPr>
          </w:p>
        </w:tc>
        <w:tc>
          <w:tcPr>
            <w:tcW w:w="1284" w:type="dxa"/>
            <w:vAlign w:val="center"/>
          </w:tcPr>
          <w:p w14:paraId="269C3B79">
            <w:pPr>
              <w:spacing w:line="500" w:lineRule="exact"/>
              <w:jc w:val="center"/>
              <w:rPr>
                <w:rFonts w:ascii="宋体" w:hAnsi="宋体" w:cs="仿宋_GB2312"/>
                <w:sz w:val="24"/>
                <w:shd w:val="clear" w:color="auto" w:fill="FFFFFF"/>
                <w:lang w:bidi="ar"/>
              </w:rPr>
            </w:pPr>
          </w:p>
        </w:tc>
        <w:tc>
          <w:tcPr>
            <w:tcW w:w="1595" w:type="dxa"/>
            <w:vAlign w:val="center"/>
          </w:tcPr>
          <w:p w14:paraId="72839554">
            <w:pPr>
              <w:spacing w:line="500" w:lineRule="exact"/>
              <w:jc w:val="center"/>
              <w:rPr>
                <w:rFonts w:ascii="宋体" w:hAnsi="宋体" w:cs="仿宋_GB2312"/>
                <w:sz w:val="24"/>
                <w:shd w:val="clear" w:color="auto" w:fill="FFFFFF"/>
                <w:lang w:bidi="ar"/>
              </w:rPr>
            </w:pPr>
          </w:p>
        </w:tc>
        <w:tc>
          <w:tcPr>
            <w:tcW w:w="1595" w:type="dxa"/>
            <w:vAlign w:val="center"/>
          </w:tcPr>
          <w:p w14:paraId="529B3D3D">
            <w:pPr>
              <w:spacing w:line="500" w:lineRule="exact"/>
              <w:jc w:val="center"/>
              <w:rPr>
                <w:rFonts w:ascii="宋体" w:hAnsi="宋体" w:cs="仿宋_GB2312"/>
                <w:sz w:val="24"/>
                <w:shd w:val="clear" w:color="auto" w:fill="FFFFFF"/>
                <w:lang w:bidi="ar"/>
              </w:rPr>
            </w:pPr>
          </w:p>
        </w:tc>
        <w:tc>
          <w:tcPr>
            <w:tcW w:w="1671" w:type="dxa"/>
            <w:vAlign w:val="center"/>
          </w:tcPr>
          <w:p w14:paraId="338F24DF">
            <w:pPr>
              <w:spacing w:line="500" w:lineRule="exact"/>
              <w:jc w:val="center"/>
              <w:rPr>
                <w:rFonts w:ascii="宋体" w:hAnsi="宋体" w:cs="仿宋_GB2312"/>
                <w:sz w:val="24"/>
                <w:shd w:val="clear" w:color="auto" w:fill="FFFFFF"/>
                <w:lang w:bidi="ar"/>
              </w:rPr>
            </w:pPr>
          </w:p>
        </w:tc>
        <w:tc>
          <w:tcPr>
            <w:tcW w:w="1129" w:type="dxa"/>
            <w:vAlign w:val="center"/>
          </w:tcPr>
          <w:p w14:paraId="52F46801">
            <w:pPr>
              <w:spacing w:line="500" w:lineRule="exact"/>
              <w:jc w:val="center"/>
              <w:rPr>
                <w:rFonts w:ascii="宋体" w:hAnsi="宋体" w:cs="仿宋_GB2312"/>
                <w:sz w:val="24"/>
                <w:shd w:val="clear" w:color="auto" w:fill="FFFFFF"/>
                <w:lang w:bidi="ar"/>
              </w:rPr>
            </w:pPr>
          </w:p>
        </w:tc>
        <w:tc>
          <w:tcPr>
            <w:tcW w:w="610" w:type="dxa"/>
            <w:vAlign w:val="center"/>
          </w:tcPr>
          <w:p w14:paraId="3314CB01">
            <w:pPr>
              <w:spacing w:line="500" w:lineRule="exact"/>
              <w:jc w:val="center"/>
              <w:rPr>
                <w:rFonts w:ascii="宋体" w:hAnsi="宋体" w:cs="仿宋_GB2312"/>
                <w:sz w:val="24"/>
                <w:shd w:val="clear" w:color="auto" w:fill="FFFFFF"/>
                <w:lang w:bidi="ar"/>
              </w:rPr>
            </w:pPr>
          </w:p>
        </w:tc>
      </w:tr>
      <w:tr w14:paraId="3F15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36" w:type="dxa"/>
            <w:vAlign w:val="center"/>
          </w:tcPr>
          <w:p w14:paraId="3BA5BC25">
            <w:pPr>
              <w:spacing w:line="500" w:lineRule="exact"/>
              <w:jc w:val="center"/>
              <w:rPr>
                <w:rFonts w:ascii="宋体" w:hAnsi="宋体" w:cs="仿宋_GB2312"/>
                <w:sz w:val="24"/>
                <w:shd w:val="clear" w:color="auto" w:fill="FFFFFF"/>
                <w:lang w:bidi="ar"/>
              </w:rPr>
            </w:pPr>
          </w:p>
        </w:tc>
        <w:tc>
          <w:tcPr>
            <w:tcW w:w="1284" w:type="dxa"/>
            <w:vAlign w:val="center"/>
          </w:tcPr>
          <w:p w14:paraId="031F6426">
            <w:pPr>
              <w:spacing w:line="500" w:lineRule="exact"/>
              <w:jc w:val="center"/>
              <w:rPr>
                <w:rFonts w:ascii="宋体" w:hAnsi="宋体" w:cs="仿宋_GB2312"/>
                <w:sz w:val="24"/>
                <w:shd w:val="clear" w:color="auto" w:fill="FFFFFF"/>
                <w:lang w:bidi="ar"/>
              </w:rPr>
            </w:pPr>
          </w:p>
        </w:tc>
        <w:tc>
          <w:tcPr>
            <w:tcW w:w="1595" w:type="dxa"/>
            <w:vAlign w:val="center"/>
          </w:tcPr>
          <w:p w14:paraId="45DFAAF3">
            <w:pPr>
              <w:spacing w:line="500" w:lineRule="exact"/>
              <w:jc w:val="center"/>
              <w:rPr>
                <w:rFonts w:ascii="宋体" w:hAnsi="宋体" w:cs="仿宋_GB2312"/>
                <w:sz w:val="24"/>
                <w:shd w:val="clear" w:color="auto" w:fill="FFFFFF"/>
                <w:lang w:bidi="ar"/>
              </w:rPr>
            </w:pPr>
          </w:p>
        </w:tc>
        <w:tc>
          <w:tcPr>
            <w:tcW w:w="1595" w:type="dxa"/>
            <w:vAlign w:val="center"/>
          </w:tcPr>
          <w:p w14:paraId="7CEA0B90">
            <w:pPr>
              <w:spacing w:line="500" w:lineRule="exact"/>
              <w:jc w:val="center"/>
              <w:rPr>
                <w:rFonts w:ascii="宋体" w:hAnsi="宋体" w:cs="仿宋_GB2312"/>
                <w:sz w:val="24"/>
                <w:shd w:val="clear" w:color="auto" w:fill="FFFFFF"/>
                <w:lang w:bidi="ar"/>
              </w:rPr>
            </w:pPr>
          </w:p>
        </w:tc>
        <w:tc>
          <w:tcPr>
            <w:tcW w:w="1671" w:type="dxa"/>
            <w:vAlign w:val="center"/>
          </w:tcPr>
          <w:p w14:paraId="77D80103">
            <w:pPr>
              <w:spacing w:line="500" w:lineRule="exact"/>
              <w:jc w:val="center"/>
              <w:rPr>
                <w:rFonts w:ascii="宋体" w:hAnsi="宋体" w:cs="仿宋_GB2312"/>
                <w:sz w:val="24"/>
                <w:shd w:val="clear" w:color="auto" w:fill="FFFFFF"/>
                <w:lang w:bidi="ar"/>
              </w:rPr>
            </w:pPr>
          </w:p>
        </w:tc>
        <w:tc>
          <w:tcPr>
            <w:tcW w:w="1129" w:type="dxa"/>
            <w:vAlign w:val="center"/>
          </w:tcPr>
          <w:p w14:paraId="569A0044">
            <w:pPr>
              <w:spacing w:line="500" w:lineRule="exact"/>
              <w:jc w:val="center"/>
              <w:rPr>
                <w:rFonts w:ascii="宋体" w:hAnsi="宋体" w:cs="仿宋_GB2312"/>
                <w:sz w:val="24"/>
                <w:shd w:val="clear" w:color="auto" w:fill="FFFFFF"/>
                <w:lang w:bidi="ar"/>
              </w:rPr>
            </w:pPr>
          </w:p>
        </w:tc>
        <w:tc>
          <w:tcPr>
            <w:tcW w:w="610" w:type="dxa"/>
            <w:vAlign w:val="center"/>
          </w:tcPr>
          <w:p w14:paraId="6866D8E0">
            <w:pPr>
              <w:spacing w:line="500" w:lineRule="exact"/>
              <w:jc w:val="center"/>
              <w:rPr>
                <w:rFonts w:ascii="宋体" w:hAnsi="宋体" w:cs="仿宋_GB2312"/>
                <w:sz w:val="24"/>
                <w:shd w:val="clear" w:color="auto" w:fill="FFFFFF"/>
                <w:lang w:bidi="ar"/>
              </w:rPr>
            </w:pPr>
          </w:p>
        </w:tc>
      </w:tr>
      <w:tr w14:paraId="09A3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36" w:type="dxa"/>
            <w:vAlign w:val="center"/>
          </w:tcPr>
          <w:p w14:paraId="3853CF2E">
            <w:pPr>
              <w:spacing w:line="500" w:lineRule="exact"/>
              <w:jc w:val="center"/>
              <w:rPr>
                <w:rFonts w:ascii="宋体" w:hAnsi="宋体" w:cs="仿宋_GB2312"/>
                <w:sz w:val="24"/>
                <w:shd w:val="clear" w:color="auto" w:fill="FFFFFF"/>
                <w:lang w:bidi="ar"/>
              </w:rPr>
            </w:pPr>
          </w:p>
        </w:tc>
        <w:tc>
          <w:tcPr>
            <w:tcW w:w="1284" w:type="dxa"/>
            <w:vAlign w:val="center"/>
          </w:tcPr>
          <w:p w14:paraId="303B8E92">
            <w:pPr>
              <w:spacing w:line="500" w:lineRule="exact"/>
              <w:jc w:val="center"/>
              <w:rPr>
                <w:rFonts w:ascii="宋体" w:hAnsi="宋体" w:cs="仿宋_GB2312"/>
                <w:sz w:val="24"/>
                <w:shd w:val="clear" w:color="auto" w:fill="FFFFFF"/>
                <w:lang w:bidi="ar"/>
              </w:rPr>
            </w:pPr>
          </w:p>
        </w:tc>
        <w:tc>
          <w:tcPr>
            <w:tcW w:w="1595" w:type="dxa"/>
            <w:vAlign w:val="center"/>
          </w:tcPr>
          <w:p w14:paraId="47EC28EA">
            <w:pPr>
              <w:spacing w:line="500" w:lineRule="exact"/>
              <w:jc w:val="center"/>
              <w:rPr>
                <w:rFonts w:ascii="宋体" w:hAnsi="宋体" w:cs="仿宋_GB2312"/>
                <w:sz w:val="24"/>
                <w:shd w:val="clear" w:color="auto" w:fill="FFFFFF"/>
                <w:lang w:bidi="ar"/>
              </w:rPr>
            </w:pPr>
          </w:p>
        </w:tc>
        <w:tc>
          <w:tcPr>
            <w:tcW w:w="1595" w:type="dxa"/>
            <w:vAlign w:val="center"/>
          </w:tcPr>
          <w:p w14:paraId="5ADA7AE8">
            <w:pPr>
              <w:spacing w:line="500" w:lineRule="exact"/>
              <w:jc w:val="center"/>
              <w:rPr>
                <w:rFonts w:ascii="宋体" w:hAnsi="宋体" w:cs="仿宋_GB2312"/>
                <w:sz w:val="24"/>
                <w:shd w:val="clear" w:color="auto" w:fill="FFFFFF"/>
                <w:lang w:bidi="ar"/>
              </w:rPr>
            </w:pPr>
          </w:p>
        </w:tc>
        <w:tc>
          <w:tcPr>
            <w:tcW w:w="1671" w:type="dxa"/>
            <w:vAlign w:val="center"/>
          </w:tcPr>
          <w:p w14:paraId="4A51A452">
            <w:pPr>
              <w:spacing w:line="500" w:lineRule="exact"/>
              <w:jc w:val="center"/>
              <w:rPr>
                <w:rFonts w:ascii="宋体" w:hAnsi="宋体" w:cs="仿宋_GB2312"/>
                <w:sz w:val="24"/>
                <w:shd w:val="clear" w:color="auto" w:fill="FFFFFF"/>
                <w:lang w:bidi="ar"/>
              </w:rPr>
            </w:pPr>
          </w:p>
        </w:tc>
        <w:tc>
          <w:tcPr>
            <w:tcW w:w="1129" w:type="dxa"/>
            <w:vAlign w:val="center"/>
          </w:tcPr>
          <w:p w14:paraId="042E2DE0">
            <w:pPr>
              <w:spacing w:line="500" w:lineRule="exact"/>
              <w:jc w:val="center"/>
              <w:rPr>
                <w:rFonts w:ascii="宋体" w:hAnsi="宋体" w:cs="仿宋_GB2312"/>
                <w:sz w:val="24"/>
                <w:shd w:val="clear" w:color="auto" w:fill="FFFFFF"/>
                <w:lang w:bidi="ar"/>
              </w:rPr>
            </w:pPr>
          </w:p>
        </w:tc>
        <w:tc>
          <w:tcPr>
            <w:tcW w:w="610" w:type="dxa"/>
            <w:vAlign w:val="center"/>
          </w:tcPr>
          <w:p w14:paraId="5CD12627">
            <w:pPr>
              <w:spacing w:line="500" w:lineRule="exact"/>
              <w:jc w:val="center"/>
              <w:rPr>
                <w:rFonts w:ascii="宋体" w:hAnsi="宋体" w:cs="仿宋_GB2312"/>
                <w:sz w:val="24"/>
                <w:shd w:val="clear" w:color="auto" w:fill="FFFFFF"/>
                <w:lang w:bidi="ar"/>
              </w:rPr>
            </w:pPr>
          </w:p>
        </w:tc>
      </w:tr>
      <w:tr w14:paraId="6106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36" w:type="dxa"/>
            <w:vAlign w:val="center"/>
          </w:tcPr>
          <w:p w14:paraId="532A40A7">
            <w:pPr>
              <w:spacing w:line="500" w:lineRule="exact"/>
              <w:jc w:val="center"/>
              <w:rPr>
                <w:rFonts w:ascii="宋体" w:hAnsi="宋体" w:cs="仿宋_GB2312"/>
                <w:sz w:val="24"/>
                <w:shd w:val="clear" w:color="auto" w:fill="FFFFFF"/>
                <w:lang w:bidi="ar"/>
              </w:rPr>
            </w:pPr>
            <w:r>
              <w:rPr>
                <w:rFonts w:ascii="宋体" w:hAnsi="宋体" w:cs="仿宋_GB2312"/>
                <w:sz w:val="24"/>
                <w:shd w:val="clear" w:color="auto" w:fill="FFFFFF"/>
                <w:lang w:bidi="ar"/>
              </w:rPr>
              <w:t>…</w:t>
            </w:r>
          </w:p>
        </w:tc>
        <w:tc>
          <w:tcPr>
            <w:tcW w:w="1284" w:type="dxa"/>
            <w:vAlign w:val="center"/>
          </w:tcPr>
          <w:p w14:paraId="0AF1AA7F">
            <w:pPr>
              <w:spacing w:line="500" w:lineRule="exact"/>
              <w:jc w:val="center"/>
              <w:rPr>
                <w:rFonts w:ascii="宋体" w:hAnsi="宋体" w:cs="仿宋_GB2312"/>
                <w:sz w:val="24"/>
                <w:shd w:val="clear" w:color="auto" w:fill="FFFFFF"/>
                <w:lang w:bidi="ar"/>
              </w:rPr>
            </w:pPr>
          </w:p>
        </w:tc>
        <w:tc>
          <w:tcPr>
            <w:tcW w:w="1595" w:type="dxa"/>
            <w:vAlign w:val="center"/>
          </w:tcPr>
          <w:p w14:paraId="01F97417">
            <w:pPr>
              <w:spacing w:line="500" w:lineRule="exact"/>
              <w:jc w:val="center"/>
              <w:rPr>
                <w:rFonts w:ascii="宋体" w:hAnsi="宋体" w:cs="仿宋_GB2312"/>
                <w:sz w:val="24"/>
                <w:shd w:val="clear" w:color="auto" w:fill="FFFFFF"/>
                <w:lang w:bidi="ar"/>
              </w:rPr>
            </w:pPr>
          </w:p>
        </w:tc>
        <w:tc>
          <w:tcPr>
            <w:tcW w:w="1595" w:type="dxa"/>
            <w:vAlign w:val="center"/>
          </w:tcPr>
          <w:p w14:paraId="3DDA55DF">
            <w:pPr>
              <w:spacing w:line="500" w:lineRule="exact"/>
              <w:jc w:val="center"/>
              <w:rPr>
                <w:rFonts w:ascii="宋体" w:hAnsi="宋体" w:cs="仿宋_GB2312"/>
                <w:sz w:val="24"/>
                <w:shd w:val="clear" w:color="auto" w:fill="FFFFFF"/>
                <w:lang w:bidi="ar"/>
              </w:rPr>
            </w:pPr>
          </w:p>
        </w:tc>
        <w:tc>
          <w:tcPr>
            <w:tcW w:w="1671" w:type="dxa"/>
            <w:vAlign w:val="center"/>
          </w:tcPr>
          <w:p w14:paraId="4884145A">
            <w:pPr>
              <w:spacing w:line="500" w:lineRule="exact"/>
              <w:jc w:val="center"/>
              <w:rPr>
                <w:rFonts w:ascii="宋体" w:hAnsi="宋体" w:cs="仿宋_GB2312"/>
                <w:sz w:val="24"/>
                <w:shd w:val="clear" w:color="auto" w:fill="FFFFFF"/>
                <w:lang w:bidi="ar"/>
              </w:rPr>
            </w:pPr>
          </w:p>
        </w:tc>
        <w:tc>
          <w:tcPr>
            <w:tcW w:w="1129" w:type="dxa"/>
            <w:vAlign w:val="center"/>
          </w:tcPr>
          <w:p w14:paraId="58F6C5D0">
            <w:pPr>
              <w:spacing w:line="500" w:lineRule="exact"/>
              <w:jc w:val="center"/>
              <w:rPr>
                <w:rFonts w:ascii="宋体" w:hAnsi="宋体" w:cs="仿宋_GB2312"/>
                <w:sz w:val="24"/>
                <w:shd w:val="clear" w:color="auto" w:fill="FFFFFF"/>
                <w:lang w:bidi="ar"/>
              </w:rPr>
            </w:pPr>
          </w:p>
        </w:tc>
        <w:tc>
          <w:tcPr>
            <w:tcW w:w="610" w:type="dxa"/>
            <w:vAlign w:val="center"/>
          </w:tcPr>
          <w:p w14:paraId="0F45BC00">
            <w:pPr>
              <w:spacing w:line="500" w:lineRule="exact"/>
              <w:jc w:val="center"/>
              <w:rPr>
                <w:rFonts w:ascii="宋体" w:hAnsi="宋体" w:cs="仿宋_GB2312"/>
                <w:sz w:val="24"/>
                <w:shd w:val="clear" w:color="auto" w:fill="FFFFFF"/>
                <w:lang w:bidi="ar"/>
              </w:rPr>
            </w:pPr>
          </w:p>
        </w:tc>
      </w:tr>
    </w:tbl>
    <w:p w14:paraId="1EDB2FEA">
      <w:pPr>
        <w:adjustRightInd w:val="0"/>
        <w:snapToGrid w:val="0"/>
        <w:spacing w:line="360" w:lineRule="auto"/>
        <w:ind w:left="944" w:hanging="944" w:hangingChars="392"/>
        <w:rPr>
          <w:rFonts w:ascii="宋体" w:hAnsi="宋体" w:cs="宋体"/>
          <w:b/>
          <w:sz w:val="24"/>
        </w:rPr>
      </w:pPr>
    </w:p>
    <w:p w14:paraId="77F27060">
      <w:pPr>
        <w:adjustRightInd w:val="0"/>
        <w:snapToGrid w:val="0"/>
        <w:spacing w:line="360" w:lineRule="auto"/>
        <w:ind w:left="944" w:hanging="944" w:hangingChars="392"/>
        <w:rPr>
          <w:rFonts w:ascii="宋体" w:hAnsi="宋体" w:cs="宋体"/>
          <w:b/>
          <w:sz w:val="24"/>
        </w:rPr>
      </w:pPr>
      <w:r>
        <w:rPr>
          <w:rFonts w:hint="eastAsia" w:ascii="宋体" w:hAnsi="宋体" w:cs="宋体"/>
          <w:b/>
          <w:sz w:val="24"/>
        </w:rPr>
        <w:t xml:space="preserve">注：供应商应随此表附近三年以来类似服务业绩证明材料，具体证明材料内容以评标办法业绩要求为准。 </w:t>
      </w:r>
    </w:p>
    <w:p w14:paraId="6A559472">
      <w:pPr>
        <w:spacing w:line="360" w:lineRule="auto"/>
        <w:ind w:firstLine="480"/>
        <w:rPr>
          <w:rFonts w:ascii="宋体" w:hAnsi="宋体" w:cs="Calibri Light"/>
          <w:sz w:val="24"/>
        </w:rPr>
      </w:pPr>
    </w:p>
    <w:p w14:paraId="472E9D73">
      <w:pPr>
        <w:spacing w:line="460" w:lineRule="exact"/>
        <w:ind w:firstLine="4080" w:firstLineChars="1700"/>
        <w:rPr>
          <w:rFonts w:ascii="宋体" w:hAnsi="宋体" w:cs="仿宋_GB2312"/>
          <w:sz w:val="24"/>
          <w:shd w:val="clear" w:color="auto" w:fill="FFFFFF"/>
          <w:lang w:bidi="ar"/>
        </w:rPr>
      </w:pPr>
      <w:r>
        <w:rPr>
          <w:rFonts w:hint="eastAsia" w:ascii="宋体" w:hAnsi="宋体" w:cs="宋体"/>
          <w:sz w:val="24"/>
        </w:rPr>
        <w:t>投标供应商</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3A3B471E">
      <w:pPr>
        <w:spacing w:line="460" w:lineRule="exact"/>
        <w:ind w:firstLine="4080" w:firstLineChars="1700"/>
        <w:rPr>
          <w:rFonts w:ascii="宋体" w:hAnsi="宋体" w:cs="仿宋_GB2312"/>
          <w:sz w:val="24"/>
          <w:shd w:val="clear" w:color="auto" w:fill="FFFFFF"/>
          <w:lang w:bidi="ar"/>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仿宋_GB2312"/>
          <w:sz w:val="24"/>
          <w:shd w:val="clear" w:color="auto" w:fill="FFFFFF"/>
          <w:lang w:bidi="ar"/>
        </w:rPr>
        <w:t>：</w:t>
      </w:r>
      <w:r>
        <w:rPr>
          <w:rFonts w:ascii="宋体" w:hAnsi="宋体" w:cs="仿宋_GB2312"/>
          <w:sz w:val="24"/>
          <w:u w:val="single"/>
          <w:shd w:val="clear" w:color="auto" w:fill="FFFFFF"/>
          <w:lang w:bidi="ar"/>
        </w:rPr>
        <w:t xml:space="preserve">  </w:t>
      </w:r>
      <w:r>
        <w:rPr>
          <w:rFonts w:hint="eastAsia" w:ascii="宋体" w:hAnsi="宋体" w:cs="仿宋_GB2312"/>
          <w:sz w:val="24"/>
          <w:u w:val="single"/>
          <w:shd w:val="clear" w:color="auto" w:fill="FFFFFF"/>
          <w:lang w:bidi="ar"/>
        </w:rPr>
        <w:t xml:space="preserve"> </w:t>
      </w:r>
      <w:r>
        <w:rPr>
          <w:rFonts w:ascii="宋体" w:hAnsi="宋体" w:cs="仿宋_GB2312"/>
          <w:sz w:val="24"/>
          <w:u w:val="single"/>
          <w:shd w:val="clear" w:color="auto" w:fill="FFFFFF"/>
          <w:lang w:bidi="ar"/>
        </w:rPr>
        <w:t xml:space="preserve"> </w:t>
      </w:r>
      <w:r>
        <w:rPr>
          <w:rFonts w:ascii="宋体" w:hAnsi="宋体" w:cs="仿宋_GB2312"/>
          <w:sz w:val="24"/>
          <w:shd w:val="clear" w:color="auto" w:fill="FFFFFF"/>
          <w:lang w:bidi="ar"/>
        </w:rPr>
        <w:t>(</w:t>
      </w:r>
      <w:r>
        <w:rPr>
          <w:rFonts w:hint="eastAsia" w:ascii="宋体" w:hAnsi="宋体" w:cs="宋体"/>
          <w:color w:val="000000"/>
          <w:kern w:val="0"/>
          <w:sz w:val="24"/>
        </w:rPr>
        <w:t>电子签章</w:t>
      </w:r>
      <w:r>
        <w:rPr>
          <w:rFonts w:ascii="宋体" w:hAnsi="宋体" w:cs="仿宋_GB2312"/>
          <w:sz w:val="24"/>
          <w:shd w:val="clear" w:color="auto" w:fill="FFFFFF"/>
          <w:lang w:bidi="ar"/>
        </w:rPr>
        <w:t xml:space="preserve">) </w:t>
      </w:r>
    </w:p>
    <w:p w14:paraId="03009FF2">
      <w:pPr>
        <w:spacing w:line="460" w:lineRule="exact"/>
        <w:ind w:firstLine="4080" w:firstLineChars="1700"/>
        <w:rPr>
          <w:rFonts w:ascii="宋体" w:hAnsi="宋体" w:cs="仿宋_GB2312"/>
          <w:sz w:val="24"/>
          <w:shd w:val="clear" w:color="auto" w:fill="FFFFFF"/>
          <w:lang w:bidi="ar"/>
        </w:rPr>
      </w:pPr>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p w14:paraId="4E3F9DFA">
      <w:pPr>
        <w:adjustRightInd w:val="0"/>
        <w:snapToGrid w:val="0"/>
        <w:spacing w:after="100" w:afterAutospacing="1" w:line="620" w:lineRule="exact"/>
        <w:rPr>
          <w:rFonts w:ascii="宋体" w:hAnsi="宋体" w:cs="宋体"/>
          <w:b/>
          <w:sz w:val="24"/>
        </w:rPr>
      </w:pPr>
    </w:p>
    <w:bookmarkEnd w:id="486"/>
    <w:bookmarkEnd w:id="487"/>
    <w:bookmarkEnd w:id="488"/>
    <w:bookmarkEnd w:id="489"/>
    <w:p w14:paraId="138E3C73">
      <w:pPr>
        <w:spacing w:line="360" w:lineRule="auto"/>
        <w:ind w:firstLine="480"/>
        <w:rPr>
          <w:rFonts w:ascii="宋体" w:hAnsi="宋体" w:cs="Calibri Light"/>
          <w:sz w:val="24"/>
        </w:rPr>
      </w:pPr>
    </w:p>
    <w:p w14:paraId="0B2A5A1F">
      <w:pPr>
        <w:spacing w:before="53"/>
        <w:jc w:val="center"/>
        <w:outlineLvl w:val="2"/>
        <w:rPr>
          <w:rFonts w:ascii="宋体" w:hAnsi="宋体" w:cs="Calibri Light"/>
          <w:b/>
          <w:bCs/>
          <w:sz w:val="24"/>
          <w:lang w:val="zh-CN" w:bidi="zh-CN"/>
        </w:rPr>
      </w:pPr>
    </w:p>
    <w:p w14:paraId="58B94D9F">
      <w:pPr>
        <w:spacing w:before="53"/>
        <w:jc w:val="center"/>
        <w:outlineLvl w:val="2"/>
        <w:rPr>
          <w:rFonts w:ascii="宋体" w:hAnsi="宋体" w:cs="Calibri Light"/>
          <w:b/>
          <w:bCs/>
          <w:sz w:val="24"/>
          <w:lang w:val="zh-CN" w:bidi="zh-CN"/>
        </w:rPr>
      </w:pPr>
    </w:p>
    <w:p w14:paraId="522DCB27">
      <w:pPr>
        <w:spacing w:before="53"/>
        <w:jc w:val="center"/>
        <w:outlineLvl w:val="2"/>
        <w:rPr>
          <w:rFonts w:ascii="宋体" w:hAnsi="宋体" w:cs="Calibri Light"/>
          <w:b/>
          <w:bCs/>
          <w:sz w:val="24"/>
          <w:lang w:val="zh-CN" w:bidi="zh-CN"/>
        </w:rPr>
      </w:pPr>
    </w:p>
    <w:p w14:paraId="05AEF442">
      <w:pPr>
        <w:pStyle w:val="3"/>
        <w:rPr>
          <w:rFonts w:ascii="Times New Roman"/>
          <w:lang w:val="zh-CN" w:bidi="zh-CN"/>
        </w:rPr>
      </w:pPr>
    </w:p>
    <w:p w14:paraId="20E715A3">
      <w:pPr>
        <w:pStyle w:val="3"/>
        <w:rPr>
          <w:rFonts w:ascii="Times New Roman"/>
          <w:lang w:val="zh-CN" w:bidi="zh-CN"/>
        </w:rPr>
      </w:pPr>
    </w:p>
    <w:p w14:paraId="6443F016">
      <w:pPr>
        <w:rPr>
          <w:lang w:val="zh-CN" w:bidi="zh-CN"/>
        </w:rPr>
      </w:pPr>
    </w:p>
    <w:p w14:paraId="3F209EB5">
      <w:pPr>
        <w:spacing w:before="53"/>
        <w:jc w:val="center"/>
        <w:outlineLvl w:val="2"/>
        <w:rPr>
          <w:rFonts w:ascii="宋体" w:hAnsi="宋体" w:cs="Calibri Light"/>
          <w:b/>
          <w:bCs/>
          <w:sz w:val="24"/>
          <w:lang w:bidi="zh-CN"/>
        </w:rPr>
      </w:pPr>
      <w:r>
        <w:rPr>
          <w:rFonts w:hint="eastAsia" w:ascii="宋体" w:hAnsi="宋体" w:cs="Calibri Light"/>
          <w:b/>
          <w:bCs/>
          <w:sz w:val="24"/>
          <w:lang w:val="zh-CN" w:bidi="zh-CN"/>
        </w:rPr>
        <w:t>（6）资格审查</w:t>
      </w:r>
      <w:r>
        <w:rPr>
          <w:rFonts w:hint="eastAsia" w:ascii="宋体" w:hAnsi="宋体" w:cs="Calibri Light"/>
          <w:b/>
          <w:bCs/>
          <w:sz w:val="24"/>
          <w:lang w:bidi="zh-CN"/>
        </w:rPr>
        <w:t>文件</w:t>
      </w:r>
    </w:p>
    <w:p w14:paraId="03A3B443">
      <w:pPr>
        <w:spacing w:line="600" w:lineRule="auto"/>
        <w:jc w:val="center"/>
        <w:rPr>
          <w:rFonts w:ascii="宋体" w:hAnsi="宋体" w:cs="宋体"/>
          <w:sz w:val="24"/>
        </w:rPr>
      </w:pPr>
    </w:p>
    <w:p w14:paraId="076E4EC4">
      <w:pPr>
        <w:spacing w:line="600" w:lineRule="auto"/>
        <w:jc w:val="center"/>
        <w:rPr>
          <w:rFonts w:ascii="宋体" w:hAnsi="宋体" w:cs="宋体"/>
          <w:sz w:val="24"/>
        </w:rPr>
      </w:pPr>
      <w:r>
        <w:rPr>
          <w:rFonts w:ascii="宋体" w:hAnsi="宋体" w:cs="宋体"/>
          <w:sz w:val="24"/>
        </w:rPr>
        <w:t>根据磋商文件第</w:t>
      </w:r>
      <w:r>
        <w:rPr>
          <w:rFonts w:hint="eastAsia" w:ascii="宋体" w:hAnsi="宋体" w:cs="宋体"/>
          <w:sz w:val="24"/>
        </w:rPr>
        <w:t>四</w:t>
      </w:r>
      <w:r>
        <w:rPr>
          <w:rFonts w:ascii="宋体" w:hAnsi="宋体" w:cs="宋体"/>
          <w:sz w:val="24"/>
        </w:rPr>
        <w:t>章</w:t>
      </w:r>
      <w:r>
        <w:rPr>
          <w:rFonts w:hint="eastAsia" w:ascii="宋体" w:hAnsi="宋体" w:cs="宋体"/>
          <w:sz w:val="24"/>
        </w:rPr>
        <w:t>2.1.1资格审查项资料提供</w:t>
      </w:r>
    </w:p>
    <w:p w14:paraId="6EE89829">
      <w:pPr>
        <w:spacing w:line="360" w:lineRule="auto"/>
        <w:jc w:val="center"/>
        <w:rPr>
          <w:rFonts w:ascii="宋体" w:hAnsi="宋体"/>
          <w:b/>
          <w:bCs/>
          <w:sz w:val="24"/>
        </w:rPr>
      </w:pPr>
    </w:p>
    <w:p w14:paraId="7C37E602">
      <w:pPr>
        <w:spacing w:line="360" w:lineRule="auto"/>
        <w:jc w:val="center"/>
        <w:rPr>
          <w:rFonts w:ascii="宋体" w:hAnsi="宋体"/>
          <w:b/>
          <w:bCs/>
          <w:sz w:val="24"/>
        </w:rPr>
      </w:pPr>
    </w:p>
    <w:p w14:paraId="20AD34B9">
      <w:pPr>
        <w:spacing w:line="360" w:lineRule="auto"/>
        <w:jc w:val="center"/>
        <w:rPr>
          <w:rFonts w:ascii="宋体" w:hAnsi="宋体"/>
          <w:b/>
          <w:bCs/>
          <w:sz w:val="24"/>
        </w:rPr>
      </w:pPr>
    </w:p>
    <w:p w14:paraId="0ECF3063">
      <w:pPr>
        <w:spacing w:line="360" w:lineRule="auto"/>
        <w:jc w:val="center"/>
        <w:rPr>
          <w:rFonts w:ascii="宋体" w:hAnsi="宋体"/>
          <w:b/>
          <w:bCs/>
          <w:sz w:val="24"/>
        </w:rPr>
      </w:pPr>
    </w:p>
    <w:p w14:paraId="598A9EE0">
      <w:pPr>
        <w:spacing w:line="360" w:lineRule="auto"/>
        <w:jc w:val="center"/>
        <w:rPr>
          <w:rFonts w:ascii="宋体" w:hAnsi="宋体"/>
          <w:b/>
          <w:bCs/>
          <w:sz w:val="24"/>
        </w:rPr>
      </w:pPr>
    </w:p>
    <w:p w14:paraId="6C81A938">
      <w:pPr>
        <w:spacing w:line="360" w:lineRule="auto"/>
        <w:jc w:val="center"/>
        <w:rPr>
          <w:rFonts w:ascii="宋体" w:hAnsi="宋体"/>
          <w:b/>
          <w:bCs/>
          <w:sz w:val="24"/>
        </w:rPr>
      </w:pPr>
    </w:p>
    <w:p w14:paraId="4D469D76">
      <w:pPr>
        <w:spacing w:line="360" w:lineRule="auto"/>
        <w:jc w:val="center"/>
        <w:rPr>
          <w:rFonts w:ascii="宋体" w:hAnsi="宋体"/>
          <w:b/>
          <w:bCs/>
          <w:sz w:val="24"/>
        </w:rPr>
      </w:pPr>
    </w:p>
    <w:p w14:paraId="59EBE32C">
      <w:pPr>
        <w:spacing w:line="360" w:lineRule="auto"/>
        <w:jc w:val="center"/>
        <w:rPr>
          <w:rFonts w:ascii="宋体" w:hAnsi="宋体"/>
          <w:b/>
          <w:bCs/>
          <w:sz w:val="24"/>
        </w:rPr>
      </w:pPr>
    </w:p>
    <w:p w14:paraId="26B85DD7">
      <w:pPr>
        <w:spacing w:line="360" w:lineRule="auto"/>
        <w:jc w:val="center"/>
        <w:rPr>
          <w:rFonts w:ascii="宋体" w:hAnsi="宋体"/>
          <w:b/>
          <w:bCs/>
          <w:sz w:val="24"/>
        </w:rPr>
      </w:pPr>
    </w:p>
    <w:p w14:paraId="65FA8816">
      <w:pPr>
        <w:spacing w:line="360" w:lineRule="auto"/>
        <w:jc w:val="center"/>
        <w:rPr>
          <w:rFonts w:ascii="宋体" w:hAnsi="宋体"/>
          <w:b/>
          <w:bCs/>
          <w:sz w:val="24"/>
        </w:rPr>
      </w:pPr>
    </w:p>
    <w:p w14:paraId="18CFE95A">
      <w:pPr>
        <w:spacing w:line="360" w:lineRule="auto"/>
        <w:jc w:val="center"/>
        <w:rPr>
          <w:rFonts w:ascii="宋体" w:hAnsi="宋体"/>
          <w:b/>
          <w:bCs/>
          <w:sz w:val="24"/>
        </w:rPr>
      </w:pPr>
    </w:p>
    <w:p w14:paraId="3BB9DA8C">
      <w:pPr>
        <w:spacing w:line="360" w:lineRule="auto"/>
        <w:jc w:val="center"/>
        <w:rPr>
          <w:rFonts w:ascii="宋体" w:hAnsi="宋体"/>
          <w:b/>
          <w:bCs/>
          <w:sz w:val="24"/>
        </w:rPr>
      </w:pPr>
    </w:p>
    <w:p w14:paraId="7F1C249F">
      <w:pPr>
        <w:spacing w:line="360" w:lineRule="auto"/>
        <w:jc w:val="center"/>
        <w:rPr>
          <w:rFonts w:ascii="宋体" w:hAnsi="宋体"/>
          <w:b/>
          <w:bCs/>
          <w:sz w:val="24"/>
        </w:rPr>
      </w:pPr>
    </w:p>
    <w:p w14:paraId="627F3C57">
      <w:pPr>
        <w:spacing w:line="360" w:lineRule="auto"/>
        <w:jc w:val="center"/>
        <w:rPr>
          <w:rFonts w:ascii="宋体" w:hAnsi="宋体"/>
          <w:b/>
          <w:bCs/>
          <w:sz w:val="24"/>
        </w:rPr>
      </w:pPr>
    </w:p>
    <w:p w14:paraId="688D5BAB">
      <w:pPr>
        <w:spacing w:line="360" w:lineRule="auto"/>
        <w:jc w:val="center"/>
        <w:rPr>
          <w:rFonts w:ascii="宋体" w:hAnsi="宋体"/>
          <w:b/>
          <w:bCs/>
          <w:sz w:val="24"/>
        </w:rPr>
      </w:pPr>
    </w:p>
    <w:p w14:paraId="7FC98899">
      <w:pPr>
        <w:spacing w:line="360" w:lineRule="auto"/>
        <w:jc w:val="center"/>
        <w:rPr>
          <w:rFonts w:ascii="宋体" w:hAnsi="宋体"/>
          <w:b/>
          <w:bCs/>
          <w:sz w:val="24"/>
        </w:rPr>
      </w:pPr>
    </w:p>
    <w:p w14:paraId="607EE990">
      <w:pPr>
        <w:spacing w:line="360" w:lineRule="auto"/>
        <w:jc w:val="center"/>
        <w:rPr>
          <w:rFonts w:ascii="宋体" w:hAnsi="宋体"/>
          <w:b/>
          <w:bCs/>
          <w:sz w:val="24"/>
        </w:rPr>
      </w:pPr>
    </w:p>
    <w:p w14:paraId="2E9A97D3">
      <w:pPr>
        <w:spacing w:line="360" w:lineRule="auto"/>
        <w:jc w:val="center"/>
        <w:rPr>
          <w:rFonts w:ascii="宋体" w:hAnsi="宋体"/>
          <w:b/>
          <w:bCs/>
          <w:sz w:val="24"/>
        </w:rPr>
      </w:pPr>
    </w:p>
    <w:p w14:paraId="3FAD303F">
      <w:pPr>
        <w:spacing w:line="360" w:lineRule="auto"/>
        <w:jc w:val="center"/>
        <w:rPr>
          <w:rFonts w:ascii="宋体" w:hAnsi="宋体"/>
          <w:b/>
          <w:bCs/>
          <w:sz w:val="24"/>
        </w:rPr>
      </w:pPr>
    </w:p>
    <w:p w14:paraId="1B9A42CE">
      <w:pPr>
        <w:spacing w:line="360" w:lineRule="auto"/>
        <w:jc w:val="center"/>
        <w:rPr>
          <w:rFonts w:ascii="宋体" w:hAnsi="宋体"/>
          <w:b/>
          <w:bCs/>
          <w:sz w:val="24"/>
        </w:rPr>
      </w:pPr>
    </w:p>
    <w:p w14:paraId="2A2D0DDC">
      <w:pPr>
        <w:spacing w:line="360" w:lineRule="auto"/>
        <w:jc w:val="center"/>
        <w:rPr>
          <w:rFonts w:ascii="宋体" w:hAnsi="宋体"/>
          <w:b/>
          <w:bCs/>
          <w:sz w:val="24"/>
        </w:rPr>
      </w:pPr>
    </w:p>
    <w:p w14:paraId="2358172B">
      <w:pPr>
        <w:spacing w:line="360" w:lineRule="auto"/>
        <w:jc w:val="center"/>
        <w:rPr>
          <w:rFonts w:ascii="宋体" w:hAnsi="宋体"/>
          <w:b/>
          <w:bCs/>
          <w:sz w:val="24"/>
        </w:rPr>
      </w:pPr>
    </w:p>
    <w:p w14:paraId="62E49539">
      <w:pPr>
        <w:spacing w:line="360" w:lineRule="auto"/>
        <w:jc w:val="center"/>
        <w:rPr>
          <w:rFonts w:ascii="宋体" w:hAnsi="宋体"/>
          <w:b/>
          <w:bCs/>
          <w:sz w:val="24"/>
        </w:rPr>
      </w:pPr>
    </w:p>
    <w:p w14:paraId="1F8E8095">
      <w:pPr>
        <w:pStyle w:val="24"/>
        <w:rPr>
          <w:rFonts w:hint="default"/>
        </w:rPr>
      </w:pPr>
    </w:p>
    <w:p w14:paraId="65F6B7D8">
      <w:pPr>
        <w:spacing w:line="360" w:lineRule="auto"/>
        <w:rPr>
          <w:rFonts w:ascii="宋体" w:hAnsi="宋体"/>
          <w:b/>
          <w:bCs/>
          <w:sz w:val="24"/>
        </w:rPr>
      </w:pPr>
    </w:p>
    <w:p w14:paraId="5994E5ED">
      <w:pPr>
        <w:spacing w:line="360" w:lineRule="auto"/>
        <w:jc w:val="center"/>
        <w:rPr>
          <w:rFonts w:ascii="宋体" w:hAnsi="宋体"/>
          <w:b/>
          <w:bCs/>
          <w:sz w:val="24"/>
        </w:rPr>
      </w:pPr>
      <w:r>
        <w:rPr>
          <w:rFonts w:hint="eastAsia" w:ascii="宋体" w:hAnsi="宋体"/>
          <w:b/>
          <w:bCs/>
          <w:sz w:val="24"/>
        </w:rPr>
        <w:t>中小企业声明函（服务）</w:t>
      </w:r>
    </w:p>
    <w:p w14:paraId="5831AA6E">
      <w:pPr>
        <w:pStyle w:val="4"/>
        <w:spacing w:line="240" w:lineRule="auto"/>
        <w:ind w:firstLine="300"/>
        <w:rPr>
          <w:sz w:val="15"/>
          <w:szCs w:val="15"/>
        </w:rPr>
      </w:pPr>
    </w:p>
    <w:p w14:paraId="3680BF61">
      <w:pPr>
        <w:spacing w:line="360" w:lineRule="auto"/>
        <w:ind w:firstLine="480" w:firstLineChars="200"/>
        <w:rPr>
          <w:rFonts w:ascii="宋体" w:hAnsi="宋体"/>
          <w:sz w:val="24"/>
        </w:rPr>
      </w:pPr>
      <w:r>
        <w:rPr>
          <w:rFonts w:hint="eastAsia" w:ascii="宋体" w:hAnsi="宋体"/>
          <w:sz w:val="24"/>
        </w:rPr>
        <w:t>本公司（联合体）郑重声明，根据《政府采购促进中小企业发展管理办法》（财库﹝2020﹞46号）的规定，本公司（联合体）参加</w:t>
      </w:r>
      <w:r>
        <w:rPr>
          <w:rFonts w:hint="eastAsia" w:ascii="宋体" w:hAnsi="宋体"/>
          <w:sz w:val="24"/>
          <w:u w:val="single"/>
        </w:rPr>
        <w:t xml:space="preserve">（单位名称） </w:t>
      </w:r>
      <w:r>
        <w:rPr>
          <w:rFonts w:hint="eastAsia" w:ascii="宋体" w:hAnsi="宋体"/>
          <w:sz w:val="24"/>
        </w:rPr>
        <w:t>的</w:t>
      </w:r>
      <w:r>
        <w:rPr>
          <w:rFonts w:hint="eastAsia" w:ascii="宋体" w:hAnsi="宋体"/>
          <w:sz w:val="24"/>
          <w:u w:val="single"/>
        </w:rPr>
        <w:t xml:space="preserve">（项目名称） </w:t>
      </w:r>
      <w:r>
        <w:rPr>
          <w:rFonts w:hint="eastAsia" w:ascii="宋体" w:hAnsi="宋体"/>
          <w:sz w:val="24"/>
        </w:rPr>
        <w:t>采购活动，服务全部由符合政策要求的中小企业承接。相关企业（含联合体中的中小企业、签订分包意向协议的中小企业）的具体情况如下：</w:t>
      </w:r>
    </w:p>
    <w:p w14:paraId="21D83BA9">
      <w:pPr>
        <w:spacing w:line="360" w:lineRule="auto"/>
        <w:ind w:firstLine="480" w:firstLineChars="200"/>
        <w:rPr>
          <w:rFonts w:ascii="宋体" w:hAnsi="宋体"/>
          <w:sz w:val="24"/>
        </w:rPr>
      </w:pPr>
      <w:r>
        <w:rPr>
          <w:rFonts w:hint="eastAsia" w:ascii="宋体" w:hAnsi="宋体"/>
          <w:sz w:val="24"/>
        </w:rPr>
        <w:t xml:space="preserve">1. </w:t>
      </w:r>
      <w:r>
        <w:rPr>
          <w:rFonts w:hint="eastAsia" w:ascii="宋体" w:hAnsi="宋体"/>
          <w:sz w:val="24"/>
          <w:u w:val="single"/>
        </w:rPr>
        <w:t>（标的名称）</w:t>
      </w:r>
      <w:r>
        <w:rPr>
          <w:rFonts w:hint="eastAsia" w:ascii="宋体" w:hAnsi="宋体"/>
          <w:sz w:val="24"/>
        </w:rPr>
        <w:t>，属于</w:t>
      </w:r>
      <w:r>
        <w:rPr>
          <w:rFonts w:hint="eastAsia" w:ascii="宋体" w:hAnsi="宋体"/>
          <w:sz w:val="24"/>
          <w:u w:val="single"/>
        </w:rPr>
        <w:t>（采购文件中明确的所属行业）</w:t>
      </w:r>
      <w:r>
        <w:rPr>
          <w:rFonts w:hint="eastAsia" w:ascii="宋体" w:hAnsi="宋体"/>
          <w:sz w:val="24"/>
        </w:rPr>
        <w:t>；承接企业为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rPr>
        <w:t>万元，属于</w:t>
      </w:r>
      <w:r>
        <w:rPr>
          <w:rFonts w:hint="eastAsia" w:ascii="宋体" w:hAnsi="宋体"/>
          <w:sz w:val="24"/>
          <w:u w:val="single"/>
        </w:rPr>
        <w:t xml:space="preserve">  （中型企业、小型企业、微型企业）</w:t>
      </w:r>
      <w:r>
        <w:rPr>
          <w:rFonts w:hint="eastAsia" w:ascii="宋体" w:hAnsi="宋体"/>
          <w:sz w:val="24"/>
        </w:rPr>
        <w:t>；</w:t>
      </w:r>
    </w:p>
    <w:p w14:paraId="084B7A1C">
      <w:pPr>
        <w:spacing w:line="360" w:lineRule="auto"/>
        <w:ind w:firstLine="480" w:firstLineChars="200"/>
        <w:rPr>
          <w:rFonts w:ascii="宋体" w:hAnsi="宋体"/>
          <w:sz w:val="24"/>
        </w:rPr>
      </w:pPr>
      <w:r>
        <w:rPr>
          <w:rFonts w:hint="eastAsia" w:ascii="宋体" w:hAnsi="宋体"/>
          <w:sz w:val="24"/>
        </w:rPr>
        <w:t xml:space="preserve">2. </w:t>
      </w:r>
      <w:r>
        <w:rPr>
          <w:rFonts w:hint="eastAsia" w:ascii="宋体" w:hAnsi="宋体"/>
          <w:sz w:val="24"/>
          <w:u w:val="single"/>
        </w:rPr>
        <w:t>（标的名称）</w:t>
      </w:r>
      <w:r>
        <w:rPr>
          <w:rFonts w:hint="eastAsia" w:ascii="宋体" w:hAnsi="宋体"/>
          <w:sz w:val="24"/>
        </w:rPr>
        <w:t>，属于</w:t>
      </w:r>
      <w:r>
        <w:rPr>
          <w:rFonts w:hint="eastAsia" w:ascii="宋体" w:hAnsi="宋体"/>
          <w:sz w:val="24"/>
          <w:u w:val="single"/>
        </w:rPr>
        <w:t>（采购文件中明确的所属行业）</w:t>
      </w:r>
      <w:r>
        <w:rPr>
          <w:rFonts w:hint="eastAsia" w:ascii="宋体" w:hAnsi="宋体"/>
          <w:sz w:val="24"/>
        </w:rPr>
        <w:t>；承接）企业为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rPr>
        <w:t>万元，属于</w:t>
      </w:r>
      <w:r>
        <w:rPr>
          <w:rFonts w:hint="eastAsia" w:ascii="宋体" w:hAnsi="宋体"/>
          <w:sz w:val="24"/>
          <w:u w:val="single"/>
        </w:rPr>
        <w:t>（中型企业、 小型企业、微型企业）</w:t>
      </w:r>
      <w:r>
        <w:rPr>
          <w:rFonts w:hint="eastAsia" w:ascii="宋体" w:hAnsi="宋体"/>
          <w:sz w:val="24"/>
        </w:rPr>
        <w:t>；</w:t>
      </w:r>
    </w:p>
    <w:p w14:paraId="288689EB">
      <w:pPr>
        <w:spacing w:line="360" w:lineRule="auto"/>
        <w:ind w:firstLine="480" w:firstLineChars="200"/>
        <w:rPr>
          <w:rFonts w:ascii="宋体" w:hAnsi="宋体"/>
          <w:sz w:val="24"/>
        </w:rPr>
      </w:pPr>
      <w:r>
        <w:rPr>
          <w:rFonts w:hint="eastAsia" w:ascii="宋体" w:hAnsi="宋体"/>
          <w:sz w:val="24"/>
        </w:rPr>
        <w:t xml:space="preserve">…… </w:t>
      </w:r>
    </w:p>
    <w:p w14:paraId="62C59F5F">
      <w:pPr>
        <w:spacing w:line="360" w:lineRule="auto"/>
        <w:ind w:firstLine="480" w:firstLineChars="200"/>
        <w:rPr>
          <w:rFonts w:ascii="宋体" w:hAnsi="宋体"/>
          <w:sz w:val="24"/>
        </w:rPr>
      </w:pPr>
      <w:r>
        <w:rPr>
          <w:rFonts w:hint="eastAsia" w:ascii="宋体" w:hAnsi="宋体"/>
          <w:sz w:val="24"/>
        </w:rPr>
        <w:t>以上企业，不属于大企业的分支机构，不存在控股股东为大企业的情形，也不存在与大企业的负责人为同一人的情形。</w:t>
      </w:r>
    </w:p>
    <w:p w14:paraId="406363AA">
      <w:pPr>
        <w:spacing w:line="360" w:lineRule="auto"/>
        <w:ind w:firstLine="480" w:firstLineChars="200"/>
        <w:rPr>
          <w:rFonts w:ascii="宋体" w:hAnsi="宋体"/>
          <w:sz w:val="24"/>
        </w:rPr>
      </w:pPr>
      <w:r>
        <w:rPr>
          <w:rFonts w:hint="eastAsia" w:ascii="宋体" w:hAnsi="宋体"/>
          <w:sz w:val="24"/>
        </w:rPr>
        <w:t>本企业对上述声明内容的真实性负责。如有虚假，将依法承担相应责任。</w:t>
      </w:r>
    </w:p>
    <w:p w14:paraId="643CA48B">
      <w:pPr>
        <w:spacing w:line="360" w:lineRule="auto"/>
        <w:ind w:firstLine="480" w:firstLineChars="200"/>
        <w:rPr>
          <w:rFonts w:ascii="宋体" w:hAnsi="宋体"/>
          <w:sz w:val="24"/>
        </w:rPr>
      </w:pPr>
      <w:r>
        <w:rPr>
          <w:rFonts w:hint="eastAsia" w:ascii="宋体" w:hAnsi="宋体"/>
          <w:sz w:val="24"/>
        </w:rPr>
        <w:t>……</w:t>
      </w:r>
    </w:p>
    <w:p w14:paraId="061901E4">
      <w:pPr>
        <w:spacing w:line="360" w:lineRule="auto"/>
        <w:ind w:firstLine="480" w:firstLineChars="200"/>
        <w:jc w:val="center"/>
        <w:rPr>
          <w:rFonts w:ascii="宋体" w:hAnsi="宋体"/>
          <w:sz w:val="24"/>
        </w:rPr>
      </w:pPr>
      <w:r>
        <w:rPr>
          <w:rFonts w:hint="eastAsia" w:ascii="宋体" w:hAnsi="宋体"/>
          <w:sz w:val="24"/>
        </w:rPr>
        <w:t xml:space="preserve">    企业名称（</w:t>
      </w:r>
      <w:r>
        <w:rPr>
          <w:rFonts w:hint="eastAsia" w:ascii="宋体" w:hAnsi="宋体" w:cs="宋体"/>
          <w:sz w:val="24"/>
        </w:rPr>
        <w:t>电子签章</w:t>
      </w:r>
      <w:r>
        <w:rPr>
          <w:rFonts w:hint="eastAsia" w:ascii="宋体" w:hAnsi="宋体"/>
          <w:sz w:val="24"/>
        </w:rPr>
        <w:t>）：</w:t>
      </w:r>
    </w:p>
    <w:p w14:paraId="7204A008">
      <w:pPr>
        <w:spacing w:line="360" w:lineRule="auto"/>
        <w:ind w:firstLine="3840" w:firstLineChars="1600"/>
        <w:rPr>
          <w:rFonts w:ascii="宋体" w:hAnsi="宋体"/>
          <w:sz w:val="24"/>
        </w:rPr>
      </w:pPr>
      <w:r>
        <w:rPr>
          <w:rFonts w:hint="eastAsia" w:ascii="宋体" w:hAnsi="宋体"/>
          <w:sz w:val="24"/>
        </w:rPr>
        <w:t>日 期：</w:t>
      </w:r>
    </w:p>
    <w:p w14:paraId="1FE3A051">
      <w:pPr>
        <w:spacing w:line="360" w:lineRule="auto"/>
        <w:ind w:firstLine="480" w:firstLineChars="200"/>
        <w:rPr>
          <w:rFonts w:ascii="宋体" w:hAnsi="宋体"/>
          <w:sz w:val="24"/>
        </w:rPr>
      </w:pPr>
      <w:r>
        <w:rPr>
          <w:rFonts w:hint="eastAsia" w:ascii="宋体" w:hAnsi="宋体"/>
          <w:sz w:val="24"/>
        </w:rPr>
        <w:t>注：从业人员、营业收入、资产总额填报上一年度数据，无上一年度数据的新成立企业可不填报。</w:t>
      </w:r>
    </w:p>
    <w:p w14:paraId="6B1203C7">
      <w:pPr>
        <w:spacing w:line="276" w:lineRule="auto"/>
        <w:rPr>
          <w:rFonts w:ascii="宋体" w:hAnsi="宋体" w:cs="宋体"/>
          <w:b/>
          <w:bCs/>
          <w:sz w:val="24"/>
        </w:rPr>
      </w:pPr>
      <w:r>
        <w:rPr>
          <w:rFonts w:hint="eastAsia" w:ascii="宋体" w:hAnsi="宋体"/>
          <w:b/>
          <w:sz w:val="24"/>
        </w:rPr>
        <w:t>（提醒：1.本项目非专门面向中小企业采购，参加政府采购活动的中小企业须提供《中小企业声明函》；2.关于监狱企业：视同小微企业。须提供由省级以上监狱管理局、戒毒管理局（含新疆生产建设兵团）出具的属于监狱企业的证明文件；3.关于残疾人福利性单位：视同小微企业。须提供完整的“残疾人福利性单位声明函”。4.</w:t>
      </w:r>
      <w:r>
        <w:rPr>
          <w:rFonts w:hint="eastAsia" w:ascii="宋体" w:hAnsi="宋体" w:cs="宋体"/>
          <w:b/>
          <w:bCs/>
          <w:sz w:val="24"/>
        </w:rPr>
        <w:t>中小企业划分标准见工业和信息化部国家统计局国家发展和改革委员财政部《关于印发中小企业划型标准规定的通知》（工信部联企业【2011】300号）。</w:t>
      </w:r>
      <w:r>
        <w:rPr>
          <w:rFonts w:hint="eastAsia" w:ascii="宋体" w:hAnsi="宋体"/>
          <w:b/>
          <w:sz w:val="24"/>
        </w:rPr>
        <w:t>5.本项目对应的中小企业划分标准所属行业为：其他未列明行业）。</w:t>
      </w:r>
    </w:p>
    <w:p w14:paraId="2B6C0F06">
      <w:pPr>
        <w:jc w:val="center"/>
        <w:rPr>
          <w:rFonts w:ascii="宋体" w:hAnsi="宋体" w:cs="宋体"/>
          <w:b/>
          <w:bCs/>
          <w:sz w:val="24"/>
        </w:rPr>
      </w:pPr>
    </w:p>
    <w:p w14:paraId="65DB1E7A">
      <w:pPr>
        <w:spacing w:line="360" w:lineRule="auto"/>
        <w:ind w:firstLine="480" w:firstLineChars="200"/>
        <w:jc w:val="center"/>
        <w:rPr>
          <w:rFonts w:ascii="宋体" w:hAnsi="宋体"/>
          <w:sz w:val="24"/>
        </w:rPr>
      </w:pPr>
    </w:p>
    <w:p w14:paraId="577BF9C3">
      <w:pPr>
        <w:spacing w:line="360" w:lineRule="auto"/>
        <w:ind w:firstLine="480" w:firstLineChars="200"/>
        <w:jc w:val="center"/>
        <w:rPr>
          <w:rFonts w:ascii="宋体" w:hAnsi="宋体"/>
          <w:sz w:val="24"/>
        </w:rPr>
      </w:pPr>
    </w:p>
    <w:p w14:paraId="5B1D000A">
      <w:pPr>
        <w:spacing w:line="360" w:lineRule="auto"/>
        <w:ind w:firstLine="480" w:firstLineChars="200"/>
        <w:jc w:val="center"/>
        <w:rPr>
          <w:rFonts w:ascii="宋体" w:hAnsi="宋体"/>
          <w:sz w:val="24"/>
        </w:rPr>
      </w:pPr>
    </w:p>
    <w:p w14:paraId="2552F702">
      <w:pPr>
        <w:jc w:val="center"/>
        <w:rPr>
          <w:rFonts w:ascii="宋体" w:hAnsi="宋体" w:cs="宋体"/>
          <w:b/>
          <w:bCs/>
          <w:sz w:val="24"/>
        </w:rPr>
      </w:pPr>
    </w:p>
    <w:p w14:paraId="542CACD8">
      <w:pPr>
        <w:jc w:val="center"/>
      </w:pPr>
      <w:r>
        <w:rPr>
          <w:rFonts w:hint="eastAsia" w:ascii="宋体" w:hAnsi="宋体" w:cs="宋体"/>
          <w:b/>
          <w:bCs/>
          <w:sz w:val="24"/>
        </w:rPr>
        <w:t>残疾人福利性单位声明函</w:t>
      </w:r>
    </w:p>
    <w:p w14:paraId="6A6252F4">
      <w:pPr>
        <w:jc w:val="center"/>
        <w:rPr>
          <w:rFonts w:ascii="宋体" w:hAnsi="宋体"/>
          <w:b/>
          <w:bCs/>
          <w:iCs/>
          <w:sz w:val="24"/>
        </w:rPr>
      </w:pPr>
      <w:r>
        <w:rPr>
          <w:rFonts w:hint="eastAsia" w:ascii="宋体" w:hAnsi="宋体"/>
          <w:b/>
          <w:bCs/>
          <w:iCs/>
          <w:sz w:val="24"/>
        </w:rPr>
        <w:t>（属于残疾人福利性单位的填写，不属于的无需填写此项内容）</w:t>
      </w:r>
    </w:p>
    <w:p w14:paraId="3A861BF1">
      <w:pPr>
        <w:snapToGrid w:val="0"/>
        <w:spacing w:line="520" w:lineRule="exact"/>
        <w:ind w:right="84" w:rightChars="40"/>
        <w:rPr>
          <w:rFonts w:ascii="宋体" w:hAnsi="宋体"/>
          <w:sz w:val="24"/>
        </w:rPr>
      </w:pPr>
      <w:r>
        <w:rPr>
          <w:rFonts w:hint="eastAsia" w:ascii="宋体" w:hAnsi="宋体"/>
          <w:sz w:val="24"/>
        </w:rPr>
        <w:t xml:space="preserve"> </w:t>
      </w:r>
    </w:p>
    <w:p w14:paraId="058CCA7B">
      <w:pPr>
        <w:spacing w:line="360" w:lineRule="auto"/>
        <w:ind w:firstLine="480" w:firstLineChars="200"/>
        <w:rPr>
          <w:rFonts w:ascii="宋体" w:hAnsi="宋体"/>
          <w:sz w:val="24"/>
        </w:rPr>
      </w:pPr>
      <w:r>
        <w:rPr>
          <w:rFonts w:hint="eastAsia" w:ascii="宋体" w:hAnsi="宋体"/>
          <w:sz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7878C137">
      <w:pPr>
        <w:spacing w:line="360" w:lineRule="auto"/>
        <w:ind w:firstLine="480" w:firstLineChars="200"/>
        <w:rPr>
          <w:rFonts w:ascii="宋体" w:hAnsi="宋体"/>
          <w:b/>
          <w:bCs/>
          <w:sz w:val="24"/>
        </w:rPr>
      </w:pPr>
      <w:r>
        <w:rPr>
          <w:rFonts w:hint="eastAsia" w:ascii="宋体" w:hAnsi="宋体"/>
          <w:sz w:val="24"/>
        </w:rPr>
        <w:t>本单位对上述声明的真实性负责。如有虚假，将依法承担相应责任。</w:t>
      </w:r>
    </w:p>
    <w:p w14:paraId="6D323B97">
      <w:pPr>
        <w:spacing w:line="360" w:lineRule="auto"/>
        <w:jc w:val="center"/>
        <w:rPr>
          <w:rFonts w:ascii="宋体" w:hAnsi="宋体"/>
          <w:b/>
          <w:bCs/>
          <w:sz w:val="24"/>
        </w:rPr>
      </w:pPr>
      <w:r>
        <w:rPr>
          <w:rFonts w:hint="eastAsia" w:ascii="宋体" w:hAnsi="宋体"/>
          <w:b/>
          <w:bCs/>
          <w:sz w:val="24"/>
        </w:rPr>
        <w:t xml:space="preserve"> </w:t>
      </w:r>
    </w:p>
    <w:p w14:paraId="0664481E">
      <w:pPr>
        <w:spacing w:line="360" w:lineRule="auto"/>
        <w:ind w:firstLine="480" w:firstLineChars="200"/>
        <w:jc w:val="center"/>
        <w:rPr>
          <w:rFonts w:ascii="宋体" w:hAnsi="宋体"/>
          <w:sz w:val="24"/>
        </w:rPr>
      </w:pPr>
      <w:r>
        <w:rPr>
          <w:rFonts w:hint="eastAsia" w:ascii="宋体" w:hAnsi="宋体"/>
          <w:sz w:val="24"/>
        </w:rPr>
        <w:t>企业名称（</w:t>
      </w:r>
      <w:r>
        <w:rPr>
          <w:rFonts w:hint="eastAsia" w:ascii="宋体" w:hAnsi="宋体" w:cs="宋体"/>
          <w:sz w:val="24"/>
        </w:rPr>
        <w:t>电子签章</w:t>
      </w:r>
      <w:r>
        <w:rPr>
          <w:rFonts w:hint="eastAsia" w:ascii="宋体" w:hAnsi="宋体"/>
          <w:sz w:val="24"/>
        </w:rPr>
        <w:t>）：</w:t>
      </w:r>
    </w:p>
    <w:p w14:paraId="5D4ACD63">
      <w:pPr>
        <w:spacing w:line="360" w:lineRule="auto"/>
        <w:ind w:firstLine="480" w:firstLineChars="200"/>
        <w:jc w:val="center"/>
        <w:rPr>
          <w:rFonts w:ascii="宋体" w:hAnsi="宋体"/>
          <w:sz w:val="24"/>
        </w:rPr>
      </w:pPr>
      <w:r>
        <w:rPr>
          <w:rFonts w:hint="eastAsia" w:ascii="宋体" w:hAnsi="宋体"/>
          <w:sz w:val="24"/>
        </w:rPr>
        <w:t>日期：</w:t>
      </w:r>
    </w:p>
    <w:p w14:paraId="02A96CFF">
      <w:pPr>
        <w:spacing w:line="360" w:lineRule="auto"/>
        <w:jc w:val="center"/>
        <w:rPr>
          <w:rFonts w:ascii="宋体" w:hAnsi="宋体"/>
          <w:b/>
          <w:bCs/>
          <w:sz w:val="24"/>
        </w:rPr>
      </w:pPr>
      <w:r>
        <w:rPr>
          <w:rFonts w:hint="eastAsia" w:ascii="宋体" w:hAnsi="宋体"/>
          <w:b/>
          <w:bCs/>
          <w:sz w:val="24"/>
        </w:rPr>
        <w:t xml:space="preserve"> </w:t>
      </w:r>
    </w:p>
    <w:p w14:paraId="7B90684B">
      <w:pPr>
        <w:pStyle w:val="26"/>
        <w:rPr>
          <w:rFonts w:ascii="宋体" w:hAnsi="宋体"/>
          <w:b/>
          <w:bCs/>
        </w:rPr>
      </w:pPr>
      <w:r>
        <w:rPr>
          <w:rFonts w:hint="eastAsia" w:ascii="宋体" w:hAnsi="宋体"/>
          <w:b/>
          <w:bCs/>
        </w:rPr>
        <w:t xml:space="preserve"> </w:t>
      </w:r>
    </w:p>
    <w:p w14:paraId="437844C9">
      <w:pPr>
        <w:pStyle w:val="26"/>
        <w:rPr>
          <w:rFonts w:ascii="宋体" w:hAnsi="宋体"/>
          <w:b/>
          <w:bCs/>
        </w:rPr>
      </w:pPr>
    </w:p>
    <w:p w14:paraId="27321520">
      <w:pPr>
        <w:pStyle w:val="26"/>
        <w:rPr>
          <w:rFonts w:ascii="宋体" w:hAnsi="宋体"/>
          <w:b/>
          <w:bCs/>
        </w:rPr>
      </w:pPr>
      <w:r>
        <w:rPr>
          <w:rFonts w:hint="eastAsia" w:ascii="宋体" w:hAnsi="宋体"/>
          <w:b/>
          <w:bCs/>
        </w:rPr>
        <w:t xml:space="preserve"> </w:t>
      </w:r>
    </w:p>
    <w:p w14:paraId="4BB68426">
      <w:pPr>
        <w:pStyle w:val="26"/>
        <w:rPr>
          <w:rFonts w:ascii="宋体" w:hAnsi="宋体"/>
          <w:b/>
          <w:bCs/>
        </w:rPr>
      </w:pPr>
    </w:p>
    <w:p w14:paraId="40CDB4BB">
      <w:pPr>
        <w:pStyle w:val="26"/>
        <w:rPr>
          <w:rFonts w:ascii="宋体" w:hAnsi="宋体"/>
          <w:b/>
          <w:bCs/>
        </w:rPr>
      </w:pPr>
      <w:r>
        <w:rPr>
          <w:rFonts w:hint="eastAsia" w:ascii="宋体" w:hAnsi="宋体"/>
          <w:b/>
          <w:bCs/>
        </w:rPr>
        <w:t xml:space="preserve"> </w:t>
      </w:r>
    </w:p>
    <w:p w14:paraId="4C1EFD8E">
      <w:pPr>
        <w:pStyle w:val="26"/>
        <w:jc w:val="center"/>
        <w:rPr>
          <w:rFonts w:ascii="宋体" w:hAnsi="宋体" w:cs="宋体"/>
          <w:b/>
          <w:bCs/>
        </w:rPr>
      </w:pPr>
      <w:r>
        <w:rPr>
          <w:rFonts w:hint="eastAsia" w:ascii="宋体" w:hAnsi="宋体" w:cs="宋体"/>
          <w:b/>
          <w:bCs/>
        </w:rPr>
        <w:t>监狱企业证明文件</w:t>
      </w:r>
    </w:p>
    <w:p w14:paraId="3FCA1421">
      <w:pPr>
        <w:pStyle w:val="26"/>
        <w:jc w:val="center"/>
        <w:rPr>
          <w:rFonts w:ascii="宋体" w:hAnsi="宋体"/>
          <w:b/>
          <w:bCs/>
        </w:rPr>
      </w:pPr>
    </w:p>
    <w:p w14:paraId="5E947198">
      <w:pPr>
        <w:pStyle w:val="26"/>
        <w:rPr>
          <w:rFonts w:ascii="宋体" w:hAnsi="宋体"/>
          <w:b/>
          <w:bCs/>
        </w:rPr>
      </w:pPr>
      <w:r>
        <w:rPr>
          <w:rFonts w:hint="eastAsia" w:ascii="宋体" w:hAnsi="宋体"/>
          <w:b/>
          <w:bCs/>
        </w:rPr>
        <w:t xml:space="preserve"> </w:t>
      </w:r>
    </w:p>
    <w:p w14:paraId="2FCCF7AE">
      <w:pPr>
        <w:jc w:val="center"/>
        <w:rPr>
          <w:rFonts w:ascii="宋体" w:hAnsi="宋体"/>
          <w:b/>
          <w:bCs/>
          <w:iCs/>
          <w:sz w:val="24"/>
        </w:rPr>
      </w:pPr>
      <w:r>
        <w:rPr>
          <w:rFonts w:hint="eastAsia" w:ascii="宋体" w:hAnsi="宋体"/>
          <w:b/>
          <w:bCs/>
          <w:iCs/>
          <w:sz w:val="24"/>
        </w:rPr>
        <w:t>（属于监狱企业的提供，不属于的无需提供此项内容）</w:t>
      </w:r>
    </w:p>
    <w:p w14:paraId="7778881E">
      <w:pPr>
        <w:spacing w:line="360" w:lineRule="auto"/>
        <w:rPr>
          <w:rFonts w:ascii="宋体" w:hAnsi="宋体"/>
          <w:b/>
          <w:bCs/>
          <w:sz w:val="24"/>
        </w:rPr>
      </w:pPr>
      <w:r>
        <w:rPr>
          <w:rFonts w:hint="eastAsia" w:ascii="宋体" w:hAnsi="宋体"/>
          <w:b/>
          <w:bCs/>
          <w:sz w:val="24"/>
        </w:rPr>
        <w:t xml:space="preserve"> </w:t>
      </w:r>
    </w:p>
    <w:p w14:paraId="2BE3705A">
      <w:pPr>
        <w:spacing w:line="360" w:lineRule="auto"/>
        <w:ind w:firstLine="480" w:firstLineChars="200"/>
        <w:jc w:val="left"/>
        <w:rPr>
          <w:rFonts w:ascii="宋体" w:hAnsi="宋体"/>
          <w:bCs/>
          <w:sz w:val="24"/>
        </w:rPr>
      </w:pPr>
      <w:r>
        <w:rPr>
          <w:rFonts w:hint="eastAsia" w:ascii="宋体" w:hAnsi="宋体"/>
          <w:bCs/>
          <w:sz w:val="24"/>
        </w:rPr>
        <w:t>（监狱企业参加政府采购活动时，应当提供由省级以上监狱管理局、戒毒管理局(含新疆生产建设兵团)出具的属于监狱企业的证明文件。</w:t>
      </w:r>
    </w:p>
    <w:p w14:paraId="130B6401">
      <w:pPr>
        <w:spacing w:line="360" w:lineRule="auto"/>
        <w:ind w:firstLine="720" w:firstLineChars="300"/>
        <w:jc w:val="left"/>
        <w:rPr>
          <w:rFonts w:ascii="宋体" w:hAnsi="宋体"/>
          <w:bCs/>
          <w:sz w:val="24"/>
        </w:rPr>
      </w:pPr>
      <w:r>
        <w:rPr>
          <w:rFonts w:hint="eastAsia" w:ascii="宋体" w:hAnsi="宋体"/>
          <w:bCs/>
          <w:sz w:val="24"/>
        </w:rPr>
        <w:t xml:space="preserve"> </w:t>
      </w:r>
    </w:p>
    <w:p w14:paraId="48D73CF1">
      <w:pPr>
        <w:spacing w:line="360" w:lineRule="auto"/>
        <w:ind w:firstLine="480" w:firstLineChars="200"/>
        <w:jc w:val="center"/>
        <w:rPr>
          <w:rFonts w:ascii="宋体" w:hAnsi="宋体"/>
          <w:sz w:val="24"/>
        </w:rPr>
      </w:pPr>
      <w:r>
        <w:rPr>
          <w:rFonts w:hint="eastAsia" w:ascii="宋体" w:hAnsi="宋体"/>
          <w:sz w:val="24"/>
        </w:rPr>
        <w:t>企业名称（</w:t>
      </w:r>
      <w:r>
        <w:rPr>
          <w:rFonts w:hint="eastAsia" w:ascii="宋体" w:hAnsi="宋体" w:cs="宋体"/>
          <w:sz w:val="24"/>
        </w:rPr>
        <w:t>电子签章</w:t>
      </w:r>
      <w:r>
        <w:rPr>
          <w:rFonts w:hint="eastAsia" w:ascii="宋体" w:hAnsi="宋体"/>
          <w:sz w:val="24"/>
        </w:rPr>
        <w:t>）：</w:t>
      </w:r>
    </w:p>
    <w:p w14:paraId="1838E58D">
      <w:pPr>
        <w:spacing w:line="360" w:lineRule="auto"/>
        <w:ind w:firstLine="480" w:firstLineChars="200"/>
        <w:jc w:val="center"/>
        <w:rPr>
          <w:rFonts w:ascii="宋体" w:hAnsi="宋体"/>
          <w:sz w:val="24"/>
        </w:rPr>
      </w:pPr>
      <w:r>
        <w:rPr>
          <w:rFonts w:hint="eastAsia" w:ascii="宋体" w:hAnsi="宋体"/>
          <w:sz w:val="24"/>
        </w:rPr>
        <w:t>日期：</w:t>
      </w:r>
    </w:p>
    <w:p w14:paraId="2D246374">
      <w:pPr>
        <w:spacing w:line="360" w:lineRule="auto"/>
        <w:ind w:firstLine="723" w:firstLineChars="300"/>
        <w:jc w:val="left"/>
        <w:rPr>
          <w:rFonts w:ascii="宋体" w:hAnsi="宋体" w:cs="宋体"/>
          <w:b/>
          <w:bCs/>
          <w:color w:val="000000"/>
          <w:sz w:val="24"/>
        </w:rPr>
      </w:pPr>
      <w:r>
        <w:rPr>
          <w:rFonts w:hint="eastAsia" w:ascii="宋体" w:hAnsi="宋体" w:cs="宋体"/>
          <w:b/>
          <w:bCs/>
          <w:color w:val="000000"/>
          <w:sz w:val="24"/>
        </w:rPr>
        <w:t xml:space="preserve"> </w:t>
      </w:r>
    </w:p>
    <w:p w14:paraId="18B02DCF">
      <w:pPr>
        <w:spacing w:line="360" w:lineRule="auto"/>
        <w:ind w:firstLine="723" w:firstLineChars="300"/>
        <w:jc w:val="left"/>
        <w:rPr>
          <w:rFonts w:ascii="宋体" w:hAnsi="宋体" w:cs="宋体"/>
          <w:b/>
          <w:bCs/>
          <w:color w:val="000000"/>
          <w:sz w:val="24"/>
        </w:rPr>
      </w:pPr>
    </w:p>
    <w:p w14:paraId="4A08E774">
      <w:pPr>
        <w:spacing w:line="360" w:lineRule="auto"/>
        <w:ind w:firstLine="723" w:firstLineChars="300"/>
        <w:jc w:val="left"/>
        <w:rPr>
          <w:rFonts w:ascii="宋体" w:hAnsi="宋体" w:cs="宋体"/>
          <w:b/>
          <w:bCs/>
          <w:color w:val="000000"/>
          <w:sz w:val="24"/>
        </w:rPr>
      </w:pPr>
    </w:p>
    <w:p w14:paraId="6E2E701F">
      <w:pPr>
        <w:spacing w:line="360" w:lineRule="auto"/>
        <w:ind w:firstLine="723" w:firstLineChars="300"/>
        <w:jc w:val="left"/>
        <w:rPr>
          <w:rFonts w:ascii="宋体" w:hAnsi="宋体" w:cs="宋体"/>
          <w:b/>
          <w:bCs/>
          <w:color w:val="000000"/>
          <w:sz w:val="24"/>
        </w:rPr>
      </w:pPr>
    </w:p>
    <w:p w14:paraId="1C01969E">
      <w:pPr>
        <w:spacing w:line="360" w:lineRule="auto"/>
        <w:jc w:val="center"/>
        <w:outlineLvl w:val="1"/>
        <w:rPr>
          <w:rFonts w:ascii="宋体" w:hAnsi="宋体" w:cs="宋体"/>
          <w:b/>
          <w:bCs/>
          <w:color w:val="000000"/>
          <w:sz w:val="28"/>
          <w:szCs w:val="28"/>
        </w:rPr>
      </w:pPr>
      <w:bookmarkStart w:id="490" w:name="_Toc20775"/>
      <w:bookmarkStart w:id="491" w:name="_Toc180580830"/>
      <w:r>
        <w:rPr>
          <w:rFonts w:hint="eastAsia" w:ascii="宋体" w:hAnsi="宋体" w:cs="宋体"/>
          <w:b/>
          <w:bCs/>
          <w:color w:val="000000"/>
          <w:sz w:val="28"/>
          <w:szCs w:val="28"/>
        </w:rPr>
        <w:t>五、技术方案</w:t>
      </w:r>
      <w:bookmarkEnd w:id="490"/>
    </w:p>
    <w:p w14:paraId="07DB22E3">
      <w:pPr>
        <w:spacing w:line="517" w:lineRule="exact"/>
        <w:ind w:left="-241" w:leftChars="-115"/>
        <w:jc w:val="center"/>
        <w:outlineLvl w:val="1"/>
        <w:rPr>
          <w:rFonts w:ascii="宋体" w:hAnsi="宋体" w:cs="Calibri Light"/>
          <w:b/>
          <w:bCs/>
          <w:sz w:val="24"/>
          <w:lang w:val="zh-CN" w:bidi="zh-CN"/>
        </w:rPr>
      </w:pPr>
      <w:bookmarkStart w:id="492" w:name="_Toc1819"/>
      <w:bookmarkStart w:id="493" w:name="_Toc15400"/>
      <w:r>
        <w:rPr>
          <w:rFonts w:hint="eastAsia" w:ascii="宋体" w:hAnsi="宋体" w:cs="Calibri Light"/>
          <w:b/>
          <w:bCs/>
          <w:sz w:val="24"/>
          <w:lang w:val="zh-CN" w:bidi="zh-CN"/>
        </w:rPr>
        <w:t>（投标供应商根据磋商文件评审细则，自行编拟）</w:t>
      </w:r>
      <w:bookmarkEnd w:id="491"/>
      <w:bookmarkEnd w:id="492"/>
      <w:bookmarkEnd w:id="493"/>
    </w:p>
    <w:p w14:paraId="7EB565FB">
      <w:pPr>
        <w:spacing w:line="276" w:lineRule="auto"/>
        <w:ind w:firstLine="436" w:firstLineChars="182"/>
        <w:jc w:val="left"/>
        <w:rPr>
          <w:rFonts w:ascii="宋体" w:hAnsi="宋体" w:cs="Calibri Light"/>
          <w:sz w:val="24"/>
          <w:lang w:val="zh-CN" w:bidi="zh-CN"/>
        </w:rPr>
      </w:pPr>
    </w:p>
    <w:p w14:paraId="74D6AFC4">
      <w:pPr>
        <w:spacing w:line="276" w:lineRule="auto"/>
        <w:ind w:firstLine="436" w:firstLineChars="182"/>
        <w:jc w:val="left"/>
        <w:rPr>
          <w:rFonts w:ascii="宋体" w:hAnsi="宋体" w:cs="Calibri Light"/>
          <w:sz w:val="24"/>
          <w:lang w:val="zh-CN" w:bidi="zh-CN"/>
        </w:rPr>
      </w:pPr>
    </w:p>
    <w:p w14:paraId="7D3EAB90"/>
    <w:bookmarkEnd w:id="426"/>
    <w:bookmarkEnd w:id="427"/>
    <w:p w14:paraId="3F771A07">
      <w:pPr>
        <w:spacing w:line="360" w:lineRule="auto"/>
        <w:rPr>
          <w:rFonts w:ascii="宋体" w:hAnsi="宋体" w:cs="宋体"/>
          <w:sz w:val="24"/>
        </w:rPr>
      </w:pPr>
      <w:bookmarkStart w:id="494" w:name="_Toc23503"/>
      <w:bookmarkStart w:id="495" w:name="_Toc463"/>
      <w:bookmarkStart w:id="496" w:name="_Toc51772589"/>
    </w:p>
    <w:p w14:paraId="3C2F6E34">
      <w:pPr>
        <w:spacing w:before="100" w:beforeAutospacing="1" w:after="100" w:afterAutospacing="1" w:line="380" w:lineRule="exact"/>
        <w:ind w:firstLine="3840" w:firstLineChars="1600"/>
        <w:rPr>
          <w:rFonts w:ascii="宋体" w:hAnsi="宋体" w:cs="宋体"/>
          <w:sz w:val="24"/>
        </w:rPr>
      </w:pPr>
      <w:r>
        <w:rPr>
          <w:rFonts w:hint="eastAsia" w:ascii="宋体" w:hAnsi="宋体" w:cs="宋体"/>
          <w:sz w:val="24"/>
        </w:rPr>
        <w:t>投标供应商：</w:t>
      </w:r>
      <w:r>
        <w:rPr>
          <w:rFonts w:hint="eastAsia" w:ascii="宋体" w:hAnsi="宋体" w:cs="宋体"/>
          <w:sz w:val="24"/>
          <w:u w:val="single"/>
        </w:rPr>
        <w:t xml:space="preserve">              </w:t>
      </w:r>
      <w:r>
        <w:rPr>
          <w:rFonts w:hint="eastAsia" w:ascii="宋体" w:hAnsi="宋体" w:cs="宋体"/>
          <w:sz w:val="24"/>
        </w:rPr>
        <w:t>（电子签章）</w:t>
      </w:r>
    </w:p>
    <w:p w14:paraId="0D8AC6FB">
      <w:pPr>
        <w:spacing w:before="100" w:beforeAutospacing="1" w:after="100" w:afterAutospacing="1" w:line="380" w:lineRule="exact"/>
        <w:ind w:firstLine="3840" w:firstLineChars="1600"/>
        <w:rPr>
          <w:rFonts w:ascii="宋体" w:hAnsi="宋体" w:cs="宋体"/>
          <w:sz w:val="24"/>
        </w:rPr>
      </w:pPr>
      <w:r>
        <w:rPr>
          <w:rFonts w:hint="eastAsia" w:ascii="宋体" w:hAnsi="宋体" w:cs="宋体"/>
          <w:kern w:val="0"/>
          <w:sz w:val="24"/>
        </w:rPr>
        <w:t>法定代表人或</w:t>
      </w:r>
      <w:r>
        <w:rPr>
          <w:rFonts w:hint="eastAsia" w:ascii="宋体" w:hAnsi="宋体"/>
          <w:sz w:val="24"/>
        </w:rPr>
        <w:t>委托代理人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（电子签章）</w:t>
      </w:r>
    </w:p>
    <w:bookmarkEnd w:id="494"/>
    <w:bookmarkEnd w:id="495"/>
    <w:bookmarkEnd w:id="496"/>
    <w:p w14:paraId="469EE3A6">
      <w:pPr>
        <w:spacing w:line="460" w:lineRule="exact"/>
        <w:ind w:firstLine="4080" w:firstLineChars="1700"/>
        <w:rPr>
          <w:rFonts w:ascii="宋体" w:hAnsi="宋体" w:cs="仿宋_GB2312"/>
          <w:sz w:val="24"/>
          <w:shd w:val="clear" w:color="auto" w:fill="FFFFFF"/>
          <w:lang w:bidi="ar"/>
        </w:rPr>
      </w:pPr>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p w14:paraId="77D78696">
      <w:pPr>
        <w:spacing w:line="480" w:lineRule="auto"/>
        <w:jc w:val="right"/>
        <w:rPr>
          <w:rFonts w:ascii="宋体" w:hAnsi="宋体" w:cs="宋体"/>
          <w:sz w:val="24"/>
        </w:rPr>
      </w:pPr>
    </w:p>
    <w:p w14:paraId="0D8A275F">
      <w:pPr>
        <w:pStyle w:val="3"/>
        <w:rPr>
          <w:rFonts w:ascii="Times New Roman"/>
        </w:rPr>
      </w:pPr>
    </w:p>
    <w:p w14:paraId="4A31BD00"/>
    <w:p w14:paraId="0E57B7F7">
      <w:pPr>
        <w:pStyle w:val="3"/>
        <w:rPr>
          <w:rFonts w:ascii="Times New Roman"/>
        </w:rPr>
      </w:pPr>
    </w:p>
    <w:p w14:paraId="50784A6A">
      <w:pPr>
        <w:widowControl/>
        <w:jc w:val="left"/>
        <w:rPr>
          <w:rFonts w:ascii="宋体" w:hAnsi="宋体"/>
          <w:sz w:val="24"/>
        </w:rPr>
      </w:pPr>
    </w:p>
    <w:p w14:paraId="0711E005">
      <w:pPr>
        <w:spacing w:line="517" w:lineRule="exact"/>
        <w:outlineLvl w:val="1"/>
        <w:rPr>
          <w:rFonts w:ascii="宋体" w:hAnsi="宋体" w:cs="Calibri Light"/>
          <w:b/>
          <w:bCs/>
          <w:sz w:val="24"/>
          <w:lang w:bidi="zh-CN"/>
        </w:rPr>
      </w:pPr>
    </w:p>
    <w:p w14:paraId="05FCA586">
      <w:pPr>
        <w:rPr>
          <w:rFonts w:ascii="宋体" w:hAnsi="宋体" w:cs="Calibri Light"/>
          <w:b/>
          <w:bCs/>
          <w:sz w:val="24"/>
          <w:lang w:bidi="zh-CN"/>
        </w:rPr>
      </w:pPr>
      <w:r>
        <w:rPr>
          <w:rFonts w:hint="eastAsia" w:ascii="宋体" w:hAnsi="宋体" w:cs="Calibri Light"/>
          <w:b/>
          <w:bCs/>
          <w:sz w:val="24"/>
          <w:lang w:bidi="zh-CN"/>
        </w:rPr>
        <w:br w:type="page"/>
      </w:r>
    </w:p>
    <w:p w14:paraId="61EA7648">
      <w:pPr>
        <w:spacing w:line="517" w:lineRule="exact"/>
        <w:outlineLvl w:val="1"/>
        <w:rPr>
          <w:rFonts w:ascii="宋体" w:hAnsi="宋体" w:cs="Calibri Light"/>
          <w:b/>
          <w:bCs/>
          <w:sz w:val="24"/>
          <w:lang w:bidi="zh-CN"/>
        </w:rPr>
      </w:pPr>
    </w:p>
    <w:p w14:paraId="178B56DF">
      <w:pPr>
        <w:spacing w:line="517" w:lineRule="exact"/>
        <w:outlineLvl w:val="1"/>
        <w:rPr>
          <w:rFonts w:ascii="宋体" w:hAnsi="宋体" w:cs="Calibri Light"/>
          <w:b/>
          <w:bCs/>
          <w:sz w:val="24"/>
          <w:lang w:bidi="zh-CN"/>
        </w:rPr>
      </w:pPr>
    </w:p>
    <w:p w14:paraId="30303205">
      <w:pPr>
        <w:spacing w:line="517" w:lineRule="exact"/>
        <w:outlineLvl w:val="1"/>
        <w:rPr>
          <w:rFonts w:ascii="宋体" w:hAnsi="宋体" w:cs="Calibri Light"/>
          <w:b/>
          <w:bCs/>
          <w:sz w:val="24"/>
          <w:lang w:bidi="zh-CN"/>
        </w:rPr>
      </w:pPr>
    </w:p>
    <w:p w14:paraId="15936972">
      <w:pPr>
        <w:spacing w:line="517" w:lineRule="exact"/>
        <w:outlineLvl w:val="1"/>
        <w:rPr>
          <w:rFonts w:ascii="宋体" w:hAnsi="宋体" w:cs="Calibri Light"/>
          <w:b/>
          <w:bCs/>
          <w:sz w:val="24"/>
          <w:lang w:bidi="zh-CN"/>
        </w:rPr>
      </w:pPr>
    </w:p>
    <w:p w14:paraId="05E5D373">
      <w:pPr>
        <w:spacing w:line="360" w:lineRule="auto"/>
        <w:jc w:val="center"/>
        <w:outlineLvl w:val="1"/>
        <w:rPr>
          <w:rFonts w:ascii="宋体" w:hAnsi="宋体" w:cs="宋体"/>
          <w:b/>
          <w:bCs/>
          <w:color w:val="000000"/>
          <w:sz w:val="28"/>
          <w:szCs w:val="28"/>
        </w:rPr>
      </w:pPr>
      <w:bookmarkStart w:id="497" w:name="_Toc2587"/>
      <w:r>
        <w:rPr>
          <w:rFonts w:hint="eastAsia" w:ascii="宋体" w:hAnsi="宋体" w:cs="宋体"/>
          <w:b/>
          <w:bCs/>
          <w:color w:val="000000"/>
          <w:sz w:val="28"/>
          <w:szCs w:val="28"/>
        </w:rPr>
        <w:t>六、履职尽责承诺及服务承诺</w:t>
      </w:r>
      <w:bookmarkEnd w:id="497"/>
      <w:r>
        <w:rPr>
          <w:rFonts w:hint="eastAsia" w:ascii="宋体" w:hAnsi="宋体" w:cs="宋体"/>
          <w:b/>
          <w:bCs/>
          <w:color w:val="000000"/>
          <w:sz w:val="28"/>
          <w:szCs w:val="28"/>
        </w:rPr>
        <w:t xml:space="preserve"> </w:t>
      </w:r>
    </w:p>
    <w:p w14:paraId="4ABE3F60">
      <w:pPr>
        <w:ind w:left="-241" w:leftChars="-115"/>
      </w:pPr>
    </w:p>
    <w:p w14:paraId="48909E04">
      <w:pPr>
        <w:ind w:left="-241" w:leftChars="-115"/>
      </w:pPr>
    </w:p>
    <w:p w14:paraId="2029A75D">
      <w:pPr>
        <w:ind w:left="-241" w:leftChars="-115"/>
      </w:pPr>
    </w:p>
    <w:p w14:paraId="298288BB">
      <w:pPr>
        <w:ind w:left="-241" w:leftChars="-115"/>
      </w:pPr>
    </w:p>
    <w:p w14:paraId="11AA6B3E">
      <w:pPr>
        <w:ind w:left="-241" w:leftChars="-115"/>
      </w:pPr>
    </w:p>
    <w:p w14:paraId="5FA538A3">
      <w:pPr>
        <w:ind w:left="-241" w:leftChars="-115"/>
      </w:pPr>
    </w:p>
    <w:p w14:paraId="5994DB4C">
      <w:pPr>
        <w:ind w:left="-241" w:leftChars="-115"/>
      </w:pPr>
    </w:p>
    <w:p w14:paraId="156D1A66">
      <w:pPr>
        <w:ind w:left="-241" w:leftChars="-115"/>
      </w:pPr>
    </w:p>
    <w:p w14:paraId="152BF9BE">
      <w:r>
        <w:br w:type="page"/>
      </w:r>
    </w:p>
    <w:p w14:paraId="64018025">
      <w:pPr>
        <w:ind w:left="-241" w:leftChars="-115"/>
      </w:pPr>
    </w:p>
    <w:p w14:paraId="0E1491E1">
      <w:pPr>
        <w:ind w:left="-241" w:leftChars="-115"/>
      </w:pPr>
    </w:p>
    <w:p w14:paraId="2014B282">
      <w:pPr>
        <w:ind w:left="-241" w:leftChars="-115"/>
      </w:pPr>
    </w:p>
    <w:p w14:paraId="1D4485FE">
      <w:pPr>
        <w:ind w:left="-241" w:leftChars="-115"/>
      </w:pPr>
    </w:p>
    <w:p w14:paraId="13476948">
      <w:pPr>
        <w:spacing w:line="360" w:lineRule="auto"/>
        <w:jc w:val="center"/>
        <w:outlineLvl w:val="1"/>
        <w:rPr>
          <w:rFonts w:ascii="宋体" w:hAnsi="宋体" w:cs="宋体"/>
          <w:b/>
          <w:bCs/>
          <w:color w:val="000000"/>
          <w:sz w:val="28"/>
          <w:szCs w:val="28"/>
          <w:lang w:val="zh-CN"/>
        </w:rPr>
      </w:pPr>
      <w:bookmarkStart w:id="498" w:name="_Toc176358395"/>
      <w:bookmarkStart w:id="499" w:name="_Toc9236"/>
      <w:r>
        <w:rPr>
          <w:rFonts w:hint="eastAsia" w:ascii="宋体" w:hAnsi="宋体" w:cs="宋体"/>
          <w:b/>
          <w:bCs/>
          <w:color w:val="000000"/>
          <w:sz w:val="28"/>
          <w:szCs w:val="28"/>
        </w:rPr>
        <w:t>七</w:t>
      </w:r>
      <w:r>
        <w:rPr>
          <w:rFonts w:hint="eastAsia" w:ascii="宋体" w:hAnsi="宋体" w:cs="宋体"/>
          <w:b/>
          <w:bCs/>
          <w:color w:val="000000"/>
          <w:sz w:val="28"/>
          <w:szCs w:val="28"/>
          <w:lang w:val="zh-CN"/>
        </w:rPr>
        <w:t>、投标供应商认为需提供的其他资料</w:t>
      </w:r>
      <w:bookmarkEnd w:id="498"/>
      <w:bookmarkEnd w:id="499"/>
    </w:p>
    <w:p w14:paraId="2C491F35">
      <w:pPr>
        <w:spacing w:line="480" w:lineRule="exact"/>
        <w:ind w:firstLine="480" w:firstLineChars="200"/>
        <w:outlineLvl w:val="1"/>
        <w:rPr>
          <w:rFonts w:ascii="宋体" w:hAnsi="宋体" w:cs="宋体"/>
          <w:sz w:val="24"/>
        </w:rPr>
      </w:pPr>
      <w:bookmarkStart w:id="500" w:name="_Toc17999"/>
      <w:bookmarkStart w:id="501" w:name="_Toc32524"/>
      <w:bookmarkStart w:id="502" w:name="_Toc203756101"/>
      <w:bookmarkStart w:id="503" w:name="_Toc203759618"/>
      <w:bookmarkStart w:id="504" w:name="_Toc30879"/>
      <w:bookmarkStart w:id="505" w:name="_Toc223033839"/>
      <w:bookmarkStart w:id="506" w:name="_Toc171014056"/>
      <w:bookmarkStart w:id="507" w:name="_Toc509306638"/>
      <w:bookmarkStart w:id="508" w:name="_Toc16520686"/>
      <w:bookmarkStart w:id="509" w:name="_Toc498866182"/>
      <w:bookmarkStart w:id="510" w:name="_Toc16520174"/>
      <w:bookmarkStart w:id="511" w:name="_Toc20592"/>
      <w:bookmarkStart w:id="512" w:name="_Toc522117925"/>
      <w:bookmarkStart w:id="513" w:name="_Toc500665790"/>
      <w:r>
        <w:rPr>
          <w:rFonts w:hint="eastAsia" w:ascii="宋体" w:hAnsi="宋体" w:cs="宋体"/>
          <w:sz w:val="24"/>
        </w:rPr>
        <w:t>如：1、评标办法中涉及到的证明材料</w:t>
      </w:r>
      <w:bookmarkEnd w:id="500"/>
      <w:bookmarkEnd w:id="501"/>
      <w:bookmarkEnd w:id="502"/>
      <w:bookmarkEnd w:id="503"/>
      <w:bookmarkEnd w:id="504"/>
      <w:bookmarkEnd w:id="505"/>
      <w:bookmarkEnd w:id="506"/>
      <w:r>
        <w:rPr>
          <w:rFonts w:hint="eastAsia" w:ascii="宋体" w:hAnsi="宋体" w:cs="宋体"/>
          <w:sz w:val="24"/>
        </w:rPr>
        <w:t xml:space="preserve"> </w:t>
      </w:r>
    </w:p>
    <w:p w14:paraId="0C40DE1A">
      <w:pPr>
        <w:spacing w:line="480" w:lineRule="exact"/>
        <w:ind w:firstLine="960" w:firstLineChars="400"/>
        <w:outlineLvl w:val="1"/>
        <w:rPr>
          <w:rFonts w:ascii="宋体" w:hAnsi="宋体" w:cs="宋体"/>
          <w:sz w:val="24"/>
        </w:rPr>
      </w:pPr>
      <w:bookmarkStart w:id="514" w:name="_Toc223033840"/>
      <w:bookmarkStart w:id="515" w:name="_Toc2078"/>
      <w:bookmarkStart w:id="516" w:name="_Toc18888"/>
      <w:r>
        <w:rPr>
          <w:rFonts w:hint="eastAsia" w:ascii="宋体" w:hAnsi="宋体" w:cs="宋体"/>
          <w:sz w:val="24"/>
        </w:rPr>
        <w:t>2、无拖欠员工工资承诺书</w:t>
      </w:r>
      <w:bookmarkEnd w:id="514"/>
      <w:bookmarkEnd w:id="515"/>
      <w:bookmarkEnd w:id="516"/>
    </w:p>
    <w:p w14:paraId="4F2E2698">
      <w:pPr>
        <w:spacing w:line="480" w:lineRule="exact"/>
        <w:ind w:firstLine="960" w:firstLineChars="400"/>
        <w:outlineLvl w:val="1"/>
        <w:rPr>
          <w:rFonts w:ascii="宋体" w:hAnsi="宋体" w:cs="宋体"/>
          <w:sz w:val="24"/>
        </w:rPr>
      </w:pPr>
      <w:bookmarkStart w:id="517" w:name="_Toc1891"/>
      <w:bookmarkStart w:id="518" w:name="_Toc223033841"/>
      <w:bookmarkStart w:id="519" w:name="_Toc14314"/>
      <w:r>
        <w:rPr>
          <w:rFonts w:hint="eastAsia" w:ascii="宋体" w:hAnsi="宋体" w:cs="宋体"/>
          <w:sz w:val="24"/>
        </w:rPr>
        <w:t>3、投标响应人认为应附的材料</w:t>
      </w:r>
      <w:bookmarkEnd w:id="517"/>
      <w:bookmarkEnd w:id="518"/>
      <w:bookmarkEnd w:id="519"/>
      <w:r>
        <w:rPr>
          <w:rFonts w:hint="eastAsia" w:ascii="宋体" w:hAnsi="宋体" w:cs="宋体"/>
          <w:sz w:val="24"/>
        </w:rPr>
        <w:t xml:space="preserve"> </w:t>
      </w:r>
    </w:p>
    <w:p w14:paraId="20993B53">
      <w:pPr>
        <w:spacing w:line="480" w:lineRule="exact"/>
        <w:ind w:firstLine="960" w:firstLineChars="400"/>
        <w:outlineLvl w:val="1"/>
        <w:rPr>
          <w:rFonts w:ascii="宋体" w:hAnsi="宋体" w:cs="宋体"/>
          <w:sz w:val="24"/>
        </w:rPr>
      </w:pPr>
    </w:p>
    <w:p w14:paraId="033DAAF8">
      <w:pPr>
        <w:spacing w:line="480" w:lineRule="exact"/>
        <w:ind w:firstLine="960" w:firstLineChars="400"/>
        <w:outlineLvl w:val="1"/>
        <w:rPr>
          <w:rFonts w:ascii="宋体" w:hAnsi="宋体" w:cs="宋体"/>
          <w:sz w:val="24"/>
        </w:rPr>
      </w:pPr>
    </w:p>
    <w:p w14:paraId="0EED3217">
      <w:pPr>
        <w:pStyle w:val="4"/>
        <w:spacing w:line="480" w:lineRule="exact"/>
        <w:jc w:val="center"/>
        <w:rPr>
          <w:rFonts w:ascii="宋体" w:hAnsi="宋体" w:cs="宋体"/>
        </w:rPr>
      </w:pPr>
    </w:p>
    <w:p w14:paraId="7B03D830">
      <w:pPr>
        <w:pStyle w:val="4"/>
        <w:spacing w:line="480" w:lineRule="exact"/>
        <w:jc w:val="center"/>
        <w:rPr>
          <w:rFonts w:ascii="宋体" w:hAnsi="宋体" w:cs="宋体"/>
        </w:rPr>
      </w:pPr>
    </w:p>
    <w:p w14:paraId="3CD635D6">
      <w:pPr>
        <w:pStyle w:val="4"/>
        <w:spacing w:line="480" w:lineRule="exact"/>
        <w:jc w:val="center"/>
        <w:rPr>
          <w:rFonts w:ascii="宋体" w:hAnsi="宋体" w:cs="宋体"/>
        </w:rPr>
      </w:pPr>
    </w:p>
    <w:p w14:paraId="0B9E01FB">
      <w:pPr>
        <w:pStyle w:val="4"/>
        <w:spacing w:line="480" w:lineRule="exact"/>
        <w:jc w:val="center"/>
        <w:rPr>
          <w:rFonts w:ascii="宋体" w:hAnsi="宋体" w:cs="宋体"/>
        </w:rPr>
      </w:pPr>
    </w:p>
    <w:p w14:paraId="4AD88932">
      <w:pPr>
        <w:pStyle w:val="4"/>
        <w:spacing w:line="480" w:lineRule="exact"/>
        <w:jc w:val="center"/>
        <w:rPr>
          <w:rFonts w:ascii="宋体" w:hAnsi="宋体" w:cs="宋体"/>
        </w:rPr>
      </w:pPr>
    </w:p>
    <w:p w14:paraId="5F90DBD1">
      <w:pPr>
        <w:pStyle w:val="4"/>
        <w:spacing w:line="480" w:lineRule="exact"/>
        <w:jc w:val="center"/>
        <w:rPr>
          <w:rFonts w:ascii="宋体" w:hAnsi="宋体" w:cs="宋体"/>
        </w:rPr>
      </w:pPr>
    </w:p>
    <w:p w14:paraId="48EC1F34">
      <w:pPr>
        <w:pStyle w:val="4"/>
        <w:spacing w:line="480" w:lineRule="exact"/>
        <w:jc w:val="center"/>
        <w:rPr>
          <w:rFonts w:ascii="宋体" w:hAnsi="宋体" w:cs="宋体"/>
        </w:rPr>
      </w:pPr>
    </w:p>
    <w:p w14:paraId="5F81EBF2">
      <w:pPr>
        <w:pStyle w:val="4"/>
        <w:spacing w:line="480" w:lineRule="exact"/>
        <w:jc w:val="center"/>
        <w:rPr>
          <w:rFonts w:ascii="宋体" w:hAnsi="宋体" w:cs="宋体"/>
        </w:rPr>
      </w:pPr>
    </w:p>
    <w:p w14:paraId="30BA3515">
      <w:pPr>
        <w:pStyle w:val="4"/>
        <w:spacing w:line="480" w:lineRule="exact"/>
        <w:jc w:val="center"/>
        <w:rPr>
          <w:rFonts w:ascii="宋体" w:hAnsi="宋体" w:cs="宋体"/>
        </w:rPr>
      </w:pPr>
    </w:p>
    <w:p w14:paraId="03014F53">
      <w:pPr>
        <w:pStyle w:val="4"/>
        <w:spacing w:line="480" w:lineRule="exact"/>
        <w:jc w:val="center"/>
        <w:rPr>
          <w:rFonts w:ascii="宋体" w:hAnsi="宋体" w:cs="宋体"/>
        </w:rPr>
      </w:pPr>
    </w:p>
    <w:p w14:paraId="7BCE1795">
      <w:pPr>
        <w:pStyle w:val="4"/>
        <w:spacing w:line="480" w:lineRule="exact"/>
        <w:jc w:val="center"/>
        <w:rPr>
          <w:rFonts w:ascii="宋体" w:hAnsi="宋体" w:cs="宋体"/>
        </w:rPr>
      </w:pPr>
    </w:p>
    <w:p w14:paraId="0B443E09">
      <w:pPr>
        <w:pStyle w:val="4"/>
        <w:spacing w:line="480" w:lineRule="exact"/>
        <w:jc w:val="center"/>
        <w:rPr>
          <w:rFonts w:ascii="宋体" w:hAnsi="宋体" w:cs="宋体"/>
        </w:rPr>
      </w:pPr>
    </w:p>
    <w:p w14:paraId="7158C914">
      <w:pPr>
        <w:pStyle w:val="4"/>
        <w:spacing w:line="480" w:lineRule="exact"/>
        <w:jc w:val="center"/>
        <w:rPr>
          <w:rFonts w:ascii="宋体" w:hAnsi="宋体" w:cs="宋体"/>
        </w:rPr>
      </w:pPr>
    </w:p>
    <w:p w14:paraId="762F408C">
      <w:pPr>
        <w:pStyle w:val="4"/>
        <w:spacing w:line="480" w:lineRule="exact"/>
        <w:jc w:val="center"/>
        <w:rPr>
          <w:rFonts w:ascii="宋体" w:hAnsi="宋体" w:cs="宋体"/>
        </w:rPr>
      </w:pPr>
    </w:p>
    <w:p w14:paraId="40F2DA14">
      <w:pPr>
        <w:pStyle w:val="4"/>
        <w:spacing w:line="480" w:lineRule="exact"/>
        <w:jc w:val="center"/>
        <w:rPr>
          <w:rFonts w:ascii="宋体" w:hAnsi="宋体" w:cs="宋体"/>
        </w:rPr>
      </w:pPr>
    </w:p>
    <w:p w14:paraId="2A2F2D5E">
      <w:pPr>
        <w:pStyle w:val="4"/>
        <w:spacing w:line="480" w:lineRule="exact"/>
        <w:jc w:val="center"/>
        <w:rPr>
          <w:rFonts w:ascii="宋体" w:hAnsi="宋体" w:cs="宋体"/>
        </w:rPr>
      </w:pPr>
    </w:p>
    <w:p w14:paraId="4B88F76F">
      <w:pPr>
        <w:pStyle w:val="4"/>
        <w:spacing w:line="480" w:lineRule="exact"/>
        <w:jc w:val="center"/>
        <w:rPr>
          <w:rFonts w:ascii="宋体" w:hAnsi="宋体" w:cs="宋体"/>
        </w:rPr>
      </w:pPr>
    </w:p>
    <w:p w14:paraId="0DE25886">
      <w:pPr>
        <w:spacing w:line="480" w:lineRule="exact"/>
        <w:ind w:firstLine="480" w:firstLineChars="200"/>
        <w:jc w:val="center"/>
        <w:rPr>
          <w:rFonts w:ascii="宋体" w:hAnsi="宋体" w:cs="宋体"/>
          <w:sz w:val="24"/>
        </w:rPr>
      </w:pPr>
      <w:r>
        <w:rPr>
          <w:rFonts w:hint="eastAsia" w:ascii="宋体" w:hAnsi="宋体" w:cs="宋体"/>
          <w:sz w:val="24"/>
        </w:rPr>
        <w:t>无拖欠员工工资承诺书</w:t>
      </w:r>
    </w:p>
    <w:p w14:paraId="4EA70B09">
      <w:pPr>
        <w:spacing w:line="480" w:lineRule="exact"/>
        <w:ind w:firstLine="480" w:firstLineChars="200"/>
        <w:rPr>
          <w:rFonts w:ascii="宋体" w:hAnsi="宋体" w:cs="宋体"/>
          <w:sz w:val="24"/>
        </w:rPr>
      </w:pPr>
    </w:p>
    <w:p w14:paraId="3E46D337">
      <w:pPr>
        <w:spacing w:line="480" w:lineRule="exact"/>
        <w:ind w:firstLine="480" w:firstLineChars="200"/>
        <w:rPr>
          <w:rFonts w:ascii="宋体" w:hAnsi="宋体" w:cs="宋体"/>
          <w:sz w:val="24"/>
        </w:rPr>
      </w:pPr>
      <w:r>
        <w:rPr>
          <w:rFonts w:hint="eastAsia" w:ascii="宋体" w:hAnsi="宋体" w:cs="宋体"/>
          <w:sz w:val="24"/>
        </w:rPr>
        <w:t>为保护员工的合法权益，确保工资按时足额发放，本人以</w:t>
      </w:r>
      <w:r>
        <w:rPr>
          <w:rFonts w:hint="eastAsia" w:ascii="宋体" w:hAnsi="宋体" w:cs="宋体"/>
          <w:sz w:val="24"/>
          <w:u w:val="single"/>
        </w:rPr>
        <w:t xml:space="preserve">          </w:t>
      </w:r>
      <w:r>
        <w:rPr>
          <w:rFonts w:hint="eastAsia" w:ascii="宋体" w:hAnsi="宋体" w:cs="宋体"/>
          <w:sz w:val="24"/>
        </w:rPr>
        <w:t>（法人名称）法定代表人的身份，特此郑重承诺：</w:t>
      </w:r>
    </w:p>
    <w:p w14:paraId="7A335EEB">
      <w:pPr>
        <w:spacing w:line="480" w:lineRule="exact"/>
        <w:ind w:firstLine="480" w:firstLineChars="200"/>
        <w:rPr>
          <w:rFonts w:ascii="宋体" w:hAnsi="宋体" w:cs="宋体"/>
          <w:sz w:val="24"/>
        </w:rPr>
      </w:pPr>
      <w:r>
        <w:rPr>
          <w:rFonts w:hint="eastAsia" w:ascii="宋体" w:hAnsi="宋体" w:cs="宋体"/>
          <w:sz w:val="24"/>
        </w:rPr>
        <w:t>1.严格遵守法律法规：</w:t>
      </w:r>
    </w:p>
    <w:p w14:paraId="4713DCDF">
      <w:pPr>
        <w:spacing w:line="480" w:lineRule="exact"/>
        <w:ind w:firstLine="480" w:firstLineChars="200"/>
        <w:rPr>
          <w:rFonts w:ascii="宋体" w:hAnsi="宋体" w:cs="宋体"/>
          <w:sz w:val="24"/>
        </w:rPr>
      </w:pPr>
      <w:r>
        <w:rPr>
          <w:rFonts w:hint="eastAsia" w:ascii="宋体" w:hAnsi="宋体" w:cs="宋体"/>
          <w:sz w:val="24"/>
        </w:rPr>
        <w:t>我公司将严格遵守《劳动法》及相关法律法规，确保员工的工资权益得到充分保障。我们承诺，所有员工的工资将严格按照国家及地方规定的最低工资标准执行，并根据合同约定及公司经营状况适时调整。</w:t>
      </w:r>
    </w:p>
    <w:p w14:paraId="7BA49094">
      <w:pPr>
        <w:spacing w:line="480" w:lineRule="exact"/>
        <w:ind w:firstLine="480" w:firstLineChars="200"/>
        <w:rPr>
          <w:rFonts w:ascii="宋体" w:hAnsi="宋体" w:cs="宋体"/>
          <w:sz w:val="24"/>
        </w:rPr>
      </w:pPr>
      <w:r>
        <w:rPr>
          <w:rFonts w:hint="eastAsia" w:ascii="宋体" w:hAnsi="宋体" w:cs="宋体"/>
          <w:sz w:val="24"/>
        </w:rPr>
        <w:t>2.按时足额发放工资：</w:t>
      </w:r>
    </w:p>
    <w:p w14:paraId="7CDBA29F">
      <w:pPr>
        <w:spacing w:line="480" w:lineRule="exact"/>
        <w:ind w:firstLine="480" w:firstLineChars="200"/>
        <w:rPr>
          <w:rFonts w:ascii="宋体" w:hAnsi="宋体" w:cs="宋体"/>
          <w:sz w:val="24"/>
        </w:rPr>
      </w:pPr>
      <w:r>
        <w:rPr>
          <w:rFonts w:hint="eastAsia" w:ascii="宋体" w:hAnsi="宋体" w:cs="宋体"/>
          <w:sz w:val="24"/>
        </w:rPr>
        <w:t>我公司将确保每月按时足额发放员工工资，不以任何理由拖延或克扣。工资发放将直接至员工个人银行账户，确保资金安全、透明。</w:t>
      </w:r>
    </w:p>
    <w:p w14:paraId="376862AE">
      <w:pPr>
        <w:spacing w:line="480" w:lineRule="exact"/>
        <w:ind w:firstLine="480" w:firstLineChars="200"/>
        <w:rPr>
          <w:rFonts w:ascii="宋体" w:hAnsi="宋体" w:cs="宋体"/>
          <w:sz w:val="24"/>
        </w:rPr>
      </w:pPr>
      <w:r>
        <w:rPr>
          <w:rFonts w:hint="eastAsia" w:ascii="宋体" w:hAnsi="宋体" w:cs="宋体"/>
          <w:sz w:val="24"/>
        </w:rPr>
        <w:t>3. 建立工资储备基金：</w:t>
      </w:r>
    </w:p>
    <w:p w14:paraId="65AF1B5A">
      <w:pPr>
        <w:spacing w:line="480" w:lineRule="exact"/>
        <w:ind w:firstLine="480" w:firstLineChars="200"/>
        <w:rPr>
          <w:rFonts w:ascii="宋体" w:hAnsi="宋体" w:cs="宋体"/>
          <w:sz w:val="24"/>
        </w:rPr>
      </w:pPr>
      <w:r>
        <w:rPr>
          <w:rFonts w:hint="eastAsia" w:ascii="宋体" w:hAnsi="宋体" w:cs="宋体"/>
          <w:sz w:val="24"/>
        </w:rPr>
        <w:t>为应对可能的经营风险，我公司将设立专门的工资储备基金，确保在特殊情况下也能按时足额支付员工工资。</w:t>
      </w:r>
    </w:p>
    <w:p w14:paraId="23C8C576">
      <w:pPr>
        <w:spacing w:line="480" w:lineRule="exact"/>
        <w:ind w:firstLine="480" w:firstLineChars="200"/>
        <w:rPr>
          <w:rFonts w:ascii="宋体" w:hAnsi="宋体" w:cs="宋体"/>
          <w:sz w:val="24"/>
        </w:rPr>
      </w:pPr>
      <w:r>
        <w:rPr>
          <w:rFonts w:hint="eastAsia" w:ascii="宋体" w:hAnsi="宋体" w:cs="宋体"/>
          <w:sz w:val="24"/>
        </w:rPr>
        <w:t>4.加强财务监督与审计：</w:t>
      </w:r>
    </w:p>
    <w:p w14:paraId="283F565E">
      <w:pPr>
        <w:spacing w:line="480" w:lineRule="exact"/>
        <w:ind w:firstLine="480" w:firstLineChars="200"/>
        <w:rPr>
          <w:rFonts w:ascii="宋体" w:hAnsi="宋体" w:cs="宋体"/>
          <w:sz w:val="24"/>
        </w:rPr>
      </w:pPr>
      <w:r>
        <w:rPr>
          <w:rFonts w:hint="eastAsia" w:ascii="宋体" w:hAnsi="宋体" w:cs="宋体"/>
          <w:sz w:val="24"/>
        </w:rPr>
        <w:t>我公司将聘请专业的财务和审计人员，对公司的财务状况进行定期监督和审计，确保资金流动的透明度和合规性，防止因资金问题导致的工资拖欠。</w:t>
      </w:r>
    </w:p>
    <w:p w14:paraId="492A0691">
      <w:pPr>
        <w:spacing w:line="480" w:lineRule="exact"/>
        <w:ind w:firstLine="480" w:firstLineChars="200"/>
        <w:rPr>
          <w:rFonts w:ascii="宋体" w:hAnsi="宋体" w:cs="宋体"/>
          <w:sz w:val="24"/>
        </w:rPr>
      </w:pPr>
      <w:r>
        <w:rPr>
          <w:rFonts w:hint="eastAsia" w:ascii="宋体" w:hAnsi="宋体" w:cs="宋体"/>
          <w:sz w:val="24"/>
        </w:rPr>
        <w:t>5.积极处理投诉与纠纷：</w:t>
      </w:r>
    </w:p>
    <w:p w14:paraId="43912E0E">
      <w:pPr>
        <w:spacing w:line="480" w:lineRule="exact"/>
        <w:ind w:firstLine="480" w:firstLineChars="200"/>
        <w:rPr>
          <w:rFonts w:ascii="宋体" w:hAnsi="宋体" w:cs="宋体"/>
          <w:sz w:val="24"/>
        </w:rPr>
      </w:pPr>
      <w:r>
        <w:rPr>
          <w:rFonts w:hint="eastAsia" w:ascii="宋体" w:hAnsi="宋体" w:cs="宋体"/>
          <w:sz w:val="24"/>
        </w:rPr>
        <w:t>我公司将设立便捷的投诉渠道，及时受理并解决员工关于工资发放的投诉和纠纷。对于任何违反承诺的行为，我们将严肃处理，并承担相应的法律责任。</w:t>
      </w:r>
    </w:p>
    <w:p w14:paraId="7C43CCEE">
      <w:pPr>
        <w:spacing w:line="480" w:lineRule="exact"/>
        <w:ind w:firstLine="480" w:firstLineChars="200"/>
        <w:rPr>
          <w:rFonts w:ascii="宋体" w:hAnsi="宋体" w:cs="宋体"/>
          <w:sz w:val="24"/>
        </w:rPr>
      </w:pPr>
      <w:r>
        <w:rPr>
          <w:rFonts w:hint="eastAsia" w:ascii="宋体" w:hAnsi="宋体" w:cs="宋体"/>
          <w:sz w:val="24"/>
        </w:rPr>
        <w:t>6.接受社会监督：</w:t>
      </w:r>
    </w:p>
    <w:p w14:paraId="50E4E857">
      <w:pPr>
        <w:spacing w:line="480" w:lineRule="exact"/>
        <w:ind w:firstLine="480" w:firstLineChars="200"/>
        <w:rPr>
          <w:rFonts w:ascii="宋体" w:hAnsi="宋体" w:cs="宋体"/>
          <w:sz w:val="24"/>
        </w:rPr>
      </w:pPr>
      <w:r>
        <w:rPr>
          <w:rFonts w:hint="eastAsia" w:ascii="宋体" w:hAnsi="宋体" w:cs="宋体"/>
          <w:sz w:val="24"/>
        </w:rPr>
        <w:t>我公司愿意接受政府相关部门的监督和社会各界的监督。如发现有拖欠员工工资的情况，我们将积极配合政府部门进行处理，确保员工的合法权益得到维护。</w:t>
      </w:r>
    </w:p>
    <w:p w14:paraId="45391C64">
      <w:pPr>
        <w:autoSpaceDE w:val="0"/>
        <w:autoSpaceDN w:val="0"/>
        <w:adjustRightInd w:val="0"/>
        <w:snapToGrid w:val="0"/>
        <w:spacing w:line="480" w:lineRule="exact"/>
        <w:ind w:firstLine="3480" w:firstLineChars="1450"/>
        <w:rPr>
          <w:rFonts w:ascii="宋体" w:hAnsi="宋体" w:cs="宋体"/>
          <w:sz w:val="24"/>
        </w:rPr>
      </w:pPr>
    </w:p>
    <w:p w14:paraId="05EFE88E">
      <w:pPr>
        <w:autoSpaceDE w:val="0"/>
        <w:autoSpaceDN w:val="0"/>
        <w:adjustRightInd w:val="0"/>
        <w:snapToGrid w:val="0"/>
        <w:spacing w:line="480" w:lineRule="exact"/>
        <w:ind w:firstLine="3720" w:firstLineChars="1550"/>
        <w:rPr>
          <w:rFonts w:ascii="宋体" w:hAnsi="宋体" w:cs="宋体"/>
          <w:sz w:val="24"/>
        </w:rPr>
      </w:pPr>
    </w:p>
    <w:p w14:paraId="6677E90F">
      <w:pPr>
        <w:autoSpaceDE w:val="0"/>
        <w:autoSpaceDN w:val="0"/>
        <w:adjustRightInd w:val="0"/>
        <w:snapToGrid w:val="0"/>
        <w:spacing w:line="480" w:lineRule="exact"/>
        <w:ind w:firstLine="3840" w:firstLineChars="1600"/>
        <w:rPr>
          <w:rFonts w:ascii="宋体" w:hAnsi="宋体" w:cs="宋体"/>
          <w:sz w:val="24"/>
        </w:rPr>
      </w:pPr>
      <w:r>
        <w:rPr>
          <w:rFonts w:hint="eastAsia" w:ascii="宋体" w:hAnsi="宋体" w:cs="宋体"/>
          <w:kern w:val="1"/>
          <w:sz w:val="24"/>
        </w:rPr>
        <w:t>响应人</w:t>
      </w:r>
      <w:r>
        <w:rPr>
          <w:rFonts w:hint="eastAsia" w:ascii="宋体" w:hAnsi="宋体" w:cs="宋体"/>
          <w:kern w:val="0"/>
          <w:sz w:val="24"/>
        </w:rPr>
        <w:t>：</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sz w:val="24"/>
        </w:rPr>
        <w:t>电子签章</w:t>
      </w:r>
      <w:r>
        <w:rPr>
          <w:rFonts w:hint="eastAsia" w:ascii="宋体" w:hAnsi="宋体" w:cs="宋体"/>
          <w:kern w:val="0"/>
          <w:sz w:val="24"/>
        </w:rPr>
        <w:t xml:space="preserve">） </w:t>
      </w:r>
    </w:p>
    <w:p w14:paraId="7550466C">
      <w:pPr>
        <w:autoSpaceDE w:val="0"/>
        <w:autoSpaceDN w:val="0"/>
        <w:adjustRightInd w:val="0"/>
        <w:snapToGrid w:val="0"/>
        <w:spacing w:line="480" w:lineRule="exact"/>
        <w:rPr>
          <w:rFonts w:ascii="宋体" w:hAnsi="宋体" w:cs="宋体"/>
          <w:sz w:val="24"/>
        </w:rPr>
      </w:pPr>
      <w:r>
        <w:rPr>
          <w:rFonts w:hint="eastAsia" w:ascii="宋体" w:hAnsi="宋体" w:cs="宋体"/>
          <w:kern w:val="0"/>
          <w:sz w:val="24"/>
        </w:rPr>
        <w:t xml:space="preserve">                                </w:t>
      </w:r>
      <w:r>
        <w:rPr>
          <w:rFonts w:hint="eastAsia" w:ascii="宋体" w:hAnsi="宋体" w:cs="宋体"/>
          <w:kern w:val="1"/>
          <w:sz w:val="24"/>
        </w:rPr>
        <w:t>法定代表人或委托代理人</w:t>
      </w:r>
      <w:r>
        <w:rPr>
          <w:rFonts w:hint="eastAsia" w:ascii="宋体" w:hAnsi="宋体" w:cs="宋体"/>
          <w:kern w:val="0"/>
          <w:sz w:val="24"/>
        </w:rPr>
        <w:t>：</w:t>
      </w:r>
      <w:r>
        <w:rPr>
          <w:rFonts w:hint="eastAsia" w:ascii="宋体" w:hAnsi="宋体" w:cs="宋体"/>
          <w:kern w:val="0"/>
          <w:sz w:val="24"/>
          <w:u w:val="single"/>
        </w:rPr>
        <w:t xml:space="preserve">     </w:t>
      </w:r>
      <w:r>
        <w:rPr>
          <w:rFonts w:hint="eastAsia" w:ascii="宋体" w:hAnsi="宋体" w:cs="宋体"/>
          <w:kern w:val="0"/>
          <w:sz w:val="24"/>
        </w:rPr>
        <w:t>（</w:t>
      </w:r>
      <w:r>
        <w:rPr>
          <w:rFonts w:hint="eastAsia" w:ascii="宋体" w:hAnsi="宋体" w:cs="宋体"/>
          <w:sz w:val="24"/>
        </w:rPr>
        <w:t>电子签章</w:t>
      </w:r>
      <w:r>
        <w:rPr>
          <w:rFonts w:hint="eastAsia" w:ascii="宋体" w:hAnsi="宋体" w:cs="宋体"/>
          <w:kern w:val="0"/>
          <w:sz w:val="24"/>
        </w:rPr>
        <w:t xml:space="preserve">） </w:t>
      </w:r>
    </w:p>
    <w:bookmarkEnd w:id="507"/>
    <w:bookmarkEnd w:id="508"/>
    <w:bookmarkEnd w:id="509"/>
    <w:bookmarkEnd w:id="510"/>
    <w:bookmarkEnd w:id="511"/>
    <w:bookmarkEnd w:id="512"/>
    <w:bookmarkEnd w:id="513"/>
    <w:p w14:paraId="116331F9">
      <w:pPr>
        <w:spacing w:line="460" w:lineRule="exact"/>
        <w:ind w:firstLine="3840" w:firstLineChars="1600"/>
      </w:pPr>
      <w:r>
        <w:rPr>
          <w:rFonts w:hint="eastAsia" w:ascii="宋体" w:hAnsi="宋体" w:cs="仿宋_GB2312"/>
          <w:sz w:val="24"/>
          <w:shd w:val="clear" w:color="auto" w:fill="FFFFFF"/>
          <w:lang w:bidi="ar"/>
        </w:rPr>
        <w:t>日</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期：   年</w:t>
      </w:r>
      <w:r>
        <w:rPr>
          <w:rFonts w:ascii="宋体" w:hAnsi="宋体" w:cs="仿宋_GB2312"/>
          <w:sz w:val="24"/>
          <w:shd w:val="clear" w:color="auto" w:fill="FFFFFF"/>
          <w:lang w:bidi="ar"/>
        </w:rPr>
        <w:t xml:space="preserve"> </w:t>
      </w:r>
      <w:r>
        <w:rPr>
          <w:rFonts w:hint="eastAsia" w:ascii="宋体" w:hAnsi="宋体" w:cs="仿宋_GB2312"/>
          <w:sz w:val="24"/>
          <w:shd w:val="clear" w:color="auto" w:fill="FFFFFF"/>
          <w:lang w:bidi="ar"/>
        </w:rPr>
        <w:t xml:space="preserve"> 月  日</w:t>
      </w:r>
    </w:p>
    <w:sectPr>
      <w:footerReference r:id="rId5" w:type="default"/>
      <w:pgSz w:w="11906" w:h="16838"/>
      <w:pgMar w:top="1418" w:right="1134" w:bottom="1134" w:left="1247" w:header="851" w:footer="907"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96A19">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4C72">
    <w:pPr>
      <w:pStyle w:val="5"/>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A6C81">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EAA6C81">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C27D4">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4E7D3"/>
    <w:multiLevelType w:val="singleLevel"/>
    <w:tmpl w:val="9E44E7D3"/>
    <w:lvl w:ilvl="0" w:tentative="0">
      <w:start w:val="1"/>
      <w:numFmt w:val="decimal"/>
      <w:suff w:val="nothing"/>
      <w:lvlText w:val="%1、"/>
      <w:lvlJc w:val="left"/>
    </w:lvl>
  </w:abstractNum>
  <w:abstractNum w:abstractNumId="1">
    <w:nsid w:val="001CE18B"/>
    <w:multiLevelType w:val="singleLevel"/>
    <w:tmpl w:val="001CE18B"/>
    <w:lvl w:ilvl="0" w:tentative="0">
      <w:start w:val="1"/>
      <w:numFmt w:val="chineseCounting"/>
      <w:suff w:val="nothing"/>
      <w:lvlText w:val="%1、"/>
      <w:lvlJc w:val="left"/>
      <w:rPr>
        <w:rFonts w:hint="eastAsia"/>
      </w:rPr>
    </w:lvl>
  </w:abstractNum>
  <w:abstractNum w:abstractNumId="2">
    <w:nsid w:val="29E72317"/>
    <w:multiLevelType w:val="singleLevel"/>
    <w:tmpl w:val="29E72317"/>
    <w:lvl w:ilvl="0" w:tentative="0">
      <w:start w:val="3"/>
      <w:numFmt w:val="decimal"/>
      <w:suff w:val="nothing"/>
      <w:lvlText w:val="（%1）"/>
      <w:lvlJc w:val="left"/>
    </w:lvl>
  </w:abstractNum>
  <w:abstractNum w:abstractNumId="3">
    <w:nsid w:val="34C9BB56"/>
    <w:multiLevelType w:val="singleLevel"/>
    <w:tmpl w:val="34C9BB56"/>
    <w:lvl w:ilvl="0" w:tentative="0">
      <w:start w:val="2"/>
      <w:numFmt w:val="decimal"/>
      <w:lvlText w:val="(%1)"/>
      <w:lvlJc w:val="left"/>
      <w:pPr>
        <w:tabs>
          <w:tab w:val="left" w:pos="312"/>
        </w:tabs>
      </w:pPr>
    </w:lvl>
  </w:abstractNum>
  <w:abstractNum w:abstractNumId="4">
    <w:nsid w:val="52E5FE47"/>
    <w:multiLevelType w:val="singleLevel"/>
    <w:tmpl w:val="52E5FE47"/>
    <w:lvl w:ilvl="0" w:tentative="0">
      <w:start w:val="5"/>
      <w:numFmt w:val="decimal"/>
      <w:suff w:val="nothing"/>
      <w:lvlText w:val="（%1）"/>
      <w:lvlJc w:val="left"/>
    </w:lvl>
  </w:abstractNum>
  <w:abstractNum w:abstractNumId="5">
    <w:nsid w:val="765C9506"/>
    <w:multiLevelType w:val="singleLevel"/>
    <w:tmpl w:val="765C9506"/>
    <w:lvl w:ilvl="0" w:tentative="0">
      <w:start w:val="1"/>
      <w:numFmt w:val="decimal"/>
      <w:suff w:val="nothing"/>
      <w:lvlText w:val="%1）"/>
      <w:lvlJc w:val="left"/>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eJyZ/yMI5rxy3GwZetWRDTELxnc=" w:salt="RMF+7/L4qzoS8kS5o+mVA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3FA"/>
    <w:rsid w:val="001261F3"/>
    <w:rsid w:val="00631AFD"/>
    <w:rsid w:val="00ED14E1"/>
    <w:rsid w:val="00F013FA"/>
    <w:rsid w:val="01053610"/>
    <w:rsid w:val="01565C22"/>
    <w:rsid w:val="09A1402C"/>
    <w:rsid w:val="0D9773A6"/>
    <w:rsid w:val="0EAF6971"/>
    <w:rsid w:val="10234F21"/>
    <w:rsid w:val="10E5667A"/>
    <w:rsid w:val="11C664AC"/>
    <w:rsid w:val="1336140F"/>
    <w:rsid w:val="1388668B"/>
    <w:rsid w:val="13FF3EF7"/>
    <w:rsid w:val="149D101A"/>
    <w:rsid w:val="159C7C3E"/>
    <w:rsid w:val="16526560"/>
    <w:rsid w:val="184C749D"/>
    <w:rsid w:val="18714C97"/>
    <w:rsid w:val="18F27B86"/>
    <w:rsid w:val="193E726F"/>
    <w:rsid w:val="196F11D7"/>
    <w:rsid w:val="1C3A1F70"/>
    <w:rsid w:val="1D5560F9"/>
    <w:rsid w:val="1D7C2114"/>
    <w:rsid w:val="1ECC70CB"/>
    <w:rsid w:val="208E288A"/>
    <w:rsid w:val="23B56380"/>
    <w:rsid w:val="24E46645"/>
    <w:rsid w:val="25C1725E"/>
    <w:rsid w:val="26EA4592"/>
    <w:rsid w:val="278239F1"/>
    <w:rsid w:val="2A5C36BF"/>
    <w:rsid w:val="2A995D5F"/>
    <w:rsid w:val="2AC450FA"/>
    <w:rsid w:val="2B597F39"/>
    <w:rsid w:val="2C9805ED"/>
    <w:rsid w:val="2DAA05D8"/>
    <w:rsid w:val="2F48454C"/>
    <w:rsid w:val="30772F4F"/>
    <w:rsid w:val="32382656"/>
    <w:rsid w:val="347100A1"/>
    <w:rsid w:val="35A45BC0"/>
    <w:rsid w:val="363E3FB3"/>
    <w:rsid w:val="36796D46"/>
    <w:rsid w:val="38FD16AB"/>
    <w:rsid w:val="3B027CA5"/>
    <w:rsid w:val="3B9C1EA7"/>
    <w:rsid w:val="3E1F0C26"/>
    <w:rsid w:val="3E5A7DF8"/>
    <w:rsid w:val="3F9561C4"/>
    <w:rsid w:val="412546ED"/>
    <w:rsid w:val="43BA2B9E"/>
    <w:rsid w:val="45107462"/>
    <w:rsid w:val="461B1C1B"/>
    <w:rsid w:val="47C9175F"/>
    <w:rsid w:val="493C6A78"/>
    <w:rsid w:val="49F27137"/>
    <w:rsid w:val="4AA04DE4"/>
    <w:rsid w:val="500B71A4"/>
    <w:rsid w:val="502C5CD0"/>
    <w:rsid w:val="50CE26AB"/>
    <w:rsid w:val="531B3567"/>
    <w:rsid w:val="53DB0C3B"/>
    <w:rsid w:val="554967A4"/>
    <w:rsid w:val="58DF2F7C"/>
    <w:rsid w:val="5A4206F2"/>
    <w:rsid w:val="61330309"/>
    <w:rsid w:val="632919C3"/>
    <w:rsid w:val="63780255"/>
    <w:rsid w:val="694110E9"/>
    <w:rsid w:val="6A1A0571"/>
    <w:rsid w:val="6E032671"/>
    <w:rsid w:val="6F174DC6"/>
    <w:rsid w:val="7318708C"/>
    <w:rsid w:val="76C577FD"/>
    <w:rsid w:val="785C1A9B"/>
    <w:rsid w:val="7A2B3E1B"/>
    <w:rsid w:val="7B892BA7"/>
    <w:rsid w:val="7BCD6656"/>
    <w:rsid w:val="7C4A4A2C"/>
    <w:rsid w:val="7C772F8A"/>
    <w:rsid w:val="7E4B4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宋体" w:eastAsia="仿宋"/>
      <w:sz w:val="24"/>
      <w:szCs w:val="21"/>
      <w:lang w:bidi="ar-SA"/>
    </w:rPr>
  </w:style>
  <w:style w:type="paragraph" w:customStyle="1" w:styleId="3">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4">
    <w:name w:val="Body Text Indent 2"/>
    <w:basedOn w:val="1"/>
    <w:qFormat/>
    <w:uiPriority w:val="0"/>
    <w:pPr>
      <w:spacing w:after="120" w:line="480" w:lineRule="auto"/>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bCs/>
    </w:rPr>
  </w:style>
  <w:style w:type="character" w:styleId="13">
    <w:name w:val="FollowedHyperlink"/>
    <w:basedOn w:val="11"/>
    <w:qFormat/>
    <w:uiPriority w:val="0"/>
    <w:rPr>
      <w:color w:val="800080"/>
      <w:u w:val="none"/>
    </w:rPr>
  </w:style>
  <w:style w:type="character" w:styleId="14">
    <w:name w:val="Emphasis"/>
    <w:basedOn w:val="11"/>
    <w:qFormat/>
    <w:uiPriority w:val="0"/>
    <w:rPr>
      <w:b/>
      <w:bCs/>
    </w:rPr>
  </w:style>
  <w:style w:type="character" w:styleId="15">
    <w:name w:val="HTML Definition"/>
    <w:basedOn w:val="11"/>
    <w:qFormat/>
    <w:uiPriority w:val="0"/>
  </w:style>
  <w:style w:type="character" w:styleId="16">
    <w:name w:val="HTML Typewriter"/>
    <w:basedOn w:val="11"/>
    <w:qFormat/>
    <w:uiPriority w:val="0"/>
    <w:rPr>
      <w:rFonts w:hint="default" w:ascii="monospace" w:hAnsi="monospace" w:eastAsia="monospace" w:cs="monospace"/>
      <w:sz w:val="20"/>
    </w:rPr>
  </w:style>
  <w:style w:type="character" w:styleId="17">
    <w:name w:val="HTML Acronym"/>
    <w:basedOn w:val="11"/>
    <w:qFormat/>
    <w:uiPriority w:val="0"/>
  </w:style>
  <w:style w:type="character" w:styleId="18">
    <w:name w:val="HTML Variable"/>
    <w:basedOn w:val="11"/>
    <w:qFormat/>
    <w:uiPriority w:val="0"/>
  </w:style>
  <w:style w:type="character" w:styleId="19">
    <w:name w:val="Hyperlink"/>
    <w:basedOn w:val="11"/>
    <w:qFormat/>
    <w:uiPriority w:val="0"/>
    <w:rPr>
      <w:color w:val="0000FF"/>
      <w:u w:val="none"/>
    </w:rPr>
  </w:style>
  <w:style w:type="character" w:styleId="20">
    <w:name w:val="HTML Code"/>
    <w:basedOn w:val="11"/>
    <w:qFormat/>
    <w:uiPriority w:val="0"/>
    <w:rPr>
      <w:rFonts w:ascii="monospace" w:hAnsi="monospace" w:eastAsia="monospace" w:cs="monospace"/>
      <w:sz w:val="20"/>
    </w:rPr>
  </w:style>
  <w:style w:type="character" w:styleId="21">
    <w:name w:val="HTML Cite"/>
    <w:basedOn w:val="11"/>
    <w:qFormat/>
    <w:uiPriority w:val="0"/>
  </w:style>
  <w:style w:type="character" w:styleId="22">
    <w:name w:val="HTML Keyboard"/>
    <w:basedOn w:val="11"/>
    <w:qFormat/>
    <w:uiPriority w:val="0"/>
    <w:rPr>
      <w:rFonts w:hint="default" w:ascii="monospace" w:hAnsi="monospace" w:eastAsia="monospace" w:cs="monospace"/>
      <w:sz w:val="20"/>
    </w:rPr>
  </w:style>
  <w:style w:type="character" w:styleId="23">
    <w:name w:val="HTML Sample"/>
    <w:basedOn w:val="11"/>
    <w:qFormat/>
    <w:uiPriority w:val="0"/>
    <w:rPr>
      <w:rFonts w:hint="default" w:ascii="monospace" w:hAnsi="monospace" w:eastAsia="monospace" w:cs="monospace"/>
    </w:rPr>
  </w:style>
  <w:style w:type="paragraph" w:customStyle="1" w:styleId="24">
    <w:name w:val="BodyText1I2"/>
    <w:basedOn w:val="25"/>
    <w:next w:val="1"/>
    <w:qFormat/>
    <w:uiPriority w:val="0"/>
    <w:pPr>
      <w:spacing w:before="100" w:beforeAutospacing="1" w:line="360" w:lineRule="auto"/>
      <w:ind w:firstLine="420"/>
      <w:textAlignment w:val="baseline"/>
    </w:pPr>
    <w:rPr>
      <w:rFonts w:eastAsia="Arial Unicode MS"/>
      <w:color w:val="000000"/>
      <w:kern w:val="0"/>
      <w:sz w:val="20"/>
      <w:szCs w:val="20"/>
    </w:rPr>
  </w:style>
  <w:style w:type="paragraph" w:customStyle="1" w:styleId="25">
    <w:name w:val="BodyTextIndent"/>
    <w:basedOn w:val="1"/>
    <w:qFormat/>
    <w:uiPriority w:val="0"/>
    <w:pPr>
      <w:spacing w:after="120"/>
      <w:ind w:left="420" w:leftChars="200"/>
    </w:pPr>
    <w:rPr>
      <w:rFonts w:hint="eastAsia"/>
      <w:sz w:val="24"/>
    </w:rPr>
  </w:style>
  <w:style w:type="paragraph" w:customStyle="1" w:styleId="26">
    <w:name w:val="无间隔1"/>
    <w:basedOn w:val="1"/>
    <w:qFormat/>
    <w:uiPriority w:val="0"/>
    <w:pPr>
      <w:spacing w:line="400" w:lineRule="exact"/>
    </w:pPr>
    <w:rPr>
      <w:sz w:val="24"/>
    </w:rPr>
  </w:style>
  <w:style w:type="character" w:customStyle="1" w:styleId="27">
    <w:name w:val="hover"/>
    <w:basedOn w:val="11"/>
    <w:qFormat/>
    <w:uiPriority w:val="0"/>
    <w:rPr>
      <w:color w:val="2590EB"/>
    </w:rPr>
  </w:style>
  <w:style w:type="character" w:customStyle="1" w:styleId="28">
    <w:name w:val="hover1"/>
    <w:basedOn w:val="11"/>
    <w:qFormat/>
    <w:uiPriority w:val="0"/>
    <w:rPr>
      <w:color w:val="2590EB"/>
    </w:rPr>
  </w:style>
  <w:style w:type="character" w:customStyle="1" w:styleId="29">
    <w:name w:val="hover2"/>
    <w:basedOn w:val="11"/>
    <w:qFormat/>
    <w:uiPriority w:val="0"/>
  </w:style>
  <w:style w:type="character" w:customStyle="1" w:styleId="30">
    <w:name w:val="mini-outputtext1"/>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66</Pages>
  <Words>30288</Words>
  <Characters>32692</Characters>
  <Lines>265</Lines>
  <Paragraphs>74</Paragraphs>
  <TotalTime>3</TotalTime>
  <ScaleCrop>false</ScaleCrop>
  <LinksUpToDate>false</LinksUpToDate>
  <CharactersWithSpaces>33976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2026-10-16T06:53:00Z</dcterms:created>
  <dc:creator>Administrator</dc:creator>
  <cp:lastModifiedBy>Administrator</cp:lastModifiedBy>
  <cp:lastPrinted>2026-08-18T01:09:00Z</cp:lastPrinted>
  <dcterms:modified xsi:type="dcterms:W3CDTF">2026-10-21T03:10:55Z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eyJoZGlkIjoiNzQ5ZGI0OTlhNzVkYTI3NDIyNjM5OGE4OTE2MTQyMmEiLCJ1c2VySWQiOiIxMTU5MzQwNTUxIn0=</vt:lpwstr>
  </property>
  <property fmtid="{D5CDD505-2E9C-101B-9397-08002B2CF9AE}" pid="4" name="ICV">
    <vt:lpwstr>D9307DBF80394D3F8831FA4598A1E545_13</vt:lpwstr>
  </property>
</Properties>
</file>